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oter4.xml" ContentType="application/vnd.openxmlformats-officedocument.wordprocessingml.footer+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3A2A19" w14:textId="77777777" w:rsidR="00EF45E0" w:rsidRDefault="00BC4827" w:rsidP="00BC4827">
      <w:pPr>
        <w:spacing w:line="480" w:lineRule="auto"/>
        <w:jc w:val="center"/>
        <w:rPr>
          <w:rFonts w:ascii="Arial" w:hAnsi="Arial"/>
          <w:b/>
        </w:rPr>
      </w:pPr>
      <w:r>
        <w:rPr>
          <w:rFonts w:ascii="Arial" w:hAnsi="Arial"/>
          <w:b/>
        </w:rPr>
        <w:t>ANGLIA RUSKIN UNIVERSITY</w:t>
      </w:r>
    </w:p>
    <w:p w14:paraId="411B852C" w14:textId="19774642" w:rsidR="00954528" w:rsidRDefault="00EF45E0" w:rsidP="00BC4827">
      <w:pPr>
        <w:spacing w:line="480" w:lineRule="auto"/>
        <w:jc w:val="center"/>
        <w:rPr>
          <w:rFonts w:ascii="Arial" w:hAnsi="Arial"/>
          <w:b/>
        </w:rPr>
      </w:pPr>
      <w:r>
        <w:rPr>
          <w:rFonts w:ascii="Arial" w:hAnsi="Arial"/>
          <w:b/>
        </w:rPr>
        <w:t>FACULTY OF HEALTH, EDUCATION, MEDICINE AND SOCIAL CARE</w:t>
      </w:r>
      <w:r w:rsidR="00BC4827">
        <w:rPr>
          <w:rFonts w:ascii="Arial" w:hAnsi="Arial"/>
          <w:b/>
        </w:rPr>
        <w:br/>
      </w:r>
      <w:r w:rsidR="00BC4827">
        <w:rPr>
          <w:rFonts w:ascii="Arial" w:hAnsi="Arial"/>
          <w:b/>
        </w:rPr>
        <w:br/>
      </w:r>
      <w:r w:rsidR="0000796D">
        <w:rPr>
          <w:rFonts w:ascii="Arial" w:hAnsi="Arial"/>
          <w:b/>
        </w:rPr>
        <w:t xml:space="preserve">UNDERSTANDING THERAPIST VARIABLES: AN ANALYSIS OF </w:t>
      </w:r>
      <w:r w:rsidR="00B21B00">
        <w:rPr>
          <w:rFonts w:ascii="Arial" w:hAnsi="Arial"/>
          <w:b/>
        </w:rPr>
        <w:t xml:space="preserve">ONLINE </w:t>
      </w:r>
      <w:r w:rsidR="0000796D">
        <w:rPr>
          <w:rFonts w:ascii="Arial" w:hAnsi="Arial"/>
          <w:b/>
        </w:rPr>
        <w:t xml:space="preserve">COGNITIVE BEHAVIOURAL THERAPY TRANSCRIPTS </w:t>
      </w:r>
    </w:p>
    <w:p w14:paraId="3A7B53AF" w14:textId="28463791" w:rsidR="00BC4827" w:rsidRDefault="00BC4827" w:rsidP="00BC4827">
      <w:pPr>
        <w:spacing w:line="480" w:lineRule="auto"/>
        <w:jc w:val="center"/>
        <w:rPr>
          <w:rFonts w:ascii="Arial" w:hAnsi="Arial"/>
          <w:b/>
        </w:rPr>
      </w:pPr>
    </w:p>
    <w:p w14:paraId="28CE8B19" w14:textId="16BAF442" w:rsidR="00BC4827" w:rsidRDefault="00BC4827" w:rsidP="00BC4827">
      <w:pPr>
        <w:spacing w:line="480" w:lineRule="auto"/>
        <w:jc w:val="center"/>
        <w:rPr>
          <w:rFonts w:ascii="Arial" w:hAnsi="Arial"/>
          <w:b/>
        </w:rPr>
      </w:pPr>
    </w:p>
    <w:p w14:paraId="1D3947F8" w14:textId="0FCF0A67" w:rsidR="00BC4827" w:rsidRDefault="00BC4827" w:rsidP="00BC4827">
      <w:pPr>
        <w:spacing w:line="480" w:lineRule="auto"/>
        <w:jc w:val="center"/>
        <w:rPr>
          <w:rFonts w:ascii="Arial" w:hAnsi="Arial"/>
          <w:b/>
        </w:rPr>
      </w:pPr>
      <w:r>
        <w:rPr>
          <w:rFonts w:ascii="Arial" w:hAnsi="Arial"/>
          <w:b/>
        </w:rPr>
        <w:t>SARAH BATEUP</w:t>
      </w:r>
    </w:p>
    <w:p w14:paraId="14CEBC48" w14:textId="5A19C5BC" w:rsidR="00EF45E0" w:rsidRDefault="00EF45E0" w:rsidP="00BC4827">
      <w:pPr>
        <w:spacing w:line="480" w:lineRule="auto"/>
        <w:jc w:val="center"/>
        <w:rPr>
          <w:rFonts w:ascii="Arial" w:hAnsi="Arial"/>
          <w:b/>
        </w:rPr>
      </w:pPr>
    </w:p>
    <w:p w14:paraId="29C3A440" w14:textId="27AA8CCC" w:rsidR="00EF45E0" w:rsidRDefault="00EF45E0" w:rsidP="00BC4827">
      <w:pPr>
        <w:spacing w:line="480" w:lineRule="auto"/>
        <w:jc w:val="center"/>
        <w:rPr>
          <w:rFonts w:ascii="Arial" w:hAnsi="Arial"/>
          <w:b/>
        </w:rPr>
      </w:pPr>
      <w:r>
        <w:rPr>
          <w:rFonts w:ascii="Arial" w:hAnsi="Arial"/>
          <w:b/>
        </w:rPr>
        <w:t>A thesis in partial fulfilment of the requirements of Anglia Ruskin University for the degree of Professional Doctorate</w:t>
      </w:r>
    </w:p>
    <w:p w14:paraId="54E83644" w14:textId="6B76A578" w:rsidR="00EF45E0" w:rsidRDefault="00EF45E0" w:rsidP="00BC4827">
      <w:pPr>
        <w:spacing w:line="480" w:lineRule="auto"/>
        <w:jc w:val="center"/>
        <w:rPr>
          <w:rFonts w:ascii="Arial" w:hAnsi="Arial"/>
          <w:b/>
        </w:rPr>
      </w:pPr>
    </w:p>
    <w:p w14:paraId="41B6D378" w14:textId="594E9F37" w:rsidR="00EF45E0" w:rsidRDefault="00EF45E0" w:rsidP="00BC4827">
      <w:pPr>
        <w:spacing w:line="480" w:lineRule="auto"/>
        <w:jc w:val="center"/>
        <w:rPr>
          <w:rFonts w:ascii="Arial" w:hAnsi="Arial"/>
          <w:b/>
        </w:rPr>
      </w:pPr>
      <w:r>
        <w:rPr>
          <w:rFonts w:ascii="Arial" w:hAnsi="Arial"/>
          <w:b/>
        </w:rPr>
        <w:t xml:space="preserve">Submitted: </w:t>
      </w:r>
      <w:r w:rsidR="00CD3395">
        <w:rPr>
          <w:rFonts w:ascii="Arial" w:hAnsi="Arial"/>
          <w:b/>
        </w:rPr>
        <w:t>January 2020</w:t>
      </w:r>
    </w:p>
    <w:p w14:paraId="0C41B42E" w14:textId="77777777" w:rsidR="00D168F9" w:rsidRDefault="00D168F9" w:rsidP="00D07553">
      <w:pPr>
        <w:pStyle w:val="Heading1"/>
        <w:rPr>
          <w:rFonts w:cs="Arial"/>
          <w:color w:val="000000" w:themeColor="text1"/>
          <w:szCs w:val="22"/>
        </w:rPr>
        <w:sectPr w:rsidR="00D168F9" w:rsidSect="004807EC">
          <w:footerReference w:type="even" r:id="rId8"/>
          <w:footerReference w:type="default" r:id="rId9"/>
          <w:pgSz w:w="11900" w:h="16840"/>
          <w:pgMar w:top="1440" w:right="1440" w:bottom="1440" w:left="1440" w:header="708" w:footer="708" w:gutter="0"/>
          <w:pgNumType w:fmt="lowerRoman"/>
          <w:cols w:space="708"/>
          <w:titlePg/>
          <w:docGrid w:linePitch="360"/>
        </w:sectPr>
      </w:pPr>
    </w:p>
    <w:p w14:paraId="438226F4" w14:textId="520105A0" w:rsidR="00954528" w:rsidRPr="00D07553" w:rsidRDefault="00BC4827" w:rsidP="00D168F9">
      <w:pPr>
        <w:pStyle w:val="Style1"/>
      </w:pPr>
      <w:bookmarkStart w:id="0" w:name="_Toc46770695"/>
      <w:bookmarkStart w:id="1" w:name="_Toc79414105"/>
      <w:r w:rsidRPr="00D07553">
        <w:lastRenderedPageBreak/>
        <w:t>ACKNOWLEDGEMENTS</w:t>
      </w:r>
      <w:bookmarkEnd w:id="0"/>
      <w:bookmarkEnd w:id="1"/>
    </w:p>
    <w:p w14:paraId="31E7135E" w14:textId="77777777" w:rsidR="00D07553" w:rsidRDefault="00D07553" w:rsidP="00D31223">
      <w:pPr>
        <w:spacing w:line="480" w:lineRule="auto"/>
        <w:rPr>
          <w:rFonts w:ascii="Arial" w:hAnsi="Arial"/>
          <w:sz w:val="22"/>
          <w:szCs w:val="22"/>
        </w:rPr>
      </w:pPr>
    </w:p>
    <w:p w14:paraId="392E9C32" w14:textId="34B44A4D" w:rsidR="00923D81" w:rsidRDefault="00633DB6" w:rsidP="00D31223">
      <w:pPr>
        <w:spacing w:line="480" w:lineRule="auto"/>
        <w:rPr>
          <w:rFonts w:ascii="Arial" w:hAnsi="Arial"/>
          <w:sz w:val="22"/>
          <w:szCs w:val="22"/>
        </w:rPr>
      </w:pPr>
      <w:r>
        <w:rPr>
          <w:rFonts w:ascii="Arial" w:hAnsi="Arial"/>
          <w:sz w:val="22"/>
          <w:szCs w:val="22"/>
        </w:rPr>
        <w:t xml:space="preserve">This is the first time in my career where I have been able to </w:t>
      </w:r>
      <w:r w:rsidR="00CC4BF8">
        <w:rPr>
          <w:rFonts w:ascii="Arial" w:hAnsi="Arial"/>
          <w:sz w:val="22"/>
          <w:szCs w:val="22"/>
        </w:rPr>
        <w:t>really study</w:t>
      </w:r>
      <w:r>
        <w:rPr>
          <w:rFonts w:ascii="Arial" w:hAnsi="Arial"/>
          <w:sz w:val="22"/>
          <w:szCs w:val="22"/>
        </w:rPr>
        <w:t xml:space="preserve"> what cognitive behavioural therapists do with their patients. Despite managing services, teaching trainees at </w:t>
      </w:r>
      <w:r w:rsidR="005F39FA">
        <w:rPr>
          <w:rFonts w:ascii="Arial" w:hAnsi="Arial"/>
          <w:sz w:val="22"/>
          <w:szCs w:val="22"/>
        </w:rPr>
        <w:t>various universities</w:t>
      </w:r>
      <w:r w:rsidR="00923D81">
        <w:rPr>
          <w:rFonts w:ascii="Arial" w:hAnsi="Arial"/>
          <w:sz w:val="22"/>
          <w:szCs w:val="22"/>
        </w:rPr>
        <w:t>, as well as</w:t>
      </w:r>
      <w:r>
        <w:rPr>
          <w:rFonts w:ascii="Arial" w:hAnsi="Arial"/>
          <w:sz w:val="22"/>
          <w:szCs w:val="22"/>
        </w:rPr>
        <w:t xml:space="preserve"> supervising </w:t>
      </w:r>
      <w:r w:rsidR="00BD1AB6">
        <w:rPr>
          <w:rFonts w:ascii="Arial" w:hAnsi="Arial"/>
          <w:sz w:val="22"/>
          <w:szCs w:val="22"/>
        </w:rPr>
        <w:t xml:space="preserve">countless </w:t>
      </w:r>
      <w:r>
        <w:rPr>
          <w:rFonts w:ascii="Arial" w:hAnsi="Arial"/>
          <w:sz w:val="22"/>
          <w:szCs w:val="22"/>
        </w:rPr>
        <w:t xml:space="preserve">therapists it has never really been possible to have insight into </w:t>
      </w:r>
      <w:r w:rsidR="002210B1">
        <w:rPr>
          <w:rFonts w:ascii="Arial" w:hAnsi="Arial"/>
          <w:sz w:val="22"/>
          <w:szCs w:val="22"/>
        </w:rPr>
        <w:t xml:space="preserve">what each therapist was doing with their patients.  This is because, traditionally, therapy is delivered behind a closed door and </w:t>
      </w:r>
      <w:r w:rsidR="00BD1AB6">
        <w:rPr>
          <w:rFonts w:ascii="Arial" w:hAnsi="Arial"/>
          <w:sz w:val="22"/>
          <w:szCs w:val="22"/>
        </w:rPr>
        <w:t>whilst</w:t>
      </w:r>
      <w:r w:rsidR="002210B1">
        <w:rPr>
          <w:rFonts w:ascii="Arial" w:hAnsi="Arial"/>
          <w:sz w:val="22"/>
          <w:szCs w:val="22"/>
        </w:rPr>
        <w:t xml:space="preserve"> therapists are required to submit recordings of their work, these are always self-selected and represent only a tiny part of the therapist’s clinical work.</w:t>
      </w:r>
      <w:r>
        <w:rPr>
          <w:rFonts w:ascii="Arial" w:hAnsi="Arial"/>
          <w:sz w:val="22"/>
          <w:szCs w:val="22"/>
        </w:rPr>
        <w:t xml:space="preserve">  </w:t>
      </w:r>
      <w:r w:rsidR="002210B1">
        <w:rPr>
          <w:rFonts w:ascii="Arial" w:hAnsi="Arial"/>
          <w:sz w:val="22"/>
          <w:szCs w:val="22"/>
        </w:rPr>
        <w:t xml:space="preserve">I must therefore thank all the therapists at Ieso Digital Health, without whom this work would not have been possible. </w:t>
      </w:r>
      <w:r w:rsidR="004A0BBC" w:rsidRPr="00D07553">
        <w:rPr>
          <w:rFonts w:ascii="Arial" w:hAnsi="Arial"/>
          <w:sz w:val="22"/>
          <w:szCs w:val="22"/>
        </w:rPr>
        <w:t xml:space="preserve">It </w:t>
      </w:r>
      <w:r w:rsidR="002210B1">
        <w:rPr>
          <w:rFonts w:ascii="Arial" w:hAnsi="Arial"/>
          <w:sz w:val="22"/>
          <w:szCs w:val="22"/>
        </w:rPr>
        <w:t>is</w:t>
      </w:r>
      <w:r w:rsidR="004A0BBC" w:rsidRPr="00D07553">
        <w:rPr>
          <w:rFonts w:ascii="Arial" w:hAnsi="Arial"/>
          <w:sz w:val="22"/>
          <w:szCs w:val="22"/>
        </w:rPr>
        <w:t xml:space="preserve"> an enormous privilege t</w:t>
      </w:r>
      <w:r w:rsidR="002210B1">
        <w:rPr>
          <w:rFonts w:ascii="Arial" w:hAnsi="Arial"/>
          <w:sz w:val="22"/>
          <w:szCs w:val="22"/>
        </w:rPr>
        <w:t>o study their work and</w:t>
      </w:r>
      <w:r w:rsidR="00B74501">
        <w:rPr>
          <w:rFonts w:ascii="Arial" w:hAnsi="Arial"/>
          <w:sz w:val="22"/>
          <w:szCs w:val="22"/>
        </w:rPr>
        <w:t>,</w:t>
      </w:r>
      <w:r w:rsidR="002210B1">
        <w:rPr>
          <w:rFonts w:ascii="Arial" w:hAnsi="Arial"/>
          <w:sz w:val="22"/>
          <w:szCs w:val="22"/>
        </w:rPr>
        <w:t xml:space="preserve"> </w:t>
      </w:r>
      <w:r w:rsidR="00703D02">
        <w:rPr>
          <w:rFonts w:ascii="Arial" w:hAnsi="Arial"/>
          <w:sz w:val="22"/>
          <w:szCs w:val="22"/>
        </w:rPr>
        <w:t>through them</w:t>
      </w:r>
      <w:r w:rsidR="00B74501">
        <w:rPr>
          <w:rFonts w:ascii="Arial" w:hAnsi="Arial"/>
          <w:sz w:val="22"/>
          <w:szCs w:val="22"/>
        </w:rPr>
        <w:t>,</w:t>
      </w:r>
      <w:r w:rsidR="00703D02">
        <w:rPr>
          <w:rFonts w:ascii="Arial" w:hAnsi="Arial"/>
          <w:sz w:val="22"/>
          <w:szCs w:val="22"/>
        </w:rPr>
        <w:t xml:space="preserve"> I aim </w:t>
      </w:r>
      <w:r w:rsidR="002210B1">
        <w:rPr>
          <w:rFonts w:ascii="Arial" w:hAnsi="Arial"/>
          <w:sz w:val="22"/>
          <w:szCs w:val="22"/>
        </w:rPr>
        <w:t xml:space="preserve">to use the learning to inform the work of therapists’ everywhere.  </w:t>
      </w:r>
      <w:r w:rsidR="006D37E0">
        <w:rPr>
          <w:rFonts w:ascii="Arial" w:hAnsi="Arial"/>
          <w:sz w:val="22"/>
          <w:szCs w:val="22"/>
        </w:rPr>
        <w:t xml:space="preserve">I am also indebted to all the patients who have had therapy on the Ieso Digital Therapy platform.  Each and every one of you are helping us amplify the effect of CBT so that future patients can benefit from what we learn. </w:t>
      </w:r>
      <w:r w:rsidR="002210B1" w:rsidRPr="00CF1079">
        <w:rPr>
          <w:rFonts w:ascii="Arial" w:hAnsi="Arial"/>
          <w:sz w:val="22"/>
          <w:szCs w:val="22"/>
        </w:rPr>
        <w:t xml:space="preserve">This is a new </w:t>
      </w:r>
      <w:r w:rsidR="00126FD3" w:rsidRPr="00CF1079">
        <w:rPr>
          <w:rFonts w:ascii="Arial" w:hAnsi="Arial"/>
          <w:sz w:val="22"/>
          <w:szCs w:val="22"/>
        </w:rPr>
        <w:t>way</w:t>
      </w:r>
      <w:r w:rsidR="002F762A" w:rsidRPr="00CF1079">
        <w:rPr>
          <w:rFonts w:ascii="Arial" w:hAnsi="Arial"/>
          <w:sz w:val="22"/>
          <w:szCs w:val="22"/>
        </w:rPr>
        <w:t xml:space="preserve"> </w:t>
      </w:r>
      <w:r w:rsidR="00674CDD" w:rsidRPr="00CF1079">
        <w:rPr>
          <w:rFonts w:ascii="Arial" w:hAnsi="Arial"/>
          <w:sz w:val="22"/>
          <w:szCs w:val="22"/>
        </w:rPr>
        <w:t>of studying</w:t>
      </w:r>
      <w:r w:rsidR="002210B1" w:rsidRPr="00CF1079">
        <w:rPr>
          <w:rFonts w:ascii="Arial" w:hAnsi="Arial"/>
          <w:sz w:val="22"/>
          <w:szCs w:val="22"/>
        </w:rPr>
        <w:t xml:space="preserve"> </w:t>
      </w:r>
      <w:r w:rsidR="00BB5F8F" w:rsidRPr="00CF1079">
        <w:rPr>
          <w:rFonts w:ascii="Arial" w:hAnsi="Arial"/>
          <w:sz w:val="22"/>
          <w:szCs w:val="22"/>
        </w:rPr>
        <w:t>psychological therapy</w:t>
      </w:r>
      <w:r w:rsidR="002210B1" w:rsidRPr="00CF1079">
        <w:rPr>
          <w:rFonts w:ascii="Arial" w:hAnsi="Arial"/>
          <w:sz w:val="22"/>
          <w:szCs w:val="22"/>
        </w:rPr>
        <w:t>.</w:t>
      </w:r>
      <w:r w:rsidR="002210B1">
        <w:rPr>
          <w:rFonts w:ascii="Arial" w:hAnsi="Arial"/>
          <w:sz w:val="22"/>
          <w:szCs w:val="22"/>
        </w:rPr>
        <w:t xml:space="preserve">  I feel hugely thankful for being in the right place at the right time so that I could be part of this discovery.</w:t>
      </w:r>
      <w:r w:rsidR="00A7114A">
        <w:rPr>
          <w:rFonts w:ascii="Arial" w:hAnsi="Arial"/>
          <w:sz w:val="22"/>
          <w:szCs w:val="22"/>
        </w:rPr>
        <w:t xml:space="preserve"> I am extremely grateful to Barnaby Perks, Nigel Pitchford and the Board of Directors at Ieso Digital Health who enabled me to have financial support to complete this Professional Doctorate. </w:t>
      </w:r>
      <w:r w:rsidR="002210B1">
        <w:rPr>
          <w:rFonts w:ascii="Arial" w:hAnsi="Arial"/>
          <w:sz w:val="22"/>
          <w:szCs w:val="22"/>
        </w:rPr>
        <w:t xml:space="preserve">I would like to thank </w:t>
      </w:r>
      <w:r w:rsidR="00923D81">
        <w:rPr>
          <w:rFonts w:ascii="Arial" w:hAnsi="Arial"/>
          <w:sz w:val="22"/>
          <w:szCs w:val="22"/>
        </w:rPr>
        <w:t xml:space="preserve">all </w:t>
      </w:r>
      <w:r w:rsidR="00A22BF4">
        <w:rPr>
          <w:rFonts w:ascii="Arial" w:hAnsi="Arial"/>
          <w:sz w:val="22"/>
          <w:szCs w:val="22"/>
        </w:rPr>
        <w:t xml:space="preserve">of </w:t>
      </w:r>
      <w:r w:rsidR="00923D81">
        <w:rPr>
          <w:rFonts w:ascii="Arial" w:hAnsi="Arial"/>
          <w:sz w:val="22"/>
          <w:szCs w:val="22"/>
        </w:rPr>
        <w:t xml:space="preserve">my </w:t>
      </w:r>
      <w:r w:rsidR="002210B1">
        <w:rPr>
          <w:rFonts w:ascii="Arial" w:hAnsi="Arial"/>
          <w:sz w:val="22"/>
          <w:szCs w:val="22"/>
        </w:rPr>
        <w:t>colleagues at Ieso Digital Health</w:t>
      </w:r>
      <w:r w:rsidR="00923D81">
        <w:rPr>
          <w:rFonts w:ascii="Arial" w:hAnsi="Arial"/>
          <w:sz w:val="22"/>
          <w:szCs w:val="22"/>
        </w:rPr>
        <w:t>, every one of you has played a</w:t>
      </w:r>
      <w:r w:rsidR="00A22BF4">
        <w:rPr>
          <w:rFonts w:ascii="Arial" w:hAnsi="Arial"/>
          <w:sz w:val="22"/>
          <w:szCs w:val="22"/>
        </w:rPr>
        <w:t>n important</w:t>
      </w:r>
      <w:r w:rsidR="00923D81">
        <w:rPr>
          <w:rFonts w:ascii="Arial" w:hAnsi="Arial"/>
          <w:sz w:val="22"/>
          <w:szCs w:val="22"/>
        </w:rPr>
        <w:t xml:space="preserve"> part in </w:t>
      </w:r>
      <w:r w:rsidR="00BB5F8F">
        <w:rPr>
          <w:rFonts w:ascii="Arial" w:hAnsi="Arial"/>
          <w:sz w:val="22"/>
          <w:szCs w:val="22"/>
        </w:rPr>
        <w:t>supporting me to complete this work</w:t>
      </w:r>
      <w:r w:rsidR="009C607F">
        <w:rPr>
          <w:rFonts w:ascii="Arial" w:hAnsi="Arial"/>
          <w:sz w:val="22"/>
          <w:szCs w:val="22"/>
        </w:rPr>
        <w:t xml:space="preserve">.  Without the dedicated team at Ieso we would not have built a platform </w:t>
      </w:r>
      <w:r w:rsidR="00A22BF4">
        <w:rPr>
          <w:rFonts w:ascii="Arial" w:hAnsi="Arial"/>
          <w:sz w:val="22"/>
          <w:szCs w:val="22"/>
        </w:rPr>
        <w:t xml:space="preserve">and a service </w:t>
      </w:r>
      <w:r w:rsidR="009C607F">
        <w:rPr>
          <w:rFonts w:ascii="Arial" w:hAnsi="Arial"/>
          <w:sz w:val="22"/>
          <w:szCs w:val="22"/>
        </w:rPr>
        <w:t>that has delivered CBT to so many people in England.  Particular thanks must go to Dr</w:t>
      </w:r>
      <w:r w:rsidR="002210B1">
        <w:rPr>
          <w:rFonts w:ascii="Arial" w:hAnsi="Arial"/>
          <w:sz w:val="22"/>
          <w:szCs w:val="22"/>
        </w:rPr>
        <w:t xml:space="preserve"> Ana Catarino</w:t>
      </w:r>
      <w:r w:rsidR="009C607F">
        <w:rPr>
          <w:rFonts w:ascii="Arial" w:hAnsi="Arial"/>
          <w:sz w:val="22"/>
          <w:szCs w:val="22"/>
        </w:rPr>
        <w:t xml:space="preserve"> </w:t>
      </w:r>
      <w:r w:rsidR="002210B1">
        <w:rPr>
          <w:rFonts w:ascii="Arial" w:hAnsi="Arial"/>
          <w:sz w:val="22"/>
          <w:szCs w:val="22"/>
        </w:rPr>
        <w:t>who patiently taught me about statistics</w:t>
      </w:r>
      <w:r w:rsidR="009C607F">
        <w:rPr>
          <w:rFonts w:ascii="Arial" w:hAnsi="Arial"/>
          <w:sz w:val="22"/>
          <w:szCs w:val="22"/>
        </w:rPr>
        <w:t xml:space="preserve"> and listened carefully as</w:t>
      </w:r>
      <w:r w:rsidR="006D37E0">
        <w:rPr>
          <w:rFonts w:ascii="Arial" w:hAnsi="Arial"/>
          <w:sz w:val="22"/>
          <w:szCs w:val="22"/>
        </w:rPr>
        <w:t xml:space="preserve"> I</w:t>
      </w:r>
      <w:r w:rsidR="009C607F">
        <w:rPr>
          <w:rFonts w:ascii="Arial" w:hAnsi="Arial"/>
          <w:sz w:val="22"/>
          <w:szCs w:val="22"/>
        </w:rPr>
        <w:t xml:space="preserve"> tried to articulate what I was doing</w:t>
      </w:r>
      <w:r w:rsidR="00C71657">
        <w:rPr>
          <w:rFonts w:ascii="Arial" w:hAnsi="Arial"/>
          <w:sz w:val="22"/>
          <w:szCs w:val="22"/>
        </w:rPr>
        <w:t xml:space="preserve"> with my statistical analyses.</w:t>
      </w:r>
      <w:r w:rsidR="00923D81">
        <w:rPr>
          <w:rFonts w:ascii="Arial" w:hAnsi="Arial"/>
          <w:sz w:val="22"/>
          <w:szCs w:val="22"/>
        </w:rPr>
        <w:t xml:space="preserve">  Ana you are an amazing teacher</w:t>
      </w:r>
      <w:r w:rsidR="006D37E0">
        <w:rPr>
          <w:rFonts w:ascii="Arial" w:hAnsi="Arial"/>
          <w:sz w:val="22"/>
          <w:szCs w:val="22"/>
        </w:rPr>
        <w:t xml:space="preserve"> and colleague,</w:t>
      </w:r>
      <w:r w:rsidR="00923D81">
        <w:rPr>
          <w:rFonts w:ascii="Arial" w:hAnsi="Arial"/>
          <w:sz w:val="22"/>
          <w:szCs w:val="22"/>
        </w:rPr>
        <w:t xml:space="preserve"> thank you!  I also want to thank Dr Andy Blackwell who encouraged me every step of the way.  This was really invaluable particularly at those low points when I questioned why I was doing a doctorate.</w:t>
      </w:r>
      <w:r w:rsidR="008A7ABD">
        <w:rPr>
          <w:rFonts w:ascii="Arial" w:hAnsi="Arial"/>
          <w:sz w:val="22"/>
          <w:szCs w:val="22"/>
        </w:rPr>
        <w:t xml:space="preserve"> </w:t>
      </w:r>
    </w:p>
    <w:p w14:paraId="2668C1BC" w14:textId="1BDD00F9" w:rsidR="009C607F" w:rsidRDefault="009C607F" w:rsidP="00D31223">
      <w:pPr>
        <w:spacing w:line="480" w:lineRule="auto"/>
        <w:rPr>
          <w:rFonts w:ascii="Arial" w:hAnsi="Arial"/>
          <w:sz w:val="22"/>
          <w:szCs w:val="22"/>
        </w:rPr>
      </w:pPr>
    </w:p>
    <w:p w14:paraId="28FA75AC" w14:textId="69869A17" w:rsidR="00A22BF4" w:rsidRDefault="009C607F" w:rsidP="00D31223">
      <w:pPr>
        <w:spacing w:line="480" w:lineRule="auto"/>
        <w:rPr>
          <w:rFonts w:ascii="Arial" w:hAnsi="Arial"/>
          <w:sz w:val="22"/>
          <w:szCs w:val="22"/>
        </w:rPr>
      </w:pPr>
      <w:r>
        <w:rPr>
          <w:rFonts w:ascii="Arial" w:hAnsi="Arial"/>
          <w:sz w:val="22"/>
          <w:szCs w:val="22"/>
        </w:rPr>
        <w:lastRenderedPageBreak/>
        <w:t>My supervisory team, Dr Sarah Burch, at Anglia Ruskin University and Dr Gillian Todd</w:t>
      </w:r>
      <w:r w:rsidR="006D37E0">
        <w:rPr>
          <w:rFonts w:ascii="Arial" w:hAnsi="Arial"/>
          <w:sz w:val="22"/>
          <w:szCs w:val="22"/>
        </w:rPr>
        <w:t xml:space="preserve">, </w:t>
      </w:r>
      <w:r>
        <w:rPr>
          <w:rFonts w:ascii="Arial" w:hAnsi="Arial"/>
          <w:sz w:val="22"/>
          <w:szCs w:val="22"/>
        </w:rPr>
        <w:t>have also been there for me at those low points in the last five years. Sarah, I particularly remember your kindness and patience when I had to make the hard decision to completely change my research study</w:t>
      </w:r>
      <w:r w:rsidR="006E24E9">
        <w:rPr>
          <w:rFonts w:ascii="Arial" w:hAnsi="Arial"/>
          <w:sz w:val="22"/>
          <w:szCs w:val="22"/>
        </w:rPr>
        <w:t xml:space="preserve"> at the end of 2017. I nearly gave up at this point</w:t>
      </w:r>
      <w:r w:rsidR="00472186">
        <w:rPr>
          <w:rFonts w:ascii="Arial" w:hAnsi="Arial"/>
          <w:sz w:val="22"/>
          <w:szCs w:val="22"/>
        </w:rPr>
        <w:t>,</w:t>
      </w:r>
      <w:r w:rsidR="006E24E9">
        <w:rPr>
          <w:rFonts w:ascii="Arial" w:hAnsi="Arial"/>
          <w:sz w:val="22"/>
          <w:szCs w:val="22"/>
        </w:rPr>
        <w:t xml:space="preserve"> but you helped keep me on the right track.</w:t>
      </w:r>
      <w:r>
        <w:rPr>
          <w:rFonts w:ascii="Arial" w:hAnsi="Arial"/>
          <w:sz w:val="22"/>
          <w:szCs w:val="22"/>
        </w:rPr>
        <w:t xml:space="preserve"> Gillian</w:t>
      </w:r>
      <w:r w:rsidR="006D37E0">
        <w:rPr>
          <w:rFonts w:ascii="Arial" w:hAnsi="Arial"/>
          <w:sz w:val="22"/>
          <w:szCs w:val="22"/>
        </w:rPr>
        <w:t>,</w:t>
      </w:r>
      <w:r>
        <w:rPr>
          <w:rFonts w:ascii="Arial" w:hAnsi="Arial"/>
          <w:sz w:val="22"/>
          <w:szCs w:val="22"/>
        </w:rPr>
        <w:t xml:space="preserve"> your </w:t>
      </w:r>
      <w:r w:rsidR="006D37E0">
        <w:rPr>
          <w:rFonts w:ascii="Arial" w:hAnsi="Arial"/>
          <w:sz w:val="22"/>
          <w:szCs w:val="22"/>
        </w:rPr>
        <w:t>skilled support, to use self-practice and self-reflection when my critical voice has run away with me, was just what I needed</w:t>
      </w:r>
      <w:r w:rsidR="00472186">
        <w:rPr>
          <w:rFonts w:ascii="Arial" w:hAnsi="Arial"/>
          <w:sz w:val="22"/>
          <w:szCs w:val="22"/>
        </w:rPr>
        <w:t xml:space="preserve">. </w:t>
      </w:r>
      <w:r w:rsidR="00AB0B92">
        <w:rPr>
          <w:rFonts w:ascii="Arial" w:hAnsi="Arial"/>
          <w:sz w:val="22"/>
          <w:szCs w:val="22"/>
        </w:rPr>
        <w:t xml:space="preserve">Your patience and </w:t>
      </w:r>
      <w:r w:rsidR="000C64B7">
        <w:rPr>
          <w:rFonts w:ascii="Arial" w:hAnsi="Arial"/>
          <w:sz w:val="22"/>
          <w:szCs w:val="22"/>
        </w:rPr>
        <w:t>genuine interest in my work have really helped me.</w:t>
      </w:r>
    </w:p>
    <w:p w14:paraId="68AB1D8D" w14:textId="0799A63C" w:rsidR="006D37E0" w:rsidRDefault="006D37E0" w:rsidP="00D31223">
      <w:pPr>
        <w:spacing w:line="480" w:lineRule="auto"/>
        <w:rPr>
          <w:rFonts w:ascii="Arial" w:hAnsi="Arial"/>
          <w:sz w:val="22"/>
          <w:szCs w:val="22"/>
        </w:rPr>
      </w:pPr>
    </w:p>
    <w:p w14:paraId="42567FBD" w14:textId="65474E8F" w:rsidR="00976B63" w:rsidRDefault="00976B63" w:rsidP="00D31223">
      <w:pPr>
        <w:spacing w:line="480" w:lineRule="auto"/>
        <w:rPr>
          <w:rFonts w:ascii="Arial" w:hAnsi="Arial"/>
          <w:sz w:val="22"/>
          <w:szCs w:val="22"/>
        </w:rPr>
      </w:pPr>
      <w:r>
        <w:rPr>
          <w:rFonts w:ascii="Arial" w:hAnsi="Arial"/>
          <w:sz w:val="22"/>
          <w:szCs w:val="22"/>
        </w:rPr>
        <w:t xml:space="preserve">My family have also been by my side though the highs and lows. </w:t>
      </w:r>
      <w:r w:rsidR="006D37E0">
        <w:rPr>
          <w:rFonts w:ascii="Arial" w:hAnsi="Arial"/>
          <w:sz w:val="22"/>
          <w:szCs w:val="22"/>
        </w:rPr>
        <w:t xml:space="preserve">I </w:t>
      </w:r>
      <w:r>
        <w:rPr>
          <w:rFonts w:ascii="Arial" w:hAnsi="Arial"/>
          <w:sz w:val="22"/>
          <w:szCs w:val="22"/>
        </w:rPr>
        <w:t xml:space="preserve">want to thank my </w:t>
      </w:r>
      <w:r w:rsidR="006D37E0">
        <w:rPr>
          <w:rFonts w:ascii="Arial" w:hAnsi="Arial"/>
          <w:sz w:val="22"/>
          <w:szCs w:val="22"/>
        </w:rPr>
        <w:t>husband Ken, who supports me whatever I want to do</w:t>
      </w:r>
      <w:r w:rsidR="00750B8C">
        <w:rPr>
          <w:rFonts w:ascii="Arial" w:hAnsi="Arial"/>
          <w:sz w:val="22"/>
          <w:szCs w:val="22"/>
        </w:rPr>
        <w:t>,</w:t>
      </w:r>
      <w:r w:rsidR="006D37E0">
        <w:rPr>
          <w:rFonts w:ascii="Arial" w:hAnsi="Arial"/>
          <w:sz w:val="22"/>
          <w:szCs w:val="22"/>
        </w:rPr>
        <w:t xml:space="preserve"> and my children who</w:t>
      </w:r>
      <w:r>
        <w:rPr>
          <w:rFonts w:ascii="Arial" w:hAnsi="Arial"/>
          <w:sz w:val="22"/>
          <w:szCs w:val="22"/>
        </w:rPr>
        <w:t xml:space="preserve"> I know</w:t>
      </w:r>
      <w:r w:rsidR="006D37E0">
        <w:rPr>
          <w:rFonts w:ascii="Arial" w:hAnsi="Arial"/>
          <w:sz w:val="22"/>
          <w:szCs w:val="22"/>
        </w:rPr>
        <w:t xml:space="preserve"> got totally fed up </w:t>
      </w:r>
      <w:r>
        <w:rPr>
          <w:rFonts w:ascii="Arial" w:hAnsi="Arial"/>
          <w:sz w:val="22"/>
          <w:szCs w:val="22"/>
        </w:rPr>
        <w:t>with the amount of time I was spending</w:t>
      </w:r>
      <w:r w:rsidR="006D37E0">
        <w:rPr>
          <w:rFonts w:ascii="Arial" w:hAnsi="Arial"/>
          <w:sz w:val="22"/>
          <w:szCs w:val="22"/>
        </w:rPr>
        <w:t xml:space="preserve"> </w:t>
      </w:r>
      <w:r>
        <w:rPr>
          <w:rFonts w:ascii="Arial" w:hAnsi="Arial"/>
          <w:sz w:val="22"/>
          <w:szCs w:val="22"/>
        </w:rPr>
        <w:t>reading, scribbling endless notes and typing at my laptop.  Finally, I want to thank my father.  You are not here to know how the story ends</w:t>
      </w:r>
      <w:r w:rsidR="004328D8">
        <w:rPr>
          <w:rFonts w:ascii="Arial" w:hAnsi="Arial"/>
          <w:sz w:val="22"/>
          <w:szCs w:val="22"/>
        </w:rPr>
        <w:t>,</w:t>
      </w:r>
      <w:r>
        <w:rPr>
          <w:rFonts w:ascii="Arial" w:hAnsi="Arial"/>
          <w:sz w:val="22"/>
          <w:szCs w:val="22"/>
        </w:rPr>
        <w:t xml:space="preserve"> but I </w:t>
      </w:r>
      <w:r w:rsidR="0000314F">
        <w:rPr>
          <w:rFonts w:ascii="Arial" w:hAnsi="Arial"/>
          <w:sz w:val="22"/>
          <w:szCs w:val="22"/>
        </w:rPr>
        <w:t>feel</w:t>
      </w:r>
      <w:r>
        <w:rPr>
          <w:rFonts w:ascii="Arial" w:hAnsi="Arial"/>
          <w:sz w:val="22"/>
          <w:szCs w:val="22"/>
        </w:rPr>
        <w:t xml:space="preserve"> your love and pride.  You are the man who taught me to be adventurous, to have a go</w:t>
      </w:r>
      <w:r w:rsidR="00A22BF4">
        <w:rPr>
          <w:rFonts w:ascii="Arial" w:hAnsi="Arial"/>
          <w:sz w:val="22"/>
          <w:szCs w:val="22"/>
        </w:rPr>
        <w:t>…</w:t>
      </w:r>
      <w:r>
        <w:rPr>
          <w:rFonts w:ascii="Arial" w:hAnsi="Arial"/>
          <w:sz w:val="22"/>
          <w:szCs w:val="22"/>
        </w:rPr>
        <w:t xml:space="preserve"> even if it felt hard, impossible or if I </w:t>
      </w:r>
      <w:r w:rsidR="00C87DDA">
        <w:rPr>
          <w:rFonts w:ascii="Arial" w:hAnsi="Arial"/>
          <w:sz w:val="22"/>
          <w:szCs w:val="22"/>
        </w:rPr>
        <w:t>lost my way</w:t>
      </w:r>
      <w:r>
        <w:rPr>
          <w:rFonts w:ascii="Arial" w:hAnsi="Arial"/>
          <w:sz w:val="22"/>
          <w:szCs w:val="22"/>
        </w:rPr>
        <w:t>.  Thank you</w:t>
      </w:r>
      <w:r w:rsidR="0000314F">
        <w:rPr>
          <w:rFonts w:ascii="Arial" w:hAnsi="Arial"/>
          <w:sz w:val="22"/>
          <w:szCs w:val="22"/>
        </w:rPr>
        <w:t>.</w:t>
      </w:r>
      <w:r w:rsidR="00A22BF4">
        <w:rPr>
          <w:rFonts w:ascii="Arial" w:hAnsi="Arial"/>
          <w:sz w:val="22"/>
          <w:szCs w:val="22"/>
        </w:rPr>
        <w:t xml:space="preserve"> </w:t>
      </w:r>
    </w:p>
    <w:p w14:paraId="115D24B1" w14:textId="3D556621" w:rsidR="00976B63" w:rsidRDefault="00976B63" w:rsidP="00D31223">
      <w:pPr>
        <w:spacing w:line="480" w:lineRule="auto"/>
        <w:rPr>
          <w:rFonts w:ascii="Arial" w:hAnsi="Arial"/>
          <w:sz w:val="22"/>
          <w:szCs w:val="22"/>
        </w:rPr>
      </w:pPr>
    </w:p>
    <w:p w14:paraId="103BD2F0" w14:textId="77777777" w:rsidR="00976B63" w:rsidRDefault="00976B63" w:rsidP="00D31223">
      <w:pPr>
        <w:spacing w:line="480" w:lineRule="auto"/>
        <w:rPr>
          <w:rFonts w:ascii="Arial" w:hAnsi="Arial"/>
          <w:sz w:val="22"/>
          <w:szCs w:val="22"/>
        </w:rPr>
      </w:pPr>
    </w:p>
    <w:p w14:paraId="654CBF01" w14:textId="77777777" w:rsidR="00976B63" w:rsidRDefault="00976B63" w:rsidP="00D31223">
      <w:pPr>
        <w:spacing w:line="480" w:lineRule="auto"/>
        <w:rPr>
          <w:rFonts w:ascii="Arial" w:hAnsi="Arial"/>
          <w:sz w:val="22"/>
          <w:szCs w:val="22"/>
        </w:rPr>
      </w:pPr>
    </w:p>
    <w:p w14:paraId="4AD3BADF" w14:textId="77777777" w:rsidR="00923D81" w:rsidRPr="00D07553" w:rsidRDefault="00923D81" w:rsidP="00D31223">
      <w:pPr>
        <w:spacing w:line="480" w:lineRule="auto"/>
        <w:rPr>
          <w:rFonts w:ascii="Arial" w:hAnsi="Arial"/>
          <w:sz w:val="22"/>
          <w:szCs w:val="22"/>
        </w:rPr>
      </w:pPr>
    </w:p>
    <w:p w14:paraId="5506170C" w14:textId="65AF0E75" w:rsidR="004A0BBC" w:rsidRDefault="004A0BBC" w:rsidP="00D31223">
      <w:pPr>
        <w:spacing w:line="480" w:lineRule="auto"/>
        <w:rPr>
          <w:rFonts w:ascii="Arial" w:hAnsi="Arial"/>
          <w:b/>
        </w:rPr>
      </w:pPr>
    </w:p>
    <w:p w14:paraId="07CA9C50" w14:textId="02DB5B91" w:rsidR="004A0BBC" w:rsidRDefault="004A0BBC" w:rsidP="00D31223">
      <w:pPr>
        <w:spacing w:line="480" w:lineRule="auto"/>
        <w:rPr>
          <w:rFonts w:ascii="Arial" w:hAnsi="Arial"/>
          <w:b/>
        </w:rPr>
      </w:pPr>
    </w:p>
    <w:p w14:paraId="34548D7D" w14:textId="2AC4B6A7" w:rsidR="004A0BBC" w:rsidRDefault="004A0BBC" w:rsidP="00D31223">
      <w:pPr>
        <w:spacing w:line="480" w:lineRule="auto"/>
        <w:rPr>
          <w:rFonts w:ascii="Arial" w:hAnsi="Arial"/>
          <w:b/>
        </w:rPr>
      </w:pPr>
    </w:p>
    <w:p w14:paraId="579FDEA9" w14:textId="2B2DE9DD" w:rsidR="004A0BBC" w:rsidRDefault="004A0BBC" w:rsidP="00D31223">
      <w:pPr>
        <w:spacing w:line="480" w:lineRule="auto"/>
        <w:rPr>
          <w:rFonts w:ascii="Arial" w:hAnsi="Arial"/>
          <w:b/>
        </w:rPr>
      </w:pPr>
    </w:p>
    <w:p w14:paraId="1B718F6A" w14:textId="6E979DF6" w:rsidR="004A0BBC" w:rsidRDefault="004A0BBC" w:rsidP="00D31223">
      <w:pPr>
        <w:spacing w:line="480" w:lineRule="auto"/>
        <w:rPr>
          <w:rFonts w:ascii="Arial" w:hAnsi="Arial"/>
          <w:b/>
        </w:rPr>
      </w:pPr>
    </w:p>
    <w:p w14:paraId="4993D902" w14:textId="47F8F845" w:rsidR="004A0BBC" w:rsidRDefault="004A0BBC" w:rsidP="00D31223">
      <w:pPr>
        <w:spacing w:line="480" w:lineRule="auto"/>
        <w:rPr>
          <w:rFonts w:ascii="Arial" w:hAnsi="Arial"/>
          <w:b/>
        </w:rPr>
      </w:pPr>
    </w:p>
    <w:p w14:paraId="3559410A" w14:textId="3C20EB88" w:rsidR="004A0BBC" w:rsidRDefault="004A0BBC" w:rsidP="00D31223">
      <w:pPr>
        <w:spacing w:line="480" w:lineRule="auto"/>
        <w:rPr>
          <w:rFonts w:ascii="Arial" w:hAnsi="Arial"/>
          <w:b/>
        </w:rPr>
      </w:pPr>
    </w:p>
    <w:p w14:paraId="55F8A482" w14:textId="3ECC02D7" w:rsidR="004A0BBC" w:rsidRDefault="004A0BBC" w:rsidP="00D31223">
      <w:pPr>
        <w:spacing w:line="480" w:lineRule="auto"/>
        <w:rPr>
          <w:rFonts w:ascii="Arial" w:hAnsi="Arial"/>
          <w:b/>
        </w:rPr>
      </w:pPr>
    </w:p>
    <w:p w14:paraId="58E5782A" w14:textId="77777777" w:rsidR="00CA5B4C" w:rsidRDefault="00CA5B4C" w:rsidP="00CA5B4C">
      <w:pPr>
        <w:spacing w:line="480" w:lineRule="auto"/>
        <w:rPr>
          <w:rFonts w:ascii="Arial" w:hAnsi="Arial"/>
          <w:b/>
        </w:rPr>
      </w:pPr>
    </w:p>
    <w:p w14:paraId="15ACC985" w14:textId="28E44987" w:rsidR="00EF45E0" w:rsidRPr="004C723E" w:rsidRDefault="00EF45E0" w:rsidP="00D168F9">
      <w:pPr>
        <w:spacing w:line="480" w:lineRule="auto"/>
        <w:ind w:left="2160" w:firstLine="720"/>
        <w:rPr>
          <w:rFonts w:ascii="Arial" w:hAnsi="Arial"/>
          <w:bCs/>
          <w:sz w:val="22"/>
          <w:szCs w:val="22"/>
        </w:rPr>
      </w:pPr>
      <w:r w:rsidRPr="004C723E">
        <w:rPr>
          <w:rFonts w:ascii="Arial" w:hAnsi="Arial"/>
          <w:bCs/>
          <w:sz w:val="22"/>
          <w:szCs w:val="22"/>
        </w:rPr>
        <w:lastRenderedPageBreak/>
        <w:t>ANGLIA RUSKIN UNIVERSITY</w:t>
      </w:r>
    </w:p>
    <w:p w14:paraId="589B9119" w14:textId="20BBADC3" w:rsidR="004A0BBC" w:rsidRPr="004C723E" w:rsidRDefault="004A0BBC" w:rsidP="00D168F9">
      <w:pPr>
        <w:pStyle w:val="Style1"/>
        <w:spacing w:before="0" w:line="480" w:lineRule="auto"/>
        <w:jc w:val="center"/>
      </w:pPr>
      <w:bookmarkStart w:id="2" w:name="_Toc46770696"/>
      <w:bookmarkStart w:id="3" w:name="_Toc79414106"/>
      <w:r w:rsidRPr="00D168F9">
        <w:rPr>
          <w:b w:val="0"/>
        </w:rPr>
        <w:t>ABSTRACT</w:t>
      </w:r>
      <w:bookmarkEnd w:id="2"/>
      <w:bookmarkEnd w:id="3"/>
    </w:p>
    <w:p w14:paraId="5B05DF64" w14:textId="7421EF46" w:rsidR="00EF45E0" w:rsidRPr="004C723E" w:rsidRDefault="00EF45E0" w:rsidP="00D168F9">
      <w:pPr>
        <w:spacing w:line="480" w:lineRule="auto"/>
        <w:jc w:val="center"/>
        <w:rPr>
          <w:rFonts w:ascii="Arial" w:hAnsi="Arial"/>
          <w:bCs/>
          <w:sz w:val="22"/>
          <w:szCs w:val="22"/>
        </w:rPr>
      </w:pPr>
      <w:r w:rsidRPr="004C723E">
        <w:rPr>
          <w:rFonts w:ascii="Arial" w:hAnsi="Arial"/>
          <w:bCs/>
          <w:sz w:val="22"/>
          <w:szCs w:val="22"/>
        </w:rPr>
        <w:t>FACULTY OF HEALTH, EDUCATION, MEDICINE AND SOCIAL CARE</w:t>
      </w:r>
    </w:p>
    <w:p w14:paraId="54E53E33" w14:textId="5C56248F" w:rsidR="00EF45E0" w:rsidRPr="004C723E" w:rsidRDefault="00EF45E0" w:rsidP="00D168F9">
      <w:pPr>
        <w:spacing w:line="480" w:lineRule="auto"/>
        <w:jc w:val="center"/>
        <w:rPr>
          <w:rFonts w:ascii="Arial" w:hAnsi="Arial"/>
          <w:bCs/>
          <w:sz w:val="22"/>
          <w:szCs w:val="22"/>
        </w:rPr>
      </w:pPr>
      <w:r w:rsidRPr="004C723E">
        <w:rPr>
          <w:rFonts w:ascii="Arial" w:hAnsi="Arial"/>
          <w:bCs/>
          <w:sz w:val="22"/>
          <w:szCs w:val="22"/>
        </w:rPr>
        <w:t>PROFESSIONAL DOCTORATE</w:t>
      </w:r>
    </w:p>
    <w:p w14:paraId="6FC55B43" w14:textId="3656DB51" w:rsidR="004C723E" w:rsidRPr="004C723E" w:rsidRDefault="004C723E" w:rsidP="00D168F9">
      <w:pPr>
        <w:spacing w:line="480" w:lineRule="auto"/>
        <w:jc w:val="center"/>
        <w:rPr>
          <w:rFonts w:ascii="Arial" w:hAnsi="Arial"/>
          <w:bCs/>
          <w:sz w:val="22"/>
          <w:szCs w:val="22"/>
        </w:rPr>
      </w:pPr>
      <w:r w:rsidRPr="004C723E">
        <w:rPr>
          <w:rFonts w:ascii="Arial" w:hAnsi="Arial"/>
          <w:bCs/>
          <w:sz w:val="22"/>
          <w:szCs w:val="22"/>
        </w:rPr>
        <w:t>UNDERSTANDING THERAPIST VARIABLES: AN ANALYSIS OF ONLINE COGNITIVE BEHAVIOURAL THERAPY TRANSCRIPTS</w:t>
      </w:r>
    </w:p>
    <w:p w14:paraId="7DFE8F14" w14:textId="0202A9FF" w:rsidR="004C723E" w:rsidRPr="004C723E" w:rsidRDefault="004C723E" w:rsidP="004C723E">
      <w:pPr>
        <w:spacing w:line="480" w:lineRule="auto"/>
        <w:jc w:val="center"/>
        <w:rPr>
          <w:rFonts w:ascii="Arial" w:hAnsi="Arial"/>
          <w:bCs/>
          <w:sz w:val="22"/>
          <w:szCs w:val="22"/>
        </w:rPr>
      </w:pPr>
      <w:r w:rsidRPr="004C723E">
        <w:rPr>
          <w:rFonts w:ascii="Arial" w:hAnsi="Arial"/>
          <w:bCs/>
          <w:sz w:val="22"/>
          <w:szCs w:val="22"/>
        </w:rPr>
        <w:t>S</w:t>
      </w:r>
      <w:r w:rsidR="00C95EF9">
        <w:rPr>
          <w:rFonts w:ascii="Arial" w:hAnsi="Arial"/>
          <w:bCs/>
          <w:sz w:val="22"/>
          <w:szCs w:val="22"/>
        </w:rPr>
        <w:t>.</w:t>
      </w:r>
      <w:r w:rsidRPr="004C723E">
        <w:rPr>
          <w:rFonts w:ascii="Arial" w:hAnsi="Arial"/>
          <w:bCs/>
          <w:sz w:val="22"/>
          <w:szCs w:val="22"/>
        </w:rPr>
        <w:t xml:space="preserve"> E</w:t>
      </w:r>
      <w:r w:rsidR="00C95EF9">
        <w:rPr>
          <w:rFonts w:ascii="Arial" w:hAnsi="Arial"/>
          <w:bCs/>
          <w:sz w:val="22"/>
          <w:szCs w:val="22"/>
        </w:rPr>
        <w:t>.</w:t>
      </w:r>
      <w:r w:rsidRPr="004C723E">
        <w:rPr>
          <w:rFonts w:ascii="Arial" w:hAnsi="Arial"/>
          <w:bCs/>
          <w:sz w:val="22"/>
          <w:szCs w:val="22"/>
        </w:rPr>
        <w:t xml:space="preserve"> BATEUP</w:t>
      </w:r>
    </w:p>
    <w:p w14:paraId="26B8FB0E" w14:textId="52D91D35" w:rsidR="004C723E" w:rsidRPr="004C723E" w:rsidRDefault="00C95EF9" w:rsidP="004C723E">
      <w:pPr>
        <w:spacing w:line="480" w:lineRule="auto"/>
        <w:jc w:val="center"/>
        <w:rPr>
          <w:rFonts w:ascii="Arial" w:hAnsi="Arial"/>
          <w:bCs/>
          <w:sz w:val="22"/>
          <w:szCs w:val="22"/>
        </w:rPr>
      </w:pPr>
      <w:r>
        <w:rPr>
          <w:rFonts w:ascii="Arial" w:hAnsi="Arial"/>
          <w:bCs/>
          <w:sz w:val="22"/>
          <w:szCs w:val="22"/>
        </w:rPr>
        <w:t>JANUARY 2020</w:t>
      </w:r>
    </w:p>
    <w:p w14:paraId="04FF00FD" w14:textId="77777777" w:rsidR="000A098E" w:rsidRDefault="000A098E" w:rsidP="004C723E">
      <w:pPr>
        <w:rPr>
          <w:rFonts w:ascii="Arial" w:hAnsi="Arial" w:cs="Arial"/>
          <w:sz w:val="22"/>
          <w:szCs w:val="22"/>
        </w:rPr>
      </w:pPr>
    </w:p>
    <w:p w14:paraId="7A555403" w14:textId="4A67A3AD" w:rsidR="004A0BBC" w:rsidRDefault="004C723E" w:rsidP="004C723E">
      <w:pPr>
        <w:rPr>
          <w:rFonts w:ascii="Arial" w:hAnsi="Arial" w:cs="Arial"/>
          <w:sz w:val="22"/>
          <w:szCs w:val="22"/>
        </w:rPr>
      </w:pPr>
      <w:r w:rsidRPr="004C723E">
        <w:rPr>
          <w:rFonts w:ascii="Arial" w:hAnsi="Arial" w:cs="Arial"/>
          <w:sz w:val="22"/>
          <w:szCs w:val="22"/>
        </w:rPr>
        <w:t>OBJECTIVES</w:t>
      </w:r>
    </w:p>
    <w:p w14:paraId="5D9F4C4E" w14:textId="72114A53" w:rsidR="00C44AB0" w:rsidRPr="004C723E" w:rsidRDefault="00C44AB0" w:rsidP="004C723E">
      <w:pPr>
        <w:rPr>
          <w:rFonts w:ascii="Arial" w:hAnsi="Arial" w:cs="Arial"/>
          <w:sz w:val="22"/>
          <w:szCs w:val="22"/>
        </w:rPr>
      </w:pPr>
      <w:r>
        <w:rPr>
          <w:rFonts w:ascii="Arial" w:hAnsi="Arial" w:cs="Arial"/>
          <w:sz w:val="22"/>
          <w:szCs w:val="22"/>
        </w:rPr>
        <w:t xml:space="preserve">Cognitive behavioural therapy (CBT) is </w:t>
      </w:r>
      <w:r w:rsidR="001B7CAF">
        <w:rPr>
          <w:rFonts w:ascii="Arial" w:hAnsi="Arial" w:cs="Arial"/>
          <w:sz w:val="22"/>
          <w:szCs w:val="22"/>
        </w:rPr>
        <w:t xml:space="preserve">a </w:t>
      </w:r>
      <w:r>
        <w:rPr>
          <w:rFonts w:ascii="Arial" w:hAnsi="Arial" w:cs="Arial"/>
          <w:sz w:val="22"/>
          <w:szCs w:val="22"/>
        </w:rPr>
        <w:t xml:space="preserve">psychological therapy that is widely recommended for the treatment of </w:t>
      </w:r>
      <w:r w:rsidR="001B7CAF">
        <w:rPr>
          <w:rFonts w:ascii="Arial" w:hAnsi="Arial" w:cs="Arial"/>
          <w:sz w:val="22"/>
          <w:szCs w:val="22"/>
        </w:rPr>
        <w:t>depression and anxiety</w:t>
      </w:r>
      <w:r>
        <w:rPr>
          <w:rFonts w:ascii="Arial" w:hAnsi="Arial" w:cs="Arial"/>
          <w:sz w:val="22"/>
          <w:szCs w:val="22"/>
        </w:rPr>
        <w:t xml:space="preserve"> disorders</w:t>
      </w:r>
      <w:r w:rsidR="00C95EF9">
        <w:rPr>
          <w:rFonts w:ascii="Arial" w:hAnsi="Arial" w:cs="Arial"/>
          <w:sz w:val="22"/>
          <w:szCs w:val="22"/>
        </w:rPr>
        <w:t xml:space="preserve">. </w:t>
      </w:r>
      <w:r>
        <w:rPr>
          <w:rFonts w:ascii="Arial" w:hAnsi="Arial" w:cs="Arial"/>
          <w:sz w:val="22"/>
          <w:szCs w:val="22"/>
        </w:rPr>
        <w:t xml:space="preserve">The variance in recovery rates for </w:t>
      </w:r>
      <w:r w:rsidR="001B7CAF">
        <w:rPr>
          <w:rFonts w:ascii="Arial" w:hAnsi="Arial" w:cs="Arial"/>
          <w:sz w:val="22"/>
          <w:szCs w:val="22"/>
        </w:rPr>
        <w:t>CBT</w:t>
      </w:r>
      <w:r>
        <w:rPr>
          <w:rFonts w:ascii="Arial" w:hAnsi="Arial" w:cs="Arial"/>
          <w:sz w:val="22"/>
          <w:szCs w:val="22"/>
        </w:rPr>
        <w:t xml:space="preserve"> in England’s Improv</w:t>
      </w:r>
      <w:r w:rsidR="001B7CAF">
        <w:rPr>
          <w:rFonts w:ascii="Arial" w:hAnsi="Arial" w:cs="Arial"/>
          <w:sz w:val="22"/>
          <w:szCs w:val="22"/>
        </w:rPr>
        <w:t>ing</w:t>
      </w:r>
      <w:r>
        <w:rPr>
          <w:rFonts w:ascii="Arial" w:hAnsi="Arial" w:cs="Arial"/>
          <w:sz w:val="22"/>
          <w:szCs w:val="22"/>
        </w:rPr>
        <w:t xml:space="preserve"> Access to Psychological Therapy (IAPT) programme has received much attention, with some services reporting recovery rates as low as 18%. One of the variables that account for clinical outcome are therapist</w:t>
      </w:r>
      <w:r w:rsidR="001B7CAF">
        <w:rPr>
          <w:rFonts w:ascii="Arial" w:hAnsi="Arial" w:cs="Arial"/>
          <w:sz w:val="22"/>
          <w:szCs w:val="22"/>
        </w:rPr>
        <w:t xml:space="preserve">s. </w:t>
      </w:r>
      <w:r>
        <w:rPr>
          <w:rFonts w:ascii="Arial" w:hAnsi="Arial" w:cs="Arial"/>
          <w:sz w:val="22"/>
          <w:szCs w:val="22"/>
        </w:rPr>
        <w:t>Without access to therapy transcripts it has been difficult to assert which therapist variables are associated with outcome. The purpose of this research is to use the therapy transcripts of 200 IAPT therapists in order to understand which therapist variables are associated with clinical outcome.</w:t>
      </w:r>
    </w:p>
    <w:p w14:paraId="7A5E3180" w14:textId="0A9DF287" w:rsidR="004A0BBC" w:rsidRPr="004C723E" w:rsidRDefault="004A0BBC" w:rsidP="004C723E">
      <w:pPr>
        <w:rPr>
          <w:rFonts w:ascii="Arial" w:hAnsi="Arial" w:cs="Arial"/>
          <w:sz w:val="22"/>
          <w:szCs w:val="22"/>
        </w:rPr>
      </w:pPr>
    </w:p>
    <w:p w14:paraId="686DDA04" w14:textId="4A41D7CF" w:rsidR="004A0BBC" w:rsidRDefault="004C723E" w:rsidP="004C723E">
      <w:pPr>
        <w:rPr>
          <w:rFonts w:ascii="Arial" w:hAnsi="Arial" w:cs="Arial"/>
          <w:sz w:val="22"/>
          <w:szCs w:val="22"/>
        </w:rPr>
      </w:pPr>
      <w:r w:rsidRPr="004C723E">
        <w:rPr>
          <w:rFonts w:ascii="Arial" w:hAnsi="Arial" w:cs="Arial"/>
          <w:sz w:val="22"/>
          <w:szCs w:val="22"/>
        </w:rPr>
        <w:t>METHOD</w:t>
      </w:r>
    </w:p>
    <w:p w14:paraId="52342465" w14:textId="480833DB" w:rsidR="009255F9" w:rsidRPr="004B4F9A" w:rsidRDefault="009255F9" w:rsidP="009255F9">
      <w:pPr>
        <w:rPr>
          <w:rFonts w:ascii="Arial" w:hAnsi="Arial" w:cs="Arial"/>
          <w:sz w:val="22"/>
          <w:szCs w:val="22"/>
        </w:rPr>
      </w:pPr>
      <w:r w:rsidRPr="00A46331">
        <w:rPr>
          <w:rFonts w:ascii="Arial" w:hAnsi="Arial" w:cs="Arial"/>
          <w:sz w:val="22"/>
          <w:szCs w:val="22"/>
        </w:rPr>
        <w:t xml:space="preserve">This </w:t>
      </w:r>
      <w:r>
        <w:rPr>
          <w:rFonts w:ascii="Arial" w:hAnsi="Arial" w:cs="Arial"/>
          <w:sz w:val="22"/>
          <w:szCs w:val="22"/>
        </w:rPr>
        <w:t>research</w:t>
      </w:r>
      <w:r w:rsidRPr="00A46331">
        <w:rPr>
          <w:rFonts w:ascii="Arial" w:hAnsi="Arial" w:cs="Arial"/>
          <w:sz w:val="22"/>
          <w:szCs w:val="22"/>
        </w:rPr>
        <w:t xml:space="preserve"> used a naturalistic observational study </w:t>
      </w:r>
      <w:r>
        <w:rPr>
          <w:rFonts w:ascii="Arial" w:hAnsi="Arial" w:cs="Arial"/>
          <w:sz w:val="22"/>
          <w:szCs w:val="22"/>
        </w:rPr>
        <w:t xml:space="preserve">design to understand the relationship between clinical outcomes and therapist </w:t>
      </w:r>
      <w:r w:rsidR="006A3C21">
        <w:rPr>
          <w:rFonts w:ascii="Arial" w:hAnsi="Arial" w:cs="Arial"/>
          <w:sz w:val="22"/>
          <w:szCs w:val="22"/>
        </w:rPr>
        <w:t>variables.</w:t>
      </w:r>
      <w:r>
        <w:rPr>
          <w:rFonts w:ascii="Arial" w:hAnsi="Arial" w:cs="Arial"/>
          <w:sz w:val="22"/>
          <w:szCs w:val="22"/>
        </w:rPr>
        <w:t xml:space="preserve"> </w:t>
      </w:r>
      <w:r w:rsidR="004B40D7">
        <w:rPr>
          <w:rFonts w:ascii="Arial" w:hAnsi="Arial" w:cs="Arial"/>
          <w:sz w:val="22"/>
          <w:szCs w:val="22"/>
        </w:rPr>
        <w:t>The therapy transcripts of 200 High Intensity IAPT therapists, who had provided CBT online using synchronous written communication, were rated by 6 highly experienced CBT therapists</w:t>
      </w:r>
      <w:r w:rsidR="001B7CAF">
        <w:rPr>
          <w:rFonts w:ascii="Arial" w:hAnsi="Arial" w:cs="Arial"/>
          <w:sz w:val="22"/>
          <w:szCs w:val="22"/>
        </w:rPr>
        <w:t xml:space="preserve">. </w:t>
      </w:r>
      <w:r w:rsidR="004B40D7">
        <w:rPr>
          <w:rFonts w:ascii="Arial" w:hAnsi="Arial" w:cs="Arial"/>
          <w:sz w:val="22"/>
          <w:szCs w:val="22"/>
        </w:rPr>
        <w:t>The raters used the revised version of the Cognitive Therapy Scale to assess therapist competence and used the transcripts of 3 whole episodes of care to rate adherence to an evidence-based protocol.</w:t>
      </w:r>
      <w:r w:rsidR="001C469D">
        <w:rPr>
          <w:rFonts w:ascii="Arial" w:hAnsi="Arial" w:cs="Arial"/>
          <w:sz w:val="22"/>
          <w:szCs w:val="22"/>
        </w:rPr>
        <w:t xml:space="preserve"> </w:t>
      </w:r>
      <w:r w:rsidR="001C469D" w:rsidRPr="00CF1079">
        <w:rPr>
          <w:rFonts w:ascii="Arial" w:hAnsi="Arial" w:cs="Arial"/>
          <w:sz w:val="22"/>
          <w:szCs w:val="22"/>
        </w:rPr>
        <w:t xml:space="preserve">The data </w:t>
      </w:r>
      <w:r w:rsidR="003452C0" w:rsidRPr="00CF1079">
        <w:rPr>
          <w:rFonts w:ascii="Arial" w:hAnsi="Arial" w:cs="Arial"/>
          <w:sz w:val="22"/>
          <w:szCs w:val="22"/>
        </w:rPr>
        <w:t>were</w:t>
      </w:r>
      <w:r w:rsidR="001C469D" w:rsidRPr="00CF1079">
        <w:rPr>
          <w:rFonts w:ascii="Arial" w:hAnsi="Arial" w:cs="Arial"/>
          <w:sz w:val="22"/>
          <w:szCs w:val="22"/>
        </w:rPr>
        <w:t xml:space="preserve"> analysed using</w:t>
      </w:r>
      <w:r w:rsidR="009F51FA" w:rsidRPr="00CF1079">
        <w:rPr>
          <w:rFonts w:ascii="Arial" w:hAnsi="Arial" w:cs="Arial"/>
          <w:sz w:val="22"/>
          <w:szCs w:val="22"/>
        </w:rPr>
        <w:t xml:space="preserve"> </w:t>
      </w:r>
      <w:r w:rsidR="00936299" w:rsidRPr="00CF1079">
        <w:rPr>
          <w:rFonts w:ascii="Arial" w:hAnsi="Arial" w:cs="Arial"/>
          <w:sz w:val="22"/>
          <w:szCs w:val="22"/>
        </w:rPr>
        <w:t>correlation,</w:t>
      </w:r>
      <w:r w:rsidR="00BC36C0" w:rsidRPr="00CF1079">
        <w:rPr>
          <w:rFonts w:ascii="Arial" w:hAnsi="Arial" w:cs="Arial"/>
          <w:sz w:val="22"/>
          <w:szCs w:val="22"/>
        </w:rPr>
        <w:t xml:space="preserve"> </w:t>
      </w:r>
      <w:r w:rsidR="00734BDF" w:rsidRPr="00CF1079">
        <w:rPr>
          <w:rFonts w:ascii="Arial" w:hAnsi="Arial" w:cs="Arial"/>
          <w:sz w:val="22"/>
          <w:szCs w:val="22"/>
        </w:rPr>
        <w:t>regression and loglinear model</w:t>
      </w:r>
      <w:r w:rsidR="00B81084" w:rsidRPr="00CF1079">
        <w:rPr>
          <w:rFonts w:ascii="Arial" w:hAnsi="Arial" w:cs="Arial"/>
          <w:sz w:val="22"/>
          <w:szCs w:val="22"/>
        </w:rPr>
        <w:t>s</w:t>
      </w:r>
      <w:r w:rsidR="00734BDF" w:rsidRPr="00CF1079">
        <w:rPr>
          <w:rFonts w:ascii="Arial" w:hAnsi="Arial" w:cs="Arial"/>
          <w:sz w:val="22"/>
          <w:szCs w:val="22"/>
        </w:rPr>
        <w:t>.</w:t>
      </w:r>
    </w:p>
    <w:p w14:paraId="5B010BF2" w14:textId="77777777" w:rsidR="009255F9" w:rsidRDefault="009255F9" w:rsidP="004C723E">
      <w:pPr>
        <w:rPr>
          <w:rFonts w:ascii="Arial" w:hAnsi="Arial" w:cs="Arial"/>
          <w:sz w:val="22"/>
          <w:szCs w:val="22"/>
        </w:rPr>
      </w:pPr>
    </w:p>
    <w:p w14:paraId="5639F2C3" w14:textId="690AAB44" w:rsidR="004A0BBC" w:rsidRDefault="004C723E" w:rsidP="004C723E">
      <w:pPr>
        <w:rPr>
          <w:rFonts w:ascii="Arial" w:hAnsi="Arial" w:cs="Arial"/>
          <w:sz w:val="22"/>
          <w:szCs w:val="22"/>
        </w:rPr>
      </w:pPr>
      <w:r w:rsidRPr="004C723E">
        <w:rPr>
          <w:rFonts w:ascii="Arial" w:hAnsi="Arial" w:cs="Arial"/>
          <w:sz w:val="22"/>
          <w:szCs w:val="22"/>
        </w:rPr>
        <w:t>RESULTS</w:t>
      </w:r>
    </w:p>
    <w:p w14:paraId="59595107" w14:textId="784DC75F" w:rsidR="00D07553" w:rsidRPr="004C723E" w:rsidRDefault="00D07553" w:rsidP="00D07553">
      <w:pPr>
        <w:rPr>
          <w:rFonts w:ascii="Arial" w:hAnsi="Arial" w:cs="Arial"/>
          <w:sz w:val="22"/>
          <w:szCs w:val="22"/>
        </w:rPr>
      </w:pPr>
      <w:r>
        <w:rPr>
          <w:rFonts w:ascii="Arial" w:hAnsi="Arial" w:cs="Arial"/>
          <w:sz w:val="22"/>
          <w:szCs w:val="22"/>
        </w:rPr>
        <w:t xml:space="preserve">This research found that </w:t>
      </w:r>
      <w:r w:rsidR="00C065BF">
        <w:rPr>
          <w:rFonts w:ascii="Arial" w:hAnsi="Arial" w:cs="Arial"/>
          <w:sz w:val="22"/>
          <w:szCs w:val="22"/>
        </w:rPr>
        <w:t xml:space="preserve">not all therapists deliver </w:t>
      </w:r>
      <w:r w:rsidR="001B7CAF">
        <w:rPr>
          <w:rFonts w:ascii="Arial" w:hAnsi="Arial" w:cs="Arial"/>
          <w:sz w:val="22"/>
          <w:szCs w:val="22"/>
        </w:rPr>
        <w:t>CBT</w:t>
      </w:r>
      <w:r w:rsidR="00076DA6">
        <w:rPr>
          <w:rFonts w:ascii="Arial" w:hAnsi="Arial" w:cs="Arial"/>
          <w:sz w:val="22"/>
          <w:szCs w:val="22"/>
        </w:rPr>
        <w:t xml:space="preserve"> with fidelity to the model (competence) </w:t>
      </w:r>
      <w:r w:rsidR="001B7CAF">
        <w:rPr>
          <w:rFonts w:ascii="Arial" w:hAnsi="Arial" w:cs="Arial"/>
          <w:sz w:val="22"/>
          <w:szCs w:val="22"/>
        </w:rPr>
        <w:t>or</w:t>
      </w:r>
      <w:r w:rsidR="00076DA6">
        <w:rPr>
          <w:rFonts w:ascii="Arial" w:hAnsi="Arial" w:cs="Arial"/>
          <w:sz w:val="22"/>
          <w:szCs w:val="22"/>
        </w:rPr>
        <w:t xml:space="preserve"> adherence to </w:t>
      </w:r>
      <w:r w:rsidR="006A3C21">
        <w:rPr>
          <w:rFonts w:ascii="Arial" w:hAnsi="Arial" w:cs="Arial"/>
          <w:sz w:val="22"/>
          <w:szCs w:val="22"/>
        </w:rPr>
        <w:t>a</w:t>
      </w:r>
      <w:r w:rsidR="00076DA6">
        <w:rPr>
          <w:rFonts w:ascii="Arial" w:hAnsi="Arial" w:cs="Arial"/>
          <w:sz w:val="22"/>
          <w:szCs w:val="22"/>
        </w:rPr>
        <w:t xml:space="preserve"> protocol. Where this was evident,</w:t>
      </w:r>
      <w:r w:rsidR="008E0196">
        <w:rPr>
          <w:rFonts w:ascii="Arial" w:hAnsi="Arial" w:cs="Arial"/>
          <w:sz w:val="22"/>
          <w:szCs w:val="22"/>
        </w:rPr>
        <w:t xml:space="preserve"> </w:t>
      </w:r>
      <w:r w:rsidR="00076DA6">
        <w:rPr>
          <w:rFonts w:ascii="Arial" w:hAnsi="Arial" w:cs="Arial"/>
          <w:sz w:val="22"/>
          <w:szCs w:val="22"/>
        </w:rPr>
        <w:t>t</w:t>
      </w:r>
      <w:r>
        <w:rPr>
          <w:rFonts w:ascii="Arial" w:hAnsi="Arial" w:cs="Arial"/>
          <w:sz w:val="22"/>
          <w:szCs w:val="22"/>
        </w:rPr>
        <w:t>herapist competence</w:t>
      </w:r>
      <w:r w:rsidR="006A3C21">
        <w:rPr>
          <w:rFonts w:ascii="Arial" w:hAnsi="Arial" w:cs="Arial"/>
          <w:sz w:val="22"/>
          <w:szCs w:val="22"/>
        </w:rPr>
        <w:t xml:space="preserve"> </w:t>
      </w:r>
      <w:r>
        <w:rPr>
          <w:rFonts w:ascii="Arial" w:hAnsi="Arial" w:cs="Arial"/>
          <w:sz w:val="22"/>
          <w:szCs w:val="22"/>
        </w:rPr>
        <w:t xml:space="preserve">and therapist adherence </w:t>
      </w:r>
      <w:r w:rsidR="00076DA6">
        <w:rPr>
          <w:rFonts w:ascii="Arial" w:hAnsi="Arial" w:cs="Arial"/>
          <w:sz w:val="22"/>
          <w:szCs w:val="22"/>
        </w:rPr>
        <w:t>were</w:t>
      </w:r>
      <w:r>
        <w:rPr>
          <w:rFonts w:ascii="Arial" w:hAnsi="Arial" w:cs="Arial"/>
          <w:sz w:val="22"/>
          <w:szCs w:val="22"/>
        </w:rPr>
        <w:t xml:space="preserve"> related to clinical outcome at the </w:t>
      </w:r>
      <m:oMath>
        <m:r>
          <w:rPr>
            <w:rFonts w:ascii="Cambria Math" w:hAnsi="Cambria Math" w:cs="Arial"/>
            <w:sz w:val="22"/>
            <w:szCs w:val="22"/>
          </w:rPr>
          <m:t xml:space="preserve">≤ </m:t>
        </m:r>
      </m:oMath>
      <w:r>
        <w:rPr>
          <w:rFonts w:ascii="Arial" w:hAnsi="Arial" w:cs="Arial"/>
          <w:sz w:val="22"/>
          <w:szCs w:val="22"/>
        </w:rPr>
        <w:t xml:space="preserve"> 0.05 level.  Therapist age, gender, core profession, years of experience or method of training were not related to outcome</w:t>
      </w:r>
    </w:p>
    <w:p w14:paraId="631B90E4" w14:textId="339260A8" w:rsidR="004A0BBC" w:rsidRPr="004C723E" w:rsidRDefault="004A0BBC" w:rsidP="004C723E">
      <w:pPr>
        <w:rPr>
          <w:rFonts w:ascii="Arial" w:hAnsi="Arial" w:cs="Arial"/>
          <w:sz w:val="22"/>
          <w:szCs w:val="22"/>
        </w:rPr>
      </w:pPr>
    </w:p>
    <w:p w14:paraId="06D19B63" w14:textId="70B95E8B" w:rsidR="004A0BBC" w:rsidRDefault="004C723E" w:rsidP="004C723E">
      <w:pPr>
        <w:rPr>
          <w:rFonts w:ascii="Arial" w:hAnsi="Arial" w:cs="Arial"/>
          <w:sz w:val="22"/>
          <w:szCs w:val="22"/>
        </w:rPr>
      </w:pPr>
      <w:r w:rsidRPr="004C723E">
        <w:rPr>
          <w:rFonts w:ascii="Arial" w:hAnsi="Arial" w:cs="Arial"/>
          <w:sz w:val="22"/>
          <w:szCs w:val="22"/>
        </w:rPr>
        <w:t>CONCLUSION</w:t>
      </w:r>
    </w:p>
    <w:p w14:paraId="126D0112" w14:textId="2EA8C62A" w:rsidR="004B40D7" w:rsidRPr="004C723E" w:rsidRDefault="00D07553" w:rsidP="004C723E">
      <w:pPr>
        <w:rPr>
          <w:rFonts w:ascii="Arial" w:hAnsi="Arial" w:cs="Arial"/>
          <w:sz w:val="22"/>
          <w:szCs w:val="22"/>
        </w:rPr>
      </w:pPr>
      <w:r>
        <w:rPr>
          <w:rFonts w:ascii="Arial" w:hAnsi="Arial" w:cs="Arial"/>
          <w:sz w:val="22"/>
          <w:szCs w:val="22"/>
        </w:rPr>
        <w:t xml:space="preserve">Process-outcome research in </w:t>
      </w:r>
      <w:r w:rsidR="00E0065E">
        <w:rPr>
          <w:rFonts w:ascii="Arial" w:hAnsi="Arial" w:cs="Arial"/>
          <w:sz w:val="22"/>
          <w:szCs w:val="22"/>
        </w:rPr>
        <w:t>IAPT has, to date, been unable to access the therapy transcripts of large numbers of therapists. This is the first time that this has been possible to use therapy transcripts to understand the relationship between clinical outcome and therapist competence and adherence to an evidence-based protocol.</w:t>
      </w:r>
      <w:r w:rsidR="001B7CAF">
        <w:rPr>
          <w:rFonts w:ascii="Arial" w:hAnsi="Arial" w:cs="Arial"/>
          <w:sz w:val="22"/>
          <w:szCs w:val="22"/>
        </w:rPr>
        <w:t xml:space="preserve"> </w:t>
      </w:r>
      <w:r w:rsidR="00E0065E">
        <w:rPr>
          <w:rFonts w:ascii="Arial" w:hAnsi="Arial" w:cs="Arial"/>
          <w:sz w:val="22"/>
          <w:szCs w:val="22"/>
        </w:rPr>
        <w:t xml:space="preserve"> </w:t>
      </w:r>
      <w:r w:rsidR="001B7CAF" w:rsidRPr="00CF1079">
        <w:rPr>
          <w:rFonts w:ascii="Arial" w:hAnsi="Arial" w:cs="Arial"/>
          <w:sz w:val="22"/>
          <w:szCs w:val="22"/>
        </w:rPr>
        <w:t>This new</w:t>
      </w:r>
      <w:r w:rsidR="00612EC7" w:rsidRPr="00CF1079">
        <w:rPr>
          <w:rFonts w:ascii="Arial" w:hAnsi="Arial" w:cs="Arial"/>
          <w:sz w:val="22"/>
          <w:szCs w:val="22"/>
        </w:rPr>
        <w:t xml:space="preserve"> </w:t>
      </w:r>
      <w:r w:rsidR="00C82E62" w:rsidRPr="00CF1079">
        <w:rPr>
          <w:rFonts w:ascii="Arial" w:hAnsi="Arial" w:cs="Arial"/>
          <w:sz w:val="22"/>
          <w:szCs w:val="22"/>
        </w:rPr>
        <w:t>way of conductin</w:t>
      </w:r>
      <w:r w:rsidR="00933335" w:rsidRPr="00CF1079">
        <w:rPr>
          <w:rFonts w:ascii="Arial" w:hAnsi="Arial" w:cs="Arial"/>
          <w:sz w:val="22"/>
          <w:szCs w:val="22"/>
        </w:rPr>
        <w:t>g</w:t>
      </w:r>
      <w:r w:rsidR="00AE2462" w:rsidRPr="00CF1079">
        <w:rPr>
          <w:rFonts w:ascii="Arial" w:hAnsi="Arial" w:cs="Arial"/>
          <w:sz w:val="22"/>
          <w:szCs w:val="22"/>
        </w:rPr>
        <w:t xml:space="preserve"> psychological therapy research</w:t>
      </w:r>
      <w:r w:rsidR="00AE2462">
        <w:rPr>
          <w:rFonts w:ascii="Arial" w:hAnsi="Arial" w:cs="Arial"/>
          <w:sz w:val="22"/>
          <w:szCs w:val="22"/>
        </w:rPr>
        <w:t xml:space="preserve"> </w:t>
      </w:r>
      <w:r w:rsidR="00E0065E">
        <w:rPr>
          <w:rFonts w:ascii="Arial" w:hAnsi="Arial" w:cs="Arial"/>
          <w:sz w:val="22"/>
          <w:szCs w:val="22"/>
        </w:rPr>
        <w:t>provides a unique contribution to knowledge</w:t>
      </w:r>
      <w:r w:rsidR="001B7CAF">
        <w:rPr>
          <w:rFonts w:ascii="Arial" w:hAnsi="Arial" w:cs="Arial"/>
          <w:sz w:val="22"/>
          <w:szCs w:val="22"/>
        </w:rPr>
        <w:t xml:space="preserve"> and will have a significant impact </w:t>
      </w:r>
      <w:r w:rsidR="000A098E">
        <w:rPr>
          <w:rFonts w:ascii="Arial" w:hAnsi="Arial" w:cs="Arial"/>
          <w:sz w:val="22"/>
          <w:szCs w:val="22"/>
        </w:rPr>
        <w:t>on professional practice in relation to how CBT therapists are supported to improve patient outcomes in the context of IAPT.</w:t>
      </w:r>
    </w:p>
    <w:p w14:paraId="680389CC" w14:textId="6ACA47B9" w:rsidR="004A0BBC" w:rsidRPr="004C723E" w:rsidRDefault="004A0BBC" w:rsidP="004C723E">
      <w:pPr>
        <w:rPr>
          <w:rFonts w:ascii="Arial" w:hAnsi="Arial" w:cs="Arial"/>
          <w:sz w:val="22"/>
          <w:szCs w:val="22"/>
        </w:rPr>
      </w:pPr>
    </w:p>
    <w:p w14:paraId="361A7C25" w14:textId="761B5051" w:rsidR="006F2D96" w:rsidRPr="006F2D96" w:rsidRDefault="004C723E" w:rsidP="006F2D96">
      <w:pPr>
        <w:rPr>
          <w:rFonts w:ascii="Arial" w:hAnsi="Arial"/>
          <w:bCs/>
          <w:sz w:val="22"/>
          <w:szCs w:val="22"/>
        </w:rPr>
      </w:pPr>
      <w:r w:rsidRPr="004C723E">
        <w:rPr>
          <w:rFonts w:ascii="Arial" w:hAnsi="Arial"/>
          <w:bCs/>
          <w:sz w:val="22"/>
          <w:szCs w:val="22"/>
        </w:rPr>
        <w:t>KEY WORDS</w:t>
      </w:r>
      <w:r w:rsidR="006F2D96">
        <w:rPr>
          <w:rFonts w:ascii="Arial" w:hAnsi="Arial"/>
          <w:bCs/>
          <w:sz w:val="22"/>
          <w:szCs w:val="22"/>
        </w:rPr>
        <w:t xml:space="preserve">: </w:t>
      </w:r>
      <w:r w:rsidR="004A0BBC" w:rsidRPr="004C723E">
        <w:rPr>
          <w:rFonts w:ascii="Arial" w:hAnsi="Arial"/>
          <w:sz w:val="22"/>
          <w:szCs w:val="22"/>
        </w:rPr>
        <w:t xml:space="preserve">Cognitive behavioural therapy, </w:t>
      </w:r>
      <w:r w:rsidRPr="004C723E">
        <w:rPr>
          <w:rFonts w:ascii="Arial" w:hAnsi="Arial"/>
          <w:sz w:val="22"/>
          <w:szCs w:val="22"/>
        </w:rPr>
        <w:t>IAPT,</w:t>
      </w:r>
      <w:r w:rsidR="004A0BBC" w:rsidRPr="004C723E">
        <w:rPr>
          <w:rFonts w:ascii="Arial" w:hAnsi="Arial"/>
          <w:sz w:val="22"/>
          <w:szCs w:val="22"/>
        </w:rPr>
        <w:t xml:space="preserve"> outcomes</w:t>
      </w:r>
      <w:r w:rsidRPr="004C723E">
        <w:rPr>
          <w:rFonts w:ascii="Arial" w:hAnsi="Arial"/>
          <w:sz w:val="22"/>
          <w:szCs w:val="22"/>
        </w:rPr>
        <w:t>, therapist variables, competency, adherence</w:t>
      </w:r>
      <w:r w:rsidR="006F2D96" w:rsidRPr="006F2D96">
        <w:t xml:space="preserve"> </w:t>
      </w:r>
    </w:p>
    <w:p w14:paraId="7DC456B8" w14:textId="1C8504EB" w:rsidR="006F2D96" w:rsidRDefault="006F2D96" w:rsidP="006F2D96">
      <w:pPr>
        <w:pStyle w:val="Style1"/>
      </w:pPr>
      <w:bookmarkStart w:id="4" w:name="_Toc79414107"/>
      <w:r w:rsidRPr="00347284">
        <w:t>TABLE OF CONTENTS</w:t>
      </w:r>
      <w:bookmarkEnd w:id="4"/>
    </w:p>
    <w:p w14:paraId="08931F43" w14:textId="703FB9F7" w:rsidR="004A0BBC" w:rsidRPr="00A22BF4" w:rsidRDefault="004A0BBC" w:rsidP="00A22BF4">
      <w:pPr>
        <w:rPr>
          <w:rFonts w:ascii="Arial" w:hAnsi="Arial"/>
          <w:bCs/>
          <w:sz w:val="22"/>
          <w:szCs w:val="22"/>
        </w:rPr>
      </w:pPr>
    </w:p>
    <w:sdt>
      <w:sdtPr>
        <w:id w:val="-912470997"/>
        <w:docPartObj>
          <w:docPartGallery w:val="Table of Contents"/>
          <w:docPartUnique/>
        </w:docPartObj>
      </w:sdtPr>
      <w:sdtEndPr>
        <w:rPr>
          <w:rFonts w:asciiTheme="minorHAnsi" w:eastAsiaTheme="minorEastAsia" w:hAnsiTheme="minorHAnsi" w:cstheme="minorBidi"/>
          <w:noProof/>
          <w:color w:val="auto"/>
          <w:sz w:val="24"/>
          <w:szCs w:val="24"/>
          <w:lang w:val="en-GB"/>
        </w:rPr>
      </w:sdtEndPr>
      <w:sdtContent>
        <w:p w14:paraId="13CB9A17" w14:textId="2DF68164" w:rsidR="006F2D96" w:rsidRDefault="006F2D96">
          <w:pPr>
            <w:pStyle w:val="TOCHeading"/>
          </w:pPr>
          <w:r>
            <w:t>Contents</w:t>
          </w:r>
        </w:p>
        <w:p w14:paraId="2C6EAD51" w14:textId="50C8101A" w:rsidR="006F2D96" w:rsidRDefault="006F2D96">
          <w:pPr>
            <w:pStyle w:val="TOC1"/>
            <w:rPr>
              <w:rFonts w:asciiTheme="minorHAnsi" w:hAnsiTheme="minorHAnsi"/>
              <w:b w:val="0"/>
              <w:noProof/>
              <w:szCs w:val="22"/>
              <w:lang w:eastAsia="ja-JP"/>
            </w:rPr>
          </w:pPr>
          <w:r>
            <w:fldChar w:fldCharType="begin"/>
          </w:r>
          <w:r>
            <w:instrText xml:space="preserve"> TOC \o "1-3" \h \z \u </w:instrText>
          </w:r>
          <w:r>
            <w:fldChar w:fldCharType="separate"/>
          </w:r>
          <w:hyperlink w:anchor="_Toc79414105" w:history="1">
            <w:r w:rsidRPr="00060C45">
              <w:rPr>
                <w:rStyle w:val="Hyperlink"/>
                <w:noProof/>
              </w:rPr>
              <w:t>ACKNOWLEDGEMENTS</w:t>
            </w:r>
            <w:r>
              <w:rPr>
                <w:noProof/>
                <w:webHidden/>
              </w:rPr>
              <w:tab/>
            </w:r>
            <w:r>
              <w:rPr>
                <w:noProof/>
                <w:webHidden/>
              </w:rPr>
              <w:fldChar w:fldCharType="begin"/>
            </w:r>
            <w:r>
              <w:rPr>
                <w:noProof/>
                <w:webHidden/>
              </w:rPr>
              <w:instrText xml:space="preserve"> PAGEREF _Toc79414105 \h </w:instrText>
            </w:r>
            <w:r>
              <w:rPr>
                <w:noProof/>
                <w:webHidden/>
              </w:rPr>
            </w:r>
            <w:r>
              <w:rPr>
                <w:noProof/>
                <w:webHidden/>
              </w:rPr>
              <w:fldChar w:fldCharType="separate"/>
            </w:r>
            <w:r w:rsidR="00DD38EE">
              <w:rPr>
                <w:noProof/>
                <w:webHidden/>
              </w:rPr>
              <w:t>i</w:t>
            </w:r>
            <w:r>
              <w:rPr>
                <w:noProof/>
                <w:webHidden/>
              </w:rPr>
              <w:fldChar w:fldCharType="end"/>
            </w:r>
          </w:hyperlink>
        </w:p>
        <w:p w14:paraId="2CFBB705" w14:textId="0895501A" w:rsidR="006F2D96" w:rsidRDefault="006F2D96">
          <w:pPr>
            <w:pStyle w:val="TOC1"/>
            <w:rPr>
              <w:rFonts w:asciiTheme="minorHAnsi" w:hAnsiTheme="minorHAnsi"/>
              <w:b w:val="0"/>
              <w:noProof/>
              <w:szCs w:val="22"/>
              <w:lang w:eastAsia="ja-JP"/>
            </w:rPr>
          </w:pPr>
          <w:hyperlink w:anchor="_Toc79414106" w:history="1">
            <w:r w:rsidRPr="00060C45">
              <w:rPr>
                <w:rStyle w:val="Hyperlink"/>
                <w:noProof/>
              </w:rPr>
              <w:t>ABSTRACT</w:t>
            </w:r>
            <w:r>
              <w:rPr>
                <w:noProof/>
                <w:webHidden/>
              </w:rPr>
              <w:tab/>
            </w:r>
            <w:r>
              <w:rPr>
                <w:noProof/>
                <w:webHidden/>
              </w:rPr>
              <w:fldChar w:fldCharType="begin"/>
            </w:r>
            <w:r>
              <w:rPr>
                <w:noProof/>
                <w:webHidden/>
              </w:rPr>
              <w:instrText xml:space="preserve"> PAGEREF _Toc79414106 \h </w:instrText>
            </w:r>
            <w:r>
              <w:rPr>
                <w:noProof/>
                <w:webHidden/>
              </w:rPr>
            </w:r>
            <w:r>
              <w:rPr>
                <w:noProof/>
                <w:webHidden/>
              </w:rPr>
              <w:fldChar w:fldCharType="separate"/>
            </w:r>
            <w:r w:rsidR="00DD38EE">
              <w:rPr>
                <w:noProof/>
                <w:webHidden/>
              </w:rPr>
              <w:t>iii</w:t>
            </w:r>
            <w:r>
              <w:rPr>
                <w:noProof/>
                <w:webHidden/>
              </w:rPr>
              <w:fldChar w:fldCharType="end"/>
            </w:r>
          </w:hyperlink>
        </w:p>
        <w:p w14:paraId="4FA9164E" w14:textId="0F1362EB" w:rsidR="006F2D96" w:rsidRDefault="006F2D96">
          <w:pPr>
            <w:pStyle w:val="TOC1"/>
            <w:rPr>
              <w:rFonts w:asciiTheme="minorHAnsi" w:hAnsiTheme="minorHAnsi"/>
              <w:b w:val="0"/>
              <w:noProof/>
              <w:szCs w:val="22"/>
              <w:lang w:eastAsia="ja-JP"/>
            </w:rPr>
          </w:pPr>
          <w:hyperlink w:anchor="_Toc79414107" w:history="1">
            <w:r w:rsidRPr="00060C45">
              <w:rPr>
                <w:rStyle w:val="Hyperlink"/>
                <w:noProof/>
              </w:rPr>
              <w:t>TABLE OF CONTENTS</w:t>
            </w:r>
            <w:r>
              <w:rPr>
                <w:noProof/>
                <w:webHidden/>
              </w:rPr>
              <w:tab/>
            </w:r>
            <w:r>
              <w:rPr>
                <w:noProof/>
                <w:webHidden/>
              </w:rPr>
              <w:fldChar w:fldCharType="begin"/>
            </w:r>
            <w:r>
              <w:rPr>
                <w:noProof/>
                <w:webHidden/>
              </w:rPr>
              <w:instrText xml:space="preserve"> PAGEREF _Toc79414107 \h </w:instrText>
            </w:r>
            <w:r>
              <w:rPr>
                <w:noProof/>
                <w:webHidden/>
              </w:rPr>
            </w:r>
            <w:r>
              <w:rPr>
                <w:noProof/>
                <w:webHidden/>
              </w:rPr>
              <w:fldChar w:fldCharType="separate"/>
            </w:r>
            <w:r w:rsidR="00DD38EE">
              <w:rPr>
                <w:noProof/>
                <w:webHidden/>
              </w:rPr>
              <w:t>iv</w:t>
            </w:r>
            <w:r>
              <w:rPr>
                <w:noProof/>
                <w:webHidden/>
              </w:rPr>
              <w:fldChar w:fldCharType="end"/>
            </w:r>
          </w:hyperlink>
        </w:p>
        <w:p w14:paraId="24C97FDC" w14:textId="5F0B0629" w:rsidR="006F2D96" w:rsidRDefault="006F2D96">
          <w:pPr>
            <w:pStyle w:val="TOC1"/>
            <w:rPr>
              <w:rFonts w:asciiTheme="minorHAnsi" w:hAnsiTheme="minorHAnsi"/>
              <w:b w:val="0"/>
              <w:noProof/>
              <w:szCs w:val="22"/>
              <w:lang w:eastAsia="ja-JP"/>
            </w:rPr>
          </w:pPr>
          <w:hyperlink w:anchor="_Toc79414108" w:history="1">
            <w:r w:rsidRPr="00060C45">
              <w:rPr>
                <w:rStyle w:val="Hyperlink"/>
                <w:rFonts w:cs="Arial"/>
                <w:noProof/>
              </w:rPr>
              <w:t>LIST OF FIGURES</w:t>
            </w:r>
            <w:r>
              <w:rPr>
                <w:noProof/>
                <w:webHidden/>
              </w:rPr>
              <w:tab/>
            </w:r>
            <w:r>
              <w:rPr>
                <w:noProof/>
                <w:webHidden/>
              </w:rPr>
              <w:fldChar w:fldCharType="begin"/>
            </w:r>
            <w:r>
              <w:rPr>
                <w:noProof/>
                <w:webHidden/>
              </w:rPr>
              <w:instrText xml:space="preserve"> PAGEREF _Toc79414108 \h </w:instrText>
            </w:r>
            <w:r>
              <w:rPr>
                <w:noProof/>
                <w:webHidden/>
              </w:rPr>
            </w:r>
            <w:r>
              <w:rPr>
                <w:noProof/>
                <w:webHidden/>
              </w:rPr>
              <w:fldChar w:fldCharType="separate"/>
            </w:r>
            <w:r w:rsidR="00DD38EE">
              <w:rPr>
                <w:noProof/>
                <w:webHidden/>
              </w:rPr>
              <w:t>ix</w:t>
            </w:r>
            <w:r>
              <w:rPr>
                <w:noProof/>
                <w:webHidden/>
              </w:rPr>
              <w:fldChar w:fldCharType="end"/>
            </w:r>
          </w:hyperlink>
        </w:p>
        <w:p w14:paraId="613AE65F" w14:textId="047944B1" w:rsidR="006F2D96" w:rsidRDefault="006F2D96">
          <w:pPr>
            <w:pStyle w:val="TOC1"/>
            <w:rPr>
              <w:rFonts w:asciiTheme="minorHAnsi" w:hAnsiTheme="minorHAnsi"/>
              <w:b w:val="0"/>
              <w:noProof/>
              <w:szCs w:val="22"/>
              <w:lang w:eastAsia="ja-JP"/>
            </w:rPr>
          </w:pPr>
          <w:hyperlink w:anchor="_Toc79414109" w:history="1">
            <w:r w:rsidRPr="00060C45">
              <w:rPr>
                <w:rStyle w:val="Hyperlink"/>
                <w:rFonts w:cs="Arial"/>
                <w:noProof/>
              </w:rPr>
              <w:t>LIST OF TABLES</w:t>
            </w:r>
            <w:r>
              <w:rPr>
                <w:noProof/>
                <w:webHidden/>
              </w:rPr>
              <w:tab/>
            </w:r>
            <w:r>
              <w:rPr>
                <w:noProof/>
                <w:webHidden/>
              </w:rPr>
              <w:fldChar w:fldCharType="begin"/>
            </w:r>
            <w:r>
              <w:rPr>
                <w:noProof/>
                <w:webHidden/>
              </w:rPr>
              <w:instrText xml:space="preserve"> PAGEREF _Toc79414109 \h </w:instrText>
            </w:r>
            <w:r>
              <w:rPr>
                <w:noProof/>
                <w:webHidden/>
              </w:rPr>
            </w:r>
            <w:r>
              <w:rPr>
                <w:noProof/>
                <w:webHidden/>
              </w:rPr>
              <w:fldChar w:fldCharType="separate"/>
            </w:r>
            <w:r w:rsidR="00DD38EE">
              <w:rPr>
                <w:noProof/>
                <w:webHidden/>
              </w:rPr>
              <w:t>xi</w:t>
            </w:r>
            <w:r>
              <w:rPr>
                <w:noProof/>
                <w:webHidden/>
              </w:rPr>
              <w:fldChar w:fldCharType="end"/>
            </w:r>
          </w:hyperlink>
        </w:p>
        <w:p w14:paraId="2BA4C758" w14:textId="0FBE0ED1" w:rsidR="006F2D96" w:rsidRDefault="006F2D96">
          <w:pPr>
            <w:pStyle w:val="TOC1"/>
            <w:rPr>
              <w:rFonts w:asciiTheme="minorHAnsi" w:hAnsiTheme="minorHAnsi"/>
              <w:b w:val="0"/>
              <w:noProof/>
              <w:szCs w:val="22"/>
              <w:lang w:eastAsia="ja-JP"/>
            </w:rPr>
          </w:pPr>
          <w:hyperlink w:anchor="_Toc79414110" w:history="1">
            <w:r w:rsidRPr="00060C45">
              <w:rPr>
                <w:rStyle w:val="Hyperlink"/>
                <w:rFonts w:cs="Arial"/>
                <w:noProof/>
              </w:rPr>
              <w:t>LIST OF ABBREVIATIONS</w:t>
            </w:r>
            <w:r>
              <w:rPr>
                <w:noProof/>
                <w:webHidden/>
              </w:rPr>
              <w:tab/>
            </w:r>
            <w:r>
              <w:rPr>
                <w:noProof/>
                <w:webHidden/>
              </w:rPr>
              <w:fldChar w:fldCharType="begin"/>
            </w:r>
            <w:r>
              <w:rPr>
                <w:noProof/>
                <w:webHidden/>
              </w:rPr>
              <w:instrText xml:space="preserve"> PAGEREF _Toc79414110 \h </w:instrText>
            </w:r>
            <w:r>
              <w:rPr>
                <w:noProof/>
                <w:webHidden/>
              </w:rPr>
            </w:r>
            <w:r>
              <w:rPr>
                <w:noProof/>
                <w:webHidden/>
              </w:rPr>
              <w:fldChar w:fldCharType="separate"/>
            </w:r>
            <w:r w:rsidR="00DD38EE">
              <w:rPr>
                <w:noProof/>
                <w:webHidden/>
              </w:rPr>
              <w:t>xiii</w:t>
            </w:r>
            <w:r>
              <w:rPr>
                <w:noProof/>
                <w:webHidden/>
              </w:rPr>
              <w:fldChar w:fldCharType="end"/>
            </w:r>
          </w:hyperlink>
        </w:p>
        <w:p w14:paraId="6B8045F8" w14:textId="20531C82" w:rsidR="006F2D96" w:rsidRDefault="006F2D96">
          <w:pPr>
            <w:pStyle w:val="TOC1"/>
            <w:rPr>
              <w:rFonts w:asciiTheme="minorHAnsi" w:hAnsiTheme="minorHAnsi"/>
              <w:b w:val="0"/>
              <w:noProof/>
              <w:szCs w:val="22"/>
              <w:lang w:eastAsia="ja-JP"/>
            </w:rPr>
          </w:pPr>
          <w:hyperlink w:anchor="_Toc79414111" w:history="1">
            <w:r w:rsidRPr="00060C45">
              <w:rPr>
                <w:rStyle w:val="Hyperlink"/>
                <w:rFonts w:cs="Arial"/>
                <w:noProof/>
              </w:rPr>
              <w:t>LIST OF APPENDICES</w:t>
            </w:r>
            <w:r>
              <w:rPr>
                <w:noProof/>
                <w:webHidden/>
              </w:rPr>
              <w:tab/>
            </w:r>
            <w:r>
              <w:rPr>
                <w:noProof/>
                <w:webHidden/>
              </w:rPr>
              <w:fldChar w:fldCharType="begin"/>
            </w:r>
            <w:r>
              <w:rPr>
                <w:noProof/>
                <w:webHidden/>
              </w:rPr>
              <w:instrText xml:space="preserve"> PAGEREF _Toc79414111 \h </w:instrText>
            </w:r>
            <w:r>
              <w:rPr>
                <w:noProof/>
                <w:webHidden/>
              </w:rPr>
            </w:r>
            <w:r>
              <w:rPr>
                <w:noProof/>
                <w:webHidden/>
              </w:rPr>
              <w:fldChar w:fldCharType="separate"/>
            </w:r>
            <w:r w:rsidR="00DD38EE">
              <w:rPr>
                <w:noProof/>
                <w:webHidden/>
              </w:rPr>
              <w:t>xiv</w:t>
            </w:r>
            <w:r>
              <w:rPr>
                <w:noProof/>
                <w:webHidden/>
              </w:rPr>
              <w:fldChar w:fldCharType="end"/>
            </w:r>
          </w:hyperlink>
        </w:p>
        <w:p w14:paraId="3309347B" w14:textId="5F542925" w:rsidR="006F2D96" w:rsidRDefault="006F2D96">
          <w:pPr>
            <w:pStyle w:val="TOC1"/>
            <w:rPr>
              <w:rFonts w:asciiTheme="minorHAnsi" w:hAnsiTheme="minorHAnsi"/>
              <w:b w:val="0"/>
              <w:noProof/>
              <w:szCs w:val="22"/>
              <w:lang w:eastAsia="ja-JP"/>
            </w:rPr>
          </w:pPr>
          <w:hyperlink w:anchor="_Toc79414112" w:history="1">
            <w:r w:rsidRPr="00060C45">
              <w:rPr>
                <w:rStyle w:val="Hyperlink"/>
                <w:rFonts w:cs="Arial"/>
                <w:noProof/>
              </w:rPr>
              <w:t>COPYRIGHT DECLARATION</w:t>
            </w:r>
            <w:r>
              <w:rPr>
                <w:noProof/>
                <w:webHidden/>
              </w:rPr>
              <w:tab/>
            </w:r>
            <w:r>
              <w:rPr>
                <w:noProof/>
                <w:webHidden/>
              </w:rPr>
              <w:fldChar w:fldCharType="begin"/>
            </w:r>
            <w:r>
              <w:rPr>
                <w:noProof/>
                <w:webHidden/>
              </w:rPr>
              <w:instrText xml:space="preserve"> PAGEREF _Toc79414112 \h </w:instrText>
            </w:r>
            <w:r>
              <w:rPr>
                <w:noProof/>
                <w:webHidden/>
              </w:rPr>
            </w:r>
            <w:r>
              <w:rPr>
                <w:noProof/>
                <w:webHidden/>
              </w:rPr>
              <w:fldChar w:fldCharType="separate"/>
            </w:r>
            <w:r w:rsidR="00DD38EE">
              <w:rPr>
                <w:noProof/>
                <w:webHidden/>
              </w:rPr>
              <w:t>xv</w:t>
            </w:r>
            <w:r>
              <w:rPr>
                <w:noProof/>
                <w:webHidden/>
              </w:rPr>
              <w:fldChar w:fldCharType="end"/>
            </w:r>
          </w:hyperlink>
        </w:p>
        <w:p w14:paraId="032F100E" w14:textId="40ACE058" w:rsidR="006F2D96" w:rsidRDefault="006F2D96">
          <w:pPr>
            <w:pStyle w:val="TOC1"/>
            <w:rPr>
              <w:rFonts w:asciiTheme="minorHAnsi" w:hAnsiTheme="minorHAnsi"/>
              <w:b w:val="0"/>
              <w:noProof/>
              <w:szCs w:val="22"/>
              <w:lang w:eastAsia="ja-JP"/>
            </w:rPr>
          </w:pPr>
          <w:hyperlink w:anchor="_Toc79414113" w:history="1">
            <w:r w:rsidRPr="00060C45">
              <w:rPr>
                <w:rStyle w:val="Hyperlink"/>
                <w:rFonts w:cs="Arial"/>
                <w:noProof/>
              </w:rPr>
              <w:t>SCIENTIFIC PEER REVIEWED PUBLICATIONS DURING THE PERIOD OF THIS THESIS</w:t>
            </w:r>
            <w:r>
              <w:rPr>
                <w:noProof/>
                <w:webHidden/>
              </w:rPr>
              <w:tab/>
            </w:r>
            <w:r>
              <w:rPr>
                <w:noProof/>
                <w:webHidden/>
              </w:rPr>
              <w:fldChar w:fldCharType="begin"/>
            </w:r>
            <w:r>
              <w:rPr>
                <w:noProof/>
                <w:webHidden/>
              </w:rPr>
              <w:instrText xml:space="preserve"> PAGEREF _Toc79414113 \h </w:instrText>
            </w:r>
            <w:r>
              <w:rPr>
                <w:noProof/>
                <w:webHidden/>
              </w:rPr>
            </w:r>
            <w:r>
              <w:rPr>
                <w:noProof/>
                <w:webHidden/>
              </w:rPr>
              <w:fldChar w:fldCharType="separate"/>
            </w:r>
            <w:r w:rsidR="00DD38EE">
              <w:rPr>
                <w:noProof/>
                <w:webHidden/>
              </w:rPr>
              <w:t>1</w:t>
            </w:r>
            <w:r>
              <w:rPr>
                <w:noProof/>
                <w:webHidden/>
              </w:rPr>
              <w:fldChar w:fldCharType="end"/>
            </w:r>
          </w:hyperlink>
        </w:p>
        <w:p w14:paraId="3F87937F" w14:textId="572D5D3C" w:rsidR="006F2D96" w:rsidRDefault="006F2D96">
          <w:pPr>
            <w:pStyle w:val="TOC1"/>
            <w:rPr>
              <w:rFonts w:asciiTheme="minorHAnsi" w:hAnsiTheme="minorHAnsi"/>
              <w:b w:val="0"/>
              <w:noProof/>
              <w:szCs w:val="22"/>
              <w:lang w:eastAsia="ja-JP"/>
            </w:rPr>
          </w:pPr>
          <w:hyperlink w:anchor="_Toc79414114" w:history="1">
            <w:r w:rsidRPr="00060C45">
              <w:rPr>
                <w:rStyle w:val="Hyperlink"/>
                <w:rFonts w:cs="Arial"/>
                <w:noProof/>
              </w:rPr>
              <w:t>SOURCES OF DATA USED IN THIS RESEARCH</w:t>
            </w:r>
            <w:r>
              <w:rPr>
                <w:noProof/>
                <w:webHidden/>
              </w:rPr>
              <w:tab/>
            </w:r>
            <w:r>
              <w:rPr>
                <w:noProof/>
                <w:webHidden/>
              </w:rPr>
              <w:fldChar w:fldCharType="begin"/>
            </w:r>
            <w:r>
              <w:rPr>
                <w:noProof/>
                <w:webHidden/>
              </w:rPr>
              <w:instrText xml:space="preserve"> PAGEREF _Toc79414114 \h </w:instrText>
            </w:r>
            <w:r>
              <w:rPr>
                <w:noProof/>
                <w:webHidden/>
              </w:rPr>
            </w:r>
            <w:r>
              <w:rPr>
                <w:noProof/>
                <w:webHidden/>
              </w:rPr>
              <w:fldChar w:fldCharType="separate"/>
            </w:r>
            <w:r w:rsidR="00DD38EE">
              <w:rPr>
                <w:noProof/>
                <w:webHidden/>
              </w:rPr>
              <w:t>2</w:t>
            </w:r>
            <w:r>
              <w:rPr>
                <w:noProof/>
                <w:webHidden/>
              </w:rPr>
              <w:fldChar w:fldCharType="end"/>
            </w:r>
          </w:hyperlink>
        </w:p>
        <w:p w14:paraId="4F3241A2" w14:textId="07503055" w:rsidR="006F2D96" w:rsidRDefault="006F2D96">
          <w:pPr>
            <w:pStyle w:val="TOC1"/>
            <w:rPr>
              <w:rFonts w:asciiTheme="minorHAnsi" w:hAnsiTheme="minorHAnsi"/>
              <w:b w:val="0"/>
              <w:noProof/>
              <w:szCs w:val="22"/>
              <w:lang w:eastAsia="ja-JP"/>
            </w:rPr>
          </w:pPr>
          <w:hyperlink w:anchor="_Toc79414115" w:history="1">
            <w:r w:rsidRPr="00060C45">
              <w:rPr>
                <w:rStyle w:val="Hyperlink"/>
                <w:rFonts w:cs="Arial"/>
                <w:noProof/>
              </w:rPr>
              <w:t>CHAPTER ONE: AN INTRODUCTION TO THE PROFESSIONAL CONTEXT FOR THIS RESEARCH</w:t>
            </w:r>
            <w:r>
              <w:rPr>
                <w:noProof/>
                <w:webHidden/>
              </w:rPr>
              <w:tab/>
            </w:r>
            <w:r>
              <w:rPr>
                <w:noProof/>
                <w:webHidden/>
              </w:rPr>
              <w:fldChar w:fldCharType="begin"/>
            </w:r>
            <w:r>
              <w:rPr>
                <w:noProof/>
                <w:webHidden/>
              </w:rPr>
              <w:instrText xml:space="preserve"> PAGEREF _Toc79414115 \h </w:instrText>
            </w:r>
            <w:r>
              <w:rPr>
                <w:noProof/>
                <w:webHidden/>
              </w:rPr>
            </w:r>
            <w:r>
              <w:rPr>
                <w:noProof/>
                <w:webHidden/>
              </w:rPr>
              <w:fldChar w:fldCharType="separate"/>
            </w:r>
            <w:r w:rsidR="00DD38EE">
              <w:rPr>
                <w:noProof/>
                <w:webHidden/>
              </w:rPr>
              <w:t>4</w:t>
            </w:r>
            <w:r>
              <w:rPr>
                <w:noProof/>
                <w:webHidden/>
              </w:rPr>
              <w:fldChar w:fldCharType="end"/>
            </w:r>
          </w:hyperlink>
        </w:p>
        <w:p w14:paraId="560CD42B" w14:textId="7D2F96C5" w:rsidR="006F2D96" w:rsidRDefault="006F2D96">
          <w:pPr>
            <w:pStyle w:val="TOC2"/>
            <w:tabs>
              <w:tab w:val="right" w:leader="underscore" w:pos="9010"/>
            </w:tabs>
            <w:rPr>
              <w:rFonts w:asciiTheme="minorHAnsi" w:hAnsiTheme="minorHAnsi"/>
              <w:b w:val="0"/>
              <w:noProof/>
              <w:lang w:eastAsia="ja-JP"/>
            </w:rPr>
          </w:pPr>
          <w:hyperlink w:anchor="_Toc79414116" w:history="1">
            <w:r w:rsidRPr="00060C45">
              <w:rPr>
                <w:rStyle w:val="Hyperlink"/>
                <w:rFonts w:cs="Arial"/>
                <w:noProof/>
              </w:rPr>
              <w:t>1.1 INTRODUCTION</w:t>
            </w:r>
            <w:r>
              <w:rPr>
                <w:noProof/>
                <w:webHidden/>
              </w:rPr>
              <w:tab/>
            </w:r>
            <w:r>
              <w:rPr>
                <w:noProof/>
                <w:webHidden/>
              </w:rPr>
              <w:fldChar w:fldCharType="begin"/>
            </w:r>
            <w:r>
              <w:rPr>
                <w:noProof/>
                <w:webHidden/>
              </w:rPr>
              <w:instrText xml:space="preserve"> PAGEREF _Toc79414116 \h </w:instrText>
            </w:r>
            <w:r>
              <w:rPr>
                <w:noProof/>
                <w:webHidden/>
              </w:rPr>
            </w:r>
            <w:r>
              <w:rPr>
                <w:noProof/>
                <w:webHidden/>
              </w:rPr>
              <w:fldChar w:fldCharType="separate"/>
            </w:r>
            <w:r w:rsidR="00DD38EE">
              <w:rPr>
                <w:noProof/>
                <w:webHidden/>
              </w:rPr>
              <w:t>4</w:t>
            </w:r>
            <w:r>
              <w:rPr>
                <w:noProof/>
                <w:webHidden/>
              </w:rPr>
              <w:fldChar w:fldCharType="end"/>
            </w:r>
          </w:hyperlink>
        </w:p>
        <w:p w14:paraId="45345A2D" w14:textId="1F2F0185" w:rsidR="006F2D96" w:rsidRDefault="006F2D96">
          <w:pPr>
            <w:pStyle w:val="TOC2"/>
            <w:tabs>
              <w:tab w:val="right" w:leader="underscore" w:pos="9010"/>
            </w:tabs>
            <w:rPr>
              <w:rFonts w:asciiTheme="minorHAnsi" w:hAnsiTheme="minorHAnsi"/>
              <w:b w:val="0"/>
              <w:noProof/>
              <w:lang w:eastAsia="ja-JP"/>
            </w:rPr>
          </w:pPr>
          <w:hyperlink w:anchor="_Toc79414117" w:history="1">
            <w:r w:rsidRPr="00060C45">
              <w:rPr>
                <w:rStyle w:val="Hyperlink"/>
                <w:rFonts w:cs="Arial"/>
                <w:noProof/>
              </w:rPr>
              <w:t>1.2 PROFESSIONAL BACKGROUND AND CONTEXT FOR THIS RESEARCH</w:t>
            </w:r>
            <w:r>
              <w:rPr>
                <w:noProof/>
                <w:webHidden/>
              </w:rPr>
              <w:tab/>
            </w:r>
            <w:r>
              <w:rPr>
                <w:noProof/>
                <w:webHidden/>
              </w:rPr>
              <w:fldChar w:fldCharType="begin"/>
            </w:r>
            <w:r>
              <w:rPr>
                <w:noProof/>
                <w:webHidden/>
              </w:rPr>
              <w:instrText xml:space="preserve"> PAGEREF _Toc79414117 \h </w:instrText>
            </w:r>
            <w:r>
              <w:rPr>
                <w:noProof/>
                <w:webHidden/>
              </w:rPr>
            </w:r>
            <w:r>
              <w:rPr>
                <w:noProof/>
                <w:webHidden/>
              </w:rPr>
              <w:fldChar w:fldCharType="separate"/>
            </w:r>
            <w:r w:rsidR="00DD38EE">
              <w:rPr>
                <w:noProof/>
                <w:webHidden/>
              </w:rPr>
              <w:t>5</w:t>
            </w:r>
            <w:r>
              <w:rPr>
                <w:noProof/>
                <w:webHidden/>
              </w:rPr>
              <w:fldChar w:fldCharType="end"/>
            </w:r>
          </w:hyperlink>
        </w:p>
        <w:p w14:paraId="0474410D" w14:textId="41B22851" w:rsidR="006F2D96" w:rsidRDefault="006F2D96">
          <w:pPr>
            <w:pStyle w:val="TOC3"/>
            <w:tabs>
              <w:tab w:val="right" w:leader="underscore" w:pos="9010"/>
            </w:tabs>
            <w:rPr>
              <w:rFonts w:asciiTheme="minorHAnsi" w:hAnsiTheme="minorHAnsi"/>
              <w:noProof/>
              <w:lang w:eastAsia="ja-JP"/>
            </w:rPr>
          </w:pPr>
          <w:hyperlink w:anchor="_Toc79414118" w:history="1">
            <w:r w:rsidRPr="00060C45">
              <w:rPr>
                <w:rStyle w:val="Hyperlink"/>
                <w:rFonts w:cs="Arial"/>
                <w:noProof/>
              </w:rPr>
              <w:t>1.2.1 Professional background</w:t>
            </w:r>
            <w:r>
              <w:rPr>
                <w:noProof/>
                <w:webHidden/>
              </w:rPr>
              <w:tab/>
            </w:r>
            <w:r>
              <w:rPr>
                <w:noProof/>
                <w:webHidden/>
              </w:rPr>
              <w:fldChar w:fldCharType="begin"/>
            </w:r>
            <w:r>
              <w:rPr>
                <w:noProof/>
                <w:webHidden/>
              </w:rPr>
              <w:instrText xml:space="preserve"> PAGEREF _Toc79414118 \h </w:instrText>
            </w:r>
            <w:r>
              <w:rPr>
                <w:noProof/>
                <w:webHidden/>
              </w:rPr>
            </w:r>
            <w:r>
              <w:rPr>
                <w:noProof/>
                <w:webHidden/>
              </w:rPr>
              <w:fldChar w:fldCharType="separate"/>
            </w:r>
            <w:r w:rsidR="00DD38EE">
              <w:rPr>
                <w:noProof/>
                <w:webHidden/>
              </w:rPr>
              <w:t>5</w:t>
            </w:r>
            <w:r>
              <w:rPr>
                <w:noProof/>
                <w:webHidden/>
              </w:rPr>
              <w:fldChar w:fldCharType="end"/>
            </w:r>
          </w:hyperlink>
        </w:p>
        <w:p w14:paraId="7AF034E2" w14:textId="1C89FA3B" w:rsidR="006F2D96" w:rsidRDefault="006F2D96">
          <w:pPr>
            <w:pStyle w:val="TOC3"/>
            <w:tabs>
              <w:tab w:val="right" w:leader="underscore" w:pos="9010"/>
            </w:tabs>
            <w:rPr>
              <w:rFonts w:asciiTheme="minorHAnsi" w:hAnsiTheme="minorHAnsi"/>
              <w:noProof/>
              <w:lang w:eastAsia="ja-JP"/>
            </w:rPr>
          </w:pPr>
          <w:hyperlink w:anchor="_Toc79414119" w:history="1">
            <w:r w:rsidRPr="00060C45">
              <w:rPr>
                <w:rStyle w:val="Hyperlink"/>
                <w:rFonts w:cs="Arial"/>
                <w:noProof/>
              </w:rPr>
              <w:t>1.2.2 Cognitive behavioural therapy</w:t>
            </w:r>
            <w:r>
              <w:rPr>
                <w:noProof/>
                <w:webHidden/>
              </w:rPr>
              <w:tab/>
            </w:r>
            <w:r>
              <w:rPr>
                <w:noProof/>
                <w:webHidden/>
              </w:rPr>
              <w:fldChar w:fldCharType="begin"/>
            </w:r>
            <w:r>
              <w:rPr>
                <w:noProof/>
                <w:webHidden/>
              </w:rPr>
              <w:instrText xml:space="preserve"> PAGEREF _Toc79414119 \h </w:instrText>
            </w:r>
            <w:r>
              <w:rPr>
                <w:noProof/>
                <w:webHidden/>
              </w:rPr>
            </w:r>
            <w:r>
              <w:rPr>
                <w:noProof/>
                <w:webHidden/>
              </w:rPr>
              <w:fldChar w:fldCharType="separate"/>
            </w:r>
            <w:r w:rsidR="00DD38EE">
              <w:rPr>
                <w:noProof/>
                <w:webHidden/>
              </w:rPr>
              <w:t>5</w:t>
            </w:r>
            <w:r>
              <w:rPr>
                <w:noProof/>
                <w:webHidden/>
              </w:rPr>
              <w:fldChar w:fldCharType="end"/>
            </w:r>
          </w:hyperlink>
        </w:p>
        <w:p w14:paraId="6C29C5E6" w14:textId="74515B2E" w:rsidR="006F2D96" w:rsidRDefault="006F2D96">
          <w:pPr>
            <w:pStyle w:val="TOC3"/>
            <w:tabs>
              <w:tab w:val="right" w:leader="underscore" w:pos="9010"/>
            </w:tabs>
            <w:rPr>
              <w:rFonts w:asciiTheme="minorHAnsi" w:hAnsiTheme="minorHAnsi"/>
              <w:noProof/>
              <w:lang w:eastAsia="ja-JP"/>
            </w:rPr>
          </w:pPr>
          <w:hyperlink w:anchor="_Toc79414120" w:history="1">
            <w:r w:rsidRPr="00060C45">
              <w:rPr>
                <w:rStyle w:val="Hyperlink"/>
                <w:rFonts w:cs="Arial"/>
                <w:noProof/>
              </w:rPr>
              <w:t>1.2.3 Scientist practitioner stance: epistemic and ontological beliefs</w:t>
            </w:r>
            <w:r>
              <w:rPr>
                <w:noProof/>
                <w:webHidden/>
              </w:rPr>
              <w:tab/>
            </w:r>
            <w:r>
              <w:rPr>
                <w:noProof/>
                <w:webHidden/>
              </w:rPr>
              <w:fldChar w:fldCharType="begin"/>
            </w:r>
            <w:r>
              <w:rPr>
                <w:noProof/>
                <w:webHidden/>
              </w:rPr>
              <w:instrText xml:space="preserve"> PAGEREF _Toc79414120 \h </w:instrText>
            </w:r>
            <w:r>
              <w:rPr>
                <w:noProof/>
                <w:webHidden/>
              </w:rPr>
            </w:r>
            <w:r>
              <w:rPr>
                <w:noProof/>
                <w:webHidden/>
              </w:rPr>
              <w:fldChar w:fldCharType="separate"/>
            </w:r>
            <w:r w:rsidR="00DD38EE">
              <w:rPr>
                <w:noProof/>
                <w:webHidden/>
              </w:rPr>
              <w:t>6</w:t>
            </w:r>
            <w:r>
              <w:rPr>
                <w:noProof/>
                <w:webHidden/>
              </w:rPr>
              <w:fldChar w:fldCharType="end"/>
            </w:r>
          </w:hyperlink>
        </w:p>
        <w:p w14:paraId="1999F5E1" w14:textId="2B714ADD" w:rsidR="006F2D96" w:rsidRDefault="006F2D96">
          <w:pPr>
            <w:pStyle w:val="TOC3"/>
            <w:tabs>
              <w:tab w:val="right" w:leader="underscore" w:pos="9010"/>
            </w:tabs>
            <w:rPr>
              <w:rFonts w:asciiTheme="minorHAnsi" w:hAnsiTheme="minorHAnsi"/>
              <w:noProof/>
              <w:lang w:eastAsia="ja-JP"/>
            </w:rPr>
          </w:pPr>
          <w:hyperlink w:anchor="_Toc79414121" w:history="1">
            <w:r w:rsidRPr="00060C45">
              <w:rPr>
                <w:rStyle w:val="Hyperlink"/>
                <w:noProof/>
              </w:rPr>
              <w:t>1.2.4 Current role and observations</w:t>
            </w:r>
            <w:r>
              <w:rPr>
                <w:noProof/>
                <w:webHidden/>
              </w:rPr>
              <w:tab/>
            </w:r>
            <w:r>
              <w:rPr>
                <w:noProof/>
                <w:webHidden/>
              </w:rPr>
              <w:fldChar w:fldCharType="begin"/>
            </w:r>
            <w:r>
              <w:rPr>
                <w:noProof/>
                <w:webHidden/>
              </w:rPr>
              <w:instrText xml:space="preserve"> PAGEREF _Toc79414121 \h </w:instrText>
            </w:r>
            <w:r>
              <w:rPr>
                <w:noProof/>
                <w:webHidden/>
              </w:rPr>
            </w:r>
            <w:r>
              <w:rPr>
                <w:noProof/>
                <w:webHidden/>
              </w:rPr>
              <w:fldChar w:fldCharType="separate"/>
            </w:r>
            <w:r w:rsidR="00DD38EE">
              <w:rPr>
                <w:noProof/>
                <w:webHidden/>
              </w:rPr>
              <w:t>8</w:t>
            </w:r>
            <w:r>
              <w:rPr>
                <w:noProof/>
                <w:webHidden/>
              </w:rPr>
              <w:fldChar w:fldCharType="end"/>
            </w:r>
          </w:hyperlink>
        </w:p>
        <w:p w14:paraId="427A6CD0" w14:textId="4146E506" w:rsidR="006F2D96" w:rsidRDefault="006F2D96">
          <w:pPr>
            <w:pStyle w:val="TOC3"/>
            <w:tabs>
              <w:tab w:val="right" w:leader="underscore" w:pos="9010"/>
            </w:tabs>
            <w:rPr>
              <w:rFonts w:asciiTheme="minorHAnsi" w:hAnsiTheme="minorHAnsi"/>
              <w:noProof/>
              <w:lang w:eastAsia="ja-JP"/>
            </w:rPr>
          </w:pPr>
          <w:hyperlink w:anchor="_Toc79414122" w:history="1">
            <w:r w:rsidRPr="00060C45">
              <w:rPr>
                <w:rStyle w:val="Hyperlink"/>
                <w:rFonts w:cs="Arial"/>
                <w:noProof/>
              </w:rPr>
              <w:t>1.2.5 Rationale for this research</w:t>
            </w:r>
            <w:r>
              <w:rPr>
                <w:noProof/>
                <w:webHidden/>
              </w:rPr>
              <w:tab/>
            </w:r>
            <w:r>
              <w:rPr>
                <w:noProof/>
                <w:webHidden/>
              </w:rPr>
              <w:fldChar w:fldCharType="begin"/>
            </w:r>
            <w:r>
              <w:rPr>
                <w:noProof/>
                <w:webHidden/>
              </w:rPr>
              <w:instrText xml:space="preserve"> PAGEREF _Toc79414122 \h </w:instrText>
            </w:r>
            <w:r>
              <w:rPr>
                <w:noProof/>
                <w:webHidden/>
              </w:rPr>
            </w:r>
            <w:r>
              <w:rPr>
                <w:noProof/>
                <w:webHidden/>
              </w:rPr>
              <w:fldChar w:fldCharType="separate"/>
            </w:r>
            <w:r w:rsidR="00DD38EE">
              <w:rPr>
                <w:noProof/>
                <w:webHidden/>
              </w:rPr>
              <w:t>9</w:t>
            </w:r>
            <w:r>
              <w:rPr>
                <w:noProof/>
                <w:webHidden/>
              </w:rPr>
              <w:fldChar w:fldCharType="end"/>
            </w:r>
          </w:hyperlink>
        </w:p>
        <w:p w14:paraId="6DAD4A9E" w14:textId="6C7ADC28" w:rsidR="006F2D96" w:rsidRDefault="006F2D96">
          <w:pPr>
            <w:pStyle w:val="TOC3"/>
            <w:tabs>
              <w:tab w:val="right" w:leader="underscore" w:pos="9010"/>
            </w:tabs>
            <w:rPr>
              <w:rFonts w:asciiTheme="minorHAnsi" w:hAnsiTheme="minorHAnsi"/>
              <w:noProof/>
              <w:lang w:eastAsia="ja-JP"/>
            </w:rPr>
          </w:pPr>
          <w:hyperlink w:anchor="_Toc79414123" w:history="1">
            <w:r w:rsidRPr="00060C45">
              <w:rPr>
                <w:rStyle w:val="Hyperlink"/>
                <w:rFonts w:cs="Arial"/>
                <w:noProof/>
              </w:rPr>
              <w:t>1.2.6 Defining the term ‘therapist variables’</w:t>
            </w:r>
            <w:r>
              <w:rPr>
                <w:noProof/>
                <w:webHidden/>
              </w:rPr>
              <w:tab/>
            </w:r>
            <w:r>
              <w:rPr>
                <w:noProof/>
                <w:webHidden/>
              </w:rPr>
              <w:fldChar w:fldCharType="begin"/>
            </w:r>
            <w:r>
              <w:rPr>
                <w:noProof/>
                <w:webHidden/>
              </w:rPr>
              <w:instrText xml:space="preserve"> PAGEREF _Toc79414123 \h </w:instrText>
            </w:r>
            <w:r>
              <w:rPr>
                <w:noProof/>
                <w:webHidden/>
              </w:rPr>
            </w:r>
            <w:r>
              <w:rPr>
                <w:noProof/>
                <w:webHidden/>
              </w:rPr>
              <w:fldChar w:fldCharType="separate"/>
            </w:r>
            <w:r w:rsidR="00DD38EE">
              <w:rPr>
                <w:noProof/>
                <w:webHidden/>
              </w:rPr>
              <w:t>10</w:t>
            </w:r>
            <w:r>
              <w:rPr>
                <w:noProof/>
                <w:webHidden/>
              </w:rPr>
              <w:fldChar w:fldCharType="end"/>
            </w:r>
          </w:hyperlink>
        </w:p>
        <w:p w14:paraId="2C146E2F" w14:textId="47F67C6C" w:rsidR="006F2D96" w:rsidRDefault="006F2D96">
          <w:pPr>
            <w:pStyle w:val="TOC3"/>
            <w:tabs>
              <w:tab w:val="right" w:leader="underscore" w:pos="9010"/>
            </w:tabs>
            <w:rPr>
              <w:rFonts w:asciiTheme="minorHAnsi" w:hAnsiTheme="minorHAnsi"/>
              <w:noProof/>
              <w:lang w:eastAsia="ja-JP"/>
            </w:rPr>
          </w:pPr>
          <w:hyperlink w:anchor="_Toc79414124" w:history="1">
            <w:r w:rsidRPr="00060C45">
              <w:rPr>
                <w:rStyle w:val="Hyperlink"/>
                <w:rFonts w:cs="Arial"/>
                <w:noProof/>
              </w:rPr>
              <w:t>1.2.7 Defining the term ‘therapist effects’</w:t>
            </w:r>
            <w:r>
              <w:rPr>
                <w:noProof/>
                <w:webHidden/>
              </w:rPr>
              <w:tab/>
            </w:r>
            <w:r>
              <w:rPr>
                <w:noProof/>
                <w:webHidden/>
              </w:rPr>
              <w:fldChar w:fldCharType="begin"/>
            </w:r>
            <w:r>
              <w:rPr>
                <w:noProof/>
                <w:webHidden/>
              </w:rPr>
              <w:instrText xml:space="preserve"> PAGEREF _Toc79414124 \h </w:instrText>
            </w:r>
            <w:r>
              <w:rPr>
                <w:noProof/>
                <w:webHidden/>
              </w:rPr>
            </w:r>
            <w:r>
              <w:rPr>
                <w:noProof/>
                <w:webHidden/>
              </w:rPr>
              <w:fldChar w:fldCharType="separate"/>
            </w:r>
            <w:r w:rsidR="00DD38EE">
              <w:rPr>
                <w:noProof/>
                <w:webHidden/>
              </w:rPr>
              <w:t>10</w:t>
            </w:r>
            <w:r>
              <w:rPr>
                <w:noProof/>
                <w:webHidden/>
              </w:rPr>
              <w:fldChar w:fldCharType="end"/>
            </w:r>
          </w:hyperlink>
        </w:p>
        <w:p w14:paraId="26D3D260" w14:textId="42F3E0D7" w:rsidR="006F2D96" w:rsidRDefault="006F2D96">
          <w:pPr>
            <w:pStyle w:val="TOC2"/>
            <w:tabs>
              <w:tab w:val="right" w:leader="underscore" w:pos="9010"/>
            </w:tabs>
            <w:rPr>
              <w:rFonts w:asciiTheme="minorHAnsi" w:hAnsiTheme="minorHAnsi"/>
              <w:b w:val="0"/>
              <w:noProof/>
              <w:lang w:eastAsia="ja-JP"/>
            </w:rPr>
          </w:pPr>
          <w:hyperlink w:anchor="_Toc79414125" w:history="1">
            <w:r w:rsidRPr="00060C45">
              <w:rPr>
                <w:rStyle w:val="Hyperlink"/>
                <w:rFonts w:cs="Arial"/>
                <w:noProof/>
              </w:rPr>
              <w:t>1.3 OVERVIEW OF THIS THESIS</w:t>
            </w:r>
            <w:r>
              <w:rPr>
                <w:noProof/>
                <w:webHidden/>
              </w:rPr>
              <w:tab/>
            </w:r>
            <w:r>
              <w:rPr>
                <w:noProof/>
                <w:webHidden/>
              </w:rPr>
              <w:fldChar w:fldCharType="begin"/>
            </w:r>
            <w:r>
              <w:rPr>
                <w:noProof/>
                <w:webHidden/>
              </w:rPr>
              <w:instrText xml:space="preserve"> PAGEREF _Toc79414125 \h </w:instrText>
            </w:r>
            <w:r>
              <w:rPr>
                <w:noProof/>
                <w:webHidden/>
              </w:rPr>
            </w:r>
            <w:r>
              <w:rPr>
                <w:noProof/>
                <w:webHidden/>
              </w:rPr>
              <w:fldChar w:fldCharType="separate"/>
            </w:r>
            <w:r w:rsidR="00DD38EE">
              <w:rPr>
                <w:noProof/>
                <w:webHidden/>
              </w:rPr>
              <w:t>11</w:t>
            </w:r>
            <w:r>
              <w:rPr>
                <w:noProof/>
                <w:webHidden/>
              </w:rPr>
              <w:fldChar w:fldCharType="end"/>
            </w:r>
          </w:hyperlink>
        </w:p>
        <w:p w14:paraId="273A636D" w14:textId="695B7DCC" w:rsidR="006F2D96" w:rsidRDefault="006F2D96">
          <w:pPr>
            <w:pStyle w:val="TOC2"/>
            <w:tabs>
              <w:tab w:val="right" w:leader="underscore" w:pos="9010"/>
            </w:tabs>
            <w:rPr>
              <w:rFonts w:asciiTheme="minorHAnsi" w:hAnsiTheme="minorHAnsi"/>
              <w:b w:val="0"/>
              <w:noProof/>
              <w:lang w:eastAsia="ja-JP"/>
            </w:rPr>
          </w:pPr>
          <w:hyperlink w:anchor="_Toc79414126" w:history="1">
            <w:r w:rsidRPr="00060C45">
              <w:rPr>
                <w:rStyle w:val="Hyperlink"/>
                <w:rFonts w:cs="Arial"/>
                <w:noProof/>
              </w:rPr>
              <w:t>1.4 CONCLUSION</w:t>
            </w:r>
            <w:r>
              <w:rPr>
                <w:noProof/>
                <w:webHidden/>
              </w:rPr>
              <w:tab/>
            </w:r>
            <w:r>
              <w:rPr>
                <w:noProof/>
                <w:webHidden/>
              </w:rPr>
              <w:fldChar w:fldCharType="begin"/>
            </w:r>
            <w:r>
              <w:rPr>
                <w:noProof/>
                <w:webHidden/>
              </w:rPr>
              <w:instrText xml:space="preserve"> PAGEREF _Toc79414126 \h </w:instrText>
            </w:r>
            <w:r>
              <w:rPr>
                <w:noProof/>
                <w:webHidden/>
              </w:rPr>
            </w:r>
            <w:r>
              <w:rPr>
                <w:noProof/>
                <w:webHidden/>
              </w:rPr>
              <w:fldChar w:fldCharType="separate"/>
            </w:r>
            <w:r w:rsidR="00DD38EE">
              <w:rPr>
                <w:noProof/>
                <w:webHidden/>
              </w:rPr>
              <w:t>16</w:t>
            </w:r>
            <w:r>
              <w:rPr>
                <w:noProof/>
                <w:webHidden/>
              </w:rPr>
              <w:fldChar w:fldCharType="end"/>
            </w:r>
          </w:hyperlink>
        </w:p>
        <w:p w14:paraId="06050912" w14:textId="78CB1CD3" w:rsidR="006F2D96" w:rsidRDefault="006F2D96">
          <w:pPr>
            <w:pStyle w:val="TOC1"/>
            <w:rPr>
              <w:rFonts w:asciiTheme="minorHAnsi" w:hAnsiTheme="minorHAnsi"/>
              <w:b w:val="0"/>
              <w:noProof/>
              <w:szCs w:val="22"/>
              <w:lang w:eastAsia="ja-JP"/>
            </w:rPr>
          </w:pPr>
          <w:hyperlink w:anchor="_Toc79414127" w:history="1">
            <w:r w:rsidRPr="00060C45">
              <w:rPr>
                <w:rStyle w:val="Hyperlink"/>
                <w:rFonts w:cs="Arial"/>
                <w:noProof/>
              </w:rPr>
              <w:t>CHAPTER TWO: THE IMPROVING ACCESS TO PSYCHOLOGICAL THERAPIES (IAPT) PROGRAMME</w:t>
            </w:r>
            <w:r>
              <w:rPr>
                <w:noProof/>
                <w:webHidden/>
              </w:rPr>
              <w:tab/>
            </w:r>
            <w:r>
              <w:rPr>
                <w:noProof/>
                <w:webHidden/>
              </w:rPr>
              <w:fldChar w:fldCharType="begin"/>
            </w:r>
            <w:r>
              <w:rPr>
                <w:noProof/>
                <w:webHidden/>
              </w:rPr>
              <w:instrText xml:space="preserve"> PAGEREF _Toc79414127 \h </w:instrText>
            </w:r>
            <w:r>
              <w:rPr>
                <w:noProof/>
                <w:webHidden/>
              </w:rPr>
            </w:r>
            <w:r>
              <w:rPr>
                <w:noProof/>
                <w:webHidden/>
              </w:rPr>
              <w:fldChar w:fldCharType="separate"/>
            </w:r>
            <w:r w:rsidR="00DD38EE">
              <w:rPr>
                <w:noProof/>
                <w:webHidden/>
              </w:rPr>
              <w:t>18</w:t>
            </w:r>
            <w:r>
              <w:rPr>
                <w:noProof/>
                <w:webHidden/>
              </w:rPr>
              <w:fldChar w:fldCharType="end"/>
            </w:r>
          </w:hyperlink>
        </w:p>
        <w:p w14:paraId="0A399B0F" w14:textId="4A5AB587" w:rsidR="006F2D96" w:rsidRDefault="006F2D96">
          <w:pPr>
            <w:pStyle w:val="TOC2"/>
            <w:tabs>
              <w:tab w:val="right" w:leader="underscore" w:pos="9010"/>
            </w:tabs>
            <w:rPr>
              <w:rFonts w:asciiTheme="minorHAnsi" w:hAnsiTheme="minorHAnsi"/>
              <w:b w:val="0"/>
              <w:noProof/>
              <w:lang w:eastAsia="ja-JP"/>
            </w:rPr>
          </w:pPr>
          <w:hyperlink w:anchor="_Toc79414128" w:history="1">
            <w:r w:rsidRPr="00060C45">
              <w:rPr>
                <w:rStyle w:val="Hyperlink"/>
                <w:rFonts w:cs="Arial"/>
                <w:noProof/>
              </w:rPr>
              <w:t>2.1 INTRODUCTION</w:t>
            </w:r>
            <w:r>
              <w:rPr>
                <w:noProof/>
                <w:webHidden/>
              </w:rPr>
              <w:tab/>
            </w:r>
            <w:r>
              <w:rPr>
                <w:noProof/>
                <w:webHidden/>
              </w:rPr>
              <w:fldChar w:fldCharType="begin"/>
            </w:r>
            <w:r>
              <w:rPr>
                <w:noProof/>
                <w:webHidden/>
              </w:rPr>
              <w:instrText xml:space="preserve"> PAGEREF _Toc79414128 \h </w:instrText>
            </w:r>
            <w:r>
              <w:rPr>
                <w:noProof/>
                <w:webHidden/>
              </w:rPr>
            </w:r>
            <w:r>
              <w:rPr>
                <w:noProof/>
                <w:webHidden/>
              </w:rPr>
              <w:fldChar w:fldCharType="separate"/>
            </w:r>
            <w:r w:rsidR="00DD38EE">
              <w:rPr>
                <w:noProof/>
                <w:webHidden/>
              </w:rPr>
              <w:t>18</w:t>
            </w:r>
            <w:r>
              <w:rPr>
                <w:noProof/>
                <w:webHidden/>
              </w:rPr>
              <w:fldChar w:fldCharType="end"/>
            </w:r>
          </w:hyperlink>
        </w:p>
        <w:p w14:paraId="5EFE45AB" w14:textId="4362EC81" w:rsidR="006F2D96" w:rsidRDefault="006F2D96">
          <w:pPr>
            <w:pStyle w:val="TOC2"/>
            <w:tabs>
              <w:tab w:val="right" w:leader="underscore" w:pos="9010"/>
            </w:tabs>
            <w:rPr>
              <w:rFonts w:asciiTheme="minorHAnsi" w:hAnsiTheme="minorHAnsi"/>
              <w:b w:val="0"/>
              <w:noProof/>
              <w:lang w:eastAsia="ja-JP"/>
            </w:rPr>
          </w:pPr>
          <w:hyperlink w:anchor="_Toc79414129" w:history="1">
            <w:r w:rsidRPr="00060C45">
              <w:rPr>
                <w:rStyle w:val="Hyperlink"/>
                <w:rFonts w:cs="Arial"/>
                <w:noProof/>
              </w:rPr>
              <w:t>2.2 THE DEVELOPMENT OF THE IAPT PROGRAMME</w:t>
            </w:r>
            <w:r>
              <w:rPr>
                <w:noProof/>
                <w:webHidden/>
              </w:rPr>
              <w:tab/>
            </w:r>
            <w:r>
              <w:rPr>
                <w:noProof/>
                <w:webHidden/>
              </w:rPr>
              <w:fldChar w:fldCharType="begin"/>
            </w:r>
            <w:r>
              <w:rPr>
                <w:noProof/>
                <w:webHidden/>
              </w:rPr>
              <w:instrText xml:space="preserve"> PAGEREF _Toc79414129 \h </w:instrText>
            </w:r>
            <w:r>
              <w:rPr>
                <w:noProof/>
                <w:webHidden/>
              </w:rPr>
            </w:r>
            <w:r>
              <w:rPr>
                <w:noProof/>
                <w:webHidden/>
              </w:rPr>
              <w:fldChar w:fldCharType="separate"/>
            </w:r>
            <w:r w:rsidR="00DD38EE">
              <w:rPr>
                <w:noProof/>
                <w:webHidden/>
              </w:rPr>
              <w:t>19</w:t>
            </w:r>
            <w:r>
              <w:rPr>
                <w:noProof/>
                <w:webHidden/>
              </w:rPr>
              <w:fldChar w:fldCharType="end"/>
            </w:r>
          </w:hyperlink>
        </w:p>
        <w:p w14:paraId="5BC3AC4D" w14:textId="44204FB5" w:rsidR="006F2D96" w:rsidRDefault="006F2D96">
          <w:pPr>
            <w:pStyle w:val="TOC3"/>
            <w:tabs>
              <w:tab w:val="right" w:leader="underscore" w:pos="9010"/>
            </w:tabs>
            <w:rPr>
              <w:rFonts w:asciiTheme="minorHAnsi" w:hAnsiTheme="minorHAnsi"/>
              <w:noProof/>
              <w:lang w:eastAsia="ja-JP"/>
            </w:rPr>
          </w:pPr>
          <w:hyperlink w:anchor="_Toc79414130" w:history="1">
            <w:r w:rsidRPr="00060C45">
              <w:rPr>
                <w:rStyle w:val="Hyperlink"/>
                <w:rFonts w:cs="Arial"/>
                <w:noProof/>
              </w:rPr>
              <w:t>2.2.1 The Stepped Care Model</w:t>
            </w:r>
            <w:r>
              <w:rPr>
                <w:noProof/>
                <w:webHidden/>
              </w:rPr>
              <w:tab/>
            </w:r>
            <w:r>
              <w:rPr>
                <w:noProof/>
                <w:webHidden/>
              </w:rPr>
              <w:fldChar w:fldCharType="begin"/>
            </w:r>
            <w:r>
              <w:rPr>
                <w:noProof/>
                <w:webHidden/>
              </w:rPr>
              <w:instrText xml:space="preserve"> PAGEREF _Toc79414130 \h </w:instrText>
            </w:r>
            <w:r>
              <w:rPr>
                <w:noProof/>
                <w:webHidden/>
              </w:rPr>
            </w:r>
            <w:r>
              <w:rPr>
                <w:noProof/>
                <w:webHidden/>
              </w:rPr>
              <w:fldChar w:fldCharType="separate"/>
            </w:r>
            <w:r w:rsidR="00DD38EE">
              <w:rPr>
                <w:noProof/>
                <w:webHidden/>
              </w:rPr>
              <w:t>23</w:t>
            </w:r>
            <w:r>
              <w:rPr>
                <w:noProof/>
                <w:webHidden/>
              </w:rPr>
              <w:fldChar w:fldCharType="end"/>
            </w:r>
          </w:hyperlink>
        </w:p>
        <w:p w14:paraId="7CB5F77C" w14:textId="2E088F25" w:rsidR="006F2D96" w:rsidRDefault="006F2D96">
          <w:pPr>
            <w:pStyle w:val="TOC3"/>
            <w:tabs>
              <w:tab w:val="right" w:leader="underscore" w:pos="9010"/>
            </w:tabs>
            <w:rPr>
              <w:rFonts w:asciiTheme="minorHAnsi" w:hAnsiTheme="minorHAnsi"/>
              <w:noProof/>
              <w:lang w:eastAsia="ja-JP"/>
            </w:rPr>
          </w:pPr>
          <w:hyperlink w:anchor="_Toc79414131" w:history="1">
            <w:r w:rsidRPr="00060C45">
              <w:rPr>
                <w:rStyle w:val="Hyperlink"/>
                <w:rFonts w:cs="Arial"/>
                <w:noProof/>
              </w:rPr>
              <w:t>2.2.2 The Use of Routine Clinical Outcome Monitoring</w:t>
            </w:r>
            <w:r>
              <w:rPr>
                <w:noProof/>
                <w:webHidden/>
              </w:rPr>
              <w:tab/>
            </w:r>
            <w:r>
              <w:rPr>
                <w:noProof/>
                <w:webHidden/>
              </w:rPr>
              <w:fldChar w:fldCharType="begin"/>
            </w:r>
            <w:r>
              <w:rPr>
                <w:noProof/>
                <w:webHidden/>
              </w:rPr>
              <w:instrText xml:space="preserve"> PAGEREF _Toc79414131 \h </w:instrText>
            </w:r>
            <w:r>
              <w:rPr>
                <w:noProof/>
                <w:webHidden/>
              </w:rPr>
            </w:r>
            <w:r>
              <w:rPr>
                <w:noProof/>
                <w:webHidden/>
              </w:rPr>
              <w:fldChar w:fldCharType="separate"/>
            </w:r>
            <w:r w:rsidR="00DD38EE">
              <w:rPr>
                <w:noProof/>
                <w:webHidden/>
              </w:rPr>
              <w:t>28</w:t>
            </w:r>
            <w:r>
              <w:rPr>
                <w:noProof/>
                <w:webHidden/>
              </w:rPr>
              <w:fldChar w:fldCharType="end"/>
            </w:r>
          </w:hyperlink>
        </w:p>
        <w:p w14:paraId="6BE4575D" w14:textId="51E1C168" w:rsidR="006F2D96" w:rsidRDefault="006F2D96">
          <w:pPr>
            <w:pStyle w:val="TOC3"/>
            <w:tabs>
              <w:tab w:val="right" w:leader="underscore" w:pos="9010"/>
            </w:tabs>
            <w:rPr>
              <w:rFonts w:asciiTheme="minorHAnsi" w:hAnsiTheme="minorHAnsi"/>
              <w:noProof/>
              <w:lang w:eastAsia="ja-JP"/>
            </w:rPr>
          </w:pPr>
          <w:hyperlink w:anchor="_Toc79414132" w:history="1">
            <w:r w:rsidRPr="00060C45">
              <w:rPr>
                <w:rStyle w:val="Hyperlink"/>
                <w:rFonts w:cs="Arial"/>
                <w:noProof/>
              </w:rPr>
              <w:t>2.2.3 The mandatory use of outcomes-based supervision</w:t>
            </w:r>
            <w:r>
              <w:rPr>
                <w:noProof/>
                <w:webHidden/>
              </w:rPr>
              <w:tab/>
            </w:r>
            <w:r>
              <w:rPr>
                <w:noProof/>
                <w:webHidden/>
              </w:rPr>
              <w:fldChar w:fldCharType="begin"/>
            </w:r>
            <w:r>
              <w:rPr>
                <w:noProof/>
                <w:webHidden/>
              </w:rPr>
              <w:instrText xml:space="preserve"> PAGEREF _Toc79414132 \h </w:instrText>
            </w:r>
            <w:r>
              <w:rPr>
                <w:noProof/>
                <w:webHidden/>
              </w:rPr>
            </w:r>
            <w:r>
              <w:rPr>
                <w:noProof/>
                <w:webHidden/>
              </w:rPr>
              <w:fldChar w:fldCharType="separate"/>
            </w:r>
            <w:r w:rsidR="00DD38EE">
              <w:rPr>
                <w:noProof/>
                <w:webHidden/>
              </w:rPr>
              <w:t>29</w:t>
            </w:r>
            <w:r>
              <w:rPr>
                <w:noProof/>
                <w:webHidden/>
              </w:rPr>
              <w:fldChar w:fldCharType="end"/>
            </w:r>
          </w:hyperlink>
        </w:p>
        <w:p w14:paraId="31F88CC9" w14:textId="233A4FB8" w:rsidR="006F2D96" w:rsidRDefault="006F2D96">
          <w:pPr>
            <w:pStyle w:val="TOC2"/>
            <w:tabs>
              <w:tab w:val="right" w:leader="underscore" w:pos="9010"/>
            </w:tabs>
            <w:rPr>
              <w:rFonts w:asciiTheme="minorHAnsi" w:hAnsiTheme="minorHAnsi"/>
              <w:b w:val="0"/>
              <w:noProof/>
              <w:lang w:eastAsia="ja-JP"/>
            </w:rPr>
          </w:pPr>
          <w:hyperlink w:anchor="_Toc79414133" w:history="1">
            <w:r w:rsidRPr="00060C45">
              <w:rPr>
                <w:rStyle w:val="Hyperlink"/>
                <w:rFonts w:cs="Arial"/>
                <w:noProof/>
              </w:rPr>
              <w:t>2.3 BUILDING THE IAPT WORKFORCE</w:t>
            </w:r>
            <w:r>
              <w:rPr>
                <w:noProof/>
                <w:webHidden/>
              </w:rPr>
              <w:tab/>
            </w:r>
            <w:r>
              <w:rPr>
                <w:noProof/>
                <w:webHidden/>
              </w:rPr>
              <w:fldChar w:fldCharType="begin"/>
            </w:r>
            <w:r>
              <w:rPr>
                <w:noProof/>
                <w:webHidden/>
              </w:rPr>
              <w:instrText xml:space="preserve"> PAGEREF _Toc79414133 \h </w:instrText>
            </w:r>
            <w:r>
              <w:rPr>
                <w:noProof/>
                <w:webHidden/>
              </w:rPr>
            </w:r>
            <w:r>
              <w:rPr>
                <w:noProof/>
                <w:webHidden/>
              </w:rPr>
              <w:fldChar w:fldCharType="separate"/>
            </w:r>
            <w:r w:rsidR="00DD38EE">
              <w:rPr>
                <w:noProof/>
                <w:webHidden/>
              </w:rPr>
              <w:t>30</w:t>
            </w:r>
            <w:r>
              <w:rPr>
                <w:noProof/>
                <w:webHidden/>
              </w:rPr>
              <w:fldChar w:fldCharType="end"/>
            </w:r>
          </w:hyperlink>
        </w:p>
        <w:p w14:paraId="273DDA8E" w14:textId="1AC91E7D" w:rsidR="006F2D96" w:rsidRDefault="006F2D96">
          <w:pPr>
            <w:pStyle w:val="TOC3"/>
            <w:tabs>
              <w:tab w:val="right" w:leader="underscore" w:pos="9010"/>
            </w:tabs>
            <w:rPr>
              <w:rFonts w:asciiTheme="minorHAnsi" w:hAnsiTheme="minorHAnsi"/>
              <w:noProof/>
              <w:lang w:eastAsia="ja-JP"/>
            </w:rPr>
          </w:pPr>
          <w:hyperlink w:anchor="_Toc79414134" w:history="1">
            <w:r w:rsidRPr="00060C45">
              <w:rPr>
                <w:rStyle w:val="Hyperlink"/>
                <w:rFonts w:cs="Arial"/>
                <w:noProof/>
              </w:rPr>
              <w:t>2.3.1 Psychological Wellbeing Practitioners (PWP)</w:t>
            </w:r>
            <w:r>
              <w:rPr>
                <w:noProof/>
                <w:webHidden/>
              </w:rPr>
              <w:tab/>
            </w:r>
            <w:r>
              <w:rPr>
                <w:noProof/>
                <w:webHidden/>
              </w:rPr>
              <w:fldChar w:fldCharType="begin"/>
            </w:r>
            <w:r>
              <w:rPr>
                <w:noProof/>
                <w:webHidden/>
              </w:rPr>
              <w:instrText xml:space="preserve"> PAGEREF _Toc79414134 \h </w:instrText>
            </w:r>
            <w:r>
              <w:rPr>
                <w:noProof/>
                <w:webHidden/>
              </w:rPr>
            </w:r>
            <w:r>
              <w:rPr>
                <w:noProof/>
                <w:webHidden/>
              </w:rPr>
              <w:fldChar w:fldCharType="separate"/>
            </w:r>
            <w:r w:rsidR="00DD38EE">
              <w:rPr>
                <w:noProof/>
                <w:webHidden/>
              </w:rPr>
              <w:t>30</w:t>
            </w:r>
            <w:r>
              <w:rPr>
                <w:noProof/>
                <w:webHidden/>
              </w:rPr>
              <w:fldChar w:fldCharType="end"/>
            </w:r>
          </w:hyperlink>
        </w:p>
        <w:p w14:paraId="0AF643C5" w14:textId="054FB664" w:rsidR="006F2D96" w:rsidRDefault="006F2D96">
          <w:pPr>
            <w:pStyle w:val="TOC3"/>
            <w:tabs>
              <w:tab w:val="right" w:leader="underscore" w:pos="9010"/>
            </w:tabs>
            <w:rPr>
              <w:rFonts w:asciiTheme="minorHAnsi" w:hAnsiTheme="minorHAnsi"/>
              <w:noProof/>
              <w:lang w:eastAsia="ja-JP"/>
            </w:rPr>
          </w:pPr>
          <w:hyperlink w:anchor="_Toc79414135" w:history="1">
            <w:r w:rsidRPr="00060C45">
              <w:rPr>
                <w:rStyle w:val="Hyperlink"/>
                <w:rFonts w:cs="Arial"/>
                <w:noProof/>
              </w:rPr>
              <w:t>2.3.2 High Intensity CBT Therapists</w:t>
            </w:r>
            <w:r>
              <w:rPr>
                <w:noProof/>
                <w:webHidden/>
              </w:rPr>
              <w:tab/>
            </w:r>
            <w:r>
              <w:rPr>
                <w:noProof/>
                <w:webHidden/>
              </w:rPr>
              <w:fldChar w:fldCharType="begin"/>
            </w:r>
            <w:r>
              <w:rPr>
                <w:noProof/>
                <w:webHidden/>
              </w:rPr>
              <w:instrText xml:space="preserve"> PAGEREF _Toc79414135 \h </w:instrText>
            </w:r>
            <w:r>
              <w:rPr>
                <w:noProof/>
                <w:webHidden/>
              </w:rPr>
            </w:r>
            <w:r>
              <w:rPr>
                <w:noProof/>
                <w:webHidden/>
              </w:rPr>
              <w:fldChar w:fldCharType="separate"/>
            </w:r>
            <w:r w:rsidR="00DD38EE">
              <w:rPr>
                <w:noProof/>
                <w:webHidden/>
              </w:rPr>
              <w:t>31</w:t>
            </w:r>
            <w:r>
              <w:rPr>
                <w:noProof/>
                <w:webHidden/>
              </w:rPr>
              <w:fldChar w:fldCharType="end"/>
            </w:r>
          </w:hyperlink>
        </w:p>
        <w:p w14:paraId="2492894D" w14:textId="5E6D51EA" w:rsidR="006F2D96" w:rsidRDefault="006F2D96">
          <w:pPr>
            <w:pStyle w:val="TOC2"/>
            <w:tabs>
              <w:tab w:val="right" w:leader="underscore" w:pos="9010"/>
            </w:tabs>
            <w:rPr>
              <w:rFonts w:asciiTheme="minorHAnsi" w:hAnsiTheme="minorHAnsi"/>
              <w:b w:val="0"/>
              <w:noProof/>
              <w:lang w:eastAsia="ja-JP"/>
            </w:rPr>
          </w:pPr>
          <w:hyperlink w:anchor="_Toc79414136" w:history="1">
            <w:r w:rsidRPr="00060C45">
              <w:rPr>
                <w:rStyle w:val="Hyperlink"/>
                <w:rFonts w:cs="Arial"/>
                <w:noProof/>
              </w:rPr>
              <w:t>2.4 TRAINING HIGH INTENSITY CBT THERAPISTS</w:t>
            </w:r>
            <w:r>
              <w:rPr>
                <w:noProof/>
                <w:webHidden/>
              </w:rPr>
              <w:tab/>
            </w:r>
            <w:r>
              <w:rPr>
                <w:noProof/>
                <w:webHidden/>
              </w:rPr>
              <w:fldChar w:fldCharType="begin"/>
            </w:r>
            <w:r>
              <w:rPr>
                <w:noProof/>
                <w:webHidden/>
              </w:rPr>
              <w:instrText xml:space="preserve"> PAGEREF _Toc79414136 \h </w:instrText>
            </w:r>
            <w:r>
              <w:rPr>
                <w:noProof/>
                <w:webHidden/>
              </w:rPr>
            </w:r>
            <w:r>
              <w:rPr>
                <w:noProof/>
                <w:webHidden/>
              </w:rPr>
              <w:fldChar w:fldCharType="separate"/>
            </w:r>
            <w:r w:rsidR="00DD38EE">
              <w:rPr>
                <w:noProof/>
                <w:webHidden/>
              </w:rPr>
              <w:t>31</w:t>
            </w:r>
            <w:r>
              <w:rPr>
                <w:noProof/>
                <w:webHidden/>
              </w:rPr>
              <w:fldChar w:fldCharType="end"/>
            </w:r>
          </w:hyperlink>
        </w:p>
        <w:p w14:paraId="24AA134F" w14:textId="5FC7D371" w:rsidR="006F2D96" w:rsidRDefault="006F2D96">
          <w:pPr>
            <w:pStyle w:val="TOC2"/>
            <w:tabs>
              <w:tab w:val="right" w:leader="underscore" w:pos="9010"/>
            </w:tabs>
            <w:rPr>
              <w:rFonts w:asciiTheme="minorHAnsi" w:hAnsiTheme="minorHAnsi"/>
              <w:b w:val="0"/>
              <w:noProof/>
              <w:lang w:eastAsia="ja-JP"/>
            </w:rPr>
          </w:pPr>
          <w:hyperlink w:anchor="_Toc79414137" w:history="1">
            <w:r w:rsidRPr="00060C45">
              <w:rPr>
                <w:rStyle w:val="Hyperlink"/>
                <w:rFonts w:cs="Arial"/>
                <w:noProof/>
              </w:rPr>
              <w:t>2.5 SUMMATIVE ASSESSMENT OF IAPT TRAINEES</w:t>
            </w:r>
            <w:r>
              <w:rPr>
                <w:noProof/>
                <w:webHidden/>
              </w:rPr>
              <w:tab/>
            </w:r>
            <w:r>
              <w:rPr>
                <w:noProof/>
                <w:webHidden/>
              </w:rPr>
              <w:fldChar w:fldCharType="begin"/>
            </w:r>
            <w:r>
              <w:rPr>
                <w:noProof/>
                <w:webHidden/>
              </w:rPr>
              <w:instrText xml:space="preserve"> PAGEREF _Toc79414137 \h </w:instrText>
            </w:r>
            <w:r>
              <w:rPr>
                <w:noProof/>
                <w:webHidden/>
              </w:rPr>
            </w:r>
            <w:r>
              <w:rPr>
                <w:noProof/>
                <w:webHidden/>
              </w:rPr>
              <w:fldChar w:fldCharType="separate"/>
            </w:r>
            <w:r w:rsidR="00DD38EE">
              <w:rPr>
                <w:noProof/>
                <w:webHidden/>
              </w:rPr>
              <w:t>34</w:t>
            </w:r>
            <w:r>
              <w:rPr>
                <w:noProof/>
                <w:webHidden/>
              </w:rPr>
              <w:fldChar w:fldCharType="end"/>
            </w:r>
          </w:hyperlink>
        </w:p>
        <w:p w14:paraId="2BB38A5A" w14:textId="0BCEC7CD" w:rsidR="006F2D96" w:rsidRDefault="006F2D96">
          <w:pPr>
            <w:pStyle w:val="TOC3"/>
            <w:tabs>
              <w:tab w:val="right" w:leader="underscore" w:pos="9010"/>
            </w:tabs>
            <w:rPr>
              <w:rFonts w:asciiTheme="minorHAnsi" w:hAnsiTheme="minorHAnsi"/>
              <w:noProof/>
              <w:lang w:eastAsia="ja-JP"/>
            </w:rPr>
          </w:pPr>
          <w:hyperlink w:anchor="_Toc79414138" w:history="1">
            <w:r w:rsidRPr="00060C45">
              <w:rPr>
                <w:rStyle w:val="Hyperlink"/>
                <w:rFonts w:cs="Arial"/>
                <w:noProof/>
              </w:rPr>
              <w:t>2.5.1 Summative assessment via written work</w:t>
            </w:r>
            <w:r>
              <w:rPr>
                <w:noProof/>
                <w:webHidden/>
              </w:rPr>
              <w:tab/>
            </w:r>
            <w:r>
              <w:rPr>
                <w:noProof/>
                <w:webHidden/>
              </w:rPr>
              <w:fldChar w:fldCharType="begin"/>
            </w:r>
            <w:r>
              <w:rPr>
                <w:noProof/>
                <w:webHidden/>
              </w:rPr>
              <w:instrText xml:space="preserve"> PAGEREF _Toc79414138 \h </w:instrText>
            </w:r>
            <w:r>
              <w:rPr>
                <w:noProof/>
                <w:webHidden/>
              </w:rPr>
            </w:r>
            <w:r>
              <w:rPr>
                <w:noProof/>
                <w:webHidden/>
              </w:rPr>
              <w:fldChar w:fldCharType="separate"/>
            </w:r>
            <w:r w:rsidR="00DD38EE">
              <w:rPr>
                <w:noProof/>
                <w:webHidden/>
              </w:rPr>
              <w:t>34</w:t>
            </w:r>
            <w:r>
              <w:rPr>
                <w:noProof/>
                <w:webHidden/>
              </w:rPr>
              <w:fldChar w:fldCharType="end"/>
            </w:r>
          </w:hyperlink>
        </w:p>
        <w:p w14:paraId="21CF7191" w14:textId="532CB94D" w:rsidR="006F2D96" w:rsidRDefault="006F2D96">
          <w:pPr>
            <w:pStyle w:val="TOC3"/>
            <w:tabs>
              <w:tab w:val="right" w:leader="underscore" w:pos="9010"/>
            </w:tabs>
            <w:rPr>
              <w:rFonts w:asciiTheme="minorHAnsi" w:hAnsiTheme="minorHAnsi"/>
              <w:noProof/>
              <w:lang w:eastAsia="ja-JP"/>
            </w:rPr>
          </w:pPr>
          <w:hyperlink w:anchor="_Toc79414139" w:history="1">
            <w:r w:rsidRPr="00060C45">
              <w:rPr>
                <w:rStyle w:val="Hyperlink"/>
                <w:rFonts w:cs="Arial"/>
                <w:noProof/>
              </w:rPr>
              <w:t>2.5.2 Summative assessment via recordings of live therapy sessions</w:t>
            </w:r>
            <w:r>
              <w:rPr>
                <w:noProof/>
                <w:webHidden/>
              </w:rPr>
              <w:tab/>
            </w:r>
            <w:r>
              <w:rPr>
                <w:noProof/>
                <w:webHidden/>
              </w:rPr>
              <w:fldChar w:fldCharType="begin"/>
            </w:r>
            <w:r>
              <w:rPr>
                <w:noProof/>
                <w:webHidden/>
              </w:rPr>
              <w:instrText xml:space="preserve"> PAGEREF _Toc79414139 \h </w:instrText>
            </w:r>
            <w:r>
              <w:rPr>
                <w:noProof/>
                <w:webHidden/>
              </w:rPr>
            </w:r>
            <w:r>
              <w:rPr>
                <w:noProof/>
                <w:webHidden/>
              </w:rPr>
              <w:fldChar w:fldCharType="separate"/>
            </w:r>
            <w:r w:rsidR="00DD38EE">
              <w:rPr>
                <w:noProof/>
                <w:webHidden/>
              </w:rPr>
              <w:t>34</w:t>
            </w:r>
            <w:r>
              <w:rPr>
                <w:noProof/>
                <w:webHidden/>
              </w:rPr>
              <w:fldChar w:fldCharType="end"/>
            </w:r>
          </w:hyperlink>
        </w:p>
        <w:p w14:paraId="2E449D78" w14:textId="6E04375C" w:rsidR="006F2D96" w:rsidRDefault="006F2D96">
          <w:pPr>
            <w:pStyle w:val="TOC3"/>
            <w:tabs>
              <w:tab w:val="right" w:leader="underscore" w:pos="9010"/>
            </w:tabs>
            <w:rPr>
              <w:rFonts w:asciiTheme="minorHAnsi" w:hAnsiTheme="minorHAnsi"/>
              <w:noProof/>
              <w:lang w:eastAsia="ja-JP"/>
            </w:rPr>
          </w:pPr>
          <w:hyperlink w:anchor="_Toc79414140" w:history="1">
            <w:r w:rsidRPr="00060C45">
              <w:rPr>
                <w:rStyle w:val="Hyperlink"/>
                <w:rFonts w:cs="Arial"/>
                <w:noProof/>
              </w:rPr>
              <w:t>2.5.3 Using the CTS-R to assess competence</w:t>
            </w:r>
            <w:r>
              <w:rPr>
                <w:noProof/>
                <w:webHidden/>
              </w:rPr>
              <w:tab/>
            </w:r>
            <w:r>
              <w:rPr>
                <w:noProof/>
                <w:webHidden/>
              </w:rPr>
              <w:fldChar w:fldCharType="begin"/>
            </w:r>
            <w:r>
              <w:rPr>
                <w:noProof/>
                <w:webHidden/>
              </w:rPr>
              <w:instrText xml:space="preserve"> PAGEREF _Toc79414140 \h </w:instrText>
            </w:r>
            <w:r>
              <w:rPr>
                <w:noProof/>
                <w:webHidden/>
              </w:rPr>
            </w:r>
            <w:r>
              <w:rPr>
                <w:noProof/>
                <w:webHidden/>
              </w:rPr>
              <w:fldChar w:fldCharType="separate"/>
            </w:r>
            <w:r w:rsidR="00DD38EE">
              <w:rPr>
                <w:noProof/>
                <w:webHidden/>
              </w:rPr>
              <w:t>39</w:t>
            </w:r>
            <w:r>
              <w:rPr>
                <w:noProof/>
                <w:webHidden/>
              </w:rPr>
              <w:fldChar w:fldCharType="end"/>
            </w:r>
          </w:hyperlink>
        </w:p>
        <w:p w14:paraId="1959DD9C" w14:textId="6FE2F672" w:rsidR="006F2D96" w:rsidRDefault="006F2D96">
          <w:pPr>
            <w:pStyle w:val="TOC3"/>
            <w:tabs>
              <w:tab w:val="right" w:leader="underscore" w:pos="9010"/>
            </w:tabs>
            <w:rPr>
              <w:rFonts w:asciiTheme="minorHAnsi" w:hAnsiTheme="minorHAnsi"/>
              <w:noProof/>
              <w:lang w:eastAsia="ja-JP"/>
            </w:rPr>
          </w:pPr>
          <w:hyperlink w:anchor="_Toc79414141" w:history="1">
            <w:r w:rsidRPr="00060C45">
              <w:rPr>
                <w:rStyle w:val="Hyperlink"/>
                <w:rFonts w:cs="Arial"/>
                <w:noProof/>
              </w:rPr>
              <w:t>2.5.4 Using written work to assess adherence: Roth and Pilling (2008) competencies</w:t>
            </w:r>
            <w:r>
              <w:rPr>
                <w:noProof/>
                <w:webHidden/>
              </w:rPr>
              <w:tab/>
            </w:r>
            <w:r>
              <w:rPr>
                <w:noProof/>
                <w:webHidden/>
              </w:rPr>
              <w:fldChar w:fldCharType="begin"/>
            </w:r>
            <w:r>
              <w:rPr>
                <w:noProof/>
                <w:webHidden/>
              </w:rPr>
              <w:instrText xml:space="preserve"> PAGEREF _Toc79414141 \h </w:instrText>
            </w:r>
            <w:r>
              <w:rPr>
                <w:noProof/>
                <w:webHidden/>
              </w:rPr>
            </w:r>
            <w:r>
              <w:rPr>
                <w:noProof/>
                <w:webHidden/>
              </w:rPr>
              <w:fldChar w:fldCharType="separate"/>
            </w:r>
            <w:r w:rsidR="00DD38EE">
              <w:rPr>
                <w:noProof/>
                <w:webHidden/>
              </w:rPr>
              <w:t>40</w:t>
            </w:r>
            <w:r>
              <w:rPr>
                <w:noProof/>
                <w:webHidden/>
              </w:rPr>
              <w:fldChar w:fldCharType="end"/>
            </w:r>
          </w:hyperlink>
        </w:p>
        <w:p w14:paraId="27977B6C" w14:textId="5C24470C" w:rsidR="006F2D96" w:rsidRDefault="006F2D96">
          <w:pPr>
            <w:pStyle w:val="TOC2"/>
            <w:tabs>
              <w:tab w:val="right" w:leader="underscore" w:pos="9010"/>
            </w:tabs>
            <w:rPr>
              <w:rFonts w:asciiTheme="minorHAnsi" w:hAnsiTheme="minorHAnsi"/>
              <w:b w:val="0"/>
              <w:noProof/>
              <w:lang w:eastAsia="ja-JP"/>
            </w:rPr>
          </w:pPr>
          <w:hyperlink w:anchor="_Toc79414142" w:history="1">
            <w:r w:rsidRPr="00060C45">
              <w:rPr>
                <w:rStyle w:val="Hyperlink"/>
                <w:rFonts w:cs="Arial"/>
                <w:noProof/>
              </w:rPr>
              <w:t>2.6 EVIDENCED-BASED PSYCHOLOGICAL INTERVENTIONS</w:t>
            </w:r>
            <w:r>
              <w:rPr>
                <w:noProof/>
                <w:webHidden/>
              </w:rPr>
              <w:tab/>
            </w:r>
            <w:r>
              <w:rPr>
                <w:noProof/>
                <w:webHidden/>
              </w:rPr>
              <w:fldChar w:fldCharType="begin"/>
            </w:r>
            <w:r>
              <w:rPr>
                <w:noProof/>
                <w:webHidden/>
              </w:rPr>
              <w:instrText xml:space="preserve"> PAGEREF _Toc79414142 \h </w:instrText>
            </w:r>
            <w:r>
              <w:rPr>
                <w:noProof/>
                <w:webHidden/>
              </w:rPr>
            </w:r>
            <w:r>
              <w:rPr>
                <w:noProof/>
                <w:webHidden/>
              </w:rPr>
              <w:fldChar w:fldCharType="separate"/>
            </w:r>
            <w:r w:rsidR="00DD38EE">
              <w:rPr>
                <w:noProof/>
                <w:webHidden/>
              </w:rPr>
              <w:t>41</w:t>
            </w:r>
            <w:r>
              <w:rPr>
                <w:noProof/>
                <w:webHidden/>
              </w:rPr>
              <w:fldChar w:fldCharType="end"/>
            </w:r>
          </w:hyperlink>
        </w:p>
        <w:p w14:paraId="7966983A" w14:textId="3824E9DA" w:rsidR="006F2D96" w:rsidRDefault="006F2D96">
          <w:pPr>
            <w:pStyle w:val="TOC2"/>
            <w:tabs>
              <w:tab w:val="right" w:leader="underscore" w:pos="9010"/>
            </w:tabs>
            <w:rPr>
              <w:rFonts w:asciiTheme="minorHAnsi" w:hAnsiTheme="minorHAnsi"/>
              <w:b w:val="0"/>
              <w:noProof/>
              <w:lang w:eastAsia="ja-JP"/>
            </w:rPr>
          </w:pPr>
          <w:hyperlink w:anchor="_Toc79414143" w:history="1">
            <w:r w:rsidRPr="00060C45">
              <w:rPr>
                <w:rStyle w:val="Hyperlink"/>
                <w:rFonts w:cs="Arial"/>
                <w:noProof/>
              </w:rPr>
              <w:t>2.7 IAPT IN 2019: CHALLENGES AND CHANGE</w:t>
            </w:r>
            <w:r>
              <w:rPr>
                <w:noProof/>
                <w:webHidden/>
              </w:rPr>
              <w:tab/>
            </w:r>
            <w:r>
              <w:rPr>
                <w:noProof/>
                <w:webHidden/>
              </w:rPr>
              <w:fldChar w:fldCharType="begin"/>
            </w:r>
            <w:r>
              <w:rPr>
                <w:noProof/>
                <w:webHidden/>
              </w:rPr>
              <w:instrText xml:space="preserve"> PAGEREF _Toc79414143 \h </w:instrText>
            </w:r>
            <w:r>
              <w:rPr>
                <w:noProof/>
                <w:webHidden/>
              </w:rPr>
            </w:r>
            <w:r>
              <w:rPr>
                <w:noProof/>
                <w:webHidden/>
              </w:rPr>
              <w:fldChar w:fldCharType="separate"/>
            </w:r>
            <w:r w:rsidR="00DD38EE">
              <w:rPr>
                <w:noProof/>
                <w:webHidden/>
              </w:rPr>
              <w:t>44</w:t>
            </w:r>
            <w:r>
              <w:rPr>
                <w:noProof/>
                <w:webHidden/>
              </w:rPr>
              <w:fldChar w:fldCharType="end"/>
            </w:r>
          </w:hyperlink>
        </w:p>
        <w:p w14:paraId="6FEAD989" w14:textId="67F97114" w:rsidR="006F2D96" w:rsidRDefault="006F2D96">
          <w:pPr>
            <w:pStyle w:val="TOC2"/>
            <w:tabs>
              <w:tab w:val="right" w:leader="underscore" w:pos="9010"/>
            </w:tabs>
            <w:rPr>
              <w:rFonts w:asciiTheme="minorHAnsi" w:hAnsiTheme="minorHAnsi"/>
              <w:b w:val="0"/>
              <w:noProof/>
              <w:lang w:eastAsia="ja-JP"/>
            </w:rPr>
          </w:pPr>
          <w:hyperlink w:anchor="_Toc79414144" w:history="1">
            <w:r w:rsidRPr="00060C45">
              <w:rPr>
                <w:rStyle w:val="Hyperlink"/>
                <w:rFonts w:cs="Arial"/>
                <w:noProof/>
              </w:rPr>
              <w:t>2.8 SUMMARY</w:t>
            </w:r>
            <w:r>
              <w:rPr>
                <w:noProof/>
                <w:webHidden/>
              </w:rPr>
              <w:tab/>
            </w:r>
            <w:r>
              <w:rPr>
                <w:noProof/>
                <w:webHidden/>
              </w:rPr>
              <w:fldChar w:fldCharType="begin"/>
            </w:r>
            <w:r>
              <w:rPr>
                <w:noProof/>
                <w:webHidden/>
              </w:rPr>
              <w:instrText xml:space="preserve"> PAGEREF _Toc79414144 \h </w:instrText>
            </w:r>
            <w:r>
              <w:rPr>
                <w:noProof/>
                <w:webHidden/>
              </w:rPr>
            </w:r>
            <w:r>
              <w:rPr>
                <w:noProof/>
                <w:webHidden/>
              </w:rPr>
              <w:fldChar w:fldCharType="separate"/>
            </w:r>
            <w:r w:rsidR="00DD38EE">
              <w:rPr>
                <w:noProof/>
                <w:webHidden/>
              </w:rPr>
              <w:t>45</w:t>
            </w:r>
            <w:r>
              <w:rPr>
                <w:noProof/>
                <w:webHidden/>
              </w:rPr>
              <w:fldChar w:fldCharType="end"/>
            </w:r>
          </w:hyperlink>
        </w:p>
        <w:p w14:paraId="1FA84F56" w14:textId="66C7CF07" w:rsidR="006F2D96" w:rsidRDefault="006F2D96">
          <w:pPr>
            <w:pStyle w:val="TOC2"/>
            <w:tabs>
              <w:tab w:val="right" w:leader="underscore" w:pos="9010"/>
            </w:tabs>
            <w:rPr>
              <w:rFonts w:asciiTheme="minorHAnsi" w:hAnsiTheme="minorHAnsi"/>
              <w:b w:val="0"/>
              <w:noProof/>
              <w:lang w:eastAsia="ja-JP"/>
            </w:rPr>
          </w:pPr>
          <w:hyperlink w:anchor="_Toc79414145" w:history="1">
            <w:r w:rsidRPr="00060C45">
              <w:rPr>
                <w:rStyle w:val="Hyperlink"/>
                <w:rFonts w:cs="Arial"/>
                <w:noProof/>
              </w:rPr>
              <w:t>2.9 DELIVERY OF CBT WITHIN IAPT: DIGITAL METHODS</w:t>
            </w:r>
            <w:r>
              <w:rPr>
                <w:noProof/>
                <w:webHidden/>
              </w:rPr>
              <w:tab/>
            </w:r>
            <w:r>
              <w:rPr>
                <w:noProof/>
                <w:webHidden/>
              </w:rPr>
              <w:fldChar w:fldCharType="begin"/>
            </w:r>
            <w:r>
              <w:rPr>
                <w:noProof/>
                <w:webHidden/>
              </w:rPr>
              <w:instrText xml:space="preserve"> PAGEREF _Toc79414145 \h </w:instrText>
            </w:r>
            <w:r>
              <w:rPr>
                <w:noProof/>
                <w:webHidden/>
              </w:rPr>
            </w:r>
            <w:r>
              <w:rPr>
                <w:noProof/>
                <w:webHidden/>
              </w:rPr>
              <w:fldChar w:fldCharType="separate"/>
            </w:r>
            <w:r w:rsidR="00DD38EE">
              <w:rPr>
                <w:noProof/>
                <w:webHidden/>
              </w:rPr>
              <w:t>46</w:t>
            </w:r>
            <w:r>
              <w:rPr>
                <w:noProof/>
                <w:webHidden/>
              </w:rPr>
              <w:fldChar w:fldCharType="end"/>
            </w:r>
          </w:hyperlink>
        </w:p>
        <w:p w14:paraId="16F865BE" w14:textId="290BBEBD" w:rsidR="006F2D96" w:rsidRDefault="006F2D96">
          <w:pPr>
            <w:pStyle w:val="TOC3"/>
            <w:tabs>
              <w:tab w:val="right" w:leader="underscore" w:pos="9010"/>
            </w:tabs>
            <w:rPr>
              <w:rFonts w:asciiTheme="minorHAnsi" w:hAnsiTheme="minorHAnsi"/>
              <w:noProof/>
              <w:lang w:eastAsia="ja-JP"/>
            </w:rPr>
          </w:pPr>
          <w:hyperlink w:anchor="_Toc79414146" w:history="1">
            <w:r w:rsidRPr="00060C45">
              <w:rPr>
                <w:rStyle w:val="Hyperlink"/>
                <w:rFonts w:cs="Arial"/>
                <w:noProof/>
              </w:rPr>
              <w:t>2.9.1 Brief historical context of online methods</w:t>
            </w:r>
            <w:r>
              <w:rPr>
                <w:noProof/>
                <w:webHidden/>
              </w:rPr>
              <w:tab/>
            </w:r>
            <w:r>
              <w:rPr>
                <w:noProof/>
                <w:webHidden/>
              </w:rPr>
              <w:fldChar w:fldCharType="begin"/>
            </w:r>
            <w:r>
              <w:rPr>
                <w:noProof/>
                <w:webHidden/>
              </w:rPr>
              <w:instrText xml:space="preserve"> PAGEREF _Toc79414146 \h </w:instrText>
            </w:r>
            <w:r>
              <w:rPr>
                <w:noProof/>
                <w:webHidden/>
              </w:rPr>
            </w:r>
            <w:r>
              <w:rPr>
                <w:noProof/>
                <w:webHidden/>
              </w:rPr>
              <w:fldChar w:fldCharType="separate"/>
            </w:r>
            <w:r w:rsidR="00DD38EE">
              <w:rPr>
                <w:noProof/>
                <w:webHidden/>
              </w:rPr>
              <w:t>47</w:t>
            </w:r>
            <w:r>
              <w:rPr>
                <w:noProof/>
                <w:webHidden/>
              </w:rPr>
              <w:fldChar w:fldCharType="end"/>
            </w:r>
          </w:hyperlink>
        </w:p>
        <w:p w14:paraId="5263F926" w14:textId="39DF4F6B" w:rsidR="006F2D96" w:rsidRDefault="006F2D96">
          <w:pPr>
            <w:pStyle w:val="TOC2"/>
            <w:tabs>
              <w:tab w:val="right" w:leader="underscore" w:pos="9010"/>
            </w:tabs>
            <w:rPr>
              <w:rFonts w:asciiTheme="minorHAnsi" w:hAnsiTheme="minorHAnsi"/>
              <w:b w:val="0"/>
              <w:noProof/>
              <w:lang w:eastAsia="ja-JP"/>
            </w:rPr>
          </w:pPr>
          <w:hyperlink w:anchor="_Toc79414147" w:history="1">
            <w:r w:rsidRPr="00060C45">
              <w:rPr>
                <w:rStyle w:val="Hyperlink"/>
                <w:rFonts w:cs="Arial"/>
                <w:noProof/>
                <w:lang w:val="en-US"/>
              </w:rPr>
              <w:t>2.10 DIGITAL METHODS OF DELIVERING CBT IN IAPT</w:t>
            </w:r>
            <w:r>
              <w:rPr>
                <w:noProof/>
                <w:webHidden/>
              </w:rPr>
              <w:tab/>
            </w:r>
            <w:r>
              <w:rPr>
                <w:noProof/>
                <w:webHidden/>
              </w:rPr>
              <w:fldChar w:fldCharType="begin"/>
            </w:r>
            <w:r>
              <w:rPr>
                <w:noProof/>
                <w:webHidden/>
              </w:rPr>
              <w:instrText xml:space="preserve"> PAGEREF _Toc79414147 \h </w:instrText>
            </w:r>
            <w:r>
              <w:rPr>
                <w:noProof/>
                <w:webHidden/>
              </w:rPr>
            </w:r>
            <w:r>
              <w:rPr>
                <w:noProof/>
                <w:webHidden/>
              </w:rPr>
              <w:fldChar w:fldCharType="separate"/>
            </w:r>
            <w:r w:rsidR="00DD38EE">
              <w:rPr>
                <w:noProof/>
                <w:webHidden/>
              </w:rPr>
              <w:t>48</w:t>
            </w:r>
            <w:r>
              <w:rPr>
                <w:noProof/>
                <w:webHidden/>
              </w:rPr>
              <w:fldChar w:fldCharType="end"/>
            </w:r>
          </w:hyperlink>
        </w:p>
        <w:p w14:paraId="6059F973" w14:textId="7C6CFDB3" w:rsidR="006F2D96" w:rsidRDefault="006F2D96">
          <w:pPr>
            <w:pStyle w:val="TOC3"/>
            <w:tabs>
              <w:tab w:val="right" w:leader="underscore" w:pos="9010"/>
            </w:tabs>
            <w:rPr>
              <w:rFonts w:asciiTheme="minorHAnsi" w:hAnsiTheme="minorHAnsi"/>
              <w:noProof/>
              <w:lang w:eastAsia="ja-JP"/>
            </w:rPr>
          </w:pPr>
          <w:hyperlink w:anchor="_Toc79414148" w:history="1">
            <w:r w:rsidRPr="00060C45">
              <w:rPr>
                <w:rStyle w:val="Hyperlink"/>
                <w:rFonts w:cs="Arial"/>
                <w:noProof/>
                <w:lang w:val="en-US"/>
              </w:rPr>
              <w:t>2.10.1 Computerised Cognitive Behavioural Therapy (cCBT)</w:t>
            </w:r>
            <w:r>
              <w:rPr>
                <w:noProof/>
                <w:webHidden/>
              </w:rPr>
              <w:tab/>
            </w:r>
            <w:r>
              <w:rPr>
                <w:noProof/>
                <w:webHidden/>
              </w:rPr>
              <w:fldChar w:fldCharType="begin"/>
            </w:r>
            <w:r>
              <w:rPr>
                <w:noProof/>
                <w:webHidden/>
              </w:rPr>
              <w:instrText xml:space="preserve"> PAGEREF _Toc79414148 \h </w:instrText>
            </w:r>
            <w:r>
              <w:rPr>
                <w:noProof/>
                <w:webHidden/>
              </w:rPr>
            </w:r>
            <w:r>
              <w:rPr>
                <w:noProof/>
                <w:webHidden/>
              </w:rPr>
              <w:fldChar w:fldCharType="separate"/>
            </w:r>
            <w:r w:rsidR="00DD38EE">
              <w:rPr>
                <w:noProof/>
                <w:webHidden/>
              </w:rPr>
              <w:t>49</w:t>
            </w:r>
            <w:r>
              <w:rPr>
                <w:noProof/>
                <w:webHidden/>
              </w:rPr>
              <w:fldChar w:fldCharType="end"/>
            </w:r>
          </w:hyperlink>
        </w:p>
        <w:p w14:paraId="76C39807" w14:textId="4DA27086" w:rsidR="006F2D96" w:rsidRDefault="006F2D96">
          <w:pPr>
            <w:pStyle w:val="TOC3"/>
            <w:tabs>
              <w:tab w:val="right" w:leader="underscore" w:pos="9010"/>
            </w:tabs>
            <w:rPr>
              <w:rFonts w:asciiTheme="minorHAnsi" w:hAnsiTheme="minorHAnsi"/>
              <w:noProof/>
              <w:lang w:eastAsia="ja-JP"/>
            </w:rPr>
          </w:pPr>
          <w:hyperlink w:anchor="_Toc79414149" w:history="1">
            <w:r w:rsidRPr="00060C45">
              <w:rPr>
                <w:rStyle w:val="Hyperlink"/>
                <w:rFonts w:cs="Arial"/>
                <w:noProof/>
                <w:lang w:val="en-US"/>
              </w:rPr>
              <w:t>2.10.2 Online guided self-help (ICBT)</w:t>
            </w:r>
            <w:r>
              <w:rPr>
                <w:noProof/>
                <w:webHidden/>
              </w:rPr>
              <w:tab/>
            </w:r>
            <w:r>
              <w:rPr>
                <w:noProof/>
                <w:webHidden/>
              </w:rPr>
              <w:fldChar w:fldCharType="begin"/>
            </w:r>
            <w:r>
              <w:rPr>
                <w:noProof/>
                <w:webHidden/>
              </w:rPr>
              <w:instrText xml:space="preserve"> PAGEREF _Toc79414149 \h </w:instrText>
            </w:r>
            <w:r>
              <w:rPr>
                <w:noProof/>
                <w:webHidden/>
              </w:rPr>
            </w:r>
            <w:r>
              <w:rPr>
                <w:noProof/>
                <w:webHidden/>
              </w:rPr>
              <w:fldChar w:fldCharType="separate"/>
            </w:r>
            <w:r w:rsidR="00DD38EE">
              <w:rPr>
                <w:noProof/>
                <w:webHidden/>
              </w:rPr>
              <w:t>50</w:t>
            </w:r>
            <w:r>
              <w:rPr>
                <w:noProof/>
                <w:webHidden/>
              </w:rPr>
              <w:fldChar w:fldCharType="end"/>
            </w:r>
          </w:hyperlink>
        </w:p>
        <w:p w14:paraId="48AC29EC" w14:textId="4C6591D0" w:rsidR="006F2D96" w:rsidRDefault="006F2D96">
          <w:pPr>
            <w:pStyle w:val="TOC3"/>
            <w:tabs>
              <w:tab w:val="right" w:leader="underscore" w:pos="9010"/>
            </w:tabs>
            <w:rPr>
              <w:rFonts w:asciiTheme="minorHAnsi" w:hAnsiTheme="minorHAnsi"/>
              <w:noProof/>
              <w:lang w:eastAsia="ja-JP"/>
            </w:rPr>
          </w:pPr>
          <w:hyperlink w:anchor="_Toc79414150" w:history="1">
            <w:r w:rsidRPr="00060C45">
              <w:rPr>
                <w:rStyle w:val="Hyperlink"/>
                <w:rFonts w:cs="Arial"/>
                <w:noProof/>
              </w:rPr>
              <w:t>2.10.3 Internet Enabled Cognitive Behavioural Therapy (IECBT)</w:t>
            </w:r>
            <w:r>
              <w:rPr>
                <w:noProof/>
                <w:webHidden/>
              </w:rPr>
              <w:tab/>
            </w:r>
            <w:r>
              <w:rPr>
                <w:noProof/>
                <w:webHidden/>
              </w:rPr>
              <w:fldChar w:fldCharType="begin"/>
            </w:r>
            <w:r>
              <w:rPr>
                <w:noProof/>
                <w:webHidden/>
              </w:rPr>
              <w:instrText xml:space="preserve"> PAGEREF _Toc79414150 \h </w:instrText>
            </w:r>
            <w:r>
              <w:rPr>
                <w:noProof/>
                <w:webHidden/>
              </w:rPr>
            </w:r>
            <w:r>
              <w:rPr>
                <w:noProof/>
                <w:webHidden/>
              </w:rPr>
              <w:fldChar w:fldCharType="separate"/>
            </w:r>
            <w:r w:rsidR="00DD38EE">
              <w:rPr>
                <w:noProof/>
                <w:webHidden/>
              </w:rPr>
              <w:t>51</w:t>
            </w:r>
            <w:r>
              <w:rPr>
                <w:noProof/>
                <w:webHidden/>
              </w:rPr>
              <w:fldChar w:fldCharType="end"/>
            </w:r>
          </w:hyperlink>
        </w:p>
        <w:p w14:paraId="0FD1136F" w14:textId="2AFCDB93" w:rsidR="006F2D96" w:rsidRDefault="006F2D96">
          <w:pPr>
            <w:pStyle w:val="TOC2"/>
            <w:tabs>
              <w:tab w:val="right" w:leader="underscore" w:pos="9010"/>
            </w:tabs>
            <w:rPr>
              <w:rFonts w:asciiTheme="minorHAnsi" w:hAnsiTheme="minorHAnsi"/>
              <w:b w:val="0"/>
              <w:noProof/>
              <w:lang w:eastAsia="ja-JP"/>
            </w:rPr>
          </w:pPr>
          <w:hyperlink w:anchor="_Toc79414151" w:history="1">
            <w:r w:rsidRPr="00060C45">
              <w:rPr>
                <w:rStyle w:val="Hyperlink"/>
                <w:rFonts w:cs="Arial"/>
                <w:noProof/>
              </w:rPr>
              <w:t>2.11 THE IECBT METHODOLOGY</w:t>
            </w:r>
            <w:r>
              <w:rPr>
                <w:noProof/>
                <w:webHidden/>
              </w:rPr>
              <w:tab/>
            </w:r>
            <w:r>
              <w:rPr>
                <w:noProof/>
                <w:webHidden/>
              </w:rPr>
              <w:fldChar w:fldCharType="begin"/>
            </w:r>
            <w:r>
              <w:rPr>
                <w:noProof/>
                <w:webHidden/>
              </w:rPr>
              <w:instrText xml:space="preserve"> PAGEREF _Toc79414151 \h </w:instrText>
            </w:r>
            <w:r>
              <w:rPr>
                <w:noProof/>
                <w:webHidden/>
              </w:rPr>
            </w:r>
            <w:r>
              <w:rPr>
                <w:noProof/>
                <w:webHidden/>
              </w:rPr>
              <w:fldChar w:fldCharType="separate"/>
            </w:r>
            <w:r w:rsidR="00DD38EE">
              <w:rPr>
                <w:noProof/>
                <w:webHidden/>
              </w:rPr>
              <w:t>53</w:t>
            </w:r>
            <w:r>
              <w:rPr>
                <w:noProof/>
                <w:webHidden/>
              </w:rPr>
              <w:fldChar w:fldCharType="end"/>
            </w:r>
          </w:hyperlink>
        </w:p>
        <w:p w14:paraId="62E354DA" w14:textId="723487AF" w:rsidR="006F2D96" w:rsidRDefault="006F2D96">
          <w:pPr>
            <w:pStyle w:val="TOC3"/>
            <w:tabs>
              <w:tab w:val="right" w:leader="underscore" w:pos="9010"/>
            </w:tabs>
            <w:rPr>
              <w:rFonts w:asciiTheme="minorHAnsi" w:hAnsiTheme="minorHAnsi"/>
              <w:noProof/>
              <w:lang w:eastAsia="ja-JP"/>
            </w:rPr>
          </w:pPr>
          <w:hyperlink w:anchor="_Toc79414152" w:history="1">
            <w:r w:rsidRPr="00060C45">
              <w:rPr>
                <w:rStyle w:val="Hyperlink"/>
                <w:rFonts w:cs="Arial"/>
                <w:noProof/>
              </w:rPr>
              <w:t>2.11.1 Recruitment and selection of therapists</w:t>
            </w:r>
            <w:r>
              <w:rPr>
                <w:noProof/>
                <w:webHidden/>
              </w:rPr>
              <w:tab/>
            </w:r>
            <w:r>
              <w:rPr>
                <w:noProof/>
                <w:webHidden/>
              </w:rPr>
              <w:fldChar w:fldCharType="begin"/>
            </w:r>
            <w:r>
              <w:rPr>
                <w:noProof/>
                <w:webHidden/>
              </w:rPr>
              <w:instrText xml:space="preserve"> PAGEREF _Toc79414152 \h </w:instrText>
            </w:r>
            <w:r>
              <w:rPr>
                <w:noProof/>
                <w:webHidden/>
              </w:rPr>
            </w:r>
            <w:r>
              <w:rPr>
                <w:noProof/>
                <w:webHidden/>
              </w:rPr>
              <w:fldChar w:fldCharType="separate"/>
            </w:r>
            <w:r w:rsidR="00DD38EE">
              <w:rPr>
                <w:noProof/>
                <w:webHidden/>
              </w:rPr>
              <w:t>54</w:t>
            </w:r>
            <w:r>
              <w:rPr>
                <w:noProof/>
                <w:webHidden/>
              </w:rPr>
              <w:fldChar w:fldCharType="end"/>
            </w:r>
          </w:hyperlink>
        </w:p>
        <w:p w14:paraId="463B0CA1" w14:textId="7359BF9C" w:rsidR="006F2D96" w:rsidRDefault="006F2D96">
          <w:pPr>
            <w:pStyle w:val="TOC3"/>
            <w:tabs>
              <w:tab w:val="right" w:leader="underscore" w:pos="9010"/>
            </w:tabs>
            <w:rPr>
              <w:rFonts w:asciiTheme="minorHAnsi" w:hAnsiTheme="minorHAnsi"/>
              <w:noProof/>
              <w:lang w:eastAsia="ja-JP"/>
            </w:rPr>
          </w:pPr>
          <w:hyperlink w:anchor="_Toc79414153" w:history="1">
            <w:r w:rsidRPr="00060C45">
              <w:rPr>
                <w:rStyle w:val="Hyperlink"/>
                <w:rFonts w:cs="Arial"/>
                <w:noProof/>
              </w:rPr>
              <w:t>2.11.2 Continuing professional development</w:t>
            </w:r>
            <w:r>
              <w:rPr>
                <w:noProof/>
                <w:webHidden/>
              </w:rPr>
              <w:tab/>
            </w:r>
            <w:r>
              <w:rPr>
                <w:noProof/>
                <w:webHidden/>
              </w:rPr>
              <w:fldChar w:fldCharType="begin"/>
            </w:r>
            <w:r>
              <w:rPr>
                <w:noProof/>
                <w:webHidden/>
              </w:rPr>
              <w:instrText xml:space="preserve"> PAGEREF _Toc79414153 \h </w:instrText>
            </w:r>
            <w:r>
              <w:rPr>
                <w:noProof/>
                <w:webHidden/>
              </w:rPr>
            </w:r>
            <w:r>
              <w:rPr>
                <w:noProof/>
                <w:webHidden/>
              </w:rPr>
              <w:fldChar w:fldCharType="separate"/>
            </w:r>
            <w:r w:rsidR="00DD38EE">
              <w:rPr>
                <w:noProof/>
                <w:webHidden/>
              </w:rPr>
              <w:t>54</w:t>
            </w:r>
            <w:r>
              <w:rPr>
                <w:noProof/>
                <w:webHidden/>
              </w:rPr>
              <w:fldChar w:fldCharType="end"/>
            </w:r>
          </w:hyperlink>
        </w:p>
        <w:p w14:paraId="626069BB" w14:textId="325B9755" w:rsidR="006F2D96" w:rsidRDefault="006F2D96">
          <w:pPr>
            <w:pStyle w:val="TOC3"/>
            <w:tabs>
              <w:tab w:val="right" w:leader="underscore" w:pos="9010"/>
            </w:tabs>
            <w:rPr>
              <w:rFonts w:asciiTheme="minorHAnsi" w:hAnsiTheme="minorHAnsi"/>
              <w:noProof/>
              <w:lang w:eastAsia="ja-JP"/>
            </w:rPr>
          </w:pPr>
          <w:hyperlink w:anchor="_Toc79414154" w:history="1">
            <w:r w:rsidRPr="00060C45">
              <w:rPr>
                <w:rStyle w:val="Hyperlink"/>
                <w:rFonts w:cs="Arial"/>
                <w:noProof/>
              </w:rPr>
              <w:t>2.11.3 Clinical decision support tools (CDS)</w:t>
            </w:r>
            <w:r>
              <w:rPr>
                <w:noProof/>
                <w:webHidden/>
              </w:rPr>
              <w:tab/>
            </w:r>
            <w:r>
              <w:rPr>
                <w:noProof/>
                <w:webHidden/>
              </w:rPr>
              <w:fldChar w:fldCharType="begin"/>
            </w:r>
            <w:r>
              <w:rPr>
                <w:noProof/>
                <w:webHidden/>
              </w:rPr>
              <w:instrText xml:space="preserve"> PAGEREF _Toc79414154 \h </w:instrText>
            </w:r>
            <w:r>
              <w:rPr>
                <w:noProof/>
                <w:webHidden/>
              </w:rPr>
            </w:r>
            <w:r>
              <w:rPr>
                <w:noProof/>
                <w:webHidden/>
              </w:rPr>
              <w:fldChar w:fldCharType="separate"/>
            </w:r>
            <w:r w:rsidR="00DD38EE">
              <w:rPr>
                <w:noProof/>
                <w:webHidden/>
              </w:rPr>
              <w:t>59</w:t>
            </w:r>
            <w:r>
              <w:rPr>
                <w:noProof/>
                <w:webHidden/>
              </w:rPr>
              <w:fldChar w:fldCharType="end"/>
            </w:r>
          </w:hyperlink>
        </w:p>
        <w:p w14:paraId="27C524B2" w14:textId="0F92A33D" w:rsidR="006F2D96" w:rsidRDefault="006F2D96">
          <w:pPr>
            <w:pStyle w:val="TOC2"/>
            <w:tabs>
              <w:tab w:val="right" w:leader="underscore" w:pos="9010"/>
            </w:tabs>
            <w:rPr>
              <w:rFonts w:asciiTheme="minorHAnsi" w:hAnsiTheme="minorHAnsi"/>
              <w:b w:val="0"/>
              <w:noProof/>
              <w:lang w:eastAsia="ja-JP"/>
            </w:rPr>
          </w:pPr>
          <w:hyperlink w:anchor="_Toc79414155" w:history="1">
            <w:r w:rsidRPr="00060C45">
              <w:rPr>
                <w:rStyle w:val="Hyperlink"/>
                <w:rFonts w:cs="Arial"/>
                <w:noProof/>
              </w:rPr>
              <w:t>2.12 IECBT AND TRADITIONAL FACE-TO-FACE CBT</w:t>
            </w:r>
            <w:r>
              <w:rPr>
                <w:noProof/>
                <w:webHidden/>
              </w:rPr>
              <w:tab/>
            </w:r>
            <w:r>
              <w:rPr>
                <w:noProof/>
                <w:webHidden/>
              </w:rPr>
              <w:fldChar w:fldCharType="begin"/>
            </w:r>
            <w:r>
              <w:rPr>
                <w:noProof/>
                <w:webHidden/>
              </w:rPr>
              <w:instrText xml:space="preserve"> PAGEREF _Toc79414155 \h </w:instrText>
            </w:r>
            <w:r>
              <w:rPr>
                <w:noProof/>
                <w:webHidden/>
              </w:rPr>
            </w:r>
            <w:r>
              <w:rPr>
                <w:noProof/>
                <w:webHidden/>
              </w:rPr>
              <w:fldChar w:fldCharType="separate"/>
            </w:r>
            <w:r w:rsidR="00DD38EE">
              <w:rPr>
                <w:noProof/>
                <w:webHidden/>
              </w:rPr>
              <w:t>63</w:t>
            </w:r>
            <w:r>
              <w:rPr>
                <w:noProof/>
                <w:webHidden/>
              </w:rPr>
              <w:fldChar w:fldCharType="end"/>
            </w:r>
          </w:hyperlink>
        </w:p>
        <w:p w14:paraId="511D7A82" w14:textId="47C82849" w:rsidR="006F2D96" w:rsidRDefault="006F2D96">
          <w:pPr>
            <w:pStyle w:val="TOC3"/>
            <w:tabs>
              <w:tab w:val="right" w:leader="underscore" w:pos="9010"/>
            </w:tabs>
            <w:rPr>
              <w:rFonts w:asciiTheme="minorHAnsi" w:hAnsiTheme="minorHAnsi"/>
              <w:noProof/>
              <w:lang w:eastAsia="ja-JP"/>
            </w:rPr>
          </w:pPr>
          <w:hyperlink w:anchor="_Toc79414156" w:history="1">
            <w:r w:rsidRPr="00060C45">
              <w:rPr>
                <w:rStyle w:val="Hyperlink"/>
                <w:rFonts w:cs="Arial"/>
                <w:noProof/>
              </w:rPr>
              <w:t>2.12.1 Patient demographics</w:t>
            </w:r>
            <w:r>
              <w:rPr>
                <w:noProof/>
                <w:webHidden/>
              </w:rPr>
              <w:tab/>
            </w:r>
            <w:r>
              <w:rPr>
                <w:noProof/>
                <w:webHidden/>
              </w:rPr>
              <w:fldChar w:fldCharType="begin"/>
            </w:r>
            <w:r>
              <w:rPr>
                <w:noProof/>
                <w:webHidden/>
              </w:rPr>
              <w:instrText xml:space="preserve"> PAGEREF _Toc79414156 \h </w:instrText>
            </w:r>
            <w:r>
              <w:rPr>
                <w:noProof/>
                <w:webHidden/>
              </w:rPr>
            </w:r>
            <w:r>
              <w:rPr>
                <w:noProof/>
                <w:webHidden/>
              </w:rPr>
              <w:fldChar w:fldCharType="separate"/>
            </w:r>
            <w:r w:rsidR="00DD38EE">
              <w:rPr>
                <w:noProof/>
                <w:webHidden/>
              </w:rPr>
              <w:t>63</w:t>
            </w:r>
            <w:r>
              <w:rPr>
                <w:noProof/>
                <w:webHidden/>
              </w:rPr>
              <w:fldChar w:fldCharType="end"/>
            </w:r>
          </w:hyperlink>
        </w:p>
        <w:p w14:paraId="72F1AFC1" w14:textId="74FFDE5E" w:rsidR="006F2D96" w:rsidRDefault="006F2D96">
          <w:pPr>
            <w:pStyle w:val="TOC3"/>
            <w:tabs>
              <w:tab w:val="right" w:leader="underscore" w:pos="9010"/>
            </w:tabs>
            <w:rPr>
              <w:rFonts w:asciiTheme="minorHAnsi" w:hAnsiTheme="minorHAnsi"/>
              <w:noProof/>
              <w:lang w:eastAsia="ja-JP"/>
            </w:rPr>
          </w:pPr>
          <w:hyperlink w:anchor="_Toc79414157" w:history="1">
            <w:r w:rsidRPr="00060C45">
              <w:rPr>
                <w:rStyle w:val="Hyperlink"/>
                <w:rFonts w:cs="Arial"/>
                <w:noProof/>
              </w:rPr>
              <w:t>2.12.2 Waiting times to start treatment</w:t>
            </w:r>
            <w:r>
              <w:rPr>
                <w:noProof/>
                <w:webHidden/>
              </w:rPr>
              <w:tab/>
            </w:r>
            <w:r>
              <w:rPr>
                <w:noProof/>
                <w:webHidden/>
              </w:rPr>
              <w:fldChar w:fldCharType="begin"/>
            </w:r>
            <w:r>
              <w:rPr>
                <w:noProof/>
                <w:webHidden/>
              </w:rPr>
              <w:instrText xml:space="preserve"> PAGEREF _Toc79414157 \h </w:instrText>
            </w:r>
            <w:r>
              <w:rPr>
                <w:noProof/>
                <w:webHidden/>
              </w:rPr>
            </w:r>
            <w:r>
              <w:rPr>
                <w:noProof/>
                <w:webHidden/>
              </w:rPr>
              <w:fldChar w:fldCharType="separate"/>
            </w:r>
            <w:r w:rsidR="00DD38EE">
              <w:rPr>
                <w:noProof/>
                <w:webHidden/>
              </w:rPr>
              <w:t>65</w:t>
            </w:r>
            <w:r>
              <w:rPr>
                <w:noProof/>
                <w:webHidden/>
              </w:rPr>
              <w:fldChar w:fldCharType="end"/>
            </w:r>
          </w:hyperlink>
        </w:p>
        <w:p w14:paraId="3CF079D9" w14:textId="5B910204" w:rsidR="006F2D96" w:rsidRDefault="006F2D96">
          <w:pPr>
            <w:pStyle w:val="TOC3"/>
            <w:tabs>
              <w:tab w:val="right" w:leader="underscore" w:pos="9010"/>
            </w:tabs>
            <w:rPr>
              <w:rFonts w:asciiTheme="minorHAnsi" w:hAnsiTheme="minorHAnsi"/>
              <w:noProof/>
              <w:lang w:eastAsia="ja-JP"/>
            </w:rPr>
          </w:pPr>
          <w:hyperlink w:anchor="_Toc79414158" w:history="1">
            <w:r w:rsidRPr="00060C45">
              <w:rPr>
                <w:rStyle w:val="Hyperlink"/>
                <w:rFonts w:cs="Arial"/>
                <w:noProof/>
              </w:rPr>
              <w:t>2.12.3 Therapist demographics</w:t>
            </w:r>
            <w:r>
              <w:rPr>
                <w:noProof/>
                <w:webHidden/>
              </w:rPr>
              <w:tab/>
            </w:r>
            <w:r>
              <w:rPr>
                <w:noProof/>
                <w:webHidden/>
              </w:rPr>
              <w:fldChar w:fldCharType="begin"/>
            </w:r>
            <w:r>
              <w:rPr>
                <w:noProof/>
                <w:webHidden/>
              </w:rPr>
              <w:instrText xml:space="preserve"> PAGEREF _Toc79414158 \h </w:instrText>
            </w:r>
            <w:r>
              <w:rPr>
                <w:noProof/>
                <w:webHidden/>
              </w:rPr>
            </w:r>
            <w:r>
              <w:rPr>
                <w:noProof/>
                <w:webHidden/>
              </w:rPr>
              <w:fldChar w:fldCharType="separate"/>
            </w:r>
            <w:r w:rsidR="00DD38EE">
              <w:rPr>
                <w:noProof/>
                <w:webHidden/>
              </w:rPr>
              <w:t>65</w:t>
            </w:r>
            <w:r>
              <w:rPr>
                <w:noProof/>
                <w:webHidden/>
              </w:rPr>
              <w:fldChar w:fldCharType="end"/>
            </w:r>
          </w:hyperlink>
        </w:p>
        <w:p w14:paraId="707F41B0" w14:textId="5F9DC533" w:rsidR="006F2D96" w:rsidRDefault="006F2D96">
          <w:pPr>
            <w:pStyle w:val="TOC3"/>
            <w:tabs>
              <w:tab w:val="right" w:leader="underscore" w:pos="9010"/>
            </w:tabs>
            <w:rPr>
              <w:rFonts w:asciiTheme="minorHAnsi" w:hAnsiTheme="minorHAnsi"/>
              <w:noProof/>
              <w:lang w:eastAsia="ja-JP"/>
            </w:rPr>
          </w:pPr>
          <w:hyperlink w:anchor="_Toc79414159" w:history="1">
            <w:r w:rsidRPr="00060C45">
              <w:rPr>
                <w:rStyle w:val="Hyperlink"/>
                <w:rFonts w:cs="Arial"/>
                <w:noProof/>
              </w:rPr>
              <w:t>2.12.4 Summary</w:t>
            </w:r>
            <w:r>
              <w:rPr>
                <w:noProof/>
                <w:webHidden/>
              </w:rPr>
              <w:tab/>
            </w:r>
            <w:r>
              <w:rPr>
                <w:noProof/>
                <w:webHidden/>
              </w:rPr>
              <w:fldChar w:fldCharType="begin"/>
            </w:r>
            <w:r>
              <w:rPr>
                <w:noProof/>
                <w:webHidden/>
              </w:rPr>
              <w:instrText xml:space="preserve"> PAGEREF _Toc79414159 \h </w:instrText>
            </w:r>
            <w:r>
              <w:rPr>
                <w:noProof/>
                <w:webHidden/>
              </w:rPr>
            </w:r>
            <w:r>
              <w:rPr>
                <w:noProof/>
                <w:webHidden/>
              </w:rPr>
              <w:fldChar w:fldCharType="separate"/>
            </w:r>
            <w:r w:rsidR="00DD38EE">
              <w:rPr>
                <w:noProof/>
                <w:webHidden/>
              </w:rPr>
              <w:t>66</w:t>
            </w:r>
            <w:r>
              <w:rPr>
                <w:noProof/>
                <w:webHidden/>
              </w:rPr>
              <w:fldChar w:fldCharType="end"/>
            </w:r>
          </w:hyperlink>
        </w:p>
        <w:p w14:paraId="5D07DE31" w14:textId="08C74A54" w:rsidR="006F2D96" w:rsidRDefault="006F2D96">
          <w:pPr>
            <w:pStyle w:val="TOC2"/>
            <w:tabs>
              <w:tab w:val="right" w:leader="underscore" w:pos="9010"/>
            </w:tabs>
            <w:rPr>
              <w:rFonts w:asciiTheme="minorHAnsi" w:hAnsiTheme="minorHAnsi"/>
              <w:b w:val="0"/>
              <w:noProof/>
              <w:lang w:eastAsia="ja-JP"/>
            </w:rPr>
          </w:pPr>
          <w:hyperlink w:anchor="_Toc79414160" w:history="1">
            <w:r w:rsidRPr="00060C45">
              <w:rPr>
                <w:rStyle w:val="Hyperlink"/>
                <w:rFonts w:cs="Arial"/>
                <w:noProof/>
              </w:rPr>
              <w:t>2.13: IAPT OUTCOME DATA: OUTLINING THE PROBLEM</w:t>
            </w:r>
            <w:r>
              <w:rPr>
                <w:noProof/>
                <w:webHidden/>
              </w:rPr>
              <w:tab/>
            </w:r>
            <w:r>
              <w:rPr>
                <w:noProof/>
                <w:webHidden/>
              </w:rPr>
              <w:fldChar w:fldCharType="begin"/>
            </w:r>
            <w:r>
              <w:rPr>
                <w:noProof/>
                <w:webHidden/>
              </w:rPr>
              <w:instrText xml:space="preserve"> PAGEREF _Toc79414160 \h </w:instrText>
            </w:r>
            <w:r>
              <w:rPr>
                <w:noProof/>
                <w:webHidden/>
              </w:rPr>
            </w:r>
            <w:r>
              <w:rPr>
                <w:noProof/>
                <w:webHidden/>
              </w:rPr>
              <w:fldChar w:fldCharType="separate"/>
            </w:r>
            <w:r w:rsidR="00DD38EE">
              <w:rPr>
                <w:noProof/>
                <w:webHidden/>
              </w:rPr>
              <w:t>68</w:t>
            </w:r>
            <w:r>
              <w:rPr>
                <w:noProof/>
                <w:webHidden/>
              </w:rPr>
              <w:fldChar w:fldCharType="end"/>
            </w:r>
          </w:hyperlink>
        </w:p>
        <w:p w14:paraId="11E3F551" w14:textId="6EA17479" w:rsidR="006F2D96" w:rsidRDefault="006F2D96">
          <w:pPr>
            <w:pStyle w:val="TOC3"/>
            <w:tabs>
              <w:tab w:val="right" w:leader="underscore" w:pos="9010"/>
            </w:tabs>
            <w:rPr>
              <w:rFonts w:asciiTheme="minorHAnsi" w:hAnsiTheme="minorHAnsi"/>
              <w:noProof/>
              <w:lang w:eastAsia="ja-JP"/>
            </w:rPr>
          </w:pPr>
          <w:hyperlink w:anchor="_Toc79414161" w:history="1">
            <w:r w:rsidRPr="00060C45">
              <w:rPr>
                <w:rStyle w:val="Hyperlink"/>
                <w:rFonts w:cs="Arial"/>
                <w:noProof/>
              </w:rPr>
              <w:t>2.13.1 IAPT outcome-based monitoring</w:t>
            </w:r>
            <w:r>
              <w:rPr>
                <w:noProof/>
                <w:webHidden/>
              </w:rPr>
              <w:tab/>
            </w:r>
            <w:r>
              <w:rPr>
                <w:noProof/>
                <w:webHidden/>
              </w:rPr>
              <w:fldChar w:fldCharType="begin"/>
            </w:r>
            <w:r>
              <w:rPr>
                <w:noProof/>
                <w:webHidden/>
              </w:rPr>
              <w:instrText xml:space="preserve"> PAGEREF _Toc79414161 \h </w:instrText>
            </w:r>
            <w:r>
              <w:rPr>
                <w:noProof/>
                <w:webHidden/>
              </w:rPr>
            </w:r>
            <w:r>
              <w:rPr>
                <w:noProof/>
                <w:webHidden/>
              </w:rPr>
              <w:fldChar w:fldCharType="separate"/>
            </w:r>
            <w:r w:rsidR="00DD38EE">
              <w:rPr>
                <w:noProof/>
                <w:webHidden/>
              </w:rPr>
              <w:t>68</w:t>
            </w:r>
            <w:r>
              <w:rPr>
                <w:noProof/>
                <w:webHidden/>
              </w:rPr>
              <w:fldChar w:fldCharType="end"/>
            </w:r>
          </w:hyperlink>
        </w:p>
        <w:p w14:paraId="7146CD09" w14:textId="2B4A3918" w:rsidR="006F2D96" w:rsidRDefault="006F2D96">
          <w:pPr>
            <w:pStyle w:val="TOC3"/>
            <w:tabs>
              <w:tab w:val="right" w:leader="underscore" w:pos="9010"/>
            </w:tabs>
            <w:rPr>
              <w:rFonts w:asciiTheme="minorHAnsi" w:hAnsiTheme="minorHAnsi"/>
              <w:noProof/>
              <w:lang w:eastAsia="ja-JP"/>
            </w:rPr>
          </w:pPr>
          <w:hyperlink w:anchor="_Toc79414162" w:history="1">
            <w:r w:rsidRPr="00060C45">
              <w:rPr>
                <w:rStyle w:val="Hyperlink"/>
                <w:rFonts w:cs="Arial"/>
                <w:noProof/>
              </w:rPr>
              <w:t>2.13.2 Definition of recovery</w:t>
            </w:r>
            <w:r>
              <w:rPr>
                <w:noProof/>
                <w:webHidden/>
              </w:rPr>
              <w:tab/>
            </w:r>
            <w:r>
              <w:rPr>
                <w:noProof/>
                <w:webHidden/>
              </w:rPr>
              <w:fldChar w:fldCharType="begin"/>
            </w:r>
            <w:r>
              <w:rPr>
                <w:noProof/>
                <w:webHidden/>
              </w:rPr>
              <w:instrText xml:space="preserve"> PAGEREF _Toc79414162 \h </w:instrText>
            </w:r>
            <w:r>
              <w:rPr>
                <w:noProof/>
                <w:webHidden/>
              </w:rPr>
            </w:r>
            <w:r>
              <w:rPr>
                <w:noProof/>
                <w:webHidden/>
              </w:rPr>
              <w:fldChar w:fldCharType="separate"/>
            </w:r>
            <w:r w:rsidR="00DD38EE">
              <w:rPr>
                <w:noProof/>
                <w:webHidden/>
              </w:rPr>
              <w:t>70</w:t>
            </w:r>
            <w:r>
              <w:rPr>
                <w:noProof/>
                <w:webHidden/>
              </w:rPr>
              <w:fldChar w:fldCharType="end"/>
            </w:r>
          </w:hyperlink>
        </w:p>
        <w:p w14:paraId="4434BD58" w14:textId="30919410" w:rsidR="006F2D96" w:rsidRDefault="006F2D96">
          <w:pPr>
            <w:pStyle w:val="TOC3"/>
            <w:tabs>
              <w:tab w:val="right" w:leader="underscore" w:pos="9010"/>
            </w:tabs>
            <w:rPr>
              <w:rFonts w:asciiTheme="minorHAnsi" w:hAnsiTheme="minorHAnsi"/>
              <w:noProof/>
              <w:lang w:eastAsia="ja-JP"/>
            </w:rPr>
          </w:pPr>
          <w:hyperlink w:anchor="_Toc79414163" w:history="1">
            <w:r w:rsidRPr="00060C45">
              <w:rPr>
                <w:rStyle w:val="Hyperlink"/>
                <w:rFonts w:cs="Arial"/>
                <w:noProof/>
              </w:rPr>
              <w:t>2.13.3 Definition of reliable improvement</w:t>
            </w:r>
            <w:r>
              <w:rPr>
                <w:noProof/>
                <w:webHidden/>
              </w:rPr>
              <w:tab/>
            </w:r>
            <w:r>
              <w:rPr>
                <w:noProof/>
                <w:webHidden/>
              </w:rPr>
              <w:fldChar w:fldCharType="begin"/>
            </w:r>
            <w:r>
              <w:rPr>
                <w:noProof/>
                <w:webHidden/>
              </w:rPr>
              <w:instrText xml:space="preserve"> PAGEREF _Toc79414163 \h </w:instrText>
            </w:r>
            <w:r>
              <w:rPr>
                <w:noProof/>
                <w:webHidden/>
              </w:rPr>
            </w:r>
            <w:r>
              <w:rPr>
                <w:noProof/>
                <w:webHidden/>
              </w:rPr>
              <w:fldChar w:fldCharType="separate"/>
            </w:r>
            <w:r w:rsidR="00DD38EE">
              <w:rPr>
                <w:noProof/>
                <w:webHidden/>
              </w:rPr>
              <w:t>70</w:t>
            </w:r>
            <w:r>
              <w:rPr>
                <w:noProof/>
                <w:webHidden/>
              </w:rPr>
              <w:fldChar w:fldCharType="end"/>
            </w:r>
          </w:hyperlink>
        </w:p>
        <w:p w14:paraId="3650A22D" w14:textId="3AA0DA98" w:rsidR="006F2D96" w:rsidRDefault="006F2D96">
          <w:pPr>
            <w:pStyle w:val="TOC2"/>
            <w:tabs>
              <w:tab w:val="right" w:leader="underscore" w:pos="9010"/>
            </w:tabs>
            <w:rPr>
              <w:rFonts w:asciiTheme="minorHAnsi" w:hAnsiTheme="minorHAnsi"/>
              <w:b w:val="0"/>
              <w:noProof/>
              <w:lang w:eastAsia="ja-JP"/>
            </w:rPr>
          </w:pPr>
          <w:hyperlink w:anchor="_Toc79414164" w:history="1">
            <w:r w:rsidRPr="00060C45">
              <w:rPr>
                <w:rStyle w:val="Hyperlink"/>
                <w:rFonts w:cs="Arial"/>
                <w:noProof/>
              </w:rPr>
              <w:t>2.14 IAPT OUTCOMES</w:t>
            </w:r>
            <w:r>
              <w:rPr>
                <w:noProof/>
                <w:webHidden/>
              </w:rPr>
              <w:tab/>
            </w:r>
            <w:r>
              <w:rPr>
                <w:noProof/>
                <w:webHidden/>
              </w:rPr>
              <w:fldChar w:fldCharType="begin"/>
            </w:r>
            <w:r>
              <w:rPr>
                <w:noProof/>
                <w:webHidden/>
              </w:rPr>
              <w:instrText xml:space="preserve"> PAGEREF _Toc79414164 \h </w:instrText>
            </w:r>
            <w:r>
              <w:rPr>
                <w:noProof/>
                <w:webHidden/>
              </w:rPr>
            </w:r>
            <w:r>
              <w:rPr>
                <w:noProof/>
                <w:webHidden/>
              </w:rPr>
              <w:fldChar w:fldCharType="separate"/>
            </w:r>
            <w:r w:rsidR="00DD38EE">
              <w:rPr>
                <w:noProof/>
                <w:webHidden/>
              </w:rPr>
              <w:t>71</w:t>
            </w:r>
            <w:r>
              <w:rPr>
                <w:noProof/>
                <w:webHidden/>
              </w:rPr>
              <w:fldChar w:fldCharType="end"/>
            </w:r>
          </w:hyperlink>
        </w:p>
        <w:p w14:paraId="4E6A5D95" w14:textId="2C4F8439" w:rsidR="006F2D96" w:rsidRDefault="006F2D96">
          <w:pPr>
            <w:pStyle w:val="TOC3"/>
            <w:tabs>
              <w:tab w:val="right" w:leader="underscore" w:pos="9010"/>
            </w:tabs>
            <w:rPr>
              <w:rFonts w:asciiTheme="minorHAnsi" w:hAnsiTheme="minorHAnsi"/>
              <w:noProof/>
              <w:lang w:eastAsia="ja-JP"/>
            </w:rPr>
          </w:pPr>
          <w:hyperlink w:anchor="_Toc79414165" w:history="1">
            <w:r w:rsidRPr="00060C45">
              <w:rPr>
                <w:rStyle w:val="Hyperlink"/>
                <w:rFonts w:cs="Arial"/>
                <w:noProof/>
              </w:rPr>
              <w:t>2.14.1 Variance in outcomes</w:t>
            </w:r>
            <w:r>
              <w:rPr>
                <w:noProof/>
                <w:webHidden/>
              </w:rPr>
              <w:tab/>
            </w:r>
            <w:r>
              <w:rPr>
                <w:noProof/>
                <w:webHidden/>
              </w:rPr>
              <w:fldChar w:fldCharType="begin"/>
            </w:r>
            <w:r>
              <w:rPr>
                <w:noProof/>
                <w:webHidden/>
              </w:rPr>
              <w:instrText xml:space="preserve"> PAGEREF _Toc79414165 \h </w:instrText>
            </w:r>
            <w:r>
              <w:rPr>
                <w:noProof/>
                <w:webHidden/>
              </w:rPr>
            </w:r>
            <w:r>
              <w:rPr>
                <w:noProof/>
                <w:webHidden/>
              </w:rPr>
              <w:fldChar w:fldCharType="separate"/>
            </w:r>
            <w:r w:rsidR="00DD38EE">
              <w:rPr>
                <w:noProof/>
                <w:webHidden/>
              </w:rPr>
              <w:t>72</w:t>
            </w:r>
            <w:r>
              <w:rPr>
                <w:noProof/>
                <w:webHidden/>
              </w:rPr>
              <w:fldChar w:fldCharType="end"/>
            </w:r>
          </w:hyperlink>
        </w:p>
        <w:p w14:paraId="6194F0AC" w14:textId="17713DC1" w:rsidR="006F2D96" w:rsidRDefault="006F2D96">
          <w:pPr>
            <w:pStyle w:val="TOC3"/>
            <w:tabs>
              <w:tab w:val="right" w:leader="underscore" w:pos="9010"/>
            </w:tabs>
            <w:rPr>
              <w:rFonts w:asciiTheme="minorHAnsi" w:hAnsiTheme="minorHAnsi"/>
              <w:noProof/>
              <w:lang w:eastAsia="ja-JP"/>
            </w:rPr>
          </w:pPr>
          <w:hyperlink w:anchor="_Toc79414166" w:history="1">
            <w:r w:rsidRPr="00060C45">
              <w:rPr>
                <w:rStyle w:val="Hyperlink"/>
                <w:rFonts w:cs="Arial"/>
                <w:noProof/>
              </w:rPr>
              <w:t>2.14.2 Understanding the problem</w:t>
            </w:r>
            <w:r>
              <w:rPr>
                <w:noProof/>
                <w:webHidden/>
              </w:rPr>
              <w:tab/>
            </w:r>
            <w:r>
              <w:rPr>
                <w:noProof/>
                <w:webHidden/>
              </w:rPr>
              <w:fldChar w:fldCharType="begin"/>
            </w:r>
            <w:r>
              <w:rPr>
                <w:noProof/>
                <w:webHidden/>
              </w:rPr>
              <w:instrText xml:space="preserve"> PAGEREF _Toc79414166 \h </w:instrText>
            </w:r>
            <w:r>
              <w:rPr>
                <w:noProof/>
                <w:webHidden/>
              </w:rPr>
            </w:r>
            <w:r>
              <w:rPr>
                <w:noProof/>
                <w:webHidden/>
              </w:rPr>
              <w:fldChar w:fldCharType="separate"/>
            </w:r>
            <w:r w:rsidR="00DD38EE">
              <w:rPr>
                <w:noProof/>
                <w:webHidden/>
              </w:rPr>
              <w:t>73</w:t>
            </w:r>
            <w:r>
              <w:rPr>
                <w:noProof/>
                <w:webHidden/>
              </w:rPr>
              <w:fldChar w:fldCharType="end"/>
            </w:r>
          </w:hyperlink>
        </w:p>
        <w:p w14:paraId="29E1E4A1" w14:textId="2B6F4A4C" w:rsidR="006F2D96" w:rsidRDefault="006F2D96">
          <w:pPr>
            <w:pStyle w:val="TOC3"/>
            <w:tabs>
              <w:tab w:val="right" w:leader="underscore" w:pos="9010"/>
            </w:tabs>
            <w:rPr>
              <w:rFonts w:asciiTheme="minorHAnsi" w:hAnsiTheme="minorHAnsi"/>
              <w:noProof/>
              <w:lang w:eastAsia="ja-JP"/>
            </w:rPr>
          </w:pPr>
          <w:hyperlink w:anchor="_Toc79414167" w:history="1">
            <w:r w:rsidRPr="00060C45">
              <w:rPr>
                <w:rStyle w:val="Hyperlink"/>
                <w:rFonts w:cs="Arial"/>
                <w:noProof/>
              </w:rPr>
              <w:t>2.14.3 Literature review question</w:t>
            </w:r>
            <w:r>
              <w:rPr>
                <w:noProof/>
                <w:webHidden/>
              </w:rPr>
              <w:tab/>
            </w:r>
            <w:r>
              <w:rPr>
                <w:noProof/>
                <w:webHidden/>
              </w:rPr>
              <w:fldChar w:fldCharType="begin"/>
            </w:r>
            <w:r>
              <w:rPr>
                <w:noProof/>
                <w:webHidden/>
              </w:rPr>
              <w:instrText xml:space="preserve"> PAGEREF _Toc79414167 \h </w:instrText>
            </w:r>
            <w:r>
              <w:rPr>
                <w:noProof/>
                <w:webHidden/>
              </w:rPr>
            </w:r>
            <w:r>
              <w:rPr>
                <w:noProof/>
                <w:webHidden/>
              </w:rPr>
              <w:fldChar w:fldCharType="separate"/>
            </w:r>
            <w:r w:rsidR="00DD38EE">
              <w:rPr>
                <w:noProof/>
                <w:webHidden/>
              </w:rPr>
              <w:t>77</w:t>
            </w:r>
            <w:r>
              <w:rPr>
                <w:noProof/>
                <w:webHidden/>
              </w:rPr>
              <w:fldChar w:fldCharType="end"/>
            </w:r>
          </w:hyperlink>
        </w:p>
        <w:p w14:paraId="5A0CCEC7" w14:textId="058495E2" w:rsidR="006F2D96" w:rsidRDefault="006F2D96">
          <w:pPr>
            <w:pStyle w:val="TOC2"/>
            <w:tabs>
              <w:tab w:val="right" w:leader="underscore" w:pos="9010"/>
            </w:tabs>
            <w:rPr>
              <w:rFonts w:asciiTheme="minorHAnsi" w:hAnsiTheme="minorHAnsi"/>
              <w:b w:val="0"/>
              <w:noProof/>
              <w:lang w:eastAsia="ja-JP"/>
            </w:rPr>
          </w:pPr>
          <w:hyperlink w:anchor="_Toc79414168" w:history="1">
            <w:r w:rsidRPr="00060C45">
              <w:rPr>
                <w:rStyle w:val="Hyperlink"/>
                <w:rFonts w:cs="Arial"/>
                <w:noProof/>
              </w:rPr>
              <w:t>2.15 CONCLUSION</w:t>
            </w:r>
            <w:r>
              <w:rPr>
                <w:noProof/>
                <w:webHidden/>
              </w:rPr>
              <w:tab/>
            </w:r>
            <w:r>
              <w:rPr>
                <w:noProof/>
                <w:webHidden/>
              </w:rPr>
              <w:fldChar w:fldCharType="begin"/>
            </w:r>
            <w:r>
              <w:rPr>
                <w:noProof/>
                <w:webHidden/>
              </w:rPr>
              <w:instrText xml:space="preserve"> PAGEREF _Toc79414168 \h </w:instrText>
            </w:r>
            <w:r>
              <w:rPr>
                <w:noProof/>
                <w:webHidden/>
              </w:rPr>
            </w:r>
            <w:r>
              <w:rPr>
                <w:noProof/>
                <w:webHidden/>
              </w:rPr>
              <w:fldChar w:fldCharType="separate"/>
            </w:r>
            <w:r w:rsidR="00DD38EE">
              <w:rPr>
                <w:noProof/>
                <w:webHidden/>
              </w:rPr>
              <w:t>77</w:t>
            </w:r>
            <w:r>
              <w:rPr>
                <w:noProof/>
                <w:webHidden/>
              </w:rPr>
              <w:fldChar w:fldCharType="end"/>
            </w:r>
          </w:hyperlink>
        </w:p>
        <w:p w14:paraId="38657D6A" w14:textId="498D8854" w:rsidR="006F2D96" w:rsidRDefault="006F2D96">
          <w:pPr>
            <w:pStyle w:val="TOC1"/>
            <w:rPr>
              <w:rFonts w:asciiTheme="minorHAnsi" w:hAnsiTheme="minorHAnsi"/>
              <w:b w:val="0"/>
              <w:noProof/>
              <w:szCs w:val="22"/>
              <w:lang w:eastAsia="ja-JP"/>
            </w:rPr>
          </w:pPr>
          <w:hyperlink w:anchor="_Toc79414169" w:history="1">
            <w:r w:rsidRPr="00060C45">
              <w:rPr>
                <w:rStyle w:val="Hyperlink"/>
                <w:rFonts w:cs="Arial"/>
                <w:noProof/>
              </w:rPr>
              <w:t>CHAPTER THREE: LITERATURE REVIEW</w:t>
            </w:r>
            <w:r>
              <w:rPr>
                <w:noProof/>
                <w:webHidden/>
              </w:rPr>
              <w:tab/>
            </w:r>
            <w:r>
              <w:rPr>
                <w:noProof/>
                <w:webHidden/>
              </w:rPr>
              <w:fldChar w:fldCharType="begin"/>
            </w:r>
            <w:r>
              <w:rPr>
                <w:noProof/>
                <w:webHidden/>
              </w:rPr>
              <w:instrText xml:space="preserve"> PAGEREF _Toc79414169 \h </w:instrText>
            </w:r>
            <w:r>
              <w:rPr>
                <w:noProof/>
                <w:webHidden/>
              </w:rPr>
            </w:r>
            <w:r>
              <w:rPr>
                <w:noProof/>
                <w:webHidden/>
              </w:rPr>
              <w:fldChar w:fldCharType="separate"/>
            </w:r>
            <w:r w:rsidR="00DD38EE">
              <w:rPr>
                <w:noProof/>
                <w:webHidden/>
              </w:rPr>
              <w:t>79</w:t>
            </w:r>
            <w:r>
              <w:rPr>
                <w:noProof/>
                <w:webHidden/>
              </w:rPr>
              <w:fldChar w:fldCharType="end"/>
            </w:r>
          </w:hyperlink>
        </w:p>
        <w:p w14:paraId="28890C2C" w14:textId="724E8C65" w:rsidR="006F2D96" w:rsidRDefault="006F2D96">
          <w:pPr>
            <w:pStyle w:val="TOC2"/>
            <w:tabs>
              <w:tab w:val="right" w:leader="underscore" w:pos="9010"/>
            </w:tabs>
            <w:rPr>
              <w:rFonts w:asciiTheme="minorHAnsi" w:hAnsiTheme="minorHAnsi"/>
              <w:b w:val="0"/>
              <w:noProof/>
              <w:lang w:eastAsia="ja-JP"/>
            </w:rPr>
          </w:pPr>
          <w:hyperlink w:anchor="_Toc79414170" w:history="1">
            <w:r w:rsidRPr="00060C45">
              <w:rPr>
                <w:rStyle w:val="Hyperlink"/>
                <w:rFonts w:cs="Arial"/>
                <w:noProof/>
              </w:rPr>
              <w:t>3.1 PRELIMINARY SCOPING REVIEW</w:t>
            </w:r>
            <w:r>
              <w:rPr>
                <w:noProof/>
                <w:webHidden/>
              </w:rPr>
              <w:tab/>
            </w:r>
            <w:r>
              <w:rPr>
                <w:noProof/>
                <w:webHidden/>
              </w:rPr>
              <w:fldChar w:fldCharType="begin"/>
            </w:r>
            <w:r>
              <w:rPr>
                <w:noProof/>
                <w:webHidden/>
              </w:rPr>
              <w:instrText xml:space="preserve"> PAGEREF _Toc79414170 \h </w:instrText>
            </w:r>
            <w:r>
              <w:rPr>
                <w:noProof/>
                <w:webHidden/>
              </w:rPr>
            </w:r>
            <w:r>
              <w:rPr>
                <w:noProof/>
                <w:webHidden/>
              </w:rPr>
              <w:fldChar w:fldCharType="separate"/>
            </w:r>
            <w:r w:rsidR="00DD38EE">
              <w:rPr>
                <w:noProof/>
                <w:webHidden/>
              </w:rPr>
              <w:t>79</w:t>
            </w:r>
            <w:r>
              <w:rPr>
                <w:noProof/>
                <w:webHidden/>
              </w:rPr>
              <w:fldChar w:fldCharType="end"/>
            </w:r>
          </w:hyperlink>
        </w:p>
        <w:p w14:paraId="2CA4C475" w14:textId="533EE025" w:rsidR="006F2D96" w:rsidRDefault="006F2D96">
          <w:pPr>
            <w:pStyle w:val="TOC3"/>
            <w:tabs>
              <w:tab w:val="right" w:leader="underscore" w:pos="9010"/>
            </w:tabs>
            <w:rPr>
              <w:rFonts w:asciiTheme="minorHAnsi" w:hAnsiTheme="minorHAnsi"/>
              <w:noProof/>
              <w:lang w:eastAsia="ja-JP"/>
            </w:rPr>
          </w:pPr>
          <w:hyperlink w:anchor="_Toc79414171" w:history="1">
            <w:r w:rsidRPr="00060C45">
              <w:rPr>
                <w:rStyle w:val="Hyperlink"/>
                <w:rFonts w:cs="Arial"/>
                <w:noProof/>
                <w:lang w:val="en-US"/>
              </w:rPr>
              <w:t>3.1.1 Scoping Review Theme 1: The historical development of understanding therapist variables</w:t>
            </w:r>
            <w:r>
              <w:rPr>
                <w:noProof/>
                <w:webHidden/>
              </w:rPr>
              <w:tab/>
            </w:r>
            <w:r>
              <w:rPr>
                <w:noProof/>
                <w:webHidden/>
              </w:rPr>
              <w:fldChar w:fldCharType="begin"/>
            </w:r>
            <w:r>
              <w:rPr>
                <w:noProof/>
                <w:webHidden/>
              </w:rPr>
              <w:instrText xml:space="preserve"> PAGEREF _Toc79414171 \h </w:instrText>
            </w:r>
            <w:r>
              <w:rPr>
                <w:noProof/>
                <w:webHidden/>
              </w:rPr>
            </w:r>
            <w:r>
              <w:rPr>
                <w:noProof/>
                <w:webHidden/>
              </w:rPr>
              <w:fldChar w:fldCharType="separate"/>
            </w:r>
            <w:r w:rsidR="00DD38EE">
              <w:rPr>
                <w:noProof/>
                <w:webHidden/>
              </w:rPr>
              <w:t>82</w:t>
            </w:r>
            <w:r>
              <w:rPr>
                <w:noProof/>
                <w:webHidden/>
              </w:rPr>
              <w:fldChar w:fldCharType="end"/>
            </w:r>
          </w:hyperlink>
        </w:p>
        <w:p w14:paraId="4811997D" w14:textId="12BBD5C1" w:rsidR="006F2D96" w:rsidRDefault="006F2D96">
          <w:pPr>
            <w:pStyle w:val="TOC3"/>
            <w:tabs>
              <w:tab w:val="right" w:leader="underscore" w:pos="9010"/>
            </w:tabs>
            <w:rPr>
              <w:rFonts w:asciiTheme="minorHAnsi" w:hAnsiTheme="minorHAnsi"/>
              <w:noProof/>
              <w:lang w:eastAsia="ja-JP"/>
            </w:rPr>
          </w:pPr>
          <w:hyperlink w:anchor="_Toc79414172" w:history="1">
            <w:r w:rsidRPr="00060C45">
              <w:rPr>
                <w:rStyle w:val="Hyperlink"/>
                <w:rFonts w:cs="Arial"/>
                <w:noProof/>
                <w:lang w:val="en-US"/>
              </w:rPr>
              <w:t>3.1.2 Theme 2: Variance in outcome and therapist competence</w:t>
            </w:r>
            <w:r>
              <w:rPr>
                <w:noProof/>
                <w:webHidden/>
              </w:rPr>
              <w:tab/>
            </w:r>
            <w:r>
              <w:rPr>
                <w:noProof/>
                <w:webHidden/>
              </w:rPr>
              <w:fldChar w:fldCharType="begin"/>
            </w:r>
            <w:r>
              <w:rPr>
                <w:noProof/>
                <w:webHidden/>
              </w:rPr>
              <w:instrText xml:space="preserve"> PAGEREF _Toc79414172 \h </w:instrText>
            </w:r>
            <w:r>
              <w:rPr>
                <w:noProof/>
                <w:webHidden/>
              </w:rPr>
            </w:r>
            <w:r>
              <w:rPr>
                <w:noProof/>
                <w:webHidden/>
              </w:rPr>
              <w:fldChar w:fldCharType="separate"/>
            </w:r>
            <w:r w:rsidR="00DD38EE">
              <w:rPr>
                <w:noProof/>
                <w:webHidden/>
              </w:rPr>
              <w:t>83</w:t>
            </w:r>
            <w:r>
              <w:rPr>
                <w:noProof/>
                <w:webHidden/>
              </w:rPr>
              <w:fldChar w:fldCharType="end"/>
            </w:r>
          </w:hyperlink>
        </w:p>
        <w:p w14:paraId="663A3A35" w14:textId="75E4B803" w:rsidR="006F2D96" w:rsidRDefault="006F2D96">
          <w:pPr>
            <w:pStyle w:val="TOC3"/>
            <w:tabs>
              <w:tab w:val="right" w:leader="underscore" w:pos="9010"/>
            </w:tabs>
            <w:rPr>
              <w:rFonts w:asciiTheme="minorHAnsi" w:hAnsiTheme="minorHAnsi"/>
              <w:noProof/>
              <w:lang w:eastAsia="ja-JP"/>
            </w:rPr>
          </w:pPr>
          <w:hyperlink w:anchor="_Toc79414173" w:history="1">
            <w:r w:rsidRPr="00060C45">
              <w:rPr>
                <w:rStyle w:val="Hyperlink"/>
                <w:rFonts w:cs="Arial"/>
                <w:noProof/>
                <w:lang w:val="en-US"/>
              </w:rPr>
              <w:t>3.1.3 Theme 3: Identifying and measuring therapist adherence</w:t>
            </w:r>
            <w:r>
              <w:rPr>
                <w:noProof/>
                <w:webHidden/>
              </w:rPr>
              <w:tab/>
            </w:r>
            <w:r>
              <w:rPr>
                <w:noProof/>
                <w:webHidden/>
              </w:rPr>
              <w:fldChar w:fldCharType="begin"/>
            </w:r>
            <w:r>
              <w:rPr>
                <w:noProof/>
                <w:webHidden/>
              </w:rPr>
              <w:instrText xml:space="preserve"> PAGEREF _Toc79414173 \h </w:instrText>
            </w:r>
            <w:r>
              <w:rPr>
                <w:noProof/>
                <w:webHidden/>
              </w:rPr>
            </w:r>
            <w:r>
              <w:rPr>
                <w:noProof/>
                <w:webHidden/>
              </w:rPr>
              <w:fldChar w:fldCharType="separate"/>
            </w:r>
            <w:r w:rsidR="00DD38EE">
              <w:rPr>
                <w:noProof/>
                <w:webHidden/>
              </w:rPr>
              <w:t>86</w:t>
            </w:r>
            <w:r>
              <w:rPr>
                <w:noProof/>
                <w:webHidden/>
              </w:rPr>
              <w:fldChar w:fldCharType="end"/>
            </w:r>
          </w:hyperlink>
        </w:p>
        <w:p w14:paraId="62D7EF60" w14:textId="22487045" w:rsidR="006F2D96" w:rsidRDefault="006F2D96">
          <w:pPr>
            <w:pStyle w:val="TOC3"/>
            <w:tabs>
              <w:tab w:val="right" w:leader="underscore" w:pos="9010"/>
            </w:tabs>
            <w:rPr>
              <w:rFonts w:asciiTheme="minorHAnsi" w:hAnsiTheme="minorHAnsi"/>
              <w:noProof/>
              <w:lang w:eastAsia="ja-JP"/>
            </w:rPr>
          </w:pPr>
          <w:hyperlink w:anchor="_Toc79414174" w:history="1">
            <w:r w:rsidRPr="00060C45">
              <w:rPr>
                <w:rStyle w:val="Hyperlink"/>
                <w:rFonts w:cs="Arial"/>
                <w:noProof/>
                <w:lang w:val="en-US"/>
              </w:rPr>
              <w:t>3.1.4 Theme 4: Identifying and measuring the therapeutic alliance</w:t>
            </w:r>
            <w:r>
              <w:rPr>
                <w:noProof/>
                <w:webHidden/>
              </w:rPr>
              <w:tab/>
            </w:r>
            <w:r>
              <w:rPr>
                <w:noProof/>
                <w:webHidden/>
              </w:rPr>
              <w:fldChar w:fldCharType="begin"/>
            </w:r>
            <w:r>
              <w:rPr>
                <w:noProof/>
                <w:webHidden/>
              </w:rPr>
              <w:instrText xml:space="preserve"> PAGEREF _Toc79414174 \h </w:instrText>
            </w:r>
            <w:r>
              <w:rPr>
                <w:noProof/>
                <w:webHidden/>
              </w:rPr>
            </w:r>
            <w:r>
              <w:rPr>
                <w:noProof/>
                <w:webHidden/>
              </w:rPr>
              <w:fldChar w:fldCharType="separate"/>
            </w:r>
            <w:r w:rsidR="00DD38EE">
              <w:rPr>
                <w:noProof/>
                <w:webHidden/>
              </w:rPr>
              <w:t>89</w:t>
            </w:r>
            <w:r>
              <w:rPr>
                <w:noProof/>
                <w:webHidden/>
              </w:rPr>
              <w:fldChar w:fldCharType="end"/>
            </w:r>
          </w:hyperlink>
        </w:p>
        <w:p w14:paraId="110713D7" w14:textId="5491CC66" w:rsidR="006F2D96" w:rsidRDefault="006F2D96">
          <w:pPr>
            <w:pStyle w:val="TOC3"/>
            <w:tabs>
              <w:tab w:val="right" w:leader="underscore" w:pos="9010"/>
            </w:tabs>
            <w:rPr>
              <w:rFonts w:asciiTheme="minorHAnsi" w:hAnsiTheme="minorHAnsi"/>
              <w:noProof/>
              <w:lang w:eastAsia="ja-JP"/>
            </w:rPr>
          </w:pPr>
          <w:hyperlink w:anchor="_Toc79414175" w:history="1">
            <w:r w:rsidRPr="00060C45">
              <w:rPr>
                <w:rStyle w:val="Hyperlink"/>
                <w:rFonts w:cs="Arial"/>
                <w:noProof/>
              </w:rPr>
              <w:t>3.1.5 Theme 5: Therapist demographics</w:t>
            </w:r>
            <w:r>
              <w:rPr>
                <w:noProof/>
                <w:webHidden/>
              </w:rPr>
              <w:tab/>
            </w:r>
            <w:r>
              <w:rPr>
                <w:noProof/>
                <w:webHidden/>
              </w:rPr>
              <w:fldChar w:fldCharType="begin"/>
            </w:r>
            <w:r>
              <w:rPr>
                <w:noProof/>
                <w:webHidden/>
              </w:rPr>
              <w:instrText xml:space="preserve"> PAGEREF _Toc79414175 \h </w:instrText>
            </w:r>
            <w:r>
              <w:rPr>
                <w:noProof/>
                <w:webHidden/>
              </w:rPr>
            </w:r>
            <w:r>
              <w:rPr>
                <w:noProof/>
                <w:webHidden/>
              </w:rPr>
              <w:fldChar w:fldCharType="separate"/>
            </w:r>
            <w:r w:rsidR="00DD38EE">
              <w:rPr>
                <w:noProof/>
                <w:webHidden/>
              </w:rPr>
              <w:t>90</w:t>
            </w:r>
            <w:r>
              <w:rPr>
                <w:noProof/>
                <w:webHidden/>
              </w:rPr>
              <w:fldChar w:fldCharType="end"/>
            </w:r>
          </w:hyperlink>
        </w:p>
        <w:p w14:paraId="5790CA0A" w14:textId="60C1FAC4" w:rsidR="006F2D96" w:rsidRDefault="006F2D96">
          <w:pPr>
            <w:pStyle w:val="TOC3"/>
            <w:tabs>
              <w:tab w:val="right" w:leader="underscore" w:pos="9010"/>
            </w:tabs>
            <w:rPr>
              <w:rFonts w:asciiTheme="minorHAnsi" w:hAnsiTheme="minorHAnsi"/>
              <w:noProof/>
              <w:lang w:eastAsia="ja-JP"/>
            </w:rPr>
          </w:pPr>
          <w:hyperlink w:anchor="_Toc79414176" w:history="1">
            <w:r w:rsidRPr="00060C45">
              <w:rPr>
                <w:rStyle w:val="Hyperlink"/>
                <w:rFonts w:cs="Arial"/>
                <w:noProof/>
                <w:lang w:val="en-US"/>
              </w:rPr>
              <w:t>3.1.6 Theme 6: Therapist Effects</w:t>
            </w:r>
            <w:r>
              <w:rPr>
                <w:noProof/>
                <w:webHidden/>
              </w:rPr>
              <w:tab/>
            </w:r>
            <w:r>
              <w:rPr>
                <w:noProof/>
                <w:webHidden/>
              </w:rPr>
              <w:fldChar w:fldCharType="begin"/>
            </w:r>
            <w:r>
              <w:rPr>
                <w:noProof/>
                <w:webHidden/>
              </w:rPr>
              <w:instrText xml:space="preserve"> PAGEREF _Toc79414176 \h </w:instrText>
            </w:r>
            <w:r>
              <w:rPr>
                <w:noProof/>
                <w:webHidden/>
              </w:rPr>
            </w:r>
            <w:r>
              <w:rPr>
                <w:noProof/>
                <w:webHidden/>
              </w:rPr>
              <w:fldChar w:fldCharType="separate"/>
            </w:r>
            <w:r w:rsidR="00DD38EE">
              <w:rPr>
                <w:noProof/>
                <w:webHidden/>
              </w:rPr>
              <w:t>91</w:t>
            </w:r>
            <w:r>
              <w:rPr>
                <w:noProof/>
                <w:webHidden/>
              </w:rPr>
              <w:fldChar w:fldCharType="end"/>
            </w:r>
          </w:hyperlink>
        </w:p>
        <w:p w14:paraId="68A3BE8B" w14:textId="7358640B" w:rsidR="006F2D96" w:rsidRDefault="006F2D96">
          <w:pPr>
            <w:pStyle w:val="TOC3"/>
            <w:tabs>
              <w:tab w:val="right" w:leader="underscore" w:pos="9010"/>
            </w:tabs>
            <w:rPr>
              <w:rFonts w:asciiTheme="minorHAnsi" w:hAnsiTheme="minorHAnsi"/>
              <w:noProof/>
              <w:lang w:eastAsia="ja-JP"/>
            </w:rPr>
          </w:pPr>
          <w:hyperlink w:anchor="_Toc79414177" w:history="1">
            <w:r w:rsidRPr="00060C45">
              <w:rPr>
                <w:rStyle w:val="Hyperlink"/>
                <w:rFonts w:cs="Arial"/>
                <w:noProof/>
                <w:lang w:val="en-US"/>
              </w:rPr>
              <w:t>3.1.7 Summary of findings from the preliminary scoping review</w:t>
            </w:r>
            <w:r>
              <w:rPr>
                <w:noProof/>
                <w:webHidden/>
              </w:rPr>
              <w:tab/>
            </w:r>
            <w:r>
              <w:rPr>
                <w:noProof/>
                <w:webHidden/>
              </w:rPr>
              <w:fldChar w:fldCharType="begin"/>
            </w:r>
            <w:r>
              <w:rPr>
                <w:noProof/>
                <w:webHidden/>
              </w:rPr>
              <w:instrText xml:space="preserve"> PAGEREF _Toc79414177 \h </w:instrText>
            </w:r>
            <w:r>
              <w:rPr>
                <w:noProof/>
                <w:webHidden/>
              </w:rPr>
            </w:r>
            <w:r>
              <w:rPr>
                <w:noProof/>
                <w:webHidden/>
              </w:rPr>
              <w:fldChar w:fldCharType="separate"/>
            </w:r>
            <w:r w:rsidR="00DD38EE">
              <w:rPr>
                <w:noProof/>
                <w:webHidden/>
              </w:rPr>
              <w:t>93</w:t>
            </w:r>
            <w:r>
              <w:rPr>
                <w:noProof/>
                <w:webHidden/>
              </w:rPr>
              <w:fldChar w:fldCharType="end"/>
            </w:r>
          </w:hyperlink>
        </w:p>
        <w:p w14:paraId="6CD1BD53" w14:textId="07822818" w:rsidR="006F2D96" w:rsidRDefault="006F2D96">
          <w:pPr>
            <w:pStyle w:val="TOC2"/>
            <w:tabs>
              <w:tab w:val="right" w:leader="underscore" w:pos="9010"/>
            </w:tabs>
            <w:rPr>
              <w:rFonts w:asciiTheme="minorHAnsi" w:hAnsiTheme="minorHAnsi"/>
              <w:b w:val="0"/>
              <w:noProof/>
              <w:lang w:eastAsia="ja-JP"/>
            </w:rPr>
          </w:pPr>
          <w:hyperlink w:anchor="_Toc79414178" w:history="1">
            <w:r w:rsidRPr="00060C45">
              <w:rPr>
                <w:rStyle w:val="Hyperlink"/>
                <w:rFonts w:cs="Arial"/>
                <w:noProof/>
                <w:lang w:val="en-US"/>
              </w:rPr>
              <w:t>3.2 SYSTEMATIC LITERATURE REVIEW</w:t>
            </w:r>
            <w:r>
              <w:rPr>
                <w:noProof/>
                <w:webHidden/>
              </w:rPr>
              <w:tab/>
            </w:r>
            <w:r>
              <w:rPr>
                <w:noProof/>
                <w:webHidden/>
              </w:rPr>
              <w:fldChar w:fldCharType="begin"/>
            </w:r>
            <w:r>
              <w:rPr>
                <w:noProof/>
                <w:webHidden/>
              </w:rPr>
              <w:instrText xml:space="preserve"> PAGEREF _Toc79414178 \h </w:instrText>
            </w:r>
            <w:r>
              <w:rPr>
                <w:noProof/>
                <w:webHidden/>
              </w:rPr>
            </w:r>
            <w:r>
              <w:rPr>
                <w:noProof/>
                <w:webHidden/>
              </w:rPr>
              <w:fldChar w:fldCharType="separate"/>
            </w:r>
            <w:r w:rsidR="00DD38EE">
              <w:rPr>
                <w:noProof/>
                <w:webHidden/>
              </w:rPr>
              <w:t>95</w:t>
            </w:r>
            <w:r>
              <w:rPr>
                <w:noProof/>
                <w:webHidden/>
              </w:rPr>
              <w:fldChar w:fldCharType="end"/>
            </w:r>
          </w:hyperlink>
        </w:p>
        <w:p w14:paraId="45590965" w14:textId="2DAE4E9C" w:rsidR="006F2D96" w:rsidRDefault="006F2D96">
          <w:pPr>
            <w:pStyle w:val="TOC3"/>
            <w:tabs>
              <w:tab w:val="right" w:leader="underscore" w:pos="9010"/>
            </w:tabs>
            <w:rPr>
              <w:rFonts w:asciiTheme="minorHAnsi" w:hAnsiTheme="minorHAnsi"/>
              <w:noProof/>
              <w:lang w:eastAsia="ja-JP"/>
            </w:rPr>
          </w:pPr>
          <w:hyperlink w:anchor="_Toc79414179" w:history="1">
            <w:r w:rsidRPr="00060C45">
              <w:rPr>
                <w:rStyle w:val="Hyperlink"/>
                <w:rFonts w:cs="Arial"/>
                <w:noProof/>
                <w:lang w:val="en-US"/>
              </w:rPr>
              <w:t>3.2.1 Objectives</w:t>
            </w:r>
            <w:r>
              <w:rPr>
                <w:noProof/>
                <w:webHidden/>
              </w:rPr>
              <w:tab/>
            </w:r>
            <w:r>
              <w:rPr>
                <w:noProof/>
                <w:webHidden/>
              </w:rPr>
              <w:fldChar w:fldCharType="begin"/>
            </w:r>
            <w:r>
              <w:rPr>
                <w:noProof/>
                <w:webHidden/>
              </w:rPr>
              <w:instrText xml:space="preserve"> PAGEREF _Toc79414179 \h </w:instrText>
            </w:r>
            <w:r>
              <w:rPr>
                <w:noProof/>
                <w:webHidden/>
              </w:rPr>
            </w:r>
            <w:r>
              <w:rPr>
                <w:noProof/>
                <w:webHidden/>
              </w:rPr>
              <w:fldChar w:fldCharType="separate"/>
            </w:r>
            <w:r w:rsidR="00DD38EE">
              <w:rPr>
                <w:noProof/>
                <w:webHidden/>
              </w:rPr>
              <w:t>95</w:t>
            </w:r>
            <w:r>
              <w:rPr>
                <w:noProof/>
                <w:webHidden/>
              </w:rPr>
              <w:fldChar w:fldCharType="end"/>
            </w:r>
          </w:hyperlink>
        </w:p>
        <w:p w14:paraId="03CA456E" w14:textId="12E1969B" w:rsidR="006F2D96" w:rsidRDefault="006F2D96">
          <w:pPr>
            <w:pStyle w:val="TOC3"/>
            <w:tabs>
              <w:tab w:val="right" w:leader="underscore" w:pos="9010"/>
            </w:tabs>
            <w:rPr>
              <w:rFonts w:asciiTheme="minorHAnsi" w:hAnsiTheme="minorHAnsi"/>
              <w:noProof/>
              <w:lang w:eastAsia="ja-JP"/>
            </w:rPr>
          </w:pPr>
          <w:hyperlink w:anchor="_Toc79414180" w:history="1">
            <w:r w:rsidRPr="00060C45">
              <w:rPr>
                <w:rStyle w:val="Hyperlink"/>
                <w:rFonts w:cs="Arial"/>
                <w:noProof/>
                <w:lang w:val="en-US"/>
              </w:rPr>
              <w:t>3.2.2 Methodology</w:t>
            </w:r>
            <w:r>
              <w:rPr>
                <w:noProof/>
                <w:webHidden/>
              </w:rPr>
              <w:tab/>
            </w:r>
            <w:r>
              <w:rPr>
                <w:noProof/>
                <w:webHidden/>
              </w:rPr>
              <w:fldChar w:fldCharType="begin"/>
            </w:r>
            <w:r>
              <w:rPr>
                <w:noProof/>
                <w:webHidden/>
              </w:rPr>
              <w:instrText xml:space="preserve"> PAGEREF _Toc79414180 \h </w:instrText>
            </w:r>
            <w:r>
              <w:rPr>
                <w:noProof/>
                <w:webHidden/>
              </w:rPr>
            </w:r>
            <w:r>
              <w:rPr>
                <w:noProof/>
                <w:webHidden/>
              </w:rPr>
              <w:fldChar w:fldCharType="separate"/>
            </w:r>
            <w:r w:rsidR="00DD38EE">
              <w:rPr>
                <w:noProof/>
                <w:webHidden/>
              </w:rPr>
              <w:t>96</w:t>
            </w:r>
            <w:r>
              <w:rPr>
                <w:noProof/>
                <w:webHidden/>
              </w:rPr>
              <w:fldChar w:fldCharType="end"/>
            </w:r>
          </w:hyperlink>
        </w:p>
        <w:p w14:paraId="01D6495B" w14:textId="18E905AA" w:rsidR="006F2D96" w:rsidRDefault="006F2D96">
          <w:pPr>
            <w:pStyle w:val="TOC3"/>
            <w:tabs>
              <w:tab w:val="right" w:leader="underscore" w:pos="9010"/>
            </w:tabs>
            <w:rPr>
              <w:rFonts w:asciiTheme="minorHAnsi" w:hAnsiTheme="minorHAnsi"/>
              <w:noProof/>
              <w:lang w:eastAsia="ja-JP"/>
            </w:rPr>
          </w:pPr>
          <w:hyperlink w:anchor="_Toc79414181" w:history="1">
            <w:r w:rsidRPr="00060C45">
              <w:rPr>
                <w:rStyle w:val="Hyperlink"/>
                <w:rFonts w:cs="Arial"/>
                <w:noProof/>
              </w:rPr>
              <w:t>3.2.3 The selection of articles</w:t>
            </w:r>
            <w:r>
              <w:rPr>
                <w:noProof/>
                <w:webHidden/>
              </w:rPr>
              <w:tab/>
            </w:r>
            <w:r>
              <w:rPr>
                <w:noProof/>
                <w:webHidden/>
              </w:rPr>
              <w:fldChar w:fldCharType="begin"/>
            </w:r>
            <w:r>
              <w:rPr>
                <w:noProof/>
                <w:webHidden/>
              </w:rPr>
              <w:instrText xml:space="preserve"> PAGEREF _Toc79414181 \h </w:instrText>
            </w:r>
            <w:r>
              <w:rPr>
                <w:noProof/>
                <w:webHidden/>
              </w:rPr>
            </w:r>
            <w:r>
              <w:rPr>
                <w:noProof/>
                <w:webHidden/>
              </w:rPr>
              <w:fldChar w:fldCharType="separate"/>
            </w:r>
            <w:r w:rsidR="00DD38EE">
              <w:rPr>
                <w:noProof/>
                <w:webHidden/>
              </w:rPr>
              <w:t>98</w:t>
            </w:r>
            <w:r>
              <w:rPr>
                <w:noProof/>
                <w:webHidden/>
              </w:rPr>
              <w:fldChar w:fldCharType="end"/>
            </w:r>
          </w:hyperlink>
        </w:p>
        <w:p w14:paraId="14C8EAF9" w14:textId="75BB104B" w:rsidR="006F2D96" w:rsidRDefault="006F2D96">
          <w:pPr>
            <w:pStyle w:val="TOC3"/>
            <w:tabs>
              <w:tab w:val="right" w:leader="underscore" w:pos="9010"/>
            </w:tabs>
            <w:rPr>
              <w:rFonts w:asciiTheme="minorHAnsi" w:hAnsiTheme="minorHAnsi"/>
              <w:noProof/>
              <w:lang w:eastAsia="ja-JP"/>
            </w:rPr>
          </w:pPr>
          <w:hyperlink w:anchor="_Toc79414182" w:history="1">
            <w:r w:rsidRPr="00060C45">
              <w:rPr>
                <w:rStyle w:val="Hyperlink"/>
                <w:rFonts w:cs="Arial"/>
                <w:noProof/>
                <w:lang w:val="en-US"/>
              </w:rPr>
              <w:t>3.2.4 Discussion of findings</w:t>
            </w:r>
            <w:r>
              <w:rPr>
                <w:noProof/>
                <w:webHidden/>
              </w:rPr>
              <w:tab/>
            </w:r>
            <w:r>
              <w:rPr>
                <w:noProof/>
                <w:webHidden/>
              </w:rPr>
              <w:fldChar w:fldCharType="begin"/>
            </w:r>
            <w:r>
              <w:rPr>
                <w:noProof/>
                <w:webHidden/>
              </w:rPr>
              <w:instrText xml:space="preserve"> PAGEREF _Toc79414182 \h </w:instrText>
            </w:r>
            <w:r>
              <w:rPr>
                <w:noProof/>
                <w:webHidden/>
              </w:rPr>
            </w:r>
            <w:r>
              <w:rPr>
                <w:noProof/>
                <w:webHidden/>
              </w:rPr>
              <w:fldChar w:fldCharType="separate"/>
            </w:r>
            <w:r w:rsidR="00DD38EE">
              <w:rPr>
                <w:noProof/>
                <w:webHidden/>
              </w:rPr>
              <w:t>104</w:t>
            </w:r>
            <w:r>
              <w:rPr>
                <w:noProof/>
                <w:webHidden/>
              </w:rPr>
              <w:fldChar w:fldCharType="end"/>
            </w:r>
          </w:hyperlink>
        </w:p>
        <w:p w14:paraId="7AEB0DCD" w14:textId="04E39AF6" w:rsidR="006F2D96" w:rsidRDefault="006F2D96">
          <w:pPr>
            <w:pStyle w:val="TOC3"/>
            <w:tabs>
              <w:tab w:val="right" w:leader="underscore" w:pos="9010"/>
            </w:tabs>
            <w:rPr>
              <w:rFonts w:asciiTheme="minorHAnsi" w:hAnsiTheme="minorHAnsi"/>
              <w:noProof/>
              <w:lang w:eastAsia="ja-JP"/>
            </w:rPr>
          </w:pPr>
          <w:hyperlink w:anchor="_Toc79414183" w:history="1">
            <w:r w:rsidRPr="00060C45">
              <w:rPr>
                <w:rStyle w:val="Hyperlink"/>
                <w:rFonts w:cs="Arial"/>
                <w:noProof/>
                <w:lang w:val="en-US"/>
              </w:rPr>
              <w:t>3.2.5 Sample size</w:t>
            </w:r>
            <w:r>
              <w:rPr>
                <w:noProof/>
                <w:webHidden/>
              </w:rPr>
              <w:tab/>
            </w:r>
            <w:r>
              <w:rPr>
                <w:noProof/>
                <w:webHidden/>
              </w:rPr>
              <w:fldChar w:fldCharType="begin"/>
            </w:r>
            <w:r>
              <w:rPr>
                <w:noProof/>
                <w:webHidden/>
              </w:rPr>
              <w:instrText xml:space="preserve"> PAGEREF _Toc79414183 \h </w:instrText>
            </w:r>
            <w:r>
              <w:rPr>
                <w:noProof/>
                <w:webHidden/>
              </w:rPr>
            </w:r>
            <w:r>
              <w:rPr>
                <w:noProof/>
                <w:webHidden/>
              </w:rPr>
              <w:fldChar w:fldCharType="separate"/>
            </w:r>
            <w:r w:rsidR="00DD38EE">
              <w:rPr>
                <w:noProof/>
                <w:webHidden/>
              </w:rPr>
              <w:t>111</w:t>
            </w:r>
            <w:r>
              <w:rPr>
                <w:noProof/>
                <w:webHidden/>
              </w:rPr>
              <w:fldChar w:fldCharType="end"/>
            </w:r>
          </w:hyperlink>
        </w:p>
        <w:p w14:paraId="267D5CEC" w14:textId="1DC640B4" w:rsidR="006F2D96" w:rsidRDefault="006F2D96">
          <w:pPr>
            <w:pStyle w:val="TOC3"/>
            <w:tabs>
              <w:tab w:val="right" w:leader="underscore" w:pos="9010"/>
            </w:tabs>
            <w:rPr>
              <w:rFonts w:asciiTheme="minorHAnsi" w:hAnsiTheme="minorHAnsi"/>
              <w:noProof/>
              <w:lang w:eastAsia="ja-JP"/>
            </w:rPr>
          </w:pPr>
          <w:hyperlink w:anchor="_Toc79414184" w:history="1">
            <w:r w:rsidRPr="00060C45">
              <w:rPr>
                <w:rStyle w:val="Hyperlink"/>
                <w:rFonts w:cs="Arial"/>
                <w:noProof/>
              </w:rPr>
              <w:t>3.2.6 Limitations of the systematic literature review</w:t>
            </w:r>
            <w:r>
              <w:rPr>
                <w:noProof/>
                <w:webHidden/>
              </w:rPr>
              <w:tab/>
            </w:r>
            <w:r>
              <w:rPr>
                <w:noProof/>
                <w:webHidden/>
              </w:rPr>
              <w:fldChar w:fldCharType="begin"/>
            </w:r>
            <w:r>
              <w:rPr>
                <w:noProof/>
                <w:webHidden/>
              </w:rPr>
              <w:instrText xml:space="preserve"> PAGEREF _Toc79414184 \h </w:instrText>
            </w:r>
            <w:r>
              <w:rPr>
                <w:noProof/>
                <w:webHidden/>
              </w:rPr>
            </w:r>
            <w:r>
              <w:rPr>
                <w:noProof/>
                <w:webHidden/>
              </w:rPr>
              <w:fldChar w:fldCharType="separate"/>
            </w:r>
            <w:r w:rsidR="00DD38EE">
              <w:rPr>
                <w:noProof/>
                <w:webHidden/>
              </w:rPr>
              <w:t>113</w:t>
            </w:r>
            <w:r>
              <w:rPr>
                <w:noProof/>
                <w:webHidden/>
              </w:rPr>
              <w:fldChar w:fldCharType="end"/>
            </w:r>
          </w:hyperlink>
        </w:p>
        <w:p w14:paraId="32628F7E" w14:textId="5ADF689F" w:rsidR="006F2D96" w:rsidRDefault="006F2D96">
          <w:pPr>
            <w:pStyle w:val="TOC3"/>
            <w:tabs>
              <w:tab w:val="right" w:leader="underscore" w:pos="9010"/>
            </w:tabs>
            <w:rPr>
              <w:rFonts w:asciiTheme="minorHAnsi" w:hAnsiTheme="minorHAnsi"/>
              <w:noProof/>
              <w:lang w:eastAsia="ja-JP"/>
            </w:rPr>
          </w:pPr>
          <w:hyperlink w:anchor="_Toc79414185" w:history="1">
            <w:r w:rsidRPr="00060C45">
              <w:rPr>
                <w:rStyle w:val="Hyperlink"/>
                <w:rFonts w:cs="Arial"/>
                <w:noProof/>
              </w:rPr>
              <w:t>3.2.7 Summary</w:t>
            </w:r>
            <w:r>
              <w:rPr>
                <w:noProof/>
                <w:webHidden/>
              </w:rPr>
              <w:tab/>
            </w:r>
            <w:r>
              <w:rPr>
                <w:noProof/>
                <w:webHidden/>
              </w:rPr>
              <w:fldChar w:fldCharType="begin"/>
            </w:r>
            <w:r>
              <w:rPr>
                <w:noProof/>
                <w:webHidden/>
              </w:rPr>
              <w:instrText xml:space="preserve"> PAGEREF _Toc79414185 \h </w:instrText>
            </w:r>
            <w:r>
              <w:rPr>
                <w:noProof/>
                <w:webHidden/>
              </w:rPr>
            </w:r>
            <w:r>
              <w:rPr>
                <w:noProof/>
                <w:webHidden/>
              </w:rPr>
              <w:fldChar w:fldCharType="separate"/>
            </w:r>
            <w:r w:rsidR="00DD38EE">
              <w:rPr>
                <w:noProof/>
                <w:webHidden/>
              </w:rPr>
              <w:t>113</w:t>
            </w:r>
            <w:r>
              <w:rPr>
                <w:noProof/>
                <w:webHidden/>
              </w:rPr>
              <w:fldChar w:fldCharType="end"/>
            </w:r>
          </w:hyperlink>
        </w:p>
        <w:p w14:paraId="0A27B2BD" w14:textId="49F0CB25" w:rsidR="006F2D96" w:rsidRDefault="006F2D96">
          <w:pPr>
            <w:pStyle w:val="TOC2"/>
            <w:tabs>
              <w:tab w:val="right" w:leader="underscore" w:pos="9010"/>
            </w:tabs>
            <w:rPr>
              <w:rFonts w:asciiTheme="minorHAnsi" w:hAnsiTheme="minorHAnsi"/>
              <w:b w:val="0"/>
              <w:noProof/>
              <w:lang w:eastAsia="ja-JP"/>
            </w:rPr>
          </w:pPr>
          <w:hyperlink w:anchor="_Toc79414186" w:history="1">
            <w:r w:rsidRPr="00060C45">
              <w:rPr>
                <w:rStyle w:val="Hyperlink"/>
                <w:rFonts w:cs="Arial"/>
                <w:noProof/>
              </w:rPr>
              <w:t>3.3 RECOMMENDATIONS FOR FURTHER RESEARCH</w:t>
            </w:r>
            <w:r>
              <w:rPr>
                <w:noProof/>
                <w:webHidden/>
              </w:rPr>
              <w:tab/>
            </w:r>
            <w:r>
              <w:rPr>
                <w:noProof/>
                <w:webHidden/>
              </w:rPr>
              <w:fldChar w:fldCharType="begin"/>
            </w:r>
            <w:r>
              <w:rPr>
                <w:noProof/>
                <w:webHidden/>
              </w:rPr>
              <w:instrText xml:space="preserve"> PAGEREF _Toc79414186 \h </w:instrText>
            </w:r>
            <w:r>
              <w:rPr>
                <w:noProof/>
                <w:webHidden/>
              </w:rPr>
            </w:r>
            <w:r>
              <w:rPr>
                <w:noProof/>
                <w:webHidden/>
              </w:rPr>
              <w:fldChar w:fldCharType="separate"/>
            </w:r>
            <w:r w:rsidR="00DD38EE">
              <w:rPr>
                <w:noProof/>
                <w:webHidden/>
              </w:rPr>
              <w:t>114</w:t>
            </w:r>
            <w:r>
              <w:rPr>
                <w:noProof/>
                <w:webHidden/>
              </w:rPr>
              <w:fldChar w:fldCharType="end"/>
            </w:r>
          </w:hyperlink>
        </w:p>
        <w:p w14:paraId="3000A798" w14:textId="733FE082" w:rsidR="006F2D96" w:rsidRDefault="006F2D96">
          <w:pPr>
            <w:pStyle w:val="TOC2"/>
            <w:tabs>
              <w:tab w:val="right" w:leader="underscore" w:pos="9010"/>
            </w:tabs>
            <w:rPr>
              <w:rFonts w:asciiTheme="minorHAnsi" w:hAnsiTheme="minorHAnsi"/>
              <w:b w:val="0"/>
              <w:noProof/>
              <w:lang w:eastAsia="ja-JP"/>
            </w:rPr>
          </w:pPr>
          <w:hyperlink w:anchor="_Toc79414187" w:history="1">
            <w:r w:rsidRPr="00060C45">
              <w:rPr>
                <w:rStyle w:val="Hyperlink"/>
                <w:rFonts w:cs="Arial"/>
                <w:noProof/>
                <w:lang w:val="en-US"/>
              </w:rPr>
              <w:t>3.4 RESEARCH QUESTIONS FOR THIS THESIS</w:t>
            </w:r>
            <w:r>
              <w:rPr>
                <w:noProof/>
                <w:webHidden/>
              </w:rPr>
              <w:tab/>
            </w:r>
            <w:r>
              <w:rPr>
                <w:noProof/>
                <w:webHidden/>
              </w:rPr>
              <w:fldChar w:fldCharType="begin"/>
            </w:r>
            <w:r>
              <w:rPr>
                <w:noProof/>
                <w:webHidden/>
              </w:rPr>
              <w:instrText xml:space="preserve"> PAGEREF _Toc79414187 \h </w:instrText>
            </w:r>
            <w:r>
              <w:rPr>
                <w:noProof/>
                <w:webHidden/>
              </w:rPr>
            </w:r>
            <w:r>
              <w:rPr>
                <w:noProof/>
                <w:webHidden/>
              </w:rPr>
              <w:fldChar w:fldCharType="separate"/>
            </w:r>
            <w:r w:rsidR="00DD38EE">
              <w:rPr>
                <w:noProof/>
                <w:webHidden/>
              </w:rPr>
              <w:t>116</w:t>
            </w:r>
            <w:r>
              <w:rPr>
                <w:noProof/>
                <w:webHidden/>
              </w:rPr>
              <w:fldChar w:fldCharType="end"/>
            </w:r>
          </w:hyperlink>
        </w:p>
        <w:p w14:paraId="242A4F22" w14:textId="0CCFC6DA" w:rsidR="006F2D96" w:rsidRDefault="006F2D96">
          <w:pPr>
            <w:pStyle w:val="TOC2"/>
            <w:tabs>
              <w:tab w:val="right" w:leader="underscore" w:pos="9010"/>
            </w:tabs>
            <w:rPr>
              <w:rFonts w:asciiTheme="minorHAnsi" w:hAnsiTheme="minorHAnsi"/>
              <w:b w:val="0"/>
              <w:noProof/>
              <w:lang w:eastAsia="ja-JP"/>
            </w:rPr>
          </w:pPr>
          <w:hyperlink w:anchor="_Toc79414188" w:history="1">
            <w:r w:rsidRPr="00060C45">
              <w:rPr>
                <w:rStyle w:val="Hyperlink"/>
                <w:rFonts w:cs="Arial"/>
                <w:noProof/>
              </w:rPr>
              <w:t>3.5 CONCLUSION</w:t>
            </w:r>
            <w:r>
              <w:rPr>
                <w:noProof/>
                <w:webHidden/>
              </w:rPr>
              <w:tab/>
            </w:r>
            <w:r>
              <w:rPr>
                <w:noProof/>
                <w:webHidden/>
              </w:rPr>
              <w:fldChar w:fldCharType="begin"/>
            </w:r>
            <w:r>
              <w:rPr>
                <w:noProof/>
                <w:webHidden/>
              </w:rPr>
              <w:instrText xml:space="preserve"> PAGEREF _Toc79414188 \h </w:instrText>
            </w:r>
            <w:r>
              <w:rPr>
                <w:noProof/>
                <w:webHidden/>
              </w:rPr>
            </w:r>
            <w:r>
              <w:rPr>
                <w:noProof/>
                <w:webHidden/>
              </w:rPr>
              <w:fldChar w:fldCharType="separate"/>
            </w:r>
            <w:r w:rsidR="00DD38EE">
              <w:rPr>
                <w:noProof/>
                <w:webHidden/>
              </w:rPr>
              <w:t>117</w:t>
            </w:r>
            <w:r>
              <w:rPr>
                <w:noProof/>
                <w:webHidden/>
              </w:rPr>
              <w:fldChar w:fldCharType="end"/>
            </w:r>
          </w:hyperlink>
        </w:p>
        <w:p w14:paraId="062A87D3" w14:textId="67A39499" w:rsidR="006F2D96" w:rsidRDefault="006F2D96">
          <w:pPr>
            <w:pStyle w:val="TOC1"/>
            <w:rPr>
              <w:rFonts w:asciiTheme="minorHAnsi" w:hAnsiTheme="minorHAnsi"/>
              <w:b w:val="0"/>
              <w:noProof/>
              <w:szCs w:val="22"/>
              <w:lang w:eastAsia="ja-JP"/>
            </w:rPr>
          </w:pPr>
          <w:hyperlink w:anchor="_Toc79414189" w:history="1">
            <w:r w:rsidRPr="00060C45">
              <w:rPr>
                <w:rStyle w:val="Hyperlink"/>
                <w:rFonts w:cs="Arial"/>
                <w:noProof/>
              </w:rPr>
              <w:t>CHAPTER FOUR: METHODOLOGY</w:t>
            </w:r>
            <w:r>
              <w:rPr>
                <w:noProof/>
                <w:webHidden/>
              </w:rPr>
              <w:tab/>
            </w:r>
            <w:r>
              <w:rPr>
                <w:noProof/>
                <w:webHidden/>
              </w:rPr>
              <w:fldChar w:fldCharType="begin"/>
            </w:r>
            <w:r>
              <w:rPr>
                <w:noProof/>
                <w:webHidden/>
              </w:rPr>
              <w:instrText xml:space="preserve"> PAGEREF _Toc79414189 \h </w:instrText>
            </w:r>
            <w:r>
              <w:rPr>
                <w:noProof/>
                <w:webHidden/>
              </w:rPr>
            </w:r>
            <w:r>
              <w:rPr>
                <w:noProof/>
                <w:webHidden/>
              </w:rPr>
              <w:fldChar w:fldCharType="separate"/>
            </w:r>
            <w:r w:rsidR="00DD38EE">
              <w:rPr>
                <w:noProof/>
                <w:webHidden/>
              </w:rPr>
              <w:t>119</w:t>
            </w:r>
            <w:r>
              <w:rPr>
                <w:noProof/>
                <w:webHidden/>
              </w:rPr>
              <w:fldChar w:fldCharType="end"/>
            </w:r>
          </w:hyperlink>
        </w:p>
        <w:p w14:paraId="28A94D2C" w14:textId="5AD18C6F" w:rsidR="006F2D96" w:rsidRDefault="006F2D96">
          <w:pPr>
            <w:pStyle w:val="TOC2"/>
            <w:tabs>
              <w:tab w:val="right" w:leader="underscore" w:pos="9010"/>
            </w:tabs>
            <w:rPr>
              <w:rFonts w:asciiTheme="minorHAnsi" w:hAnsiTheme="minorHAnsi"/>
              <w:b w:val="0"/>
              <w:noProof/>
              <w:lang w:eastAsia="ja-JP"/>
            </w:rPr>
          </w:pPr>
          <w:hyperlink w:anchor="_Toc79414190" w:history="1">
            <w:r w:rsidRPr="00060C45">
              <w:rPr>
                <w:rStyle w:val="Hyperlink"/>
                <w:rFonts w:cs="Arial"/>
                <w:noProof/>
              </w:rPr>
              <w:t>4.1 THE PHILOSOPHY OF EVIDENCE-BASED PSYCHOLOGICAL THERAPY</w:t>
            </w:r>
            <w:r>
              <w:rPr>
                <w:noProof/>
                <w:webHidden/>
              </w:rPr>
              <w:tab/>
            </w:r>
            <w:r>
              <w:rPr>
                <w:noProof/>
                <w:webHidden/>
              </w:rPr>
              <w:fldChar w:fldCharType="begin"/>
            </w:r>
            <w:r>
              <w:rPr>
                <w:noProof/>
                <w:webHidden/>
              </w:rPr>
              <w:instrText xml:space="preserve"> PAGEREF _Toc79414190 \h </w:instrText>
            </w:r>
            <w:r>
              <w:rPr>
                <w:noProof/>
                <w:webHidden/>
              </w:rPr>
            </w:r>
            <w:r>
              <w:rPr>
                <w:noProof/>
                <w:webHidden/>
              </w:rPr>
              <w:fldChar w:fldCharType="separate"/>
            </w:r>
            <w:r w:rsidR="00DD38EE">
              <w:rPr>
                <w:noProof/>
                <w:webHidden/>
              </w:rPr>
              <w:t>119</w:t>
            </w:r>
            <w:r>
              <w:rPr>
                <w:noProof/>
                <w:webHidden/>
              </w:rPr>
              <w:fldChar w:fldCharType="end"/>
            </w:r>
          </w:hyperlink>
        </w:p>
        <w:p w14:paraId="02024836" w14:textId="4D6D0569" w:rsidR="006F2D96" w:rsidRDefault="006F2D96">
          <w:pPr>
            <w:pStyle w:val="TOC3"/>
            <w:tabs>
              <w:tab w:val="right" w:leader="underscore" w:pos="9010"/>
            </w:tabs>
            <w:rPr>
              <w:rFonts w:asciiTheme="minorHAnsi" w:hAnsiTheme="minorHAnsi"/>
              <w:noProof/>
              <w:lang w:eastAsia="ja-JP"/>
            </w:rPr>
          </w:pPr>
          <w:hyperlink w:anchor="_Toc79414191" w:history="1">
            <w:r w:rsidRPr="00060C45">
              <w:rPr>
                <w:rStyle w:val="Hyperlink"/>
                <w:rFonts w:cs="Arial"/>
                <w:noProof/>
                <w:lang w:val="en-US"/>
              </w:rPr>
              <w:t>4.1.1 Cognitive behavioural theoretical frameworks</w:t>
            </w:r>
            <w:r>
              <w:rPr>
                <w:noProof/>
                <w:webHidden/>
              </w:rPr>
              <w:tab/>
            </w:r>
            <w:r>
              <w:rPr>
                <w:noProof/>
                <w:webHidden/>
              </w:rPr>
              <w:fldChar w:fldCharType="begin"/>
            </w:r>
            <w:r>
              <w:rPr>
                <w:noProof/>
                <w:webHidden/>
              </w:rPr>
              <w:instrText xml:space="preserve"> PAGEREF _Toc79414191 \h </w:instrText>
            </w:r>
            <w:r>
              <w:rPr>
                <w:noProof/>
                <w:webHidden/>
              </w:rPr>
            </w:r>
            <w:r>
              <w:rPr>
                <w:noProof/>
                <w:webHidden/>
              </w:rPr>
              <w:fldChar w:fldCharType="separate"/>
            </w:r>
            <w:r w:rsidR="00DD38EE">
              <w:rPr>
                <w:noProof/>
                <w:webHidden/>
              </w:rPr>
              <w:t>122</w:t>
            </w:r>
            <w:r>
              <w:rPr>
                <w:noProof/>
                <w:webHidden/>
              </w:rPr>
              <w:fldChar w:fldCharType="end"/>
            </w:r>
          </w:hyperlink>
        </w:p>
        <w:p w14:paraId="2C98EE13" w14:textId="358C5CC1" w:rsidR="006F2D96" w:rsidRDefault="006F2D96">
          <w:pPr>
            <w:pStyle w:val="TOC3"/>
            <w:tabs>
              <w:tab w:val="right" w:leader="underscore" w:pos="9010"/>
            </w:tabs>
            <w:rPr>
              <w:rFonts w:asciiTheme="minorHAnsi" w:hAnsiTheme="minorHAnsi"/>
              <w:noProof/>
              <w:lang w:eastAsia="ja-JP"/>
            </w:rPr>
          </w:pPr>
          <w:hyperlink w:anchor="_Toc79414192" w:history="1">
            <w:r w:rsidRPr="00060C45">
              <w:rPr>
                <w:rStyle w:val="Hyperlink"/>
                <w:rFonts w:cs="Arial"/>
                <w:noProof/>
                <w:lang w:val="en-US"/>
              </w:rPr>
              <w:t>4.1.2 Rationale for the approach</w:t>
            </w:r>
            <w:r>
              <w:rPr>
                <w:noProof/>
                <w:webHidden/>
              </w:rPr>
              <w:tab/>
            </w:r>
            <w:r>
              <w:rPr>
                <w:noProof/>
                <w:webHidden/>
              </w:rPr>
              <w:fldChar w:fldCharType="begin"/>
            </w:r>
            <w:r>
              <w:rPr>
                <w:noProof/>
                <w:webHidden/>
              </w:rPr>
              <w:instrText xml:space="preserve"> PAGEREF _Toc79414192 \h </w:instrText>
            </w:r>
            <w:r>
              <w:rPr>
                <w:noProof/>
                <w:webHidden/>
              </w:rPr>
            </w:r>
            <w:r>
              <w:rPr>
                <w:noProof/>
                <w:webHidden/>
              </w:rPr>
              <w:fldChar w:fldCharType="separate"/>
            </w:r>
            <w:r w:rsidR="00DD38EE">
              <w:rPr>
                <w:noProof/>
                <w:webHidden/>
              </w:rPr>
              <w:t>126</w:t>
            </w:r>
            <w:r>
              <w:rPr>
                <w:noProof/>
                <w:webHidden/>
              </w:rPr>
              <w:fldChar w:fldCharType="end"/>
            </w:r>
          </w:hyperlink>
        </w:p>
        <w:p w14:paraId="01F21A10" w14:textId="7988C8A8" w:rsidR="006F2D96" w:rsidRDefault="006F2D96">
          <w:pPr>
            <w:pStyle w:val="TOC2"/>
            <w:tabs>
              <w:tab w:val="right" w:leader="underscore" w:pos="9010"/>
            </w:tabs>
            <w:rPr>
              <w:rFonts w:asciiTheme="minorHAnsi" w:hAnsiTheme="minorHAnsi"/>
              <w:b w:val="0"/>
              <w:noProof/>
              <w:lang w:eastAsia="ja-JP"/>
            </w:rPr>
          </w:pPr>
          <w:hyperlink w:anchor="_Toc79414193" w:history="1">
            <w:r w:rsidRPr="00060C45">
              <w:rPr>
                <w:rStyle w:val="Hyperlink"/>
                <w:rFonts w:cs="Arial"/>
                <w:noProof/>
              </w:rPr>
              <w:t>4.2 RESEARCH DESIGN</w:t>
            </w:r>
            <w:r>
              <w:rPr>
                <w:noProof/>
                <w:webHidden/>
              </w:rPr>
              <w:tab/>
            </w:r>
            <w:r>
              <w:rPr>
                <w:noProof/>
                <w:webHidden/>
              </w:rPr>
              <w:fldChar w:fldCharType="begin"/>
            </w:r>
            <w:r>
              <w:rPr>
                <w:noProof/>
                <w:webHidden/>
              </w:rPr>
              <w:instrText xml:space="preserve"> PAGEREF _Toc79414193 \h </w:instrText>
            </w:r>
            <w:r>
              <w:rPr>
                <w:noProof/>
                <w:webHidden/>
              </w:rPr>
            </w:r>
            <w:r>
              <w:rPr>
                <w:noProof/>
                <w:webHidden/>
              </w:rPr>
              <w:fldChar w:fldCharType="separate"/>
            </w:r>
            <w:r w:rsidR="00DD38EE">
              <w:rPr>
                <w:noProof/>
                <w:webHidden/>
              </w:rPr>
              <w:t>127</w:t>
            </w:r>
            <w:r>
              <w:rPr>
                <w:noProof/>
                <w:webHidden/>
              </w:rPr>
              <w:fldChar w:fldCharType="end"/>
            </w:r>
          </w:hyperlink>
        </w:p>
        <w:p w14:paraId="3FDE830C" w14:textId="42EE6DB3" w:rsidR="006F2D96" w:rsidRDefault="006F2D96">
          <w:pPr>
            <w:pStyle w:val="TOC3"/>
            <w:tabs>
              <w:tab w:val="right" w:leader="underscore" w:pos="9010"/>
            </w:tabs>
            <w:rPr>
              <w:rFonts w:asciiTheme="minorHAnsi" w:hAnsiTheme="minorHAnsi"/>
              <w:noProof/>
              <w:lang w:eastAsia="ja-JP"/>
            </w:rPr>
          </w:pPr>
          <w:hyperlink w:anchor="_Toc79414194" w:history="1">
            <w:r w:rsidRPr="00060C45">
              <w:rPr>
                <w:rStyle w:val="Hyperlink"/>
                <w:rFonts w:cs="Arial"/>
                <w:noProof/>
              </w:rPr>
              <w:t>4.2.1 Setting</w:t>
            </w:r>
            <w:r>
              <w:rPr>
                <w:noProof/>
                <w:webHidden/>
              </w:rPr>
              <w:tab/>
            </w:r>
            <w:r>
              <w:rPr>
                <w:noProof/>
                <w:webHidden/>
              </w:rPr>
              <w:fldChar w:fldCharType="begin"/>
            </w:r>
            <w:r>
              <w:rPr>
                <w:noProof/>
                <w:webHidden/>
              </w:rPr>
              <w:instrText xml:space="preserve"> PAGEREF _Toc79414194 \h </w:instrText>
            </w:r>
            <w:r>
              <w:rPr>
                <w:noProof/>
                <w:webHidden/>
              </w:rPr>
            </w:r>
            <w:r>
              <w:rPr>
                <w:noProof/>
                <w:webHidden/>
              </w:rPr>
              <w:fldChar w:fldCharType="separate"/>
            </w:r>
            <w:r w:rsidR="00DD38EE">
              <w:rPr>
                <w:noProof/>
                <w:webHidden/>
              </w:rPr>
              <w:t>127</w:t>
            </w:r>
            <w:r>
              <w:rPr>
                <w:noProof/>
                <w:webHidden/>
              </w:rPr>
              <w:fldChar w:fldCharType="end"/>
            </w:r>
          </w:hyperlink>
        </w:p>
        <w:p w14:paraId="565635C8" w14:textId="41AF9420" w:rsidR="006F2D96" w:rsidRDefault="006F2D96">
          <w:pPr>
            <w:pStyle w:val="TOC3"/>
            <w:tabs>
              <w:tab w:val="right" w:leader="underscore" w:pos="9010"/>
            </w:tabs>
            <w:rPr>
              <w:rFonts w:asciiTheme="minorHAnsi" w:hAnsiTheme="minorHAnsi"/>
              <w:noProof/>
              <w:lang w:eastAsia="ja-JP"/>
            </w:rPr>
          </w:pPr>
          <w:hyperlink w:anchor="_Toc79414195" w:history="1">
            <w:r w:rsidRPr="00060C45">
              <w:rPr>
                <w:rStyle w:val="Hyperlink"/>
                <w:rFonts w:cs="Arial"/>
                <w:noProof/>
              </w:rPr>
              <w:t>4.2.2 Recruitment of therapists and sampling method</w:t>
            </w:r>
            <w:r>
              <w:rPr>
                <w:noProof/>
                <w:webHidden/>
              </w:rPr>
              <w:tab/>
            </w:r>
            <w:r>
              <w:rPr>
                <w:noProof/>
                <w:webHidden/>
              </w:rPr>
              <w:fldChar w:fldCharType="begin"/>
            </w:r>
            <w:r>
              <w:rPr>
                <w:noProof/>
                <w:webHidden/>
              </w:rPr>
              <w:instrText xml:space="preserve"> PAGEREF _Toc79414195 \h </w:instrText>
            </w:r>
            <w:r>
              <w:rPr>
                <w:noProof/>
                <w:webHidden/>
              </w:rPr>
            </w:r>
            <w:r>
              <w:rPr>
                <w:noProof/>
                <w:webHidden/>
              </w:rPr>
              <w:fldChar w:fldCharType="separate"/>
            </w:r>
            <w:r w:rsidR="00DD38EE">
              <w:rPr>
                <w:noProof/>
                <w:webHidden/>
              </w:rPr>
              <w:t>127</w:t>
            </w:r>
            <w:r>
              <w:rPr>
                <w:noProof/>
                <w:webHidden/>
              </w:rPr>
              <w:fldChar w:fldCharType="end"/>
            </w:r>
          </w:hyperlink>
        </w:p>
        <w:p w14:paraId="445A2301" w14:textId="2BFA04DD" w:rsidR="006F2D96" w:rsidRDefault="006F2D96">
          <w:pPr>
            <w:pStyle w:val="TOC3"/>
            <w:tabs>
              <w:tab w:val="right" w:leader="underscore" w:pos="9010"/>
            </w:tabs>
            <w:rPr>
              <w:rFonts w:asciiTheme="minorHAnsi" w:hAnsiTheme="minorHAnsi"/>
              <w:noProof/>
              <w:lang w:eastAsia="ja-JP"/>
            </w:rPr>
          </w:pPr>
          <w:hyperlink w:anchor="_Toc79414196" w:history="1">
            <w:r w:rsidRPr="00060C45">
              <w:rPr>
                <w:rStyle w:val="Hyperlink"/>
                <w:noProof/>
              </w:rPr>
              <w:t>4.2.3 Sample Size</w:t>
            </w:r>
            <w:r>
              <w:rPr>
                <w:noProof/>
                <w:webHidden/>
              </w:rPr>
              <w:tab/>
            </w:r>
            <w:r>
              <w:rPr>
                <w:noProof/>
                <w:webHidden/>
              </w:rPr>
              <w:fldChar w:fldCharType="begin"/>
            </w:r>
            <w:r>
              <w:rPr>
                <w:noProof/>
                <w:webHidden/>
              </w:rPr>
              <w:instrText xml:space="preserve"> PAGEREF _Toc79414196 \h </w:instrText>
            </w:r>
            <w:r>
              <w:rPr>
                <w:noProof/>
                <w:webHidden/>
              </w:rPr>
            </w:r>
            <w:r>
              <w:rPr>
                <w:noProof/>
                <w:webHidden/>
              </w:rPr>
              <w:fldChar w:fldCharType="separate"/>
            </w:r>
            <w:r w:rsidR="00DD38EE">
              <w:rPr>
                <w:noProof/>
                <w:webHidden/>
              </w:rPr>
              <w:t>129</w:t>
            </w:r>
            <w:r>
              <w:rPr>
                <w:noProof/>
                <w:webHidden/>
              </w:rPr>
              <w:fldChar w:fldCharType="end"/>
            </w:r>
          </w:hyperlink>
        </w:p>
        <w:p w14:paraId="50FDC60A" w14:textId="643ACBCA" w:rsidR="006F2D96" w:rsidRDefault="006F2D96">
          <w:pPr>
            <w:pStyle w:val="TOC3"/>
            <w:tabs>
              <w:tab w:val="right" w:leader="underscore" w:pos="9010"/>
            </w:tabs>
            <w:rPr>
              <w:rFonts w:asciiTheme="minorHAnsi" w:hAnsiTheme="minorHAnsi"/>
              <w:noProof/>
              <w:lang w:eastAsia="ja-JP"/>
            </w:rPr>
          </w:pPr>
          <w:hyperlink w:anchor="_Toc79414197" w:history="1">
            <w:r w:rsidRPr="00060C45">
              <w:rPr>
                <w:rStyle w:val="Hyperlink"/>
                <w:rFonts w:cs="Arial"/>
                <w:noProof/>
              </w:rPr>
              <w:t>4.2.4 Raters</w:t>
            </w:r>
            <w:r>
              <w:rPr>
                <w:noProof/>
                <w:webHidden/>
              </w:rPr>
              <w:tab/>
            </w:r>
            <w:r>
              <w:rPr>
                <w:noProof/>
                <w:webHidden/>
              </w:rPr>
              <w:fldChar w:fldCharType="begin"/>
            </w:r>
            <w:r>
              <w:rPr>
                <w:noProof/>
                <w:webHidden/>
              </w:rPr>
              <w:instrText xml:space="preserve"> PAGEREF _Toc79414197 \h </w:instrText>
            </w:r>
            <w:r>
              <w:rPr>
                <w:noProof/>
                <w:webHidden/>
              </w:rPr>
            </w:r>
            <w:r>
              <w:rPr>
                <w:noProof/>
                <w:webHidden/>
              </w:rPr>
              <w:fldChar w:fldCharType="separate"/>
            </w:r>
            <w:r w:rsidR="00DD38EE">
              <w:rPr>
                <w:noProof/>
                <w:webHidden/>
              </w:rPr>
              <w:t>130</w:t>
            </w:r>
            <w:r>
              <w:rPr>
                <w:noProof/>
                <w:webHidden/>
              </w:rPr>
              <w:fldChar w:fldCharType="end"/>
            </w:r>
          </w:hyperlink>
        </w:p>
        <w:p w14:paraId="32A33DF5" w14:textId="71648B3A" w:rsidR="006F2D96" w:rsidRDefault="006F2D96">
          <w:pPr>
            <w:pStyle w:val="TOC3"/>
            <w:tabs>
              <w:tab w:val="right" w:leader="underscore" w:pos="9010"/>
            </w:tabs>
            <w:rPr>
              <w:rFonts w:asciiTheme="minorHAnsi" w:hAnsiTheme="minorHAnsi"/>
              <w:noProof/>
              <w:lang w:eastAsia="ja-JP"/>
            </w:rPr>
          </w:pPr>
          <w:hyperlink w:anchor="_Toc79414198" w:history="1">
            <w:r w:rsidRPr="00060C45">
              <w:rPr>
                <w:rStyle w:val="Hyperlink"/>
                <w:rFonts w:cs="Arial"/>
                <w:noProof/>
              </w:rPr>
              <w:t>4.2.5 Patients</w:t>
            </w:r>
            <w:r>
              <w:rPr>
                <w:noProof/>
                <w:webHidden/>
              </w:rPr>
              <w:tab/>
            </w:r>
            <w:r>
              <w:rPr>
                <w:noProof/>
                <w:webHidden/>
              </w:rPr>
              <w:fldChar w:fldCharType="begin"/>
            </w:r>
            <w:r>
              <w:rPr>
                <w:noProof/>
                <w:webHidden/>
              </w:rPr>
              <w:instrText xml:space="preserve"> PAGEREF _Toc79414198 \h </w:instrText>
            </w:r>
            <w:r>
              <w:rPr>
                <w:noProof/>
                <w:webHidden/>
              </w:rPr>
            </w:r>
            <w:r>
              <w:rPr>
                <w:noProof/>
                <w:webHidden/>
              </w:rPr>
              <w:fldChar w:fldCharType="separate"/>
            </w:r>
            <w:r w:rsidR="00DD38EE">
              <w:rPr>
                <w:noProof/>
                <w:webHidden/>
              </w:rPr>
              <w:t>130</w:t>
            </w:r>
            <w:r>
              <w:rPr>
                <w:noProof/>
                <w:webHidden/>
              </w:rPr>
              <w:fldChar w:fldCharType="end"/>
            </w:r>
          </w:hyperlink>
        </w:p>
        <w:p w14:paraId="3B8CAF0E" w14:textId="206D2F03" w:rsidR="006F2D96" w:rsidRDefault="006F2D96">
          <w:pPr>
            <w:pStyle w:val="TOC3"/>
            <w:tabs>
              <w:tab w:val="right" w:leader="underscore" w:pos="9010"/>
            </w:tabs>
            <w:rPr>
              <w:rFonts w:asciiTheme="minorHAnsi" w:hAnsiTheme="minorHAnsi"/>
              <w:noProof/>
              <w:lang w:eastAsia="ja-JP"/>
            </w:rPr>
          </w:pPr>
          <w:hyperlink w:anchor="_Toc79414199" w:history="1">
            <w:r w:rsidRPr="00060C45">
              <w:rPr>
                <w:rStyle w:val="Hyperlink"/>
                <w:rFonts w:cs="Arial"/>
                <w:noProof/>
              </w:rPr>
              <w:t>4.2.6 Treatment provided by the therapists</w:t>
            </w:r>
            <w:r>
              <w:rPr>
                <w:noProof/>
                <w:webHidden/>
              </w:rPr>
              <w:tab/>
            </w:r>
            <w:r>
              <w:rPr>
                <w:noProof/>
                <w:webHidden/>
              </w:rPr>
              <w:fldChar w:fldCharType="begin"/>
            </w:r>
            <w:r>
              <w:rPr>
                <w:noProof/>
                <w:webHidden/>
              </w:rPr>
              <w:instrText xml:space="preserve"> PAGEREF _Toc79414199 \h </w:instrText>
            </w:r>
            <w:r>
              <w:rPr>
                <w:noProof/>
                <w:webHidden/>
              </w:rPr>
            </w:r>
            <w:r>
              <w:rPr>
                <w:noProof/>
                <w:webHidden/>
              </w:rPr>
              <w:fldChar w:fldCharType="separate"/>
            </w:r>
            <w:r w:rsidR="00DD38EE">
              <w:rPr>
                <w:noProof/>
                <w:webHidden/>
              </w:rPr>
              <w:t>131</w:t>
            </w:r>
            <w:r>
              <w:rPr>
                <w:noProof/>
                <w:webHidden/>
              </w:rPr>
              <w:fldChar w:fldCharType="end"/>
            </w:r>
          </w:hyperlink>
        </w:p>
        <w:p w14:paraId="1F2477C4" w14:textId="06225408" w:rsidR="006F2D96" w:rsidRDefault="006F2D96">
          <w:pPr>
            <w:pStyle w:val="TOC2"/>
            <w:tabs>
              <w:tab w:val="right" w:leader="underscore" w:pos="9010"/>
            </w:tabs>
            <w:rPr>
              <w:rFonts w:asciiTheme="minorHAnsi" w:hAnsiTheme="minorHAnsi"/>
              <w:b w:val="0"/>
              <w:noProof/>
              <w:lang w:eastAsia="ja-JP"/>
            </w:rPr>
          </w:pPr>
          <w:hyperlink w:anchor="_Toc79414200" w:history="1">
            <w:r w:rsidRPr="00060C45">
              <w:rPr>
                <w:rStyle w:val="Hyperlink"/>
                <w:rFonts w:cs="Arial"/>
                <w:noProof/>
              </w:rPr>
              <w:t>4.3 ETHICAL CONSIDERATION</w:t>
            </w:r>
            <w:r>
              <w:rPr>
                <w:noProof/>
                <w:webHidden/>
              </w:rPr>
              <w:tab/>
            </w:r>
            <w:r>
              <w:rPr>
                <w:noProof/>
                <w:webHidden/>
              </w:rPr>
              <w:fldChar w:fldCharType="begin"/>
            </w:r>
            <w:r>
              <w:rPr>
                <w:noProof/>
                <w:webHidden/>
              </w:rPr>
              <w:instrText xml:space="preserve"> PAGEREF _Toc79414200 \h </w:instrText>
            </w:r>
            <w:r>
              <w:rPr>
                <w:noProof/>
                <w:webHidden/>
              </w:rPr>
            </w:r>
            <w:r>
              <w:rPr>
                <w:noProof/>
                <w:webHidden/>
              </w:rPr>
              <w:fldChar w:fldCharType="separate"/>
            </w:r>
            <w:r w:rsidR="00DD38EE">
              <w:rPr>
                <w:noProof/>
                <w:webHidden/>
              </w:rPr>
              <w:t>132</w:t>
            </w:r>
            <w:r>
              <w:rPr>
                <w:noProof/>
                <w:webHidden/>
              </w:rPr>
              <w:fldChar w:fldCharType="end"/>
            </w:r>
          </w:hyperlink>
        </w:p>
        <w:p w14:paraId="55135F36" w14:textId="53D3E851" w:rsidR="006F2D96" w:rsidRDefault="006F2D96">
          <w:pPr>
            <w:pStyle w:val="TOC3"/>
            <w:tabs>
              <w:tab w:val="right" w:leader="underscore" w:pos="9010"/>
            </w:tabs>
            <w:rPr>
              <w:rFonts w:asciiTheme="minorHAnsi" w:hAnsiTheme="minorHAnsi"/>
              <w:noProof/>
              <w:lang w:eastAsia="ja-JP"/>
            </w:rPr>
          </w:pPr>
          <w:hyperlink w:anchor="_Toc79414201" w:history="1">
            <w:r w:rsidRPr="00060C45">
              <w:rPr>
                <w:rStyle w:val="Hyperlink"/>
                <w:rFonts w:cs="Arial"/>
                <w:noProof/>
              </w:rPr>
              <w:t>4.3.1 Therapists and clinical supervisors</w:t>
            </w:r>
            <w:r>
              <w:rPr>
                <w:noProof/>
                <w:webHidden/>
              </w:rPr>
              <w:tab/>
            </w:r>
            <w:r>
              <w:rPr>
                <w:noProof/>
                <w:webHidden/>
              </w:rPr>
              <w:fldChar w:fldCharType="begin"/>
            </w:r>
            <w:r>
              <w:rPr>
                <w:noProof/>
                <w:webHidden/>
              </w:rPr>
              <w:instrText xml:space="preserve"> PAGEREF _Toc79414201 \h </w:instrText>
            </w:r>
            <w:r>
              <w:rPr>
                <w:noProof/>
                <w:webHidden/>
              </w:rPr>
            </w:r>
            <w:r>
              <w:rPr>
                <w:noProof/>
                <w:webHidden/>
              </w:rPr>
              <w:fldChar w:fldCharType="separate"/>
            </w:r>
            <w:r w:rsidR="00DD38EE">
              <w:rPr>
                <w:noProof/>
                <w:webHidden/>
              </w:rPr>
              <w:t>133</w:t>
            </w:r>
            <w:r>
              <w:rPr>
                <w:noProof/>
                <w:webHidden/>
              </w:rPr>
              <w:fldChar w:fldCharType="end"/>
            </w:r>
          </w:hyperlink>
        </w:p>
        <w:p w14:paraId="63387F9E" w14:textId="056A877B" w:rsidR="006F2D96" w:rsidRDefault="006F2D96">
          <w:pPr>
            <w:pStyle w:val="TOC3"/>
            <w:tabs>
              <w:tab w:val="right" w:leader="underscore" w:pos="9010"/>
            </w:tabs>
            <w:rPr>
              <w:rFonts w:asciiTheme="minorHAnsi" w:hAnsiTheme="minorHAnsi"/>
              <w:noProof/>
              <w:lang w:eastAsia="ja-JP"/>
            </w:rPr>
          </w:pPr>
          <w:hyperlink w:anchor="_Toc79414202" w:history="1">
            <w:r w:rsidRPr="00060C45">
              <w:rPr>
                <w:rStyle w:val="Hyperlink"/>
                <w:rFonts w:cs="Arial"/>
                <w:noProof/>
              </w:rPr>
              <w:t>4.3.2 Patients</w:t>
            </w:r>
            <w:r>
              <w:rPr>
                <w:noProof/>
                <w:webHidden/>
              </w:rPr>
              <w:tab/>
            </w:r>
            <w:r>
              <w:rPr>
                <w:noProof/>
                <w:webHidden/>
              </w:rPr>
              <w:fldChar w:fldCharType="begin"/>
            </w:r>
            <w:r>
              <w:rPr>
                <w:noProof/>
                <w:webHidden/>
              </w:rPr>
              <w:instrText xml:space="preserve"> PAGEREF _Toc79414202 \h </w:instrText>
            </w:r>
            <w:r>
              <w:rPr>
                <w:noProof/>
                <w:webHidden/>
              </w:rPr>
            </w:r>
            <w:r>
              <w:rPr>
                <w:noProof/>
                <w:webHidden/>
              </w:rPr>
              <w:fldChar w:fldCharType="separate"/>
            </w:r>
            <w:r w:rsidR="00DD38EE">
              <w:rPr>
                <w:noProof/>
                <w:webHidden/>
              </w:rPr>
              <w:t>134</w:t>
            </w:r>
            <w:r>
              <w:rPr>
                <w:noProof/>
                <w:webHidden/>
              </w:rPr>
              <w:fldChar w:fldCharType="end"/>
            </w:r>
          </w:hyperlink>
        </w:p>
        <w:p w14:paraId="0984CAE9" w14:textId="34588895" w:rsidR="006F2D96" w:rsidRDefault="006F2D96">
          <w:pPr>
            <w:pStyle w:val="TOC3"/>
            <w:tabs>
              <w:tab w:val="right" w:leader="underscore" w:pos="9010"/>
            </w:tabs>
            <w:rPr>
              <w:rFonts w:asciiTheme="minorHAnsi" w:hAnsiTheme="minorHAnsi"/>
              <w:noProof/>
              <w:lang w:eastAsia="ja-JP"/>
            </w:rPr>
          </w:pPr>
          <w:hyperlink w:anchor="_Toc79414203" w:history="1">
            <w:r w:rsidRPr="00060C45">
              <w:rPr>
                <w:rStyle w:val="Hyperlink"/>
                <w:rFonts w:cs="Arial"/>
                <w:noProof/>
              </w:rPr>
              <w:t>4.3.3 Information Security</w:t>
            </w:r>
            <w:r>
              <w:rPr>
                <w:noProof/>
                <w:webHidden/>
              </w:rPr>
              <w:tab/>
            </w:r>
            <w:r>
              <w:rPr>
                <w:noProof/>
                <w:webHidden/>
              </w:rPr>
              <w:fldChar w:fldCharType="begin"/>
            </w:r>
            <w:r>
              <w:rPr>
                <w:noProof/>
                <w:webHidden/>
              </w:rPr>
              <w:instrText xml:space="preserve"> PAGEREF _Toc79414203 \h </w:instrText>
            </w:r>
            <w:r>
              <w:rPr>
                <w:noProof/>
                <w:webHidden/>
              </w:rPr>
            </w:r>
            <w:r>
              <w:rPr>
                <w:noProof/>
                <w:webHidden/>
              </w:rPr>
              <w:fldChar w:fldCharType="separate"/>
            </w:r>
            <w:r w:rsidR="00DD38EE">
              <w:rPr>
                <w:noProof/>
                <w:webHidden/>
              </w:rPr>
              <w:t>135</w:t>
            </w:r>
            <w:r>
              <w:rPr>
                <w:noProof/>
                <w:webHidden/>
              </w:rPr>
              <w:fldChar w:fldCharType="end"/>
            </w:r>
          </w:hyperlink>
        </w:p>
        <w:p w14:paraId="4668FF72" w14:textId="1EA6105A" w:rsidR="006F2D96" w:rsidRDefault="006F2D96">
          <w:pPr>
            <w:pStyle w:val="TOC3"/>
            <w:tabs>
              <w:tab w:val="right" w:leader="underscore" w:pos="9010"/>
            </w:tabs>
            <w:rPr>
              <w:rFonts w:asciiTheme="minorHAnsi" w:hAnsiTheme="minorHAnsi"/>
              <w:noProof/>
              <w:lang w:eastAsia="ja-JP"/>
            </w:rPr>
          </w:pPr>
          <w:hyperlink w:anchor="_Toc79414204" w:history="1">
            <w:r w:rsidRPr="00060C45">
              <w:rPr>
                <w:rStyle w:val="Hyperlink"/>
                <w:rFonts w:cs="Arial"/>
                <w:noProof/>
              </w:rPr>
              <w:t>4.3.4 Research design and methods</w:t>
            </w:r>
            <w:r>
              <w:rPr>
                <w:noProof/>
                <w:webHidden/>
              </w:rPr>
              <w:tab/>
            </w:r>
            <w:r>
              <w:rPr>
                <w:noProof/>
                <w:webHidden/>
              </w:rPr>
              <w:fldChar w:fldCharType="begin"/>
            </w:r>
            <w:r>
              <w:rPr>
                <w:noProof/>
                <w:webHidden/>
              </w:rPr>
              <w:instrText xml:space="preserve"> PAGEREF _Toc79414204 \h </w:instrText>
            </w:r>
            <w:r>
              <w:rPr>
                <w:noProof/>
                <w:webHidden/>
              </w:rPr>
            </w:r>
            <w:r>
              <w:rPr>
                <w:noProof/>
                <w:webHidden/>
              </w:rPr>
              <w:fldChar w:fldCharType="separate"/>
            </w:r>
            <w:r w:rsidR="00DD38EE">
              <w:rPr>
                <w:noProof/>
                <w:webHidden/>
              </w:rPr>
              <w:t>135</w:t>
            </w:r>
            <w:r>
              <w:rPr>
                <w:noProof/>
                <w:webHidden/>
              </w:rPr>
              <w:fldChar w:fldCharType="end"/>
            </w:r>
          </w:hyperlink>
        </w:p>
        <w:p w14:paraId="451C9819" w14:textId="74CBFCE8" w:rsidR="006F2D96" w:rsidRDefault="006F2D96">
          <w:pPr>
            <w:pStyle w:val="TOC2"/>
            <w:tabs>
              <w:tab w:val="right" w:leader="underscore" w:pos="9010"/>
            </w:tabs>
            <w:rPr>
              <w:rFonts w:asciiTheme="minorHAnsi" w:hAnsiTheme="minorHAnsi"/>
              <w:b w:val="0"/>
              <w:noProof/>
              <w:lang w:eastAsia="ja-JP"/>
            </w:rPr>
          </w:pPr>
          <w:hyperlink w:anchor="_Toc79414205" w:history="1">
            <w:r w:rsidRPr="00060C45">
              <w:rPr>
                <w:rStyle w:val="Hyperlink"/>
                <w:rFonts w:cs="Arial"/>
                <w:noProof/>
              </w:rPr>
              <w:t>4.4 METHOD</w:t>
            </w:r>
            <w:r>
              <w:rPr>
                <w:noProof/>
                <w:webHidden/>
              </w:rPr>
              <w:tab/>
            </w:r>
            <w:r>
              <w:rPr>
                <w:noProof/>
                <w:webHidden/>
              </w:rPr>
              <w:fldChar w:fldCharType="begin"/>
            </w:r>
            <w:r>
              <w:rPr>
                <w:noProof/>
                <w:webHidden/>
              </w:rPr>
              <w:instrText xml:space="preserve"> PAGEREF _Toc79414205 \h </w:instrText>
            </w:r>
            <w:r>
              <w:rPr>
                <w:noProof/>
                <w:webHidden/>
              </w:rPr>
            </w:r>
            <w:r>
              <w:rPr>
                <w:noProof/>
                <w:webHidden/>
              </w:rPr>
              <w:fldChar w:fldCharType="separate"/>
            </w:r>
            <w:r w:rsidR="00DD38EE">
              <w:rPr>
                <w:noProof/>
                <w:webHidden/>
              </w:rPr>
              <w:t>137</w:t>
            </w:r>
            <w:r>
              <w:rPr>
                <w:noProof/>
                <w:webHidden/>
              </w:rPr>
              <w:fldChar w:fldCharType="end"/>
            </w:r>
          </w:hyperlink>
        </w:p>
        <w:p w14:paraId="7503CF32" w14:textId="62BE02B1" w:rsidR="006F2D96" w:rsidRDefault="006F2D96">
          <w:pPr>
            <w:pStyle w:val="TOC3"/>
            <w:tabs>
              <w:tab w:val="right" w:leader="underscore" w:pos="9010"/>
            </w:tabs>
            <w:rPr>
              <w:rFonts w:asciiTheme="minorHAnsi" w:hAnsiTheme="minorHAnsi"/>
              <w:noProof/>
              <w:lang w:eastAsia="ja-JP"/>
            </w:rPr>
          </w:pPr>
          <w:hyperlink w:anchor="_Toc79414206" w:history="1">
            <w:r w:rsidRPr="00060C45">
              <w:rPr>
                <w:rStyle w:val="Hyperlink"/>
                <w:rFonts w:cs="Arial"/>
                <w:noProof/>
              </w:rPr>
              <w:t>4.4.1 Therapist demographic data</w:t>
            </w:r>
            <w:r>
              <w:rPr>
                <w:noProof/>
                <w:webHidden/>
              </w:rPr>
              <w:tab/>
            </w:r>
            <w:r>
              <w:rPr>
                <w:noProof/>
                <w:webHidden/>
              </w:rPr>
              <w:fldChar w:fldCharType="begin"/>
            </w:r>
            <w:r>
              <w:rPr>
                <w:noProof/>
                <w:webHidden/>
              </w:rPr>
              <w:instrText xml:space="preserve"> PAGEREF _Toc79414206 \h </w:instrText>
            </w:r>
            <w:r>
              <w:rPr>
                <w:noProof/>
                <w:webHidden/>
              </w:rPr>
            </w:r>
            <w:r>
              <w:rPr>
                <w:noProof/>
                <w:webHidden/>
              </w:rPr>
              <w:fldChar w:fldCharType="separate"/>
            </w:r>
            <w:r w:rsidR="00DD38EE">
              <w:rPr>
                <w:noProof/>
                <w:webHidden/>
              </w:rPr>
              <w:t>137</w:t>
            </w:r>
            <w:r>
              <w:rPr>
                <w:noProof/>
                <w:webHidden/>
              </w:rPr>
              <w:fldChar w:fldCharType="end"/>
            </w:r>
          </w:hyperlink>
        </w:p>
        <w:p w14:paraId="2E30A262" w14:textId="1D974543" w:rsidR="006F2D96" w:rsidRDefault="006F2D96">
          <w:pPr>
            <w:pStyle w:val="TOC3"/>
            <w:tabs>
              <w:tab w:val="right" w:leader="underscore" w:pos="9010"/>
            </w:tabs>
            <w:rPr>
              <w:rFonts w:asciiTheme="minorHAnsi" w:hAnsiTheme="minorHAnsi"/>
              <w:noProof/>
              <w:lang w:eastAsia="ja-JP"/>
            </w:rPr>
          </w:pPr>
          <w:hyperlink w:anchor="_Toc79414207" w:history="1">
            <w:r w:rsidRPr="00060C45">
              <w:rPr>
                <w:rStyle w:val="Hyperlink"/>
                <w:rFonts w:cs="Arial"/>
                <w:noProof/>
              </w:rPr>
              <w:t>4.4.2 Rating therapy transcripts</w:t>
            </w:r>
            <w:r>
              <w:rPr>
                <w:noProof/>
                <w:webHidden/>
              </w:rPr>
              <w:tab/>
            </w:r>
            <w:r>
              <w:rPr>
                <w:noProof/>
                <w:webHidden/>
              </w:rPr>
              <w:fldChar w:fldCharType="begin"/>
            </w:r>
            <w:r>
              <w:rPr>
                <w:noProof/>
                <w:webHidden/>
              </w:rPr>
              <w:instrText xml:space="preserve"> PAGEREF _Toc79414207 \h </w:instrText>
            </w:r>
            <w:r>
              <w:rPr>
                <w:noProof/>
                <w:webHidden/>
              </w:rPr>
            </w:r>
            <w:r>
              <w:rPr>
                <w:noProof/>
                <w:webHidden/>
              </w:rPr>
              <w:fldChar w:fldCharType="separate"/>
            </w:r>
            <w:r w:rsidR="00DD38EE">
              <w:rPr>
                <w:noProof/>
                <w:webHidden/>
              </w:rPr>
              <w:t>138</w:t>
            </w:r>
            <w:r>
              <w:rPr>
                <w:noProof/>
                <w:webHidden/>
              </w:rPr>
              <w:fldChar w:fldCharType="end"/>
            </w:r>
          </w:hyperlink>
        </w:p>
        <w:p w14:paraId="1AD24EC3" w14:textId="37B453C7" w:rsidR="006F2D96" w:rsidRDefault="006F2D96">
          <w:pPr>
            <w:pStyle w:val="TOC3"/>
            <w:tabs>
              <w:tab w:val="right" w:leader="underscore" w:pos="9010"/>
            </w:tabs>
            <w:rPr>
              <w:rFonts w:asciiTheme="minorHAnsi" w:hAnsiTheme="minorHAnsi"/>
              <w:noProof/>
              <w:lang w:eastAsia="ja-JP"/>
            </w:rPr>
          </w:pPr>
          <w:hyperlink w:anchor="_Toc79414208" w:history="1">
            <w:r w:rsidRPr="00060C45">
              <w:rPr>
                <w:rStyle w:val="Hyperlink"/>
                <w:rFonts w:cs="Arial"/>
                <w:noProof/>
              </w:rPr>
              <w:t>4.4.3 Rating therapist competence (F score)</w:t>
            </w:r>
            <w:r>
              <w:rPr>
                <w:noProof/>
                <w:webHidden/>
              </w:rPr>
              <w:tab/>
            </w:r>
            <w:r>
              <w:rPr>
                <w:noProof/>
                <w:webHidden/>
              </w:rPr>
              <w:fldChar w:fldCharType="begin"/>
            </w:r>
            <w:r>
              <w:rPr>
                <w:noProof/>
                <w:webHidden/>
              </w:rPr>
              <w:instrText xml:space="preserve"> PAGEREF _Toc79414208 \h </w:instrText>
            </w:r>
            <w:r>
              <w:rPr>
                <w:noProof/>
                <w:webHidden/>
              </w:rPr>
            </w:r>
            <w:r>
              <w:rPr>
                <w:noProof/>
                <w:webHidden/>
              </w:rPr>
              <w:fldChar w:fldCharType="separate"/>
            </w:r>
            <w:r w:rsidR="00DD38EE">
              <w:rPr>
                <w:noProof/>
                <w:webHidden/>
              </w:rPr>
              <w:t>138</w:t>
            </w:r>
            <w:r>
              <w:rPr>
                <w:noProof/>
                <w:webHidden/>
              </w:rPr>
              <w:fldChar w:fldCharType="end"/>
            </w:r>
          </w:hyperlink>
        </w:p>
        <w:p w14:paraId="11245B6B" w14:textId="1AD9A6CF" w:rsidR="006F2D96" w:rsidRDefault="006F2D96">
          <w:pPr>
            <w:pStyle w:val="TOC3"/>
            <w:tabs>
              <w:tab w:val="right" w:leader="underscore" w:pos="9010"/>
            </w:tabs>
            <w:rPr>
              <w:rFonts w:asciiTheme="minorHAnsi" w:hAnsiTheme="minorHAnsi"/>
              <w:noProof/>
              <w:lang w:eastAsia="ja-JP"/>
            </w:rPr>
          </w:pPr>
          <w:hyperlink w:anchor="_Toc79414209" w:history="1">
            <w:r w:rsidRPr="00060C45">
              <w:rPr>
                <w:rStyle w:val="Hyperlink"/>
                <w:rFonts w:cs="Arial"/>
                <w:noProof/>
              </w:rPr>
              <w:t>4.4.4 Rating therapist adherence (A score)</w:t>
            </w:r>
            <w:r>
              <w:rPr>
                <w:noProof/>
                <w:webHidden/>
              </w:rPr>
              <w:tab/>
            </w:r>
            <w:r>
              <w:rPr>
                <w:noProof/>
                <w:webHidden/>
              </w:rPr>
              <w:fldChar w:fldCharType="begin"/>
            </w:r>
            <w:r>
              <w:rPr>
                <w:noProof/>
                <w:webHidden/>
              </w:rPr>
              <w:instrText xml:space="preserve"> PAGEREF _Toc79414209 \h </w:instrText>
            </w:r>
            <w:r>
              <w:rPr>
                <w:noProof/>
                <w:webHidden/>
              </w:rPr>
            </w:r>
            <w:r>
              <w:rPr>
                <w:noProof/>
                <w:webHidden/>
              </w:rPr>
              <w:fldChar w:fldCharType="separate"/>
            </w:r>
            <w:r w:rsidR="00DD38EE">
              <w:rPr>
                <w:noProof/>
                <w:webHidden/>
              </w:rPr>
              <w:t>140</w:t>
            </w:r>
            <w:r>
              <w:rPr>
                <w:noProof/>
                <w:webHidden/>
              </w:rPr>
              <w:fldChar w:fldCharType="end"/>
            </w:r>
          </w:hyperlink>
        </w:p>
        <w:p w14:paraId="3AD3E3C6" w14:textId="18ACAB49" w:rsidR="006F2D96" w:rsidRDefault="006F2D96">
          <w:pPr>
            <w:pStyle w:val="TOC2"/>
            <w:tabs>
              <w:tab w:val="right" w:leader="underscore" w:pos="9010"/>
            </w:tabs>
            <w:rPr>
              <w:rFonts w:asciiTheme="minorHAnsi" w:hAnsiTheme="minorHAnsi"/>
              <w:b w:val="0"/>
              <w:noProof/>
              <w:lang w:eastAsia="ja-JP"/>
            </w:rPr>
          </w:pPr>
          <w:hyperlink w:anchor="_Toc79414210" w:history="1">
            <w:r w:rsidRPr="00060C45">
              <w:rPr>
                <w:rStyle w:val="Hyperlink"/>
                <w:rFonts w:cs="Arial"/>
                <w:noProof/>
              </w:rPr>
              <w:t>4.5 MEASURING OUTCOME</w:t>
            </w:r>
            <w:r>
              <w:rPr>
                <w:noProof/>
                <w:webHidden/>
              </w:rPr>
              <w:tab/>
            </w:r>
            <w:r>
              <w:rPr>
                <w:noProof/>
                <w:webHidden/>
              </w:rPr>
              <w:fldChar w:fldCharType="begin"/>
            </w:r>
            <w:r>
              <w:rPr>
                <w:noProof/>
                <w:webHidden/>
              </w:rPr>
              <w:instrText xml:space="preserve"> PAGEREF _Toc79414210 \h </w:instrText>
            </w:r>
            <w:r>
              <w:rPr>
                <w:noProof/>
                <w:webHidden/>
              </w:rPr>
            </w:r>
            <w:r>
              <w:rPr>
                <w:noProof/>
                <w:webHidden/>
              </w:rPr>
              <w:fldChar w:fldCharType="separate"/>
            </w:r>
            <w:r w:rsidR="00DD38EE">
              <w:rPr>
                <w:noProof/>
                <w:webHidden/>
              </w:rPr>
              <w:t>141</w:t>
            </w:r>
            <w:r>
              <w:rPr>
                <w:noProof/>
                <w:webHidden/>
              </w:rPr>
              <w:fldChar w:fldCharType="end"/>
            </w:r>
          </w:hyperlink>
        </w:p>
        <w:p w14:paraId="6DD5FCD7" w14:textId="65FD0917" w:rsidR="006F2D96" w:rsidRDefault="006F2D96">
          <w:pPr>
            <w:pStyle w:val="TOC3"/>
            <w:tabs>
              <w:tab w:val="right" w:leader="underscore" w:pos="9010"/>
            </w:tabs>
            <w:rPr>
              <w:rFonts w:asciiTheme="minorHAnsi" w:hAnsiTheme="minorHAnsi"/>
              <w:noProof/>
              <w:lang w:eastAsia="ja-JP"/>
            </w:rPr>
          </w:pPr>
          <w:hyperlink w:anchor="_Toc79414211" w:history="1">
            <w:r w:rsidRPr="00060C45">
              <w:rPr>
                <w:rStyle w:val="Hyperlink"/>
                <w:rFonts w:cs="Arial"/>
                <w:noProof/>
              </w:rPr>
              <w:t>4.5.1 Outcome measures</w:t>
            </w:r>
            <w:r>
              <w:rPr>
                <w:noProof/>
                <w:webHidden/>
              </w:rPr>
              <w:tab/>
            </w:r>
            <w:r>
              <w:rPr>
                <w:noProof/>
                <w:webHidden/>
              </w:rPr>
              <w:fldChar w:fldCharType="begin"/>
            </w:r>
            <w:r>
              <w:rPr>
                <w:noProof/>
                <w:webHidden/>
              </w:rPr>
              <w:instrText xml:space="preserve"> PAGEREF _Toc79414211 \h </w:instrText>
            </w:r>
            <w:r>
              <w:rPr>
                <w:noProof/>
                <w:webHidden/>
              </w:rPr>
            </w:r>
            <w:r>
              <w:rPr>
                <w:noProof/>
                <w:webHidden/>
              </w:rPr>
              <w:fldChar w:fldCharType="separate"/>
            </w:r>
            <w:r w:rsidR="00DD38EE">
              <w:rPr>
                <w:noProof/>
                <w:webHidden/>
              </w:rPr>
              <w:t>141</w:t>
            </w:r>
            <w:r>
              <w:rPr>
                <w:noProof/>
                <w:webHidden/>
              </w:rPr>
              <w:fldChar w:fldCharType="end"/>
            </w:r>
          </w:hyperlink>
        </w:p>
        <w:p w14:paraId="4551C31C" w14:textId="75D55A1E" w:rsidR="006F2D96" w:rsidRDefault="006F2D96">
          <w:pPr>
            <w:pStyle w:val="TOC2"/>
            <w:tabs>
              <w:tab w:val="right" w:leader="underscore" w:pos="9010"/>
            </w:tabs>
            <w:rPr>
              <w:rFonts w:asciiTheme="minorHAnsi" w:hAnsiTheme="minorHAnsi"/>
              <w:b w:val="0"/>
              <w:noProof/>
              <w:lang w:eastAsia="ja-JP"/>
            </w:rPr>
          </w:pPr>
          <w:hyperlink w:anchor="_Toc79414212" w:history="1">
            <w:r w:rsidRPr="00060C45">
              <w:rPr>
                <w:rStyle w:val="Hyperlink"/>
                <w:rFonts w:cs="Arial"/>
                <w:noProof/>
              </w:rPr>
              <w:t>4.6 THERAPIST VARIABLES (INDEPENDENT VARIABLES)</w:t>
            </w:r>
            <w:r>
              <w:rPr>
                <w:noProof/>
                <w:webHidden/>
              </w:rPr>
              <w:tab/>
            </w:r>
            <w:r>
              <w:rPr>
                <w:noProof/>
                <w:webHidden/>
              </w:rPr>
              <w:fldChar w:fldCharType="begin"/>
            </w:r>
            <w:r>
              <w:rPr>
                <w:noProof/>
                <w:webHidden/>
              </w:rPr>
              <w:instrText xml:space="preserve"> PAGEREF _Toc79414212 \h </w:instrText>
            </w:r>
            <w:r>
              <w:rPr>
                <w:noProof/>
                <w:webHidden/>
              </w:rPr>
            </w:r>
            <w:r>
              <w:rPr>
                <w:noProof/>
                <w:webHidden/>
              </w:rPr>
              <w:fldChar w:fldCharType="separate"/>
            </w:r>
            <w:r w:rsidR="00DD38EE">
              <w:rPr>
                <w:noProof/>
                <w:webHidden/>
              </w:rPr>
              <w:t>142</w:t>
            </w:r>
            <w:r>
              <w:rPr>
                <w:noProof/>
                <w:webHidden/>
              </w:rPr>
              <w:fldChar w:fldCharType="end"/>
            </w:r>
          </w:hyperlink>
        </w:p>
        <w:p w14:paraId="6CB6DE83" w14:textId="35B1B5FC" w:rsidR="006F2D96" w:rsidRDefault="006F2D96">
          <w:pPr>
            <w:pStyle w:val="TOC3"/>
            <w:tabs>
              <w:tab w:val="right" w:leader="underscore" w:pos="9010"/>
            </w:tabs>
            <w:rPr>
              <w:rFonts w:asciiTheme="minorHAnsi" w:hAnsiTheme="minorHAnsi"/>
              <w:noProof/>
              <w:lang w:eastAsia="ja-JP"/>
            </w:rPr>
          </w:pPr>
          <w:hyperlink w:anchor="_Toc79414213" w:history="1">
            <w:r w:rsidRPr="00060C45">
              <w:rPr>
                <w:rStyle w:val="Hyperlink"/>
                <w:rFonts w:cs="Arial"/>
                <w:noProof/>
              </w:rPr>
              <w:t>4.6.1 Therapists demographics</w:t>
            </w:r>
            <w:r>
              <w:rPr>
                <w:noProof/>
                <w:webHidden/>
              </w:rPr>
              <w:tab/>
            </w:r>
            <w:r>
              <w:rPr>
                <w:noProof/>
                <w:webHidden/>
              </w:rPr>
              <w:fldChar w:fldCharType="begin"/>
            </w:r>
            <w:r>
              <w:rPr>
                <w:noProof/>
                <w:webHidden/>
              </w:rPr>
              <w:instrText xml:space="preserve"> PAGEREF _Toc79414213 \h </w:instrText>
            </w:r>
            <w:r>
              <w:rPr>
                <w:noProof/>
                <w:webHidden/>
              </w:rPr>
            </w:r>
            <w:r>
              <w:rPr>
                <w:noProof/>
                <w:webHidden/>
              </w:rPr>
              <w:fldChar w:fldCharType="separate"/>
            </w:r>
            <w:r w:rsidR="00DD38EE">
              <w:rPr>
                <w:noProof/>
                <w:webHidden/>
              </w:rPr>
              <w:t>143</w:t>
            </w:r>
            <w:r>
              <w:rPr>
                <w:noProof/>
                <w:webHidden/>
              </w:rPr>
              <w:fldChar w:fldCharType="end"/>
            </w:r>
          </w:hyperlink>
        </w:p>
        <w:p w14:paraId="3E834386" w14:textId="6659691C" w:rsidR="006F2D96" w:rsidRDefault="006F2D96">
          <w:pPr>
            <w:pStyle w:val="TOC3"/>
            <w:tabs>
              <w:tab w:val="right" w:leader="underscore" w:pos="9010"/>
            </w:tabs>
            <w:rPr>
              <w:rFonts w:asciiTheme="minorHAnsi" w:hAnsiTheme="minorHAnsi"/>
              <w:noProof/>
              <w:lang w:eastAsia="ja-JP"/>
            </w:rPr>
          </w:pPr>
          <w:hyperlink w:anchor="_Toc79414214" w:history="1">
            <w:r w:rsidRPr="00060C45">
              <w:rPr>
                <w:rStyle w:val="Hyperlink"/>
                <w:rFonts w:cs="Arial"/>
                <w:noProof/>
              </w:rPr>
              <w:t>4.6.2 Therapist competence (F score)</w:t>
            </w:r>
            <w:r>
              <w:rPr>
                <w:noProof/>
                <w:webHidden/>
              </w:rPr>
              <w:tab/>
            </w:r>
            <w:r>
              <w:rPr>
                <w:noProof/>
                <w:webHidden/>
              </w:rPr>
              <w:fldChar w:fldCharType="begin"/>
            </w:r>
            <w:r>
              <w:rPr>
                <w:noProof/>
                <w:webHidden/>
              </w:rPr>
              <w:instrText xml:space="preserve"> PAGEREF _Toc79414214 \h </w:instrText>
            </w:r>
            <w:r>
              <w:rPr>
                <w:noProof/>
                <w:webHidden/>
              </w:rPr>
            </w:r>
            <w:r>
              <w:rPr>
                <w:noProof/>
                <w:webHidden/>
              </w:rPr>
              <w:fldChar w:fldCharType="separate"/>
            </w:r>
            <w:r w:rsidR="00DD38EE">
              <w:rPr>
                <w:noProof/>
                <w:webHidden/>
              </w:rPr>
              <w:t>143</w:t>
            </w:r>
            <w:r>
              <w:rPr>
                <w:noProof/>
                <w:webHidden/>
              </w:rPr>
              <w:fldChar w:fldCharType="end"/>
            </w:r>
          </w:hyperlink>
        </w:p>
        <w:p w14:paraId="4CC22FF0" w14:textId="2F124281" w:rsidR="006F2D96" w:rsidRDefault="006F2D96">
          <w:pPr>
            <w:pStyle w:val="TOC3"/>
            <w:tabs>
              <w:tab w:val="right" w:leader="underscore" w:pos="9010"/>
            </w:tabs>
            <w:rPr>
              <w:rFonts w:asciiTheme="minorHAnsi" w:hAnsiTheme="minorHAnsi"/>
              <w:noProof/>
              <w:lang w:eastAsia="ja-JP"/>
            </w:rPr>
          </w:pPr>
          <w:hyperlink w:anchor="_Toc79414215" w:history="1">
            <w:r w:rsidRPr="00060C45">
              <w:rPr>
                <w:rStyle w:val="Hyperlink"/>
                <w:rFonts w:cs="Arial"/>
                <w:noProof/>
              </w:rPr>
              <w:t>4.6.3 Therapist Adherence (A) score</w:t>
            </w:r>
            <w:r>
              <w:rPr>
                <w:noProof/>
                <w:webHidden/>
              </w:rPr>
              <w:tab/>
            </w:r>
            <w:r>
              <w:rPr>
                <w:noProof/>
                <w:webHidden/>
              </w:rPr>
              <w:fldChar w:fldCharType="begin"/>
            </w:r>
            <w:r>
              <w:rPr>
                <w:noProof/>
                <w:webHidden/>
              </w:rPr>
              <w:instrText xml:space="preserve"> PAGEREF _Toc79414215 \h </w:instrText>
            </w:r>
            <w:r>
              <w:rPr>
                <w:noProof/>
                <w:webHidden/>
              </w:rPr>
            </w:r>
            <w:r>
              <w:rPr>
                <w:noProof/>
                <w:webHidden/>
              </w:rPr>
              <w:fldChar w:fldCharType="separate"/>
            </w:r>
            <w:r w:rsidR="00DD38EE">
              <w:rPr>
                <w:noProof/>
                <w:webHidden/>
              </w:rPr>
              <w:t>144</w:t>
            </w:r>
            <w:r>
              <w:rPr>
                <w:noProof/>
                <w:webHidden/>
              </w:rPr>
              <w:fldChar w:fldCharType="end"/>
            </w:r>
          </w:hyperlink>
        </w:p>
        <w:p w14:paraId="50B5F63C" w14:textId="66C88095" w:rsidR="006F2D96" w:rsidRDefault="006F2D96">
          <w:pPr>
            <w:pStyle w:val="TOC2"/>
            <w:tabs>
              <w:tab w:val="right" w:leader="underscore" w:pos="9010"/>
            </w:tabs>
            <w:rPr>
              <w:rFonts w:asciiTheme="minorHAnsi" w:hAnsiTheme="minorHAnsi"/>
              <w:b w:val="0"/>
              <w:noProof/>
              <w:lang w:eastAsia="ja-JP"/>
            </w:rPr>
          </w:pPr>
          <w:hyperlink w:anchor="_Toc79414216" w:history="1">
            <w:r w:rsidRPr="00060C45">
              <w:rPr>
                <w:rStyle w:val="Hyperlink"/>
                <w:rFonts w:cs="Arial"/>
                <w:noProof/>
              </w:rPr>
              <w:t>4.7 INTER-RATER RELIABILITY TRAINING</w:t>
            </w:r>
            <w:r>
              <w:rPr>
                <w:noProof/>
                <w:webHidden/>
              </w:rPr>
              <w:tab/>
            </w:r>
            <w:r>
              <w:rPr>
                <w:noProof/>
                <w:webHidden/>
              </w:rPr>
              <w:fldChar w:fldCharType="begin"/>
            </w:r>
            <w:r>
              <w:rPr>
                <w:noProof/>
                <w:webHidden/>
              </w:rPr>
              <w:instrText xml:space="preserve"> PAGEREF _Toc79414216 \h </w:instrText>
            </w:r>
            <w:r>
              <w:rPr>
                <w:noProof/>
                <w:webHidden/>
              </w:rPr>
            </w:r>
            <w:r>
              <w:rPr>
                <w:noProof/>
                <w:webHidden/>
              </w:rPr>
              <w:fldChar w:fldCharType="separate"/>
            </w:r>
            <w:r w:rsidR="00DD38EE">
              <w:rPr>
                <w:noProof/>
                <w:webHidden/>
              </w:rPr>
              <w:t>145</w:t>
            </w:r>
            <w:r>
              <w:rPr>
                <w:noProof/>
                <w:webHidden/>
              </w:rPr>
              <w:fldChar w:fldCharType="end"/>
            </w:r>
          </w:hyperlink>
        </w:p>
        <w:p w14:paraId="6FB432C9" w14:textId="6E2E5FBD" w:rsidR="006F2D96" w:rsidRDefault="006F2D96">
          <w:pPr>
            <w:pStyle w:val="TOC2"/>
            <w:tabs>
              <w:tab w:val="right" w:leader="underscore" w:pos="9010"/>
            </w:tabs>
            <w:rPr>
              <w:rFonts w:asciiTheme="minorHAnsi" w:hAnsiTheme="minorHAnsi"/>
              <w:b w:val="0"/>
              <w:noProof/>
              <w:lang w:eastAsia="ja-JP"/>
            </w:rPr>
          </w:pPr>
          <w:hyperlink w:anchor="_Toc79414217" w:history="1">
            <w:r w:rsidRPr="00060C45">
              <w:rPr>
                <w:rStyle w:val="Hyperlink"/>
                <w:rFonts w:cs="Arial"/>
                <w:noProof/>
              </w:rPr>
              <w:t>4.8 PATIENT VARIABLES FOR LOG-LINEAR ANALYSES</w:t>
            </w:r>
            <w:r>
              <w:rPr>
                <w:noProof/>
                <w:webHidden/>
              </w:rPr>
              <w:tab/>
            </w:r>
            <w:r>
              <w:rPr>
                <w:noProof/>
                <w:webHidden/>
              </w:rPr>
              <w:fldChar w:fldCharType="begin"/>
            </w:r>
            <w:r>
              <w:rPr>
                <w:noProof/>
                <w:webHidden/>
              </w:rPr>
              <w:instrText xml:space="preserve"> PAGEREF _Toc79414217 \h </w:instrText>
            </w:r>
            <w:r>
              <w:rPr>
                <w:noProof/>
                <w:webHidden/>
              </w:rPr>
            </w:r>
            <w:r>
              <w:rPr>
                <w:noProof/>
                <w:webHidden/>
              </w:rPr>
              <w:fldChar w:fldCharType="separate"/>
            </w:r>
            <w:r w:rsidR="00DD38EE">
              <w:rPr>
                <w:noProof/>
                <w:webHidden/>
              </w:rPr>
              <w:t>145</w:t>
            </w:r>
            <w:r>
              <w:rPr>
                <w:noProof/>
                <w:webHidden/>
              </w:rPr>
              <w:fldChar w:fldCharType="end"/>
            </w:r>
          </w:hyperlink>
        </w:p>
        <w:p w14:paraId="6F0D44CC" w14:textId="3A97D4A7" w:rsidR="006F2D96" w:rsidRDefault="006F2D96">
          <w:pPr>
            <w:pStyle w:val="TOC2"/>
            <w:tabs>
              <w:tab w:val="right" w:leader="underscore" w:pos="9010"/>
            </w:tabs>
            <w:rPr>
              <w:rFonts w:asciiTheme="minorHAnsi" w:hAnsiTheme="minorHAnsi"/>
              <w:b w:val="0"/>
              <w:noProof/>
              <w:lang w:eastAsia="ja-JP"/>
            </w:rPr>
          </w:pPr>
          <w:hyperlink w:anchor="_Toc79414218" w:history="1">
            <w:r w:rsidRPr="00060C45">
              <w:rPr>
                <w:rStyle w:val="Hyperlink"/>
                <w:rFonts w:cs="Arial"/>
                <w:noProof/>
              </w:rPr>
              <w:t>4.9 DATA COLLECTION AND HANDLING</w:t>
            </w:r>
            <w:r>
              <w:rPr>
                <w:noProof/>
                <w:webHidden/>
              </w:rPr>
              <w:tab/>
            </w:r>
            <w:r>
              <w:rPr>
                <w:noProof/>
                <w:webHidden/>
              </w:rPr>
              <w:fldChar w:fldCharType="begin"/>
            </w:r>
            <w:r>
              <w:rPr>
                <w:noProof/>
                <w:webHidden/>
              </w:rPr>
              <w:instrText xml:space="preserve"> PAGEREF _Toc79414218 \h </w:instrText>
            </w:r>
            <w:r>
              <w:rPr>
                <w:noProof/>
                <w:webHidden/>
              </w:rPr>
            </w:r>
            <w:r>
              <w:rPr>
                <w:noProof/>
                <w:webHidden/>
              </w:rPr>
              <w:fldChar w:fldCharType="separate"/>
            </w:r>
            <w:r w:rsidR="00DD38EE">
              <w:rPr>
                <w:noProof/>
                <w:webHidden/>
              </w:rPr>
              <w:t>145</w:t>
            </w:r>
            <w:r>
              <w:rPr>
                <w:noProof/>
                <w:webHidden/>
              </w:rPr>
              <w:fldChar w:fldCharType="end"/>
            </w:r>
          </w:hyperlink>
        </w:p>
        <w:p w14:paraId="6B154902" w14:textId="5CE1B521" w:rsidR="006F2D96" w:rsidRDefault="006F2D96">
          <w:pPr>
            <w:pStyle w:val="TOC2"/>
            <w:tabs>
              <w:tab w:val="right" w:leader="underscore" w:pos="9010"/>
            </w:tabs>
            <w:rPr>
              <w:rFonts w:asciiTheme="minorHAnsi" w:hAnsiTheme="minorHAnsi"/>
              <w:b w:val="0"/>
              <w:noProof/>
              <w:lang w:eastAsia="ja-JP"/>
            </w:rPr>
          </w:pPr>
          <w:hyperlink w:anchor="_Toc79414219" w:history="1">
            <w:r w:rsidRPr="00060C45">
              <w:rPr>
                <w:rStyle w:val="Hyperlink"/>
                <w:rFonts w:cs="Arial"/>
                <w:noProof/>
              </w:rPr>
              <w:t>4.10 STATISTICAL ANALYSES</w:t>
            </w:r>
            <w:r>
              <w:rPr>
                <w:noProof/>
                <w:webHidden/>
              </w:rPr>
              <w:tab/>
            </w:r>
            <w:r>
              <w:rPr>
                <w:noProof/>
                <w:webHidden/>
              </w:rPr>
              <w:fldChar w:fldCharType="begin"/>
            </w:r>
            <w:r>
              <w:rPr>
                <w:noProof/>
                <w:webHidden/>
              </w:rPr>
              <w:instrText xml:space="preserve"> PAGEREF _Toc79414219 \h </w:instrText>
            </w:r>
            <w:r>
              <w:rPr>
                <w:noProof/>
                <w:webHidden/>
              </w:rPr>
            </w:r>
            <w:r>
              <w:rPr>
                <w:noProof/>
                <w:webHidden/>
              </w:rPr>
              <w:fldChar w:fldCharType="separate"/>
            </w:r>
            <w:r w:rsidR="00DD38EE">
              <w:rPr>
                <w:noProof/>
                <w:webHidden/>
              </w:rPr>
              <w:t>146</w:t>
            </w:r>
            <w:r>
              <w:rPr>
                <w:noProof/>
                <w:webHidden/>
              </w:rPr>
              <w:fldChar w:fldCharType="end"/>
            </w:r>
          </w:hyperlink>
        </w:p>
        <w:p w14:paraId="2A9EB828" w14:textId="30D9A476" w:rsidR="006F2D96" w:rsidRDefault="006F2D96">
          <w:pPr>
            <w:pStyle w:val="TOC2"/>
            <w:tabs>
              <w:tab w:val="right" w:leader="underscore" w:pos="9010"/>
            </w:tabs>
            <w:rPr>
              <w:rFonts w:asciiTheme="minorHAnsi" w:hAnsiTheme="minorHAnsi"/>
              <w:b w:val="0"/>
              <w:noProof/>
              <w:lang w:eastAsia="ja-JP"/>
            </w:rPr>
          </w:pPr>
          <w:hyperlink w:anchor="_Toc79414220" w:history="1">
            <w:r w:rsidRPr="00060C45">
              <w:rPr>
                <w:rStyle w:val="Hyperlink"/>
                <w:rFonts w:cs="Arial"/>
                <w:noProof/>
                <w:lang w:val="en-US"/>
              </w:rPr>
              <w:t>4.11 CONCLUSION</w:t>
            </w:r>
            <w:r>
              <w:rPr>
                <w:noProof/>
                <w:webHidden/>
              </w:rPr>
              <w:tab/>
            </w:r>
            <w:r>
              <w:rPr>
                <w:noProof/>
                <w:webHidden/>
              </w:rPr>
              <w:fldChar w:fldCharType="begin"/>
            </w:r>
            <w:r>
              <w:rPr>
                <w:noProof/>
                <w:webHidden/>
              </w:rPr>
              <w:instrText xml:space="preserve"> PAGEREF _Toc79414220 \h </w:instrText>
            </w:r>
            <w:r>
              <w:rPr>
                <w:noProof/>
                <w:webHidden/>
              </w:rPr>
            </w:r>
            <w:r>
              <w:rPr>
                <w:noProof/>
                <w:webHidden/>
              </w:rPr>
              <w:fldChar w:fldCharType="separate"/>
            </w:r>
            <w:r w:rsidR="00DD38EE">
              <w:rPr>
                <w:noProof/>
                <w:webHidden/>
              </w:rPr>
              <w:t>146</w:t>
            </w:r>
            <w:r>
              <w:rPr>
                <w:noProof/>
                <w:webHidden/>
              </w:rPr>
              <w:fldChar w:fldCharType="end"/>
            </w:r>
          </w:hyperlink>
        </w:p>
        <w:p w14:paraId="260B95B3" w14:textId="6362120B" w:rsidR="006F2D96" w:rsidRDefault="006F2D96">
          <w:pPr>
            <w:pStyle w:val="TOC1"/>
            <w:rPr>
              <w:rFonts w:asciiTheme="minorHAnsi" w:hAnsiTheme="minorHAnsi"/>
              <w:b w:val="0"/>
              <w:noProof/>
              <w:szCs w:val="22"/>
              <w:lang w:eastAsia="ja-JP"/>
            </w:rPr>
          </w:pPr>
          <w:hyperlink w:anchor="_Toc79414221" w:history="1">
            <w:r w:rsidRPr="00060C45">
              <w:rPr>
                <w:rStyle w:val="Hyperlink"/>
                <w:rFonts w:cs="Arial"/>
                <w:noProof/>
              </w:rPr>
              <w:t>CHAPTER FIVE: DATA ANALYSIS</w:t>
            </w:r>
            <w:r>
              <w:rPr>
                <w:noProof/>
                <w:webHidden/>
              </w:rPr>
              <w:tab/>
            </w:r>
            <w:r>
              <w:rPr>
                <w:noProof/>
                <w:webHidden/>
              </w:rPr>
              <w:fldChar w:fldCharType="begin"/>
            </w:r>
            <w:r>
              <w:rPr>
                <w:noProof/>
                <w:webHidden/>
              </w:rPr>
              <w:instrText xml:space="preserve"> PAGEREF _Toc79414221 \h </w:instrText>
            </w:r>
            <w:r>
              <w:rPr>
                <w:noProof/>
                <w:webHidden/>
              </w:rPr>
            </w:r>
            <w:r>
              <w:rPr>
                <w:noProof/>
                <w:webHidden/>
              </w:rPr>
              <w:fldChar w:fldCharType="separate"/>
            </w:r>
            <w:r w:rsidR="00DD38EE">
              <w:rPr>
                <w:noProof/>
                <w:webHidden/>
              </w:rPr>
              <w:t>148</w:t>
            </w:r>
            <w:r>
              <w:rPr>
                <w:noProof/>
                <w:webHidden/>
              </w:rPr>
              <w:fldChar w:fldCharType="end"/>
            </w:r>
          </w:hyperlink>
        </w:p>
        <w:p w14:paraId="257AAC3A" w14:textId="76A8C4FA" w:rsidR="006F2D96" w:rsidRDefault="006F2D96">
          <w:pPr>
            <w:pStyle w:val="TOC2"/>
            <w:tabs>
              <w:tab w:val="right" w:leader="underscore" w:pos="9010"/>
            </w:tabs>
            <w:rPr>
              <w:rFonts w:asciiTheme="minorHAnsi" w:hAnsiTheme="minorHAnsi"/>
              <w:b w:val="0"/>
              <w:noProof/>
              <w:lang w:eastAsia="ja-JP"/>
            </w:rPr>
          </w:pPr>
          <w:hyperlink w:anchor="_Toc79414222" w:history="1">
            <w:r w:rsidRPr="00060C45">
              <w:rPr>
                <w:rStyle w:val="Hyperlink"/>
                <w:rFonts w:cs="Arial"/>
                <w:noProof/>
              </w:rPr>
              <w:t>5.1 INTRODUCTION</w:t>
            </w:r>
            <w:r>
              <w:rPr>
                <w:noProof/>
                <w:webHidden/>
              </w:rPr>
              <w:tab/>
            </w:r>
            <w:r>
              <w:rPr>
                <w:noProof/>
                <w:webHidden/>
              </w:rPr>
              <w:fldChar w:fldCharType="begin"/>
            </w:r>
            <w:r>
              <w:rPr>
                <w:noProof/>
                <w:webHidden/>
              </w:rPr>
              <w:instrText xml:space="preserve"> PAGEREF _Toc79414222 \h </w:instrText>
            </w:r>
            <w:r>
              <w:rPr>
                <w:noProof/>
                <w:webHidden/>
              </w:rPr>
            </w:r>
            <w:r>
              <w:rPr>
                <w:noProof/>
                <w:webHidden/>
              </w:rPr>
              <w:fldChar w:fldCharType="separate"/>
            </w:r>
            <w:r w:rsidR="00DD38EE">
              <w:rPr>
                <w:noProof/>
                <w:webHidden/>
              </w:rPr>
              <w:t>148</w:t>
            </w:r>
            <w:r>
              <w:rPr>
                <w:noProof/>
                <w:webHidden/>
              </w:rPr>
              <w:fldChar w:fldCharType="end"/>
            </w:r>
          </w:hyperlink>
        </w:p>
        <w:p w14:paraId="6E2DE963" w14:textId="76B37469" w:rsidR="006F2D96" w:rsidRDefault="006F2D96">
          <w:pPr>
            <w:pStyle w:val="TOC2"/>
            <w:tabs>
              <w:tab w:val="right" w:leader="underscore" w:pos="9010"/>
            </w:tabs>
            <w:rPr>
              <w:rFonts w:asciiTheme="minorHAnsi" w:hAnsiTheme="minorHAnsi"/>
              <w:b w:val="0"/>
              <w:noProof/>
              <w:lang w:eastAsia="ja-JP"/>
            </w:rPr>
          </w:pPr>
          <w:hyperlink w:anchor="_Toc79414223" w:history="1">
            <w:r w:rsidRPr="00060C45">
              <w:rPr>
                <w:rStyle w:val="Hyperlink"/>
                <w:rFonts w:cs="Arial"/>
                <w:noProof/>
              </w:rPr>
              <w:t>5.2 DESCRIPTIVE STATISTICS</w:t>
            </w:r>
            <w:r>
              <w:rPr>
                <w:noProof/>
                <w:webHidden/>
              </w:rPr>
              <w:tab/>
            </w:r>
            <w:r>
              <w:rPr>
                <w:noProof/>
                <w:webHidden/>
              </w:rPr>
              <w:fldChar w:fldCharType="begin"/>
            </w:r>
            <w:r>
              <w:rPr>
                <w:noProof/>
                <w:webHidden/>
              </w:rPr>
              <w:instrText xml:space="preserve"> PAGEREF _Toc79414223 \h </w:instrText>
            </w:r>
            <w:r>
              <w:rPr>
                <w:noProof/>
                <w:webHidden/>
              </w:rPr>
            </w:r>
            <w:r>
              <w:rPr>
                <w:noProof/>
                <w:webHidden/>
              </w:rPr>
              <w:fldChar w:fldCharType="separate"/>
            </w:r>
            <w:r w:rsidR="00DD38EE">
              <w:rPr>
                <w:noProof/>
                <w:webHidden/>
              </w:rPr>
              <w:t>148</w:t>
            </w:r>
            <w:r>
              <w:rPr>
                <w:noProof/>
                <w:webHidden/>
              </w:rPr>
              <w:fldChar w:fldCharType="end"/>
            </w:r>
          </w:hyperlink>
        </w:p>
        <w:p w14:paraId="725F5D45" w14:textId="720B3E86" w:rsidR="006F2D96" w:rsidRDefault="006F2D96">
          <w:pPr>
            <w:pStyle w:val="TOC3"/>
            <w:tabs>
              <w:tab w:val="right" w:leader="underscore" w:pos="9010"/>
            </w:tabs>
            <w:rPr>
              <w:rFonts w:asciiTheme="minorHAnsi" w:hAnsiTheme="minorHAnsi"/>
              <w:noProof/>
              <w:lang w:eastAsia="ja-JP"/>
            </w:rPr>
          </w:pPr>
          <w:hyperlink w:anchor="_Toc79414224" w:history="1">
            <w:r w:rsidRPr="00060C45">
              <w:rPr>
                <w:rStyle w:val="Hyperlink"/>
                <w:rFonts w:cs="Arial"/>
                <w:noProof/>
              </w:rPr>
              <w:t>5.2.1 Therapist Demographics</w:t>
            </w:r>
            <w:r>
              <w:rPr>
                <w:noProof/>
                <w:webHidden/>
              </w:rPr>
              <w:tab/>
            </w:r>
            <w:r>
              <w:rPr>
                <w:noProof/>
                <w:webHidden/>
              </w:rPr>
              <w:fldChar w:fldCharType="begin"/>
            </w:r>
            <w:r>
              <w:rPr>
                <w:noProof/>
                <w:webHidden/>
              </w:rPr>
              <w:instrText xml:space="preserve"> PAGEREF _Toc79414224 \h </w:instrText>
            </w:r>
            <w:r>
              <w:rPr>
                <w:noProof/>
                <w:webHidden/>
              </w:rPr>
            </w:r>
            <w:r>
              <w:rPr>
                <w:noProof/>
                <w:webHidden/>
              </w:rPr>
              <w:fldChar w:fldCharType="separate"/>
            </w:r>
            <w:r w:rsidR="00DD38EE">
              <w:rPr>
                <w:noProof/>
                <w:webHidden/>
              </w:rPr>
              <w:t>149</w:t>
            </w:r>
            <w:r>
              <w:rPr>
                <w:noProof/>
                <w:webHidden/>
              </w:rPr>
              <w:fldChar w:fldCharType="end"/>
            </w:r>
          </w:hyperlink>
        </w:p>
        <w:p w14:paraId="4F8A05E5" w14:textId="7865C630" w:rsidR="006F2D96" w:rsidRDefault="006F2D96">
          <w:pPr>
            <w:pStyle w:val="TOC3"/>
            <w:tabs>
              <w:tab w:val="right" w:leader="underscore" w:pos="9010"/>
            </w:tabs>
            <w:rPr>
              <w:rFonts w:asciiTheme="minorHAnsi" w:hAnsiTheme="minorHAnsi"/>
              <w:noProof/>
              <w:lang w:eastAsia="ja-JP"/>
            </w:rPr>
          </w:pPr>
          <w:hyperlink w:anchor="_Toc79414225" w:history="1">
            <w:r w:rsidRPr="00060C45">
              <w:rPr>
                <w:rStyle w:val="Hyperlink"/>
                <w:rFonts w:cs="Arial"/>
                <w:noProof/>
              </w:rPr>
              <w:t>5.2.2 ‘F scores’: fidelity to the model</w:t>
            </w:r>
            <w:r>
              <w:rPr>
                <w:noProof/>
                <w:webHidden/>
              </w:rPr>
              <w:tab/>
            </w:r>
            <w:r>
              <w:rPr>
                <w:noProof/>
                <w:webHidden/>
              </w:rPr>
              <w:fldChar w:fldCharType="begin"/>
            </w:r>
            <w:r>
              <w:rPr>
                <w:noProof/>
                <w:webHidden/>
              </w:rPr>
              <w:instrText xml:space="preserve"> PAGEREF _Toc79414225 \h </w:instrText>
            </w:r>
            <w:r>
              <w:rPr>
                <w:noProof/>
                <w:webHidden/>
              </w:rPr>
            </w:r>
            <w:r>
              <w:rPr>
                <w:noProof/>
                <w:webHidden/>
              </w:rPr>
              <w:fldChar w:fldCharType="separate"/>
            </w:r>
            <w:r w:rsidR="00DD38EE">
              <w:rPr>
                <w:noProof/>
                <w:webHidden/>
              </w:rPr>
              <w:t>151</w:t>
            </w:r>
            <w:r>
              <w:rPr>
                <w:noProof/>
                <w:webHidden/>
              </w:rPr>
              <w:fldChar w:fldCharType="end"/>
            </w:r>
          </w:hyperlink>
        </w:p>
        <w:p w14:paraId="7D10F655" w14:textId="553F4F41" w:rsidR="006F2D96" w:rsidRDefault="006F2D96">
          <w:pPr>
            <w:pStyle w:val="TOC3"/>
            <w:tabs>
              <w:tab w:val="right" w:leader="underscore" w:pos="9010"/>
            </w:tabs>
            <w:rPr>
              <w:rFonts w:asciiTheme="minorHAnsi" w:hAnsiTheme="minorHAnsi"/>
              <w:noProof/>
              <w:lang w:eastAsia="ja-JP"/>
            </w:rPr>
          </w:pPr>
          <w:hyperlink w:anchor="_Toc79414226" w:history="1">
            <w:r w:rsidRPr="00060C45">
              <w:rPr>
                <w:rStyle w:val="Hyperlink"/>
                <w:rFonts w:cs="Arial"/>
                <w:noProof/>
              </w:rPr>
              <w:t>5.2.3 ‘A scores’: adherence to an evidence-based protocol</w:t>
            </w:r>
            <w:r>
              <w:rPr>
                <w:noProof/>
                <w:webHidden/>
              </w:rPr>
              <w:tab/>
            </w:r>
            <w:r>
              <w:rPr>
                <w:noProof/>
                <w:webHidden/>
              </w:rPr>
              <w:fldChar w:fldCharType="begin"/>
            </w:r>
            <w:r>
              <w:rPr>
                <w:noProof/>
                <w:webHidden/>
              </w:rPr>
              <w:instrText xml:space="preserve"> PAGEREF _Toc79414226 \h </w:instrText>
            </w:r>
            <w:r>
              <w:rPr>
                <w:noProof/>
                <w:webHidden/>
              </w:rPr>
            </w:r>
            <w:r>
              <w:rPr>
                <w:noProof/>
                <w:webHidden/>
              </w:rPr>
              <w:fldChar w:fldCharType="separate"/>
            </w:r>
            <w:r w:rsidR="00DD38EE">
              <w:rPr>
                <w:noProof/>
                <w:webHidden/>
              </w:rPr>
              <w:t>151</w:t>
            </w:r>
            <w:r>
              <w:rPr>
                <w:noProof/>
                <w:webHidden/>
              </w:rPr>
              <w:fldChar w:fldCharType="end"/>
            </w:r>
          </w:hyperlink>
        </w:p>
        <w:p w14:paraId="0EC71A69" w14:textId="6A0A12B5" w:rsidR="006F2D96" w:rsidRDefault="006F2D96">
          <w:pPr>
            <w:pStyle w:val="TOC3"/>
            <w:tabs>
              <w:tab w:val="right" w:leader="underscore" w:pos="9010"/>
            </w:tabs>
            <w:rPr>
              <w:rFonts w:asciiTheme="minorHAnsi" w:hAnsiTheme="minorHAnsi"/>
              <w:noProof/>
              <w:lang w:eastAsia="ja-JP"/>
            </w:rPr>
          </w:pPr>
          <w:hyperlink w:anchor="_Toc79414227" w:history="1">
            <w:r w:rsidRPr="00060C45">
              <w:rPr>
                <w:rStyle w:val="Hyperlink"/>
                <w:rFonts w:cs="Arial"/>
                <w:noProof/>
              </w:rPr>
              <w:t>5.2.4 Patient outcomes - recovery rate and reliable improvement rate</w:t>
            </w:r>
            <w:r>
              <w:rPr>
                <w:noProof/>
                <w:webHidden/>
              </w:rPr>
              <w:tab/>
            </w:r>
            <w:r>
              <w:rPr>
                <w:noProof/>
                <w:webHidden/>
              </w:rPr>
              <w:fldChar w:fldCharType="begin"/>
            </w:r>
            <w:r>
              <w:rPr>
                <w:noProof/>
                <w:webHidden/>
              </w:rPr>
              <w:instrText xml:space="preserve"> PAGEREF _Toc79414227 \h </w:instrText>
            </w:r>
            <w:r>
              <w:rPr>
                <w:noProof/>
                <w:webHidden/>
              </w:rPr>
            </w:r>
            <w:r>
              <w:rPr>
                <w:noProof/>
                <w:webHidden/>
              </w:rPr>
              <w:fldChar w:fldCharType="separate"/>
            </w:r>
            <w:r w:rsidR="00DD38EE">
              <w:rPr>
                <w:noProof/>
                <w:webHidden/>
              </w:rPr>
              <w:t>153</w:t>
            </w:r>
            <w:r>
              <w:rPr>
                <w:noProof/>
                <w:webHidden/>
              </w:rPr>
              <w:fldChar w:fldCharType="end"/>
            </w:r>
          </w:hyperlink>
        </w:p>
        <w:p w14:paraId="074CE79E" w14:textId="0932947A" w:rsidR="006F2D96" w:rsidRDefault="006F2D96">
          <w:pPr>
            <w:pStyle w:val="TOC3"/>
            <w:tabs>
              <w:tab w:val="right" w:leader="underscore" w:pos="9010"/>
            </w:tabs>
            <w:rPr>
              <w:rFonts w:asciiTheme="minorHAnsi" w:hAnsiTheme="minorHAnsi"/>
              <w:noProof/>
              <w:lang w:eastAsia="ja-JP"/>
            </w:rPr>
          </w:pPr>
          <w:hyperlink w:anchor="_Toc79414228" w:history="1">
            <w:r w:rsidRPr="00060C45">
              <w:rPr>
                <w:rStyle w:val="Hyperlink"/>
                <w:noProof/>
              </w:rPr>
              <w:t>5.2.5 Summary of descriptive statistics</w:t>
            </w:r>
            <w:r>
              <w:rPr>
                <w:noProof/>
                <w:webHidden/>
              </w:rPr>
              <w:tab/>
            </w:r>
            <w:r>
              <w:rPr>
                <w:noProof/>
                <w:webHidden/>
              </w:rPr>
              <w:fldChar w:fldCharType="begin"/>
            </w:r>
            <w:r>
              <w:rPr>
                <w:noProof/>
                <w:webHidden/>
              </w:rPr>
              <w:instrText xml:space="preserve"> PAGEREF _Toc79414228 \h </w:instrText>
            </w:r>
            <w:r>
              <w:rPr>
                <w:noProof/>
                <w:webHidden/>
              </w:rPr>
            </w:r>
            <w:r>
              <w:rPr>
                <w:noProof/>
                <w:webHidden/>
              </w:rPr>
              <w:fldChar w:fldCharType="separate"/>
            </w:r>
            <w:r w:rsidR="00DD38EE">
              <w:rPr>
                <w:noProof/>
                <w:webHidden/>
              </w:rPr>
              <w:t>155</w:t>
            </w:r>
            <w:r>
              <w:rPr>
                <w:noProof/>
                <w:webHidden/>
              </w:rPr>
              <w:fldChar w:fldCharType="end"/>
            </w:r>
          </w:hyperlink>
        </w:p>
        <w:p w14:paraId="2C5E5817" w14:textId="0BE4F88F" w:rsidR="006F2D96" w:rsidRDefault="006F2D96">
          <w:pPr>
            <w:pStyle w:val="TOC2"/>
            <w:tabs>
              <w:tab w:val="right" w:leader="underscore" w:pos="9010"/>
            </w:tabs>
            <w:rPr>
              <w:rFonts w:asciiTheme="minorHAnsi" w:hAnsiTheme="minorHAnsi"/>
              <w:b w:val="0"/>
              <w:noProof/>
              <w:lang w:eastAsia="ja-JP"/>
            </w:rPr>
          </w:pPr>
          <w:hyperlink w:anchor="_Toc79414229" w:history="1">
            <w:r w:rsidRPr="00060C45">
              <w:rPr>
                <w:rStyle w:val="Hyperlink"/>
                <w:rFonts w:cs="Arial"/>
                <w:noProof/>
              </w:rPr>
              <w:t>5.3 INTER-RATER RELIABILITY</w:t>
            </w:r>
            <w:r>
              <w:rPr>
                <w:noProof/>
                <w:webHidden/>
              </w:rPr>
              <w:tab/>
            </w:r>
            <w:r>
              <w:rPr>
                <w:noProof/>
                <w:webHidden/>
              </w:rPr>
              <w:fldChar w:fldCharType="begin"/>
            </w:r>
            <w:r>
              <w:rPr>
                <w:noProof/>
                <w:webHidden/>
              </w:rPr>
              <w:instrText xml:space="preserve"> PAGEREF _Toc79414229 \h </w:instrText>
            </w:r>
            <w:r>
              <w:rPr>
                <w:noProof/>
                <w:webHidden/>
              </w:rPr>
            </w:r>
            <w:r>
              <w:rPr>
                <w:noProof/>
                <w:webHidden/>
              </w:rPr>
              <w:fldChar w:fldCharType="separate"/>
            </w:r>
            <w:r w:rsidR="00DD38EE">
              <w:rPr>
                <w:noProof/>
                <w:webHidden/>
              </w:rPr>
              <w:t>155</w:t>
            </w:r>
            <w:r>
              <w:rPr>
                <w:noProof/>
                <w:webHidden/>
              </w:rPr>
              <w:fldChar w:fldCharType="end"/>
            </w:r>
          </w:hyperlink>
        </w:p>
        <w:p w14:paraId="3A662CF8" w14:textId="7244D0E3" w:rsidR="006F2D96" w:rsidRDefault="006F2D96">
          <w:pPr>
            <w:pStyle w:val="TOC3"/>
            <w:tabs>
              <w:tab w:val="right" w:leader="underscore" w:pos="9010"/>
            </w:tabs>
            <w:rPr>
              <w:rFonts w:asciiTheme="minorHAnsi" w:hAnsiTheme="minorHAnsi"/>
              <w:noProof/>
              <w:lang w:eastAsia="ja-JP"/>
            </w:rPr>
          </w:pPr>
          <w:hyperlink w:anchor="_Toc79414230" w:history="1">
            <w:r w:rsidRPr="00060C45">
              <w:rPr>
                <w:rStyle w:val="Hyperlink"/>
                <w:rFonts w:cs="Arial"/>
                <w:noProof/>
              </w:rPr>
              <w:t>5.3.1 Interrater reliability for CTS-R rating (F score)</w:t>
            </w:r>
            <w:r>
              <w:rPr>
                <w:noProof/>
                <w:webHidden/>
              </w:rPr>
              <w:tab/>
            </w:r>
            <w:r>
              <w:rPr>
                <w:noProof/>
                <w:webHidden/>
              </w:rPr>
              <w:fldChar w:fldCharType="begin"/>
            </w:r>
            <w:r>
              <w:rPr>
                <w:noProof/>
                <w:webHidden/>
              </w:rPr>
              <w:instrText xml:space="preserve"> PAGEREF _Toc79414230 \h </w:instrText>
            </w:r>
            <w:r>
              <w:rPr>
                <w:noProof/>
                <w:webHidden/>
              </w:rPr>
            </w:r>
            <w:r>
              <w:rPr>
                <w:noProof/>
                <w:webHidden/>
              </w:rPr>
              <w:fldChar w:fldCharType="separate"/>
            </w:r>
            <w:r w:rsidR="00DD38EE">
              <w:rPr>
                <w:noProof/>
                <w:webHidden/>
              </w:rPr>
              <w:t>155</w:t>
            </w:r>
            <w:r>
              <w:rPr>
                <w:noProof/>
                <w:webHidden/>
              </w:rPr>
              <w:fldChar w:fldCharType="end"/>
            </w:r>
          </w:hyperlink>
        </w:p>
        <w:p w14:paraId="7CD7EBEC" w14:textId="28BE14A6" w:rsidR="006F2D96" w:rsidRDefault="006F2D96">
          <w:pPr>
            <w:pStyle w:val="TOC3"/>
            <w:tabs>
              <w:tab w:val="right" w:leader="underscore" w:pos="9010"/>
            </w:tabs>
            <w:rPr>
              <w:rFonts w:asciiTheme="minorHAnsi" w:hAnsiTheme="minorHAnsi"/>
              <w:noProof/>
              <w:lang w:eastAsia="ja-JP"/>
            </w:rPr>
          </w:pPr>
          <w:hyperlink w:anchor="_Toc79414231" w:history="1">
            <w:r w:rsidRPr="00060C45">
              <w:rPr>
                <w:rStyle w:val="Hyperlink"/>
                <w:rFonts w:cs="Arial"/>
                <w:noProof/>
              </w:rPr>
              <w:t>5.3.2 Inter-rater reliability for rating therapist adherence to the evidence base (A score)</w:t>
            </w:r>
            <w:r>
              <w:rPr>
                <w:noProof/>
                <w:webHidden/>
              </w:rPr>
              <w:tab/>
            </w:r>
            <w:r>
              <w:rPr>
                <w:noProof/>
                <w:webHidden/>
              </w:rPr>
              <w:fldChar w:fldCharType="begin"/>
            </w:r>
            <w:r>
              <w:rPr>
                <w:noProof/>
                <w:webHidden/>
              </w:rPr>
              <w:instrText xml:space="preserve"> PAGEREF _Toc79414231 \h </w:instrText>
            </w:r>
            <w:r>
              <w:rPr>
                <w:noProof/>
                <w:webHidden/>
              </w:rPr>
            </w:r>
            <w:r>
              <w:rPr>
                <w:noProof/>
                <w:webHidden/>
              </w:rPr>
              <w:fldChar w:fldCharType="separate"/>
            </w:r>
            <w:r w:rsidR="00DD38EE">
              <w:rPr>
                <w:noProof/>
                <w:webHidden/>
              </w:rPr>
              <w:t>155</w:t>
            </w:r>
            <w:r>
              <w:rPr>
                <w:noProof/>
                <w:webHidden/>
              </w:rPr>
              <w:fldChar w:fldCharType="end"/>
            </w:r>
          </w:hyperlink>
        </w:p>
        <w:p w14:paraId="0282C808" w14:textId="4DE09492" w:rsidR="006F2D96" w:rsidRDefault="006F2D96">
          <w:pPr>
            <w:pStyle w:val="TOC2"/>
            <w:tabs>
              <w:tab w:val="right" w:leader="underscore" w:pos="9010"/>
            </w:tabs>
            <w:rPr>
              <w:rFonts w:asciiTheme="minorHAnsi" w:hAnsiTheme="minorHAnsi"/>
              <w:b w:val="0"/>
              <w:noProof/>
              <w:lang w:eastAsia="ja-JP"/>
            </w:rPr>
          </w:pPr>
          <w:hyperlink w:anchor="_Toc79414232" w:history="1">
            <w:r w:rsidRPr="00060C45">
              <w:rPr>
                <w:rStyle w:val="Hyperlink"/>
                <w:rFonts w:cs="Arial"/>
                <w:noProof/>
              </w:rPr>
              <w:t>5.4 CORRELATION BETWEEN THERAPIST DEMOGRAPHICS AND OUTCOME</w:t>
            </w:r>
            <w:r>
              <w:rPr>
                <w:noProof/>
                <w:webHidden/>
              </w:rPr>
              <w:tab/>
            </w:r>
            <w:r>
              <w:rPr>
                <w:noProof/>
                <w:webHidden/>
              </w:rPr>
              <w:fldChar w:fldCharType="begin"/>
            </w:r>
            <w:r>
              <w:rPr>
                <w:noProof/>
                <w:webHidden/>
              </w:rPr>
              <w:instrText xml:space="preserve"> PAGEREF _Toc79414232 \h </w:instrText>
            </w:r>
            <w:r>
              <w:rPr>
                <w:noProof/>
                <w:webHidden/>
              </w:rPr>
            </w:r>
            <w:r>
              <w:rPr>
                <w:noProof/>
                <w:webHidden/>
              </w:rPr>
              <w:fldChar w:fldCharType="separate"/>
            </w:r>
            <w:r w:rsidR="00DD38EE">
              <w:rPr>
                <w:noProof/>
                <w:webHidden/>
              </w:rPr>
              <w:t>156</w:t>
            </w:r>
            <w:r>
              <w:rPr>
                <w:noProof/>
                <w:webHidden/>
              </w:rPr>
              <w:fldChar w:fldCharType="end"/>
            </w:r>
          </w:hyperlink>
        </w:p>
        <w:p w14:paraId="6E4081CB" w14:textId="7FD1CEF2" w:rsidR="006F2D96" w:rsidRDefault="006F2D96">
          <w:pPr>
            <w:pStyle w:val="TOC3"/>
            <w:tabs>
              <w:tab w:val="right" w:leader="underscore" w:pos="9010"/>
            </w:tabs>
            <w:rPr>
              <w:rFonts w:asciiTheme="minorHAnsi" w:hAnsiTheme="minorHAnsi"/>
              <w:noProof/>
              <w:lang w:eastAsia="ja-JP"/>
            </w:rPr>
          </w:pPr>
          <w:hyperlink w:anchor="_Toc79414233" w:history="1">
            <w:r w:rsidRPr="00060C45">
              <w:rPr>
                <w:rStyle w:val="Hyperlink"/>
                <w:rFonts w:cs="Arial"/>
                <w:noProof/>
              </w:rPr>
              <w:t>5.4.1 Summary</w:t>
            </w:r>
            <w:r>
              <w:rPr>
                <w:noProof/>
                <w:webHidden/>
              </w:rPr>
              <w:tab/>
            </w:r>
            <w:r>
              <w:rPr>
                <w:noProof/>
                <w:webHidden/>
              </w:rPr>
              <w:fldChar w:fldCharType="begin"/>
            </w:r>
            <w:r>
              <w:rPr>
                <w:noProof/>
                <w:webHidden/>
              </w:rPr>
              <w:instrText xml:space="preserve"> PAGEREF _Toc79414233 \h </w:instrText>
            </w:r>
            <w:r>
              <w:rPr>
                <w:noProof/>
                <w:webHidden/>
              </w:rPr>
            </w:r>
            <w:r>
              <w:rPr>
                <w:noProof/>
                <w:webHidden/>
              </w:rPr>
              <w:fldChar w:fldCharType="separate"/>
            </w:r>
            <w:r w:rsidR="00DD38EE">
              <w:rPr>
                <w:noProof/>
                <w:webHidden/>
              </w:rPr>
              <w:t>157</w:t>
            </w:r>
            <w:r>
              <w:rPr>
                <w:noProof/>
                <w:webHidden/>
              </w:rPr>
              <w:fldChar w:fldCharType="end"/>
            </w:r>
          </w:hyperlink>
        </w:p>
        <w:p w14:paraId="3BC02D01" w14:textId="3F0520E4" w:rsidR="006F2D96" w:rsidRDefault="006F2D96">
          <w:pPr>
            <w:pStyle w:val="TOC2"/>
            <w:tabs>
              <w:tab w:val="right" w:leader="underscore" w:pos="9010"/>
            </w:tabs>
            <w:rPr>
              <w:rFonts w:asciiTheme="minorHAnsi" w:hAnsiTheme="minorHAnsi"/>
              <w:b w:val="0"/>
              <w:noProof/>
              <w:lang w:eastAsia="ja-JP"/>
            </w:rPr>
          </w:pPr>
          <w:hyperlink w:anchor="_Toc79414234" w:history="1">
            <w:r w:rsidRPr="00060C45">
              <w:rPr>
                <w:rStyle w:val="Hyperlink"/>
                <w:rFonts w:cs="Arial"/>
                <w:noProof/>
              </w:rPr>
              <w:t>5.5 ASSOCIATIONS BETWEEN THERAPIST ADHERENCE (A SCORE), THERAPIST COMPETENCE (F SCORE) AND CLINICAL OUTCOME</w:t>
            </w:r>
            <w:r>
              <w:rPr>
                <w:noProof/>
                <w:webHidden/>
              </w:rPr>
              <w:tab/>
            </w:r>
            <w:r>
              <w:rPr>
                <w:noProof/>
                <w:webHidden/>
              </w:rPr>
              <w:fldChar w:fldCharType="begin"/>
            </w:r>
            <w:r>
              <w:rPr>
                <w:noProof/>
                <w:webHidden/>
              </w:rPr>
              <w:instrText xml:space="preserve"> PAGEREF _Toc79414234 \h </w:instrText>
            </w:r>
            <w:r>
              <w:rPr>
                <w:noProof/>
                <w:webHidden/>
              </w:rPr>
            </w:r>
            <w:r>
              <w:rPr>
                <w:noProof/>
                <w:webHidden/>
              </w:rPr>
              <w:fldChar w:fldCharType="separate"/>
            </w:r>
            <w:r w:rsidR="00DD38EE">
              <w:rPr>
                <w:noProof/>
                <w:webHidden/>
              </w:rPr>
              <w:t>158</w:t>
            </w:r>
            <w:r>
              <w:rPr>
                <w:noProof/>
                <w:webHidden/>
              </w:rPr>
              <w:fldChar w:fldCharType="end"/>
            </w:r>
          </w:hyperlink>
        </w:p>
        <w:p w14:paraId="568B4B44" w14:textId="172040D3" w:rsidR="006F2D96" w:rsidRDefault="006F2D96">
          <w:pPr>
            <w:pStyle w:val="TOC3"/>
            <w:tabs>
              <w:tab w:val="right" w:leader="underscore" w:pos="9010"/>
            </w:tabs>
            <w:rPr>
              <w:rFonts w:asciiTheme="minorHAnsi" w:hAnsiTheme="minorHAnsi"/>
              <w:noProof/>
              <w:lang w:eastAsia="ja-JP"/>
            </w:rPr>
          </w:pPr>
          <w:hyperlink w:anchor="_Toc79414235" w:history="1">
            <w:r w:rsidRPr="00060C45">
              <w:rPr>
                <w:rStyle w:val="Hyperlink"/>
                <w:rFonts w:cs="Arial"/>
                <w:noProof/>
              </w:rPr>
              <w:t>5.5.1 Association between therapist adherence (A scores) and clinical outcome</w:t>
            </w:r>
            <w:r>
              <w:rPr>
                <w:noProof/>
                <w:webHidden/>
              </w:rPr>
              <w:tab/>
            </w:r>
            <w:r>
              <w:rPr>
                <w:noProof/>
                <w:webHidden/>
              </w:rPr>
              <w:fldChar w:fldCharType="begin"/>
            </w:r>
            <w:r>
              <w:rPr>
                <w:noProof/>
                <w:webHidden/>
              </w:rPr>
              <w:instrText xml:space="preserve"> PAGEREF _Toc79414235 \h </w:instrText>
            </w:r>
            <w:r>
              <w:rPr>
                <w:noProof/>
                <w:webHidden/>
              </w:rPr>
            </w:r>
            <w:r>
              <w:rPr>
                <w:noProof/>
                <w:webHidden/>
              </w:rPr>
              <w:fldChar w:fldCharType="separate"/>
            </w:r>
            <w:r w:rsidR="00DD38EE">
              <w:rPr>
                <w:noProof/>
                <w:webHidden/>
              </w:rPr>
              <w:t>158</w:t>
            </w:r>
            <w:r>
              <w:rPr>
                <w:noProof/>
                <w:webHidden/>
              </w:rPr>
              <w:fldChar w:fldCharType="end"/>
            </w:r>
          </w:hyperlink>
        </w:p>
        <w:p w14:paraId="38D3499E" w14:textId="48709090" w:rsidR="006F2D96" w:rsidRDefault="006F2D96">
          <w:pPr>
            <w:pStyle w:val="TOC3"/>
            <w:tabs>
              <w:tab w:val="right" w:leader="underscore" w:pos="9010"/>
            </w:tabs>
            <w:rPr>
              <w:rFonts w:asciiTheme="minorHAnsi" w:hAnsiTheme="minorHAnsi"/>
              <w:noProof/>
              <w:lang w:eastAsia="ja-JP"/>
            </w:rPr>
          </w:pPr>
          <w:hyperlink w:anchor="_Toc79414236" w:history="1">
            <w:r w:rsidRPr="00060C45">
              <w:rPr>
                <w:rStyle w:val="Hyperlink"/>
                <w:rFonts w:cs="Arial"/>
                <w:noProof/>
              </w:rPr>
              <w:t>5.5.2 Correlation between therapist fidelity to the model (F scores) and clinical outcome</w:t>
            </w:r>
            <w:r>
              <w:rPr>
                <w:noProof/>
                <w:webHidden/>
              </w:rPr>
              <w:tab/>
            </w:r>
            <w:r>
              <w:rPr>
                <w:noProof/>
                <w:webHidden/>
              </w:rPr>
              <w:fldChar w:fldCharType="begin"/>
            </w:r>
            <w:r>
              <w:rPr>
                <w:noProof/>
                <w:webHidden/>
              </w:rPr>
              <w:instrText xml:space="preserve"> PAGEREF _Toc79414236 \h </w:instrText>
            </w:r>
            <w:r>
              <w:rPr>
                <w:noProof/>
                <w:webHidden/>
              </w:rPr>
            </w:r>
            <w:r>
              <w:rPr>
                <w:noProof/>
                <w:webHidden/>
              </w:rPr>
              <w:fldChar w:fldCharType="separate"/>
            </w:r>
            <w:r w:rsidR="00DD38EE">
              <w:rPr>
                <w:noProof/>
                <w:webHidden/>
              </w:rPr>
              <w:t>161</w:t>
            </w:r>
            <w:r>
              <w:rPr>
                <w:noProof/>
                <w:webHidden/>
              </w:rPr>
              <w:fldChar w:fldCharType="end"/>
            </w:r>
          </w:hyperlink>
        </w:p>
        <w:p w14:paraId="1CBC0B0B" w14:textId="7C8E5BDD" w:rsidR="006F2D96" w:rsidRDefault="006F2D96">
          <w:pPr>
            <w:pStyle w:val="TOC3"/>
            <w:tabs>
              <w:tab w:val="right" w:leader="underscore" w:pos="9010"/>
            </w:tabs>
            <w:rPr>
              <w:rFonts w:asciiTheme="minorHAnsi" w:hAnsiTheme="minorHAnsi"/>
              <w:noProof/>
              <w:lang w:eastAsia="ja-JP"/>
            </w:rPr>
          </w:pPr>
          <w:hyperlink w:anchor="_Toc79414237" w:history="1">
            <w:r w:rsidRPr="00060C45">
              <w:rPr>
                <w:rStyle w:val="Hyperlink"/>
                <w:rFonts w:cs="Arial"/>
                <w:noProof/>
              </w:rPr>
              <w:t>5.5.3 Testing for a relationship between individual CTS-R scores and recovery rate</w:t>
            </w:r>
            <w:r>
              <w:rPr>
                <w:noProof/>
                <w:webHidden/>
              </w:rPr>
              <w:tab/>
            </w:r>
            <w:r>
              <w:rPr>
                <w:noProof/>
                <w:webHidden/>
              </w:rPr>
              <w:fldChar w:fldCharType="begin"/>
            </w:r>
            <w:r>
              <w:rPr>
                <w:noProof/>
                <w:webHidden/>
              </w:rPr>
              <w:instrText xml:space="preserve"> PAGEREF _Toc79414237 \h </w:instrText>
            </w:r>
            <w:r>
              <w:rPr>
                <w:noProof/>
                <w:webHidden/>
              </w:rPr>
            </w:r>
            <w:r>
              <w:rPr>
                <w:noProof/>
                <w:webHidden/>
              </w:rPr>
              <w:fldChar w:fldCharType="separate"/>
            </w:r>
            <w:r w:rsidR="00DD38EE">
              <w:rPr>
                <w:noProof/>
                <w:webHidden/>
              </w:rPr>
              <w:t>163</w:t>
            </w:r>
            <w:r>
              <w:rPr>
                <w:noProof/>
                <w:webHidden/>
              </w:rPr>
              <w:fldChar w:fldCharType="end"/>
            </w:r>
          </w:hyperlink>
        </w:p>
        <w:p w14:paraId="750053E6" w14:textId="1D294782" w:rsidR="006F2D96" w:rsidRDefault="006F2D96">
          <w:pPr>
            <w:pStyle w:val="TOC3"/>
            <w:tabs>
              <w:tab w:val="right" w:leader="underscore" w:pos="9010"/>
            </w:tabs>
            <w:rPr>
              <w:rFonts w:asciiTheme="minorHAnsi" w:hAnsiTheme="minorHAnsi"/>
              <w:noProof/>
              <w:lang w:eastAsia="ja-JP"/>
            </w:rPr>
          </w:pPr>
          <w:hyperlink w:anchor="_Toc79414238" w:history="1">
            <w:r w:rsidRPr="00060C45">
              <w:rPr>
                <w:rStyle w:val="Hyperlink"/>
                <w:rFonts w:cs="Arial"/>
                <w:noProof/>
              </w:rPr>
              <w:t>5.5.4 Summary</w:t>
            </w:r>
            <w:r>
              <w:rPr>
                <w:noProof/>
                <w:webHidden/>
              </w:rPr>
              <w:tab/>
            </w:r>
            <w:r>
              <w:rPr>
                <w:noProof/>
                <w:webHidden/>
              </w:rPr>
              <w:fldChar w:fldCharType="begin"/>
            </w:r>
            <w:r>
              <w:rPr>
                <w:noProof/>
                <w:webHidden/>
              </w:rPr>
              <w:instrText xml:space="preserve"> PAGEREF _Toc79414238 \h </w:instrText>
            </w:r>
            <w:r>
              <w:rPr>
                <w:noProof/>
                <w:webHidden/>
              </w:rPr>
            </w:r>
            <w:r>
              <w:rPr>
                <w:noProof/>
                <w:webHidden/>
              </w:rPr>
              <w:fldChar w:fldCharType="separate"/>
            </w:r>
            <w:r w:rsidR="00DD38EE">
              <w:rPr>
                <w:noProof/>
                <w:webHidden/>
              </w:rPr>
              <w:t>166</w:t>
            </w:r>
            <w:r>
              <w:rPr>
                <w:noProof/>
                <w:webHidden/>
              </w:rPr>
              <w:fldChar w:fldCharType="end"/>
            </w:r>
          </w:hyperlink>
        </w:p>
        <w:p w14:paraId="289F9385" w14:textId="157D34AF" w:rsidR="006F2D96" w:rsidRDefault="006F2D96">
          <w:pPr>
            <w:pStyle w:val="TOC2"/>
            <w:tabs>
              <w:tab w:val="right" w:leader="underscore" w:pos="9010"/>
            </w:tabs>
            <w:rPr>
              <w:rFonts w:asciiTheme="minorHAnsi" w:hAnsiTheme="minorHAnsi"/>
              <w:b w:val="0"/>
              <w:noProof/>
              <w:lang w:eastAsia="ja-JP"/>
            </w:rPr>
          </w:pPr>
          <w:hyperlink w:anchor="_Toc79414239" w:history="1">
            <w:r w:rsidRPr="00060C45">
              <w:rPr>
                <w:rStyle w:val="Hyperlink"/>
                <w:rFonts w:cs="Arial"/>
                <w:noProof/>
              </w:rPr>
              <w:t>5.6 MULTIPLE REGRESSION MODEL: F SCORES AND A SCORES</w:t>
            </w:r>
            <w:r>
              <w:rPr>
                <w:noProof/>
                <w:webHidden/>
              </w:rPr>
              <w:tab/>
            </w:r>
            <w:r>
              <w:rPr>
                <w:noProof/>
                <w:webHidden/>
              </w:rPr>
              <w:fldChar w:fldCharType="begin"/>
            </w:r>
            <w:r>
              <w:rPr>
                <w:noProof/>
                <w:webHidden/>
              </w:rPr>
              <w:instrText xml:space="preserve"> PAGEREF _Toc79414239 \h </w:instrText>
            </w:r>
            <w:r>
              <w:rPr>
                <w:noProof/>
                <w:webHidden/>
              </w:rPr>
            </w:r>
            <w:r>
              <w:rPr>
                <w:noProof/>
                <w:webHidden/>
              </w:rPr>
              <w:fldChar w:fldCharType="separate"/>
            </w:r>
            <w:r w:rsidR="00DD38EE">
              <w:rPr>
                <w:noProof/>
                <w:webHidden/>
              </w:rPr>
              <w:t>166</w:t>
            </w:r>
            <w:r>
              <w:rPr>
                <w:noProof/>
                <w:webHidden/>
              </w:rPr>
              <w:fldChar w:fldCharType="end"/>
            </w:r>
          </w:hyperlink>
        </w:p>
        <w:p w14:paraId="0CEB1DA0" w14:textId="5D264DF5" w:rsidR="006F2D96" w:rsidRDefault="006F2D96">
          <w:pPr>
            <w:pStyle w:val="TOC3"/>
            <w:tabs>
              <w:tab w:val="right" w:leader="underscore" w:pos="9010"/>
            </w:tabs>
            <w:rPr>
              <w:rFonts w:asciiTheme="minorHAnsi" w:hAnsiTheme="minorHAnsi"/>
              <w:noProof/>
              <w:lang w:eastAsia="ja-JP"/>
            </w:rPr>
          </w:pPr>
          <w:hyperlink w:anchor="_Toc79414240" w:history="1">
            <w:r w:rsidRPr="00060C45">
              <w:rPr>
                <w:rStyle w:val="Hyperlink"/>
                <w:rFonts w:cs="Arial"/>
                <w:noProof/>
              </w:rPr>
              <w:t>5.6.1 Summary of Multiple Regression Model</w:t>
            </w:r>
            <w:r>
              <w:rPr>
                <w:noProof/>
                <w:webHidden/>
              </w:rPr>
              <w:tab/>
            </w:r>
            <w:r>
              <w:rPr>
                <w:noProof/>
                <w:webHidden/>
              </w:rPr>
              <w:fldChar w:fldCharType="begin"/>
            </w:r>
            <w:r>
              <w:rPr>
                <w:noProof/>
                <w:webHidden/>
              </w:rPr>
              <w:instrText xml:space="preserve"> PAGEREF _Toc79414240 \h </w:instrText>
            </w:r>
            <w:r>
              <w:rPr>
                <w:noProof/>
                <w:webHidden/>
              </w:rPr>
            </w:r>
            <w:r>
              <w:rPr>
                <w:noProof/>
                <w:webHidden/>
              </w:rPr>
              <w:fldChar w:fldCharType="separate"/>
            </w:r>
            <w:r w:rsidR="00DD38EE">
              <w:rPr>
                <w:noProof/>
                <w:webHidden/>
              </w:rPr>
              <w:t>170</w:t>
            </w:r>
            <w:r>
              <w:rPr>
                <w:noProof/>
                <w:webHidden/>
              </w:rPr>
              <w:fldChar w:fldCharType="end"/>
            </w:r>
          </w:hyperlink>
        </w:p>
        <w:p w14:paraId="32DC4177" w14:textId="37AA506A" w:rsidR="006F2D96" w:rsidRDefault="006F2D96">
          <w:pPr>
            <w:pStyle w:val="TOC2"/>
            <w:tabs>
              <w:tab w:val="right" w:leader="underscore" w:pos="9010"/>
            </w:tabs>
            <w:rPr>
              <w:rFonts w:asciiTheme="minorHAnsi" w:hAnsiTheme="minorHAnsi"/>
              <w:b w:val="0"/>
              <w:noProof/>
              <w:lang w:eastAsia="ja-JP"/>
            </w:rPr>
          </w:pPr>
          <w:hyperlink w:anchor="_Toc79414241" w:history="1">
            <w:r w:rsidRPr="00060C45">
              <w:rPr>
                <w:rStyle w:val="Hyperlink"/>
                <w:rFonts w:cs="Arial"/>
                <w:noProof/>
              </w:rPr>
              <w:t>5.7 HIERARCHICAL LOGLINEAR ANALYSIS</w:t>
            </w:r>
            <w:r>
              <w:rPr>
                <w:noProof/>
                <w:webHidden/>
              </w:rPr>
              <w:tab/>
            </w:r>
            <w:r>
              <w:rPr>
                <w:noProof/>
                <w:webHidden/>
              </w:rPr>
              <w:fldChar w:fldCharType="begin"/>
            </w:r>
            <w:r>
              <w:rPr>
                <w:noProof/>
                <w:webHidden/>
              </w:rPr>
              <w:instrText xml:space="preserve"> PAGEREF _Toc79414241 \h </w:instrText>
            </w:r>
            <w:r>
              <w:rPr>
                <w:noProof/>
                <w:webHidden/>
              </w:rPr>
            </w:r>
            <w:r>
              <w:rPr>
                <w:noProof/>
                <w:webHidden/>
              </w:rPr>
              <w:fldChar w:fldCharType="separate"/>
            </w:r>
            <w:r w:rsidR="00DD38EE">
              <w:rPr>
                <w:noProof/>
                <w:webHidden/>
              </w:rPr>
              <w:t>171</w:t>
            </w:r>
            <w:r>
              <w:rPr>
                <w:noProof/>
                <w:webHidden/>
              </w:rPr>
              <w:fldChar w:fldCharType="end"/>
            </w:r>
          </w:hyperlink>
        </w:p>
        <w:p w14:paraId="46C850DD" w14:textId="573EA667" w:rsidR="006F2D96" w:rsidRDefault="006F2D96">
          <w:pPr>
            <w:pStyle w:val="TOC3"/>
            <w:tabs>
              <w:tab w:val="right" w:leader="underscore" w:pos="9010"/>
            </w:tabs>
            <w:rPr>
              <w:rFonts w:asciiTheme="minorHAnsi" w:hAnsiTheme="minorHAnsi"/>
              <w:noProof/>
              <w:lang w:eastAsia="ja-JP"/>
            </w:rPr>
          </w:pPr>
          <w:hyperlink w:anchor="_Toc79414242" w:history="1">
            <w:r w:rsidRPr="00060C45">
              <w:rPr>
                <w:rStyle w:val="Hyperlink"/>
                <w:rFonts w:cs="Arial"/>
                <w:noProof/>
              </w:rPr>
              <w:t>5.7.1 Descriptive statistics for all categorical variables in the model</w:t>
            </w:r>
            <w:r>
              <w:rPr>
                <w:noProof/>
                <w:webHidden/>
              </w:rPr>
              <w:tab/>
            </w:r>
            <w:r>
              <w:rPr>
                <w:noProof/>
                <w:webHidden/>
              </w:rPr>
              <w:fldChar w:fldCharType="begin"/>
            </w:r>
            <w:r>
              <w:rPr>
                <w:noProof/>
                <w:webHidden/>
              </w:rPr>
              <w:instrText xml:space="preserve"> PAGEREF _Toc79414242 \h </w:instrText>
            </w:r>
            <w:r>
              <w:rPr>
                <w:noProof/>
                <w:webHidden/>
              </w:rPr>
            </w:r>
            <w:r>
              <w:rPr>
                <w:noProof/>
                <w:webHidden/>
              </w:rPr>
              <w:fldChar w:fldCharType="separate"/>
            </w:r>
            <w:r w:rsidR="00DD38EE">
              <w:rPr>
                <w:noProof/>
                <w:webHidden/>
              </w:rPr>
              <w:t>172</w:t>
            </w:r>
            <w:r>
              <w:rPr>
                <w:noProof/>
                <w:webHidden/>
              </w:rPr>
              <w:fldChar w:fldCharType="end"/>
            </w:r>
          </w:hyperlink>
        </w:p>
        <w:p w14:paraId="0DD317F0" w14:textId="452D6B67" w:rsidR="006F2D96" w:rsidRDefault="006F2D96">
          <w:pPr>
            <w:pStyle w:val="TOC3"/>
            <w:tabs>
              <w:tab w:val="right" w:leader="underscore" w:pos="9010"/>
            </w:tabs>
            <w:rPr>
              <w:rFonts w:asciiTheme="minorHAnsi" w:hAnsiTheme="minorHAnsi"/>
              <w:noProof/>
              <w:lang w:eastAsia="ja-JP"/>
            </w:rPr>
          </w:pPr>
          <w:hyperlink w:anchor="_Toc79414243" w:history="1">
            <w:r w:rsidRPr="00060C45">
              <w:rPr>
                <w:rStyle w:val="Hyperlink"/>
                <w:rFonts w:cs="Arial"/>
                <w:noProof/>
              </w:rPr>
              <w:t>5.7.2 The hierarchical loglinear analysis model</w:t>
            </w:r>
            <w:r>
              <w:rPr>
                <w:noProof/>
                <w:webHidden/>
              </w:rPr>
              <w:tab/>
            </w:r>
            <w:r>
              <w:rPr>
                <w:noProof/>
                <w:webHidden/>
              </w:rPr>
              <w:fldChar w:fldCharType="begin"/>
            </w:r>
            <w:r>
              <w:rPr>
                <w:noProof/>
                <w:webHidden/>
              </w:rPr>
              <w:instrText xml:space="preserve"> PAGEREF _Toc79414243 \h </w:instrText>
            </w:r>
            <w:r>
              <w:rPr>
                <w:noProof/>
                <w:webHidden/>
              </w:rPr>
            </w:r>
            <w:r>
              <w:rPr>
                <w:noProof/>
                <w:webHidden/>
              </w:rPr>
              <w:fldChar w:fldCharType="separate"/>
            </w:r>
            <w:r w:rsidR="00DD38EE">
              <w:rPr>
                <w:noProof/>
                <w:webHidden/>
              </w:rPr>
              <w:t>173</w:t>
            </w:r>
            <w:r>
              <w:rPr>
                <w:noProof/>
                <w:webHidden/>
              </w:rPr>
              <w:fldChar w:fldCharType="end"/>
            </w:r>
          </w:hyperlink>
        </w:p>
        <w:p w14:paraId="764A0A02" w14:textId="5525FA49" w:rsidR="006F2D96" w:rsidRDefault="006F2D96">
          <w:pPr>
            <w:pStyle w:val="TOC3"/>
            <w:tabs>
              <w:tab w:val="right" w:leader="underscore" w:pos="9010"/>
            </w:tabs>
            <w:rPr>
              <w:rFonts w:asciiTheme="minorHAnsi" w:hAnsiTheme="minorHAnsi"/>
              <w:noProof/>
              <w:lang w:eastAsia="ja-JP"/>
            </w:rPr>
          </w:pPr>
          <w:hyperlink w:anchor="_Toc79414244" w:history="1">
            <w:r w:rsidRPr="00060C45">
              <w:rPr>
                <w:rStyle w:val="Hyperlink"/>
                <w:rFonts w:eastAsiaTheme="minorHAnsi" w:cs="Arial"/>
                <w:noProof/>
                <w:lang w:val="en-US"/>
              </w:rPr>
              <w:t>5.7.3 Interpreting the loglinear analysis model</w:t>
            </w:r>
            <w:r>
              <w:rPr>
                <w:noProof/>
                <w:webHidden/>
              </w:rPr>
              <w:tab/>
            </w:r>
            <w:r>
              <w:rPr>
                <w:noProof/>
                <w:webHidden/>
              </w:rPr>
              <w:fldChar w:fldCharType="begin"/>
            </w:r>
            <w:r>
              <w:rPr>
                <w:noProof/>
                <w:webHidden/>
              </w:rPr>
              <w:instrText xml:space="preserve"> PAGEREF _Toc79414244 \h </w:instrText>
            </w:r>
            <w:r>
              <w:rPr>
                <w:noProof/>
                <w:webHidden/>
              </w:rPr>
            </w:r>
            <w:r>
              <w:rPr>
                <w:noProof/>
                <w:webHidden/>
              </w:rPr>
              <w:fldChar w:fldCharType="separate"/>
            </w:r>
            <w:r w:rsidR="00DD38EE">
              <w:rPr>
                <w:noProof/>
                <w:webHidden/>
              </w:rPr>
              <w:t>177</w:t>
            </w:r>
            <w:r>
              <w:rPr>
                <w:noProof/>
                <w:webHidden/>
              </w:rPr>
              <w:fldChar w:fldCharType="end"/>
            </w:r>
          </w:hyperlink>
        </w:p>
        <w:p w14:paraId="116ED4EF" w14:textId="663DBA29" w:rsidR="006F2D96" w:rsidRDefault="006F2D96">
          <w:pPr>
            <w:pStyle w:val="TOC3"/>
            <w:tabs>
              <w:tab w:val="right" w:leader="underscore" w:pos="9010"/>
            </w:tabs>
            <w:rPr>
              <w:rFonts w:asciiTheme="minorHAnsi" w:hAnsiTheme="minorHAnsi"/>
              <w:noProof/>
              <w:lang w:eastAsia="ja-JP"/>
            </w:rPr>
          </w:pPr>
          <w:hyperlink w:anchor="_Toc79414245" w:history="1">
            <w:r w:rsidRPr="00060C45">
              <w:rPr>
                <w:rStyle w:val="Hyperlink"/>
                <w:rFonts w:eastAsiaTheme="minorHAnsi" w:cs="Arial"/>
                <w:noProof/>
                <w:lang w:val="en-US"/>
              </w:rPr>
              <w:t>5.7.4 Summary</w:t>
            </w:r>
            <w:r>
              <w:rPr>
                <w:noProof/>
                <w:webHidden/>
              </w:rPr>
              <w:tab/>
            </w:r>
            <w:r>
              <w:rPr>
                <w:noProof/>
                <w:webHidden/>
              </w:rPr>
              <w:fldChar w:fldCharType="begin"/>
            </w:r>
            <w:r>
              <w:rPr>
                <w:noProof/>
                <w:webHidden/>
              </w:rPr>
              <w:instrText xml:space="preserve"> PAGEREF _Toc79414245 \h </w:instrText>
            </w:r>
            <w:r>
              <w:rPr>
                <w:noProof/>
                <w:webHidden/>
              </w:rPr>
            </w:r>
            <w:r>
              <w:rPr>
                <w:noProof/>
                <w:webHidden/>
              </w:rPr>
              <w:fldChar w:fldCharType="separate"/>
            </w:r>
            <w:r w:rsidR="00DD38EE">
              <w:rPr>
                <w:noProof/>
                <w:webHidden/>
              </w:rPr>
              <w:t>181</w:t>
            </w:r>
            <w:r>
              <w:rPr>
                <w:noProof/>
                <w:webHidden/>
              </w:rPr>
              <w:fldChar w:fldCharType="end"/>
            </w:r>
          </w:hyperlink>
        </w:p>
        <w:p w14:paraId="63EB7F02" w14:textId="62F67DAC" w:rsidR="006F2D96" w:rsidRDefault="006F2D96">
          <w:pPr>
            <w:pStyle w:val="TOC2"/>
            <w:tabs>
              <w:tab w:val="right" w:leader="underscore" w:pos="9010"/>
            </w:tabs>
            <w:rPr>
              <w:rFonts w:asciiTheme="minorHAnsi" w:hAnsiTheme="minorHAnsi"/>
              <w:b w:val="0"/>
              <w:noProof/>
              <w:lang w:eastAsia="ja-JP"/>
            </w:rPr>
          </w:pPr>
          <w:hyperlink w:anchor="_Toc79414246" w:history="1">
            <w:r w:rsidRPr="00060C45">
              <w:rPr>
                <w:rStyle w:val="Hyperlink"/>
                <w:rFonts w:cs="Arial"/>
                <w:noProof/>
              </w:rPr>
              <w:t>5.8 CONCLUSION</w:t>
            </w:r>
            <w:r>
              <w:rPr>
                <w:noProof/>
                <w:webHidden/>
              </w:rPr>
              <w:tab/>
            </w:r>
            <w:r>
              <w:rPr>
                <w:noProof/>
                <w:webHidden/>
              </w:rPr>
              <w:fldChar w:fldCharType="begin"/>
            </w:r>
            <w:r>
              <w:rPr>
                <w:noProof/>
                <w:webHidden/>
              </w:rPr>
              <w:instrText xml:space="preserve"> PAGEREF _Toc79414246 \h </w:instrText>
            </w:r>
            <w:r>
              <w:rPr>
                <w:noProof/>
                <w:webHidden/>
              </w:rPr>
            </w:r>
            <w:r>
              <w:rPr>
                <w:noProof/>
                <w:webHidden/>
              </w:rPr>
              <w:fldChar w:fldCharType="separate"/>
            </w:r>
            <w:r w:rsidR="00DD38EE">
              <w:rPr>
                <w:noProof/>
                <w:webHidden/>
              </w:rPr>
              <w:t>181</w:t>
            </w:r>
            <w:r>
              <w:rPr>
                <w:noProof/>
                <w:webHidden/>
              </w:rPr>
              <w:fldChar w:fldCharType="end"/>
            </w:r>
          </w:hyperlink>
        </w:p>
        <w:p w14:paraId="5C7453AE" w14:textId="274D68D3" w:rsidR="006F2D96" w:rsidRDefault="006F2D96">
          <w:pPr>
            <w:pStyle w:val="TOC1"/>
            <w:rPr>
              <w:rFonts w:asciiTheme="minorHAnsi" w:hAnsiTheme="minorHAnsi"/>
              <w:b w:val="0"/>
              <w:noProof/>
              <w:szCs w:val="22"/>
              <w:lang w:eastAsia="ja-JP"/>
            </w:rPr>
          </w:pPr>
          <w:hyperlink w:anchor="_Toc79414247" w:history="1">
            <w:r w:rsidRPr="00060C45">
              <w:rPr>
                <w:rStyle w:val="Hyperlink"/>
                <w:rFonts w:cs="Arial"/>
                <w:noProof/>
              </w:rPr>
              <w:t>CHAPTER SIX: DISCUSSION</w:t>
            </w:r>
            <w:r>
              <w:rPr>
                <w:noProof/>
                <w:webHidden/>
              </w:rPr>
              <w:tab/>
            </w:r>
            <w:r>
              <w:rPr>
                <w:noProof/>
                <w:webHidden/>
              </w:rPr>
              <w:fldChar w:fldCharType="begin"/>
            </w:r>
            <w:r>
              <w:rPr>
                <w:noProof/>
                <w:webHidden/>
              </w:rPr>
              <w:instrText xml:space="preserve"> PAGEREF _Toc79414247 \h </w:instrText>
            </w:r>
            <w:r>
              <w:rPr>
                <w:noProof/>
                <w:webHidden/>
              </w:rPr>
            </w:r>
            <w:r>
              <w:rPr>
                <w:noProof/>
                <w:webHidden/>
              </w:rPr>
              <w:fldChar w:fldCharType="separate"/>
            </w:r>
            <w:r w:rsidR="00DD38EE">
              <w:rPr>
                <w:noProof/>
                <w:webHidden/>
              </w:rPr>
              <w:t>183</w:t>
            </w:r>
            <w:r>
              <w:rPr>
                <w:noProof/>
                <w:webHidden/>
              </w:rPr>
              <w:fldChar w:fldCharType="end"/>
            </w:r>
          </w:hyperlink>
        </w:p>
        <w:p w14:paraId="75BB1FE3" w14:textId="2847F144" w:rsidR="006F2D96" w:rsidRDefault="006F2D96">
          <w:pPr>
            <w:pStyle w:val="TOC2"/>
            <w:tabs>
              <w:tab w:val="right" w:leader="underscore" w:pos="9010"/>
            </w:tabs>
            <w:rPr>
              <w:rFonts w:asciiTheme="minorHAnsi" w:hAnsiTheme="minorHAnsi"/>
              <w:b w:val="0"/>
              <w:noProof/>
              <w:lang w:eastAsia="ja-JP"/>
            </w:rPr>
          </w:pPr>
          <w:hyperlink w:anchor="_Toc79414248" w:history="1">
            <w:r w:rsidRPr="00060C45">
              <w:rPr>
                <w:rStyle w:val="Hyperlink"/>
                <w:rFonts w:cs="Arial"/>
                <w:noProof/>
              </w:rPr>
              <w:t>6.1 INTRODUCTION</w:t>
            </w:r>
            <w:r>
              <w:rPr>
                <w:noProof/>
                <w:webHidden/>
              </w:rPr>
              <w:tab/>
            </w:r>
            <w:r>
              <w:rPr>
                <w:noProof/>
                <w:webHidden/>
              </w:rPr>
              <w:fldChar w:fldCharType="begin"/>
            </w:r>
            <w:r>
              <w:rPr>
                <w:noProof/>
                <w:webHidden/>
              </w:rPr>
              <w:instrText xml:space="preserve"> PAGEREF _Toc79414248 \h </w:instrText>
            </w:r>
            <w:r>
              <w:rPr>
                <w:noProof/>
                <w:webHidden/>
              </w:rPr>
            </w:r>
            <w:r>
              <w:rPr>
                <w:noProof/>
                <w:webHidden/>
              </w:rPr>
              <w:fldChar w:fldCharType="separate"/>
            </w:r>
            <w:r w:rsidR="00DD38EE">
              <w:rPr>
                <w:noProof/>
                <w:webHidden/>
              </w:rPr>
              <w:t>183</w:t>
            </w:r>
            <w:r>
              <w:rPr>
                <w:noProof/>
                <w:webHidden/>
              </w:rPr>
              <w:fldChar w:fldCharType="end"/>
            </w:r>
          </w:hyperlink>
        </w:p>
        <w:p w14:paraId="26C333F6" w14:textId="66942D23" w:rsidR="006F2D96" w:rsidRDefault="006F2D96">
          <w:pPr>
            <w:pStyle w:val="TOC3"/>
            <w:tabs>
              <w:tab w:val="right" w:leader="underscore" w:pos="9010"/>
            </w:tabs>
            <w:rPr>
              <w:rFonts w:asciiTheme="minorHAnsi" w:hAnsiTheme="minorHAnsi"/>
              <w:noProof/>
              <w:lang w:eastAsia="ja-JP"/>
            </w:rPr>
          </w:pPr>
          <w:hyperlink w:anchor="_Toc79414249" w:history="1">
            <w:r w:rsidRPr="00060C45">
              <w:rPr>
                <w:rStyle w:val="Hyperlink"/>
                <w:rFonts w:cs="Arial"/>
                <w:noProof/>
              </w:rPr>
              <w:t xml:space="preserve">6.1.1 Research </w:t>
            </w:r>
            <w:r w:rsidRPr="00060C45">
              <w:rPr>
                <w:rStyle w:val="Hyperlink"/>
                <w:rFonts w:cs="Arial"/>
                <w:i/>
                <w:iCs/>
                <w:noProof/>
              </w:rPr>
              <w:t>in silico</w:t>
            </w:r>
            <w:r w:rsidRPr="00060C45">
              <w:rPr>
                <w:rStyle w:val="Hyperlink"/>
                <w:rFonts w:cs="Arial"/>
                <w:noProof/>
              </w:rPr>
              <w:t>: Studying therapy transcripts</w:t>
            </w:r>
            <w:r>
              <w:rPr>
                <w:noProof/>
                <w:webHidden/>
              </w:rPr>
              <w:tab/>
            </w:r>
            <w:r>
              <w:rPr>
                <w:noProof/>
                <w:webHidden/>
              </w:rPr>
              <w:fldChar w:fldCharType="begin"/>
            </w:r>
            <w:r>
              <w:rPr>
                <w:noProof/>
                <w:webHidden/>
              </w:rPr>
              <w:instrText xml:space="preserve"> PAGEREF _Toc79414249 \h </w:instrText>
            </w:r>
            <w:r>
              <w:rPr>
                <w:noProof/>
                <w:webHidden/>
              </w:rPr>
            </w:r>
            <w:r>
              <w:rPr>
                <w:noProof/>
                <w:webHidden/>
              </w:rPr>
              <w:fldChar w:fldCharType="separate"/>
            </w:r>
            <w:r w:rsidR="00DD38EE">
              <w:rPr>
                <w:noProof/>
                <w:webHidden/>
              </w:rPr>
              <w:t>186</w:t>
            </w:r>
            <w:r>
              <w:rPr>
                <w:noProof/>
                <w:webHidden/>
              </w:rPr>
              <w:fldChar w:fldCharType="end"/>
            </w:r>
          </w:hyperlink>
        </w:p>
        <w:p w14:paraId="29AD3ECF" w14:textId="25CC041E" w:rsidR="006F2D96" w:rsidRDefault="006F2D96">
          <w:pPr>
            <w:pStyle w:val="TOC3"/>
            <w:tabs>
              <w:tab w:val="right" w:leader="underscore" w:pos="9010"/>
            </w:tabs>
            <w:rPr>
              <w:rFonts w:asciiTheme="minorHAnsi" w:hAnsiTheme="minorHAnsi"/>
              <w:noProof/>
              <w:lang w:eastAsia="ja-JP"/>
            </w:rPr>
          </w:pPr>
          <w:hyperlink w:anchor="_Toc79414250" w:history="1">
            <w:r w:rsidRPr="00060C45">
              <w:rPr>
                <w:rStyle w:val="Hyperlink"/>
                <w:rFonts w:cs="Arial"/>
                <w:noProof/>
              </w:rPr>
              <w:t>6.1.2 Therapist effects research using multi-level models</w:t>
            </w:r>
            <w:r>
              <w:rPr>
                <w:noProof/>
                <w:webHidden/>
              </w:rPr>
              <w:tab/>
            </w:r>
            <w:r>
              <w:rPr>
                <w:noProof/>
                <w:webHidden/>
              </w:rPr>
              <w:fldChar w:fldCharType="begin"/>
            </w:r>
            <w:r>
              <w:rPr>
                <w:noProof/>
                <w:webHidden/>
              </w:rPr>
              <w:instrText xml:space="preserve"> PAGEREF _Toc79414250 \h </w:instrText>
            </w:r>
            <w:r>
              <w:rPr>
                <w:noProof/>
                <w:webHidden/>
              </w:rPr>
            </w:r>
            <w:r>
              <w:rPr>
                <w:noProof/>
                <w:webHidden/>
              </w:rPr>
              <w:fldChar w:fldCharType="separate"/>
            </w:r>
            <w:r w:rsidR="00DD38EE">
              <w:rPr>
                <w:noProof/>
                <w:webHidden/>
              </w:rPr>
              <w:t>188</w:t>
            </w:r>
            <w:r>
              <w:rPr>
                <w:noProof/>
                <w:webHidden/>
              </w:rPr>
              <w:fldChar w:fldCharType="end"/>
            </w:r>
          </w:hyperlink>
        </w:p>
        <w:p w14:paraId="764F47E3" w14:textId="498718E7" w:rsidR="006F2D96" w:rsidRDefault="006F2D96">
          <w:pPr>
            <w:pStyle w:val="TOC2"/>
            <w:tabs>
              <w:tab w:val="right" w:leader="underscore" w:pos="9010"/>
            </w:tabs>
            <w:rPr>
              <w:rFonts w:asciiTheme="minorHAnsi" w:hAnsiTheme="minorHAnsi"/>
              <w:b w:val="0"/>
              <w:noProof/>
              <w:lang w:eastAsia="ja-JP"/>
            </w:rPr>
          </w:pPr>
          <w:hyperlink w:anchor="_Toc79414251" w:history="1">
            <w:r w:rsidRPr="00060C45">
              <w:rPr>
                <w:rStyle w:val="Hyperlink"/>
                <w:rFonts w:cs="Arial"/>
                <w:noProof/>
              </w:rPr>
              <w:t>6.2 RESEARCH QUESTION ONE: THERAPIST DEMOGRAPHICS &amp; OUTCOME</w:t>
            </w:r>
            <w:r>
              <w:rPr>
                <w:noProof/>
                <w:webHidden/>
              </w:rPr>
              <w:tab/>
            </w:r>
            <w:r>
              <w:rPr>
                <w:noProof/>
                <w:webHidden/>
              </w:rPr>
              <w:fldChar w:fldCharType="begin"/>
            </w:r>
            <w:r>
              <w:rPr>
                <w:noProof/>
                <w:webHidden/>
              </w:rPr>
              <w:instrText xml:space="preserve"> PAGEREF _Toc79414251 \h </w:instrText>
            </w:r>
            <w:r>
              <w:rPr>
                <w:noProof/>
                <w:webHidden/>
              </w:rPr>
            </w:r>
            <w:r>
              <w:rPr>
                <w:noProof/>
                <w:webHidden/>
              </w:rPr>
              <w:fldChar w:fldCharType="separate"/>
            </w:r>
            <w:r w:rsidR="00DD38EE">
              <w:rPr>
                <w:noProof/>
                <w:webHidden/>
              </w:rPr>
              <w:t>190</w:t>
            </w:r>
            <w:r>
              <w:rPr>
                <w:noProof/>
                <w:webHidden/>
              </w:rPr>
              <w:fldChar w:fldCharType="end"/>
            </w:r>
          </w:hyperlink>
        </w:p>
        <w:p w14:paraId="5A85D49C" w14:textId="69265CC4" w:rsidR="006F2D96" w:rsidRDefault="006F2D96">
          <w:pPr>
            <w:pStyle w:val="TOC2"/>
            <w:tabs>
              <w:tab w:val="right" w:leader="underscore" w:pos="9010"/>
            </w:tabs>
            <w:rPr>
              <w:rFonts w:asciiTheme="minorHAnsi" w:hAnsiTheme="minorHAnsi"/>
              <w:b w:val="0"/>
              <w:noProof/>
              <w:lang w:eastAsia="ja-JP"/>
            </w:rPr>
          </w:pPr>
          <w:hyperlink w:anchor="_Toc79414252" w:history="1">
            <w:r w:rsidRPr="00060C45">
              <w:rPr>
                <w:rStyle w:val="Hyperlink"/>
                <w:rFonts w:cs="Arial"/>
                <w:noProof/>
              </w:rPr>
              <w:t>6.3 RESEARCH QUESTION TWO: HI IAPT TRAINING &amp; CLINICAL OUTCOME</w:t>
            </w:r>
            <w:r>
              <w:rPr>
                <w:noProof/>
                <w:webHidden/>
              </w:rPr>
              <w:tab/>
            </w:r>
            <w:r>
              <w:rPr>
                <w:noProof/>
                <w:webHidden/>
              </w:rPr>
              <w:fldChar w:fldCharType="begin"/>
            </w:r>
            <w:r>
              <w:rPr>
                <w:noProof/>
                <w:webHidden/>
              </w:rPr>
              <w:instrText xml:space="preserve"> PAGEREF _Toc79414252 \h </w:instrText>
            </w:r>
            <w:r>
              <w:rPr>
                <w:noProof/>
                <w:webHidden/>
              </w:rPr>
            </w:r>
            <w:r>
              <w:rPr>
                <w:noProof/>
                <w:webHidden/>
              </w:rPr>
              <w:fldChar w:fldCharType="separate"/>
            </w:r>
            <w:r w:rsidR="00DD38EE">
              <w:rPr>
                <w:noProof/>
                <w:webHidden/>
              </w:rPr>
              <w:t>191</w:t>
            </w:r>
            <w:r>
              <w:rPr>
                <w:noProof/>
                <w:webHidden/>
              </w:rPr>
              <w:fldChar w:fldCharType="end"/>
            </w:r>
          </w:hyperlink>
        </w:p>
        <w:p w14:paraId="5B3A5C55" w14:textId="4352A3C1" w:rsidR="006F2D96" w:rsidRDefault="006F2D96">
          <w:pPr>
            <w:pStyle w:val="TOC2"/>
            <w:tabs>
              <w:tab w:val="right" w:leader="underscore" w:pos="9010"/>
            </w:tabs>
            <w:rPr>
              <w:rFonts w:asciiTheme="minorHAnsi" w:hAnsiTheme="minorHAnsi"/>
              <w:b w:val="0"/>
              <w:noProof/>
              <w:lang w:eastAsia="ja-JP"/>
            </w:rPr>
          </w:pPr>
          <w:hyperlink w:anchor="_Toc79414253" w:history="1">
            <w:r w:rsidRPr="00060C45">
              <w:rPr>
                <w:rStyle w:val="Hyperlink"/>
                <w:rFonts w:cs="Arial"/>
                <w:noProof/>
              </w:rPr>
              <w:t>6.4 RESEARCH QUESTION THREE: THERAPIST COMPETENCE &amp; OUTCOME</w:t>
            </w:r>
            <w:r>
              <w:rPr>
                <w:noProof/>
                <w:webHidden/>
              </w:rPr>
              <w:tab/>
            </w:r>
            <w:r>
              <w:rPr>
                <w:noProof/>
                <w:webHidden/>
              </w:rPr>
              <w:fldChar w:fldCharType="begin"/>
            </w:r>
            <w:r>
              <w:rPr>
                <w:noProof/>
                <w:webHidden/>
              </w:rPr>
              <w:instrText xml:space="preserve"> PAGEREF _Toc79414253 \h </w:instrText>
            </w:r>
            <w:r>
              <w:rPr>
                <w:noProof/>
                <w:webHidden/>
              </w:rPr>
            </w:r>
            <w:r>
              <w:rPr>
                <w:noProof/>
                <w:webHidden/>
              </w:rPr>
              <w:fldChar w:fldCharType="separate"/>
            </w:r>
            <w:r w:rsidR="00DD38EE">
              <w:rPr>
                <w:noProof/>
                <w:webHidden/>
              </w:rPr>
              <w:t>192</w:t>
            </w:r>
            <w:r>
              <w:rPr>
                <w:noProof/>
                <w:webHidden/>
              </w:rPr>
              <w:fldChar w:fldCharType="end"/>
            </w:r>
          </w:hyperlink>
        </w:p>
        <w:p w14:paraId="68F505CA" w14:textId="274AF486" w:rsidR="006F2D96" w:rsidRDefault="006F2D96">
          <w:pPr>
            <w:pStyle w:val="TOC2"/>
            <w:tabs>
              <w:tab w:val="right" w:leader="underscore" w:pos="9010"/>
            </w:tabs>
            <w:rPr>
              <w:rFonts w:asciiTheme="minorHAnsi" w:hAnsiTheme="minorHAnsi"/>
              <w:b w:val="0"/>
              <w:noProof/>
              <w:lang w:eastAsia="ja-JP"/>
            </w:rPr>
          </w:pPr>
          <w:hyperlink w:anchor="_Toc79414254" w:history="1">
            <w:r w:rsidRPr="00060C45">
              <w:rPr>
                <w:rStyle w:val="Hyperlink"/>
                <w:rFonts w:cs="Arial"/>
                <w:noProof/>
              </w:rPr>
              <w:t>6.5 RESEARCH QUESTION FOUR: THERAPIST ADHERENCE &amp; OUTCOME</w:t>
            </w:r>
            <w:r>
              <w:rPr>
                <w:noProof/>
                <w:webHidden/>
              </w:rPr>
              <w:tab/>
            </w:r>
            <w:r>
              <w:rPr>
                <w:noProof/>
                <w:webHidden/>
              </w:rPr>
              <w:fldChar w:fldCharType="begin"/>
            </w:r>
            <w:r>
              <w:rPr>
                <w:noProof/>
                <w:webHidden/>
              </w:rPr>
              <w:instrText xml:space="preserve"> PAGEREF _Toc79414254 \h </w:instrText>
            </w:r>
            <w:r>
              <w:rPr>
                <w:noProof/>
                <w:webHidden/>
              </w:rPr>
            </w:r>
            <w:r>
              <w:rPr>
                <w:noProof/>
                <w:webHidden/>
              </w:rPr>
              <w:fldChar w:fldCharType="separate"/>
            </w:r>
            <w:r w:rsidR="00DD38EE">
              <w:rPr>
                <w:noProof/>
                <w:webHidden/>
              </w:rPr>
              <w:t>196</w:t>
            </w:r>
            <w:r>
              <w:rPr>
                <w:noProof/>
                <w:webHidden/>
              </w:rPr>
              <w:fldChar w:fldCharType="end"/>
            </w:r>
          </w:hyperlink>
        </w:p>
        <w:p w14:paraId="1AEBF937" w14:textId="107DC2A3" w:rsidR="006F2D96" w:rsidRDefault="006F2D96">
          <w:pPr>
            <w:pStyle w:val="TOC2"/>
            <w:tabs>
              <w:tab w:val="right" w:leader="underscore" w:pos="9010"/>
            </w:tabs>
            <w:rPr>
              <w:rFonts w:asciiTheme="minorHAnsi" w:hAnsiTheme="minorHAnsi"/>
              <w:b w:val="0"/>
              <w:noProof/>
              <w:lang w:eastAsia="ja-JP"/>
            </w:rPr>
          </w:pPr>
          <w:hyperlink w:anchor="_Toc79414255" w:history="1">
            <w:r w:rsidRPr="00060C45">
              <w:rPr>
                <w:rStyle w:val="Hyperlink"/>
                <w:rFonts w:cs="Arial"/>
                <w:noProof/>
              </w:rPr>
              <w:t>6.6 DETERMINING THE ASSOCIATIONS BETWEEN THERAPIST VARIABLES, PATIENT VARIABLES AND OUTCOME</w:t>
            </w:r>
            <w:r>
              <w:rPr>
                <w:noProof/>
                <w:webHidden/>
              </w:rPr>
              <w:tab/>
            </w:r>
            <w:r>
              <w:rPr>
                <w:noProof/>
                <w:webHidden/>
              </w:rPr>
              <w:fldChar w:fldCharType="begin"/>
            </w:r>
            <w:r>
              <w:rPr>
                <w:noProof/>
                <w:webHidden/>
              </w:rPr>
              <w:instrText xml:space="preserve"> PAGEREF _Toc79414255 \h </w:instrText>
            </w:r>
            <w:r>
              <w:rPr>
                <w:noProof/>
                <w:webHidden/>
              </w:rPr>
            </w:r>
            <w:r>
              <w:rPr>
                <w:noProof/>
                <w:webHidden/>
              </w:rPr>
              <w:fldChar w:fldCharType="separate"/>
            </w:r>
            <w:r w:rsidR="00DD38EE">
              <w:rPr>
                <w:noProof/>
                <w:webHidden/>
              </w:rPr>
              <w:t>199</w:t>
            </w:r>
            <w:r>
              <w:rPr>
                <w:noProof/>
                <w:webHidden/>
              </w:rPr>
              <w:fldChar w:fldCharType="end"/>
            </w:r>
          </w:hyperlink>
        </w:p>
        <w:p w14:paraId="69C47CDC" w14:textId="0394D2E4" w:rsidR="006F2D96" w:rsidRDefault="006F2D96">
          <w:pPr>
            <w:pStyle w:val="TOC2"/>
            <w:tabs>
              <w:tab w:val="right" w:leader="underscore" w:pos="9010"/>
            </w:tabs>
            <w:rPr>
              <w:rFonts w:asciiTheme="minorHAnsi" w:hAnsiTheme="minorHAnsi"/>
              <w:b w:val="0"/>
              <w:noProof/>
              <w:lang w:eastAsia="ja-JP"/>
            </w:rPr>
          </w:pPr>
          <w:hyperlink w:anchor="_Toc79414256" w:history="1">
            <w:r w:rsidRPr="00060C45">
              <w:rPr>
                <w:rStyle w:val="Hyperlink"/>
                <w:rFonts w:cs="Arial"/>
                <w:noProof/>
              </w:rPr>
              <w:t>6.7 LIMITATIONS OF THIS RESEARCH</w:t>
            </w:r>
            <w:r>
              <w:rPr>
                <w:noProof/>
                <w:webHidden/>
              </w:rPr>
              <w:tab/>
            </w:r>
            <w:r>
              <w:rPr>
                <w:noProof/>
                <w:webHidden/>
              </w:rPr>
              <w:fldChar w:fldCharType="begin"/>
            </w:r>
            <w:r>
              <w:rPr>
                <w:noProof/>
                <w:webHidden/>
              </w:rPr>
              <w:instrText xml:space="preserve"> PAGEREF _Toc79414256 \h </w:instrText>
            </w:r>
            <w:r>
              <w:rPr>
                <w:noProof/>
                <w:webHidden/>
              </w:rPr>
            </w:r>
            <w:r>
              <w:rPr>
                <w:noProof/>
                <w:webHidden/>
              </w:rPr>
              <w:fldChar w:fldCharType="separate"/>
            </w:r>
            <w:r w:rsidR="00DD38EE">
              <w:rPr>
                <w:noProof/>
                <w:webHidden/>
              </w:rPr>
              <w:t>204</w:t>
            </w:r>
            <w:r>
              <w:rPr>
                <w:noProof/>
                <w:webHidden/>
              </w:rPr>
              <w:fldChar w:fldCharType="end"/>
            </w:r>
          </w:hyperlink>
        </w:p>
        <w:p w14:paraId="31F6E182" w14:textId="4E3ADB65" w:rsidR="006F2D96" w:rsidRDefault="006F2D96">
          <w:pPr>
            <w:pStyle w:val="TOC3"/>
            <w:tabs>
              <w:tab w:val="right" w:leader="underscore" w:pos="9010"/>
            </w:tabs>
            <w:rPr>
              <w:rFonts w:asciiTheme="minorHAnsi" w:hAnsiTheme="minorHAnsi"/>
              <w:noProof/>
              <w:lang w:eastAsia="ja-JP"/>
            </w:rPr>
          </w:pPr>
          <w:hyperlink w:anchor="_Toc79414257" w:history="1">
            <w:r w:rsidRPr="00060C45">
              <w:rPr>
                <w:rStyle w:val="Hyperlink"/>
                <w:rFonts w:cs="Arial"/>
                <w:noProof/>
              </w:rPr>
              <w:t>6.7.1 Generalisability of the results</w:t>
            </w:r>
            <w:r>
              <w:rPr>
                <w:noProof/>
                <w:webHidden/>
              </w:rPr>
              <w:tab/>
            </w:r>
            <w:r>
              <w:rPr>
                <w:noProof/>
                <w:webHidden/>
              </w:rPr>
              <w:fldChar w:fldCharType="begin"/>
            </w:r>
            <w:r>
              <w:rPr>
                <w:noProof/>
                <w:webHidden/>
              </w:rPr>
              <w:instrText xml:space="preserve"> PAGEREF _Toc79414257 \h </w:instrText>
            </w:r>
            <w:r>
              <w:rPr>
                <w:noProof/>
                <w:webHidden/>
              </w:rPr>
            </w:r>
            <w:r>
              <w:rPr>
                <w:noProof/>
                <w:webHidden/>
              </w:rPr>
              <w:fldChar w:fldCharType="separate"/>
            </w:r>
            <w:r w:rsidR="00DD38EE">
              <w:rPr>
                <w:noProof/>
                <w:webHidden/>
              </w:rPr>
              <w:t>204</w:t>
            </w:r>
            <w:r>
              <w:rPr>
                <w:noProof/>
                <w:webHidden/>
              </w:rPr>
              <w:fldChar w:fldCharType="end"/>
            </w:r>
          </w:hyperlink>
        </w:p>
        <w:p w14:paraId="67360D0B" w14:textId="5FBE3BE8" w:rsidR="006F2D96" w:rsidRDefault="006F2D96">
          <w:pPr>
            <w:pStyle w:val="TOC3"/>
            <w:tabs>
              <w:tab w:val="right" w:leader="underscore" w:pos="9010"/>
            </w:tabs>
            <w:rPr>
              <w:rFonts w:asciiTheme="minorHAnsi" w:hAnsiTheme="minorHAnsi"/>
              <w:noProof/>
              <w:lang w:eastAsia="ja-JP"/>
            </w:rPr>
          </w:pPr>
          <w:hyperlink w:anchor="_Toc79414258" w:history="1">
            <w:r w:rsidRPr="00060C45">
              <w:rPr>
                <w:rStyle w:val="Hyperlink"/>
                <w:rFonts w:cs="Arial"/>
                <w:noProof/>
              </w:rPr>
              <w:t>6.7.2 Data analysis</w:t>
            </w:r>
            <w:r>
              <w:rPr>
                <w:noProof/>
                <w:webHidden/>
              </w:rPr>
              <w:tab/>
            </w:r>
            <w:r>
              <w:rPr>
                <w:noProof/>
                <w:webHidden/>
              </w:rPr>
              <w:fldChar w:fldCharType="begin"/>
            </w:r>
            <w:r>
              <w:rPr>
                <w:noProof/>
                <w:webHidden/>
              </w:rPr>
              <w:instrText xml:space="preserve"> PAGEREF _Toc79414258 \h </w:instrText>
            </w:r>
            <w:r>
              <w:rPr>
                <w:noProof/>
                <w:webHidden/>
              </w:rPr>
            </w:r>
            <w:r>
              <w:rPr>
                <w:noProof/>
                <w:webHidden/>
              </w:rPr>
              <w:fldChar w:fldCharType="separate"/>
            </w:r>
            <w:r w:rsidR="00DD38EE">
              <w:rPr>
                <w:noProof/>
                <w:webHidden/>
              </w:rPr>
              <w:t>205</w:t>
            </w:r>
            <w:r>
              <w:rPr>
                <w:noProof/>
                <w:webHidden/>
              </w:rPr>
              <w:fldChar w:fldCharType="end"/>
            </w:r>
          </w:hyperlink>
        </w:p>
        <w:p w14:paraId="1F9F5084" w14:textId="309D65D9" w:rsidR="006F2D96" w:rsidRDefault="006F2D96">
          <w:pPr>
            <w:pStyle w:val="TOC3"/>
            <w:tabs>
              <w:tab w:val="right" w:leader="underscore" w:pos="9010"/>
            </w:tabs>
            <w:rPr>
              <w:rFonts w:asciiTheme="minorHAnsi" w:hAnsiTheme="minorHAnsi"/>
              <w:noProof/>
              <w:lang w:eastAsia="ja-JP"/>
            </w:rPr>
          </w:pPr>
          <w:hyperlink w:anchor="_Toc79414259" w:history="1">
            <w:r w:rsidRPr="00060C45">
              <w:rPr>
                <w:rStyle w:val="Hyperlink"/>
                <w:rFonts w:cs="Arial"/>
                <w:noProof/>
              </w:rPr>
              <w:t>6.7.3 Instruments used to assess competence and adherence</w:t>
            </w:r>
            <w:r>
              <w:rPr>
                <w:noProof/>
                <w:webHidden/>
              </w:rPr>
              <w:tab/>
            </w:r>
            <w:r>
              <w:rPr>
                <w:noProof/>
                <w:webHidden/>
              </w:rPr>
              <w:fldChar w:fldCharType="begin"/>
            </w:r>
            <w:r>
              <w:rPr>
                <w:noProof/>
                <w:webHidden/>
              </w:rPr>
              <w:instrText xml:space="preserve"> PAGEREF _Toc79414259 \h </w:instrText>
            </w:r>
            <w:r>
              <w:rPr>
                <w:noProof/>
                <w:webHidden/>
              </w:rPr>
            </w:r>
            <w:r>
              <w:rPr>
                <w:noProof/>
                <w:webHidden/>
              </w:rPr>
              <w:fldChar w:fldCharType="separate"/>
            </w:r>
            <w:r w:rsidR="00DD38EE">
              <w:rPr>
                <w:noProof/>
                <w:webHidden/>
              </w:rPr>
              <w:t>205</w:t>
            </w:r>
            <w:r>
              <w:rPr>
                <w:noProof/>
                <w:webHidden/>
              </w:rPr>
              <w:fldChar w:fldCharType="end"/>
            </w:r>
          </w:hyperlink>
        </w:p>
        <w:p w14:paraId="3DE0928C" w14:textId="6E7C2505" w:rsidR="006F2D96" w:rsidRDefault="006F2D96">
          <w:pPr>
            <w:pStyle w:val="TOC3"/>
            <w:tabs>
              <w:tab w:val="right" w:leader="underscore" w:pos="9010"/>
            </w:tabs>
            <w:rPr>
              <w:rFonts w:asciiTheme="minorHAnsi" w:hAnsiTheme="minorHAnsi"/>
              <w:noProof/>
              <w:lang w:eastAsia="ja-JP"/>
            </w:rPr>
          </w:pPr>
          <w:hyperlink w:anchor="_Toc79414260" w:history="1">
            <w:r w:rsidRPr="00060C45">
              <w:rPr>
                <w:rStyle w:val="Hyperlink"/>
                <w:rFonts w:cs="Arial"/>
                <w:noProof/>
              </w:rPr>
              <w:t>6.7.4 Inter-rater reliability</w:t>
            </w:r>
            <w:r>
              <w:rPr>
                <w:noProof/>
                <w:webHidden/>
              </w:rPr>
              <w:tab/>
            </w:r>
            <w:r>
              <w:rPr>
                <w:noProof/>
                <w:webHidden/>
              </w:rPr>
              <w:fldChar w:fldCharType="begin"/>
            </w:r>
            <w:r>
              <w:rPr>
                <w:noProof/>
                <w:webHidden/>
              </w:rPr>
              <w:instrText xml:space="preserve"> PAGEREF _Toc79414260 \h </w:instrText>
            </w:r>
            <w:r>
              <w:rPr>
                <w:noProof/>
                <w:webHidden/>
              </w:rPr>
            </w:r>
            <w:r>
              <w:rPr>
                <w:noProof/>
                <w:webHidden/>
              </w:rPr>
              <w:fldChar w:fldCharType="separate"/>
            </w:r>
            <w:r w:rsidR="00DD38EE">
              <w:rPr>
                <w:noProof/>
                <w:webHidden/>
              </w:rPr>
              <w:t>206</w:t>
            </w:r>
            <w:r>
              <w:rPr>
                <w:noProof/>
                <w:webHidden/>
              </w:rPr>
              <w:fldChar w:fldCharType="end"/>
            </w:r>
          </w:hyperlink>
        </w:p>
        <w:p w14:paraId="6B62E058" w14:textId="784E417A" w:rsidR="006F2D96" w:rsidRDefault="006F2D96">
          <w:pPr>
            <w:pStyle w:val="TOC3"/>
            <w:tabs>
              <w:tab w:val="right" w:leader="underscore" w:pos="9010"/>
            </w:tabs>
            <w:rPr>
              <w:rFonts w:asciiTheme="minorHAnsi" w:hAnsiTheme="minorHAnsi"/>
              <w:noProof/>
              <w:lang w:eastAsia="ja-JP"/>
            </w:rPr>
          </w:pPr>
          <w:hyperlink w:anchor="_Toc79414261" w:history="1">
            <w:r w:rsidRPr="00060C45">
              <w:rPr>
                <w:rStyle w:val="Hyperlink"/>
                <w:rFonts w:cs="Arial"/>
                <w:noProof/>
              </w:rPr>
              <w:t>6.7.5 Outcome metrics</w:t>
            </w:r>
            <w:r>
              <w:rPr>
                <w:noProof/>
                <w:webHidden/>
              </w:rPr>
              <w:tab/>
            </w:r>
            <w:r>
              <w:rPr>
                <w:noProof/>
                <w:webHidden/>
              </w:rPr>
              <w:fldChar w:fldCharType="begin"/>
            </w:r>
            <w:r>
              <w:rPr>
                <w:noProof/>
                <w:webHidden/>
              </w:rPr>
              <w:instrText xml:space="preserve"> PAGEREF _Toc79414261 \h </w:instrText>
            </w:r>
            <w:r>
              <w:rPr>
                <w:noProof/>
                <w:webHidden/>
              </w:rPr>
            </w:r>
            <w:r>
              <w:rPr>
                <w:noProof/>
                <w:webHidden/>
              </w:rPr>
              <w:fldChar w:fldCharType="separate"/>
            </w:r>
            <w:r w:rsidR="00DD38EE">
              <w:rPr>
                <w:noProof/>
                <w:webHidden/>
              </w:rPr>
              <w:t>207</w:t>
            </w:r>
            <w:r>
              <w:rPr>
                <w:noProof/>
                <w:webHidden/>
              </w:rPr>
              <w:fldChar w:fldCharType="end"/>
            </w:r>
          </w:hyperlink>
        </w:p>
        <w:p w14:paraId="4B4587DB" w14:textId="559BEBD7" w:rsidR="006F2D96" w:rsidRDefault="006F2D96">
          <w:pPr>
            <w:pStyle w:val="TOC3"/>
            <w:tabs>
              <w:tab w:val="right" w:leader="underscore" w:pos="9010"/>
            </w:tabs>
            <w:rPr>
              <w:rFonts w:asciiTheme="minorHAnsi" w:hAnsiTheme="minorHAnsi"/>
              <w:noProof/>
              <w:lang w:eastAsia="ja-JP"/>
            </w:rPr>
          </w:pPr>
          <w:hyperlink w:anchor="_Toc79414262" w:history="1">
            <w:r w:rsidRPr="00060C45">
              <w:rPr>
                <w:rStyle w:val="Hyperlink"/>
                <w:noProof/>
              </w:rPr>
              <w:t>6.7.6 Attempts to remove bias</w:t>
            </w:r>
            <w:r>
              <w:rPr>
                <w:noProof/>
                <w:webHidden/>
              </w:rPr>
              <w:tab/>
            </w:r>
            <w:r>
              <w:rPr>
                <w:noProof/>
                <w:webHidden/>
              </w:rPr>
              <w:fldChar w:fldCharType="begin"/>
            </w:r>
            <w:r>
              <w:rPr>
                <w:noProof/>
                <w:webHidden/>
              </w:rPr>
              <w:instrText xml:space="preserve"> PAGEREF _Toc79414262 \h </w:instrText>
            </w:r>
            <w:r>
              <w:rPr>
                <w:noProof/>
                <w:webHidden/>
              </w:rPr>
            </w:r>
            <w:r>
              <w:rPr>
                <w:noProof/>
                <w:webHidden/>
              </w:rPr>
              <w:fldChar w:fldCharType="separate"/>
            </w:r>
            <w:r w:rsidR="00DD38EE">
              <w:rPr>
                <w:noProof/>
                <w:webHidden/>
              </w:rPr>
              <w:t>207</w:t>
            </w:r>
            <w:r>
              <w:rPr>
                <w:noProof/>
                <w:webHidden/>
              </w:rPr>
              <w:fldChar w:fldCharType="end"/>
            </w:r>
          </w:hyperlink>
        </w:p>
        <w:p w14:paraId="4579A803" w14:textId="56792922" w:rsidR="006F2D96" w:rsidRDefault="006F2D96">
          <w:pPr>
            <w:pStyle w:val="TOC3"/>
            <w:tabs>
              <w:tab w:val="right" w:leader="underscore" w:pos="9010"/>
            </w:tabs>
            <w:rPr>
              <w:rFonts w:asciiTheme="minorHAnsi" w:hAnsiTheme="minorHAnsi"/>
              <w:noProof/>
              <w:lang w:eastAsia="ja-JP"/>
            </w:rPr>
          </w:pPr>
          <w:hyperlink w:anchor="_Toc79414263" w:history="1">
            <w:r w:rsidRPr="00060C45">
              <w:rPr>
                <w:rStyle w:val="Hyperlink"/>
                <w:rFonts w:cs="Arial"/>
                <w:noProof/>
              </w:rPr>
              <w:t>6.7.7 Selection bias</w:t>
            </w:r>
            <w:r>
              <w:rPr>
                <w:noProof/>
                <w:webHidden/>
              </w:rPr>
              <w:tab/>
            </w:r>
            <w:r>
              <w:rPr>
                <w:noProof/>
                <w:webHidden/>
              </w:rPr>
              <w:fldChar w:fldCharType="begin"/>
            </w:r>
            <w:r>
              <w:rPr>
                <w:noProof/>
                <w:webHidden/>
              </w:rPr>
              <w:instrText xml:space="preserve"> PAGEREF _Toc79414263 \h </w:instrText>
            </w:r>
            <w:r>
              <w:rPr>
                <w:noProof/>
                <w:webHidden/>
              </w:rPr>
            </w:r>
            <w:r>
              <w:rPr>
                <w:noProof/>
                <w:webHidden/>
              </w:rPr>
              <w:fldChar w:fldCharType="separate"/>
            </w:r>
            <w:r w:rsidR="00DD38EE">
              <w:rPr>
                <w:noProof/>
                <w:webHidden/>
              </w:rPr>
              <w:t>207</w:t>
            </w:r>
            <w:r>
              <w:rPr>
                <w:noProof/>
                <w:webHidden/>
              </w:rPr>
              <w:fldChar w:fldCharType="end"/>
            </w:r>
          </w:hyperlink>
        </w:p>
        <w:p w14:paraId="672F518E" w14:textId="0BF66CF0" w:rsidR="006F2D96" w:rsidRDefault="006F2D96">
          <w:pPr>
            <w:pStyle w:val="TOC3"/>
            <w:tabs>
              <w:tab w:val="right" w:leader="underscore" w:pos="9010"/>
            </w:tabs>
            <w:rPr>
              <w:rFonts w:asciiTheme="minorHAnsi" w:hAnsiTheme="minorHAnsi"/>
              <w:noProof/>
              <w:lang w:eastAsia="ja-JP"/>
            </w:rPr>
          </w:pPr>
          <w:hyperlink w:anchor="_Toc79414264" w:history="1">
            <w:r w:rsidRPr="00060C45">
              <w:rPr>
                <w:rStyle w:val="Hyperlink"/>
                <w:rFonts w:cs="Arial"/>
                <w:noProof/>
              </w:rPr>
              <w:t>6.7.8 Blinding</w:t>
            </w:r>
            <w:r>
              <w:rPr>
                <w:noProof/>
                <w:webHidden/>
              </w:rPr>
              <w:tab/>
            </w:r>
            <w:r>
              <w:rPr>
                <w:noProof/>
                <w:webHidden/>
              </w:rPr>
              <w:fldChar w:fldCharType="begin"/>
            </w:r>
            <w:r>
              <w:rPr>
                <w:noProof/>
                <w:webHidden/>
              </w:rPr>
              <w:instrText xml:space="preserve"> PAGEREF _Toc79414264 \h </w:instrText>
            </w:r>
            <w:r>
              <w:rPr>
                <w:noProof/>
                <w:webHidden/>
              </w:rPr>
            </w:r>
            <w:r>
              <w:rPr>
                <w:noProof/>
                <w:webHidden/>
              </w:rPr>
              <w:fldChar w:fldCharType="separate"/>
            </w:r>
            <w:r w:rsidR="00DD38EE">
              <w:rPr>
                <w:noProof/>
                <w:webHidden/>
              </w:rPr>
              <w:t>208</w:t>
            </w:r>
            <w:r>
              <w:rPr>
                <w:noProof/>
                <w:webHidden/>
              </w:rPr>
              <w:fldChar w:fldCharType="end"/>
            </w:r>
          </w:hyperlink>
        </w:p>
        <w:p w14:paraId="1D58A5F4" w14:textId="1DCAC7F7" w:rsidR="006F2D96" w:rsidRDefault="006F2D96">
          <w:pPr>
            <w:pStyle w:val="TOC3"/>
            <w:tabs>
              <w:tab w:val="right" w:leader="underscore" w:pos="9010"/>
            </w:tabs>
            <w:rPr>
              <w:rFonts w:asciiTheme="minorHAnsi" w:hAnsiTheme="minorHAnsi"/>
              <w:noProof/>
              <w:lang w:eastAsia="ja-JP"/>
            </w:rPr>
          </w:pPr>
          <w:hyperlink w:anchor="_Toc79414265" w:history="1">
            <w:r w:rsidRPr="00060C45">
              <w:rPr>
                <w:rStyle w:val="Hyperlink"/>
                <w:rFonts w:cs="Arial"/>
                <w:noProof/>
              </w:rPr>
              <w:t>6.7.9 Observer bias</w:t>
            </w:r>
            <w:r>
              <w:rPr>
                <w:noProof/>
                <w:webHidden/>
              </w:rPr>
              <w:tab/>
            </w:r>
            <w:r>
              <w:rPr>
                <w:noProof/>
                <w:webHidden/>
              </w:rPr>
              <w:fldChar w:fldCharType="begin"/>
            </w:r>
            <w:r>
              <w:rPr>
                <w:noProof/>
                <w:webHidden/>
              </w:rPr>
              <w:instrText xml:space="preserve"> PAGEREF _Toc79414265 \h </w:instrText>
            </w:r>
            <w:r>
              <w:rPr>
                <w:noProof/>
                <w:webHidden/>
              </w:rPr>
            </w:r>
            <w:r>
              <w:rPr>
                <w:noProof/>
                <w:webHidden/>
              </w:rPr>
              <w:fldChar w:fldCharType="separate"/>
            </w:r>
            <w:r w:rsidR="00DD38EE">
              <w:rPr>
                <w:noProof/>
                <w:webHidden/>
              </w:rPr>
              <w:t>208</w:t>
            </w:r>
            <w:r>
              <w:rPr>
                <w:noProof/>
                <w:webHidden/>
              </w:rPr>
              <w:fldChar w:fldCharType="end"/>
            </w:r>
          </w:hyperlink>
        </w:p>
        <w:p w14:paraId="6CE354A9" w14:textId="7134388E" w:rsidR="006F2D96" w:rsidRDefault="006F2D96">
          <w:pPr>
            <w:pStyle w:val="TOC3"/>
            <w:tabs>
              <w:tab w:val="right" w:leader="underscore" w:pos="9010"/>
            </w:tabs>
            <w:rPr>
              <w:rFonts w:asciiTheme="minorHAnsi" w:hAnsiTheme="minorHAnsi"/>
              <w:noProof/>
              <w:lang w:eastAsia="ja-JP"/>
            </w:rPr>
          </w:pPr>
          <w:hyperlink w:anchor="_Toc79414266" w:history="1">
            <w:r w:rsidRPr="00060C45">
              <w:rPr>
                <w:rStyle w:val="Hyperlink"/>
                <w:rFonts w:cs="Arial"/>
                <w:noProof/>
              </w:rPr>
              <w:t>6.7.10 Measurement bias</w:t>
            </w:r>
            <w:r>
              <w:rPr>
                <w:noProof/>
                <w:webHidden/>
              </w:rPr>
              <w:tab/>
            </w:r>
            <w:r>
              <w:rPr>
                <w:noProof/>
                <w:webHidden/>
              </w:rPr>
              <w:fldChar w:fldCharType="begin"/>
            </w:r>
            <w:r>
              <w:rPr>
                <w:noProof/>
                <w:webHidden/>
              </w:rPr>
              <w:instrText xml:space="preserve"> PAGEREF _Toc79414266 \h </w:instrText>
            </w:r>
            <w:r>
              <w:rPr>
                <w:noProof/>
                <w:webHidden/>
              </w:rPr>
            </w:r>
            <w:r>
              <w:rPr>
                <w:noProof/>
                <w:webHidden/>
              </w:rPr>
              <w:fldChar w:fldCharType="separate"/>
            </w:r>
            <w:r w:rsidR="00DD38EE">
              <w:rPr>
                <w:noProof/>
                <w:webHidden/>
              </w:rPr>
              <w:t>209</w:t>
            </w:r>
            <w:r>
              <w:rPr>
                <w:noProof/>
                <w:webHidden/>
              </w:rPr>
              <w:fldChar w:fldCharType="end"/>
            </w:r>
          </w:hyperlink>
        </w:p>
        <w:p w14:paraId="6833BB1F" w14:textId="420706AF" w:rsidR="006F2D96" w:rsidRDefault="006F2D96">
          <w:pPr>
            <w:pStyle w:val="TOC2"/>
            <w:tabs>
              <w:tab w:val="right" w:leader="underscore" w:pos="9010"/>
            </w:tabs>
            <w:rPr>
              <w:rFonts w:asciiTheme="minorHAnsi" w:hAnsiTheme="minorHAnsi"/>
              <w:b w:val="0"/>
              <w:noProof/>
              <w:lang w:eastAsia="ja-JP"/>
            </w:rPr>
          </w:pPr>
          <w:hyperlink w:anchor="_Toc79414267" w:history="1">
            <w:r w:rsidRPr="00060C45">
              <w:rPr>
                <w:rStyle w:val="Hyperlink"/>
                <w:rFonts w:cs="Arial"/>
                <w:noProof/>
              </w:rPr>
              <w:t>6.8 STRENGTHS</w:t>
            </w:r>
            <w:r>
              <w:rPr>
                <w:noProof/>
                <w:webHidden/>
              </w:rPr>
              <w:tab/>
            </w:r>
            <w:r>
              <w:rPr>
                <w:noProof/>
                <w:webHidden/>
              </w:rPr>
              <w:fldChar w:fldCharType="begin"/>
            </w:r>
            <w:r>
              <w:rPr>
                <w:noProof/>
                <w:webHidden/>
              </w:rPr>
              <w:instrText xml:space="preserve"> PAGEREF _Toc79414267 \h </w:instrText>
            </w:r>
            <w:r>
              <w:rPr>
                <w:noProof/>
                <w:webHidden/>
              </w:rPr>
            </w:r>
            <w:r>
              <w:rPr>
                <w:noProof/>
                <w:webHidden/>
              </w:rPr>
              <w:fldChar w:fldCharType="separate"/>
            </w:r>
            <w:r w:rsidR="00DD38EE">
              <w:rPr>
                <w:noProof/>
                <w:webHidden/>
              </w:rPr>
              <w:t>209</w:t>
            </w:r>
            <w:r>
              <w:rPr>
                <w:noProof/>
                <w:webHidden/>
              </w:rPr>
              <w:fldChar w:fldCharType="end"/>
            </w:r>
          </w:hyperlink>
        </w:p>
        <w:p w14:paraId="239E8B7A" w14:textId="45C7948B" w:rsidR="006F2D96" w:rsidRDefault="006F2D96">
          <w:pPr>
            <w:pStyle w:val="TOC2"/>
            <w:tabs>
              <w:tab w:val="right" w:leader="underscore" w:pos="9010"/>
            </w:tabs>
            <w:rPr>
              <w:rFonts w:asciiTheme="minorHAnsi" w:hAnsiTheme="minorHAnsi"/>
              <w:b w:val="0"/>
              <w:noProof/>
              <w:lang w:eastAsia="ja-JP"/>
            </w:rPr>
          </w:pPr>
          <w:hyperlink w:anchor="_Toc79414268" w:history="1">
            <w:r w:rsidRPr="00060C45">
              <w:rPr>
                <w:rStyle w:val="Hyperlink"/>
                <w:rFonts w:cs="Arial"/>
                <w:noProof/>
              </w:rPr>
              <w:t>6.9 CONTRIBUTIONS TO KNOWLEDGE</w:t>
            </w:r>
            <w:r>
              <w:rPr>
                <w:noProof/>
                <w:webHidden/>
              </w:rPr>
              <w:tab/>
            </w:r>
            <w:r>
              <w:rPr>
                <w:noProof/>
                <w:webHidden/>
              </w:rPr>
              <w:fldChar w:fldCharType="begin"/>
            </w:r>
            <w:r>
              <w:rPr>
                <w:noProof/>
                <w:webHidden/>
              </w:rPr>
              <w:instrText xml:space="preserve"> PAGEREF _Toc79414268 \h </w:instrText>
            </w:r>
            <w:r>
              <w:rPr>
                <w:noProof/>
                <w:webHidden/>
              </w:rPr>
            </w:r>
            <w:r>
              <w:rPr>
                <w:noProof/>
                <w:webHidden/>
              </w:rPr>
              <w:fldChar w:fldCharType="separate"/>
            </w:r>
            <w:r w:rsidR="00DD38EE">
              <w:rPr>
                <w:noProof/>
                <w:webHidden/>
              </w:rPr>
              <w:t>210</w:t>
            </w:r>
            <w:r>
              <w:rPr>
                <w:noProof/>
                <w:webHidden/>
              </w:rPr>
              <w:fldChar w:fldCharType="end"/>
            </w:r>
          </w:hyperlink>
        </w:p>
        <w:p w14:paraId="14597A6D" w14:textId="02DF2D67" w:rsidR="006F2D96" w:rsidRDefault="006F2D96">
          <w:pPr>
            <w:pStyle w:val="TOC3"/>
            <w:tabs>
              <w:tab w:val="right" w:leader="underscore" w:pos="9010"/>
            </w:tabs>
            <w:rPr>
              <w:rFonts w:asciiTheme="minorHAnsi" w:hAnsiTheme="minorHAnsi"/>
              <w:noProof/>
              <w:lang w:eastAsia="ja-JP"/>
            </w:rPr>
          </w:pPr>
          <w:hyperlink w:anchor="_Toc79414269" w:history="1">
            <w:r w:rsidRPr="00060C45">
              <w:rPr>
                <w:rStyle w:val="Hyperlink"/>
                <w:rFonts w:cs="Arial"/>
                <w:noProof/>
              </w:rPr>
              <w:t>6.9.1 Variance in outcome</w:t>
            </w:r>
            <w:r>
              <w:rPr>
                <w:noProof/>
                <w:webHidden/>
              </w:rPr>
              <w:tab/>
            </w:r>
            <w:r>
              <w:rPr>
                <w:noProof/>
                <w:webHidden/>
              </w:rPr>
              <w:fldChar w:fldCharType="begin"/>
            </w:r>
            <w:r>
              <w:rPr>
                <w:noProof/>
                <w:webHidden/>
              </w:rPr>
              <w:instrText xml:space="preserve"> PAGEREF _Toc79414269 \h </w:instrText>
            </w:r>
            <w:r>
              <w:rPr>
                <w:noProof/>
                <w:webHidden/>
              </w:rPr>
            </w:r>
            <w:r>
              <w:rPr>
                <w:noProof/>
                <w:webHidden/>
              </w:rPr>
              <w:fldChar w:fldCharType="separate"/>
            </w:r>
            <w:r w:rsidR="00DD38EE">
              <w:rPr>
                <w:noProof/>
                <w:webHidden/>
              </w:rPr>
              <w:t>210</w:t>
            </w:r>
            <w:r>
              <w:rPr>
                <w:noProof/>
                <w:webHidden/>
              </w:rPr>
              <w:fldChar w:fldCharType="end"/>
            </w:r>
          </w:hyperlink>
        </w:p>
        <w:p w14:paraId="47BA566D" w14:textId="3A039093" w:rsidR="006F2D96" w:rsidRDefault="006F2D96">
          <w:pPr>
            <w:pStyle w:val="TOC3"/>
            <w:tabs>
              <w:tab w:val="right" w:leader="underscore" w:pos="9010"/>
            </w:tabs>
            <w:rPr>
              <w:rFonts w:asciiTheme="minorHAnsi" w:hAnsiTheme="minorHAnsi"/>
              <w:noProof/>
              <w:lang w:eastAsia="ja-JP"/>
            </w:rPr>
          </w:pPr>
          <w:hyperlink w:anchor="_Toc79414270" w:history="1">
            <w:r w:rsidRPr="00060C45">
              <w:rPr>
                <w:rStyle w:val="Hyperlink"/>
                <w:rFonts w:cs="Arial"/>
                <w:noProof/>
              </w:rPr>
              <w:t>6.9.2 Therapist Demographics</w:t>
            </w:r>
            <w:r>
              <w:rPr>
                <w:noProof/>
                <w:webHidden/>
              </w:rPr>
              <w:tab/>
            </w:r>
            <w:r>
              <w:rPr>
                <w:noProof/>
                <w:webHidden/>
              </w:rPr>
              <w:fldChar w:fldCharType="begin"/>
            </w:r>
            <w:r>
              <w:rPr>
                <w:noProof/>
                <w:webHidden/>
              </w:rPr>
              <w:instrText xml:space="preserve"> PAGEREF _Toc79414270 \h </w:instrText>
            </w:r>
            <w:r>
              <w:rPr>
                <w:noProof/>
                <w:webHidden/>
              </w:rPr>
            </w:r>
            <w:r>
              <w:rPr>
                <w:noProof/>
                <w:webHidden/>
              </w:rPr>
              <w:fldChar w:fldCharType="separate"/>
            </w:r>
            <w:r w:rsidR="00DD38EE">
              <w:rPr>
                <w:noProof/>
                <w:webHidden/>
              </w:rPr>
              <w:t>212</w:t>
            </w:r>
            <w:r>
              <w:rPr>
                <w:noProof/>
                <w:webHidden/>
              </w:rPr>
              <w:fldChar w:fldCharType="end"/>
            </w:r>
          </w:hyperlink>
        </w:p>
        <w:p w14:paraId="52928197" w14:textId="3F782966" w:rsidR="006F2D96" w:rsidRDefault="006F2D96">
          <w:pPr>
            <w:pStyle w:val="TOC3"/>
            <w:tabs>
              <w:tab w:val="right" w:leader="underscore" w:pos="9010"/>
            </w:tabs>
            <w:rPr>
              <w:rFonts w:asciiTheme="minorHAnsi" w:hAnsiTheme="minorHAnsi"/>
              <w:noProof/>
              <w:lang w:eastAsia="ja-JP"/>
            </w:rPr>
          </w:pPr>
          <w:hyperlink w:anchor="_Toc79414271" w:history="1">
            <w:r w:rsidRPr="00060C45">
              <w:rPr>
                <w:rStyle w:val="Hyperlink"/>
                <w:rFonts w:cs="Arial"/>
                <w:noProof/>
              </w:rPr>
              <w:t>6.9.3 Therapist competence</w:t>
            </w:r>
            <w:r>
              <w:rPr>
                <w:noProof/>
                <w:webHidden/>
              </w:rPr>
              <w:tab/>
            </w:r>
            <w:r>
              <w:rPr>
                <w:noProof/>
                <w:webHidden/>
              </w:rPr>
              <w:fldChar w:fldCharType="begin"/>
            </w:r>
            <w:r>
              <w:rPr>
                <w:noProof/>
                <w:webHidden/>
              </w:rPr>
              <w:instrText xml:space="preserve"> PAGEREF _Toc79414271 \h </w:instrText>
            </w:r>
            <w:r>
              <w:rPr>
                <w:noProof/>
                <w:webHidden/>
              </w:rPr>
            </w:r>
            <w:r>
              <w:rPr>
                <w:noProof/>
                <w:webHidden/>
              </w:rPr>
              <w:fldChar w:fldCharType="separate"/>
            </w:r>
            <w:r w:rsidR="00DD38EE">
              <w:rPr>
                <w:noProof/>
                <w:webHidden/>
              </w:rPr>
              <w:t>212</w:t>
            </w:r>
            <w:r>
              <w:rPr>
                <w:noProof/>
                <w:webHidden/>
              </w:rPr>
              <w:fldChar w:fldCharType="end"/>
            </w:r>
          </w:hyperlink>
        </w:p>
        <w:p w14:paraId="59827092" w14:textId="428C9F53" w:rsidR="006F2D96" w:rsidRDefault="006F2D96">
          <w:pPr>
            <w:pStyle w:val="TOC3"/>
            <w:tabs>
              <w:tab w:val="right" w:leader="underscore" w:pos="9010"/>
            </w:tabs>
            <w:rPr>
              <w:rFonts w:asciiTheme="minorHAnsi" w:hAnsiTheme="minorHAnsi"/>
              <w:noProof/>
              <w:lang w:eastAsia="ja-JP"/>
            </w:rPr>
          </w:pPr>
          <w:hyperlink w:anchor="_Toc79414272" w:history="1">
            <w:r w:rsidRPr="00060C45">
              <w:rPr>
                <w:rStyle w:val="Hyperlink"/>
                <w:rFonts w:cs="Arial"/>
                <w:noProof/>
              </w:rPr>
              <w:t>6.9.4 Therapist adherence</w:t>
            </w:r>
            <w:r>
              <w:rPr>
                <w:noProof/>
                <w:webHidden/>
              </w:rPr>
              <w:tab/>
            </w:r>
            <w:r>
              <w:rPr>
                <w:noProof/>
                <w:webHidden/>
              </w:rPr>
              <w:fldChar w:fldCharType="begin"/>
            </w:r>
            <w:r>
              <w:rPr>
                <w:noProof/>
                <w:webHidden/>
              </w:rPr>
              <w:instrText xml:space="preserve"> PAGEREF _Toc79414272 \h </w:instrText>
            </w:r>
            <w:r>
              <w:rPr>
                <w:noProof/>
                <w:webHidden/>
              </w:rPr>
            </w:r>
            <w:r>
              <w:rPr>
                <w:noProof/>
                <w:webHidden/>
              </w:rPr>
              <w:fldChar w:fldCharType="separate"/>
            </w:r>
            <w:r w:rsidR="00DD38EE">
              <w:rPr>
                <w:noProof/>
                <w:webHidden/>
              </w:rPr>
              <w:t>213</w:t>
            </w:r>
            <w:r>
              <w:rPr>
                <w:noProof/>
                <w:webHidden/>
              </w:rPr>
              <w:fldChar w:fldCharType="end"/>
            </w:r>
          </w:hyperlink>
        </w:p>
        <w:p w14:paraId="7C256E65" w14:textId="6418DF91" w:rsidR="006F2D96" w:rsidRDefault="006F2D96">
          <w:pPr>
            <w:pStyle w:val="TOC3"/>
            <w:tabs>
              <w:tab w:val="right" w:leader="underscore" w:pos="9010"/>
            </w:tabs>
            <w:rPr>
              <w:rFonts w:asciiTheme="minorHAnsi" w:hAnsiTheme="minorHAnsi"/>
              <w:noProof/>
              <w:lang w:eastAsia="ja-JP"/>
            </w:rPr>
          </w:pPr>
          <w:hyperlink w:anchor="_Toc79414273" w:history="1">
            <w:r w:rsidRPr="00060C45">
              <w:rPr>
                <w:rStyle w:val="Hyperlink"/>
                <w:rFonts w:cs="Arial"/>
                <w:noProof/>
              </w:rPr>
              <w:t>6.9.5 Relationship between competence and adherence</w:t>
            </w:r>
            <w:r>
              <w:rPr>
                <w:noProof/>
                <w:webHidden/>
              </w:rPr>
              <w:tab/>
            </w:r>
            <w:r>
              <w:rPr>
                <w:noProof/>
                <w:webHidden/>
              </w:rPr>
              <w:fldChar w:fldCharType="begin"/>
            </w:r>
            <w:r>
              <w:rPr>
                <w:noProof/>
                <w:webHidden/>
              </w:rPr>
              <w:instrText xml:space="preserve"> PAGEREF _Toc79414273 \h </w:instrText>
            </w:r>
            <w:r>
              <w:rPr>
                <w:noProof/>
                <w:webHidden/>
              </w:rPr>
            </w:r>
            <w:r>
              <w:rPr>
                <w:noProof/>
                <w:webHidden/>
              </w:rPr>
              <w:fldChar w:fldCharType="separate"/>
            </w:r>
            <w:r w:rsidR="00DD38EE">
              <w:rPr>
                <w:noProof/>
                <w:webHidden/>
              </w:rPr>
              <w:t>216</w:t>
            </w:r>
            <w:r>
              <w:rPr>
                <w:noProof/>
                <w:webHidden/>
              </w:rPr>
              <w:fldChar w:fldCharType="end"/>
            </w:r>
          </w:hyperlink>
        </w:p>
        <w:p w14:paraId="43092555" w14:textId="731977D7" w:rsidR="006F2D96" w:rsidRDefault="006F2D96">
          <w:pPr>
            <w:pStyle w:val="TOC2"/>
            <w:tabs>
              <w:tab w:val="right" w:leader="underscore" w:pos="9010"/>
            </w:tabs>
            <w:rPr>
              <w:rFonts w:asciiTheme="minorHAnsi" w:hAnsiTheme="minorHAnsi"/>
              <w:b w:val="0"/>
              <w:noProof/>
              <w:lang w:eastAsia="ja-JP"/>
            </w:rPr>
          </w:pPr>
          <w:hyperlink w:anchor="_Toc79414274" w:history="1">
            <w:r w:rsidRPr="00060C45">
              <w:rPr>
                <w:rStyle w:val="Hyperlink"/>
                <w:rFonts w:cs="Arial"/>
                <w:noProof/>
              </w:rPr>
              <w:t>6.10 THE NOTION OF FLEXIBLE ADHERENCE</w:t>
            </w:r>
            <w:r>
              <w:rPr>
                <w:noProof/>
                <w:webHidden/>
              </w:rPr>
              <w:tab/>
            </w:r>
            <w:r>
              <w:rPr>
                <w:noProof/>
                <w:webHidden/>
              </w:rPr>
              <w:fldChar w:fldCharType="begin"/>
            </w:r>
            <w:r>
              <w:rPr>
                <w:noProof/>
                <w:webHidden/>
              </w:rPr>
              <w:instrText xml:space="preserve"> PAGEREF _Toc79414274 \h </w:instrText>
            </w:r>
            <w:r>
              <w:rPr>
                <w:noProof/>
                <w:webHidden/>
              </w:rPr>
            </w:r>
            <w:r>
              <w:rPr>
                <w:noProof/>
                <w:webHidden/>
              </w:rPr>
              <w:fldChar w:fldCharType="separate"/>
            </w:r>
            <w:r w:rsidR="00DD38EE">
              <w:rPr>
                <w:noProof/>
                <w:webHidden/>
              </w:rPr>
              <w:t>218</w:t>
            </w:r>
            <w:r>
              <w:rPr>
                <w:noProof/>
                <w:webHidden/>
              </w:rPr>
              <w:fldChar w:fldCharType="end"/>
            </w:r>
          </w:hyperlink>
        </w:p>
        <w:p w14:paraId="50EA0578" w14:textId="22CF908E" w:rsidR="006F2D96" w:rsidRDefault="006F2D96">
          <w:pPr>
            <w:pStyle w:val="TOC2"/>
            <w:tabs>
              <w:tab w:val="right" w:leader="underscore" w:pos="9010"/>
            </w:tabs>
            <w:rPr>
              <w:rFonts w:asciiTheme="minorHAnsi" w:hAnsiTheme="minorHAnsi"/>
              <w:b w:val="0"/>
              <w:noProof/>
              <w:lang w:eastAsia="ja-JP"/>
            </w:rPr>
          </w:pPr>
          <w:hyperlink w:anchor="_Toc79414275" w:history="1">
            <w:r w:rsidRPr="00060C45">
              <w:rPr>
                <w:rStyle w:val="Hyperlink"/>
                <w:rFonts w:cs="Arial"/>
                <w:noProof/>
              </w:rPr>
              <w:t>6.11 RECOMMENDATIONS FOR FUTURE RESEARCH</w:t>
            </w:r>
            <w:r>
              <w:rPr>
                <w:noProof/>
                <w:webHidden/>
              </w:rPr>
              <w:tab/>
            </w:r>
            <w:r>
              <w:rPr>
                <w:noProof/>
                <w:webHidden/>
              </w:rPr>
              <w:fldChar w:fldCharType="begin"/>
            </w:r>
            <w:r>
              <w:rPr>
                <w:noProof/>
                <w:webHidden/>
              </w:rPr>
              <w:instrText xml:space="preserve"> PAGEREF _Toc79414275 \h </w:instrText>
            </w:r>
            <w:r>
              <w:rPr>
                <w:noProof/>
                <w:webHidden/>
              </w:rPr>
            </w:r>
            <w:r>
              <w:rPr>
                <w:noProof/>
                <w:webHidden/>
              </w:rPr>
              <w:fldChar w:fldCharType="separate"/>
            </w:r>
            <w:r w:rsidR="00DD38EE">
              <w:rPr>
                <w:noProof/>
                <w:webHidden/>
              </w:rPr>
              <w:t>219</w:t>
            </w:r>
            <w:r>
              <w:rPr>
                <w:noProof/>
                <w:webHidden/>
              </w:rPr>
              <w:fldChar w:fldCharType="end"/>
            </w:r>
          </w:hyperlink>
        </w:p>
        <w:p w14:paraId="3CE0B365" w14:textId="07CB6A21" w:rsidR="006F2D96" w:rsidRDefault="006F2D96">
          <w:pPr>
            <w:pStyle w:val="TOC3"/>
            <w:tabs>
              <w:tab w:val="right" w:leader="underscore" w:pos="9010"/>
            </w:tabs>
            <w:rPr>
              <w:rFonts w:asciiTheme="minorHAnsi" w:hAnsiTheme="minorHAnsi"/>
              <w:noProof/>
              <w:lang w:eastAsia="ja-JP"/>
            </w:rPr>
          </w:pPr>
          <w:hyperlink w:anchor="_Toc79414276" w:history="1">
            <w:r w:rsidRPr="00060C45">
              <w:rPr>
                <w:rStyle w:val="Hyperlink"/>
                <w:rFonts w:cs="Arial"/>
                <w:noProof/>
              </w:rPr>
              <w:t>6.11.1 Summary</w:t>
            </w:r>
            <w:r>
              <w:rPr>
                <w:noProof/>
                <w:webHidden/>
              </w:rPr>
              <w:tab/>
            </w:r>
            <w:r>
              <w:rPr>
                <w:noProof/>
                <w:webHidden/>
              </w:rPr>
              <w:fldChar w:fldCharType="begin"/>
            </w:r>
            <w:r>
              <w:rPr>
                <w:noProof/>
                <w:webHidden/>
              </w:rPr>
              <w:instrText xml:space="preserve"> PAGEREF _Toc79414276 \h </w:instrText>
            </w:r>
            <w:r>
              <w:rPr>
                <w:noProof/>
                <w:webHidden/>
              </w:rPr>
            </w:r>
            <w:r>
              <w:rPr>
                <w:noProof/>
                <w:webHidden/>
              </w:rPr>
              <w:fldChar w:fldCharType="separate"/>
            </w:r>
            <w:r w:rsidR="00DD38EE">
              <w:rPr>
                <w:noProof/>
                <w:webHidden/>
              </w:rPr>
              <w:t>221</w:t>
            </w:r>
            <w:r>
              <w:rPr>
                <w:noProof/>
                <w:webHidden/>
              </w:rPr>
              <w:fldChar w:fldCharType="end"/>
            </w:r>
          </w:hyperlink>
        </w:p>
        <w:p w14:paraId="134F0BA0" w14:textId="71CFA875" w:rsidR="006F2D96" w:rsidRDefault="006F2D96">
          <w:pPr>
            <w:pStyle w:val="TOC2"/>
            <w:tabs>
              <w:tab w:val="right" w:leader="underscore" w:pos="9010"/>
            </w:tabs>
            <w:rPr>
              <w:rFonts w:asciiTheme="minorHAnsi" w:hAnsiTheme="minorHAnsi"/>
              <w:b w:val="0"/>
              <w:noProof/>
              <w:lang w:eastAsia="ja-JP"/>
            </w:rPr>
          </w:pPr>
          <w:hyperlink w:anchor="_Toc79414277" w:history="1">
            <w:r w:rsidRPr="00060C45">
              <w:rPr>
                <w:rStyle w:val="Hyperlink"/>
                <w:rFonts w:cs="Arial"/>
                <w:noProof/>
              </w:rPr>
              <w:t>6.12 IMPLICATIONS FOR PROFESSIONAL PRACTICE</w:t>
            </w:r>
            <w:r>
              <w:rPr>
                <w:noProof/>
                <w:webHidden/>
              </w:rPr>
              <w:tab/>
            </w:r>
            <w:r>
              <w:rPr>
                <w:noProof/>
                <w:webHidden/>
              </w:rPr>
              <w:fldChar w:fldCharType="begin"/>
            </w:r>
            <w:r>
              <w:rPr>
                <w:noProof/>
                <w:webHidden/>
              </w:rPr>
              <w:instrText xml:space="preserve"> PAGEREF _Toc79414277 \h </w:instrText>
            </w:r>
            <w:r>
              <w:rPr>
                <w:noProof/>
                <w:webHidden/>
              </w:rPr>
            </w:r>
            <w:r>
              <w:rPr>
                <w:noProof/>
                <w:webHidden/>
              </w:rPr>
              <w:fldChar w:fldCharType="separate"/>
            </w:r>
            <w:r w:rsidR="00DD38EE">
              <w:rPr>
                <w:noProof/>
                <w:webHidden/>
              </w:rPr>
              <w:t>222</w:t>
            </w:r>
            <w:r>
              <w:rPr>
                <w:noProof/>
                <w:webHidden/>
              </w:rPr>
              <w:fldChar w:fldCharType="end"/>
            </w:r>
          </w:hyperlink>
        </w:p>
        <w:p w14:paraId="5A7DBC1C" w14:textId="0159D7E1" w:rsidR="006F2D96" w:rsidRDefault="006F2D96">
          <w:pPr>
            <w:pStyle w:val="TOC3"/>
            <w:tabs>
              <w:tab w:val="right" w:leader="underscore" w:pos="9010"/>
            </w:tabs>
            <w:rPr>
              <w:rFonts w:asciiTheme="minorHAnsi" w:hAnsiTheme="minorHAnsi"/>
              <w:noProof/>
              <w:lang w:eastAsia="ja-JP"/>
            </w:rPr>
          </w:pPr>
          <w:hyperlink w:anchor="_Toc79414278" w:history="1">
            <w:r w:rsidRPr="00060C45">
              <w:rPr>
                <w:rStyle w:val="Hyperlink"/>
                <w:noProof/>
              </w:rPr>
              <w:t>6.12.1 Education and training of cognitive behavioural therapists</w:t>
            </w:r>
            <w:r>
              <w:rPr>
                <w:noProof/>
                <w:webHidden/>
              </w:rPr>
              <w:tab/>
            </w:r>
            <w:r>
              <w:rPr>
                <w:noProof/>
                <w:webHidden/>
              </w:rPr>
              <w:fldChar w:fldCharType="begin"/>
            </w:r>
            <w:r>
              <w:rPr>
                <w:noProof/>
                <w:webHidden/>
              </w:rPr>
              <w:instrText xml:space="preserve"> PAGEREF _Toc79414278 \h </w:instrText>
            </w:r>
            <w:r>
              <w:rPr>
                <w:noProof/>
                <w:webHidden/>
              </w:rPr>
            </w:r>
            <w:r>
              <w:rPr>
                <w:noProof/>
                <w:webHidden/>
              </w:rPr>
              <w:fldChar w:fldCharType="separate"/>
            </w:r>
            <w:r w:rsidR="00DD38EE">
              <w:rPr>
                <w:noProof/>
                <w:webHidden/>
              </w:rPr>
              <w:t>222</w:t>
            </w:r>
            <w:r>
              <w:rPr>
                <w:noProof/>
                <w:webHidden/>
              </w:rPr>
              <w:fldChar w:fldCharType="end"/>
            </w:r>
          </w:hyperlink>
        </w:p>
        <w:p w14:paraId="24A666D9" w14:textId="2CCACA20" w:rsidR="006F2D96" w:rsidRDefault="006F2D96">
          <w:pPr>
            <w:pStyle w:val="TOC3"/>
            <w:tabs>
              <w:tab w:val="right" w:leader="underscore" w:pos="9010"/>
            </w:tabs>
            <w:rPr>
              <w:rFonts w:asciiTheme="minorHAnsi" w:hAnsiTheme="minorHAnsi"/>
              <w:noProof/>
              <w:lang w:eastAsia="ja-JP"/>
            </w:rPr>
          </w:pPr>
          <w:hyperlink w:anchor="_Toc79414279" w:history="1">
            <w:r w:rsidRPr="00060C45">
              <w:rPr>
                <w:rStyle w:val="Hyperlink"/>
                <w:noProof/>
              </w:rPr>
              <w:t>6.12.2 The formative and summative assessment of competence</w:t>
            </w:r>
            <w:r>
              <w:rPr>
                <w:noProof/>
                <w:webHidden/>
              </w:rPr>
              <w:tab/>
            </w:r>
            <w:r>
              <w:rPr>
                <w:noProof/>
                <w:webHidden/>
              </w:rPr>
              <w:fldChar w:fldCharType="begin"/>
            </w:r>
            <w:r>
              <w:rPr>
                <w:noProof/>
                <w:webHidden/>
              </w:rPr>
              <w:instrText xml:space="preserve"> PAGEREF _Toc79414279 \h </w:instrText>
            </w:r>
            <w:r>
              <w:rPr>
                <w:noProof/>
                <w:webHidden/>
              </w:rPr>
            </w:r>
            <w:r>
              <w:rPr>
                <w:noProof/>
                <w:webHidden/>
              </w:rPr>
              <w:fldChar w:fldCharType="separate"/>
            </w:r>
            <w:r w:rsidR="00DD38EE">
              <w:rPr>
                <w:noProof/>
                <w:webHidden/>
              </w:rPr>
              <w:t>223</w:t>
            </w:r>
            <w:r>
              <w:rPr>
                <w:noProof/>
                <w:webHidden/>
              </w:rPr>
              <w:fldChar w:fldCharType="end"/>
            </w:r>
          </w:hyperlink>
        </w:p>
        <w:p w14:paraId="1EC46328" w14:textId="27C7AD40" w:rsidR="006F2D96" w:rsidRDefault="006F2D96">
          <w:pPr>
            <w:pStyle w:val="TOC3"/>
            <w:tabs>
              <w:tab w:val="right" w:leader="underscore" w:pos="9010"/>
            </w:tabs>
            <w:rPr>
              <w:rFonts w:asciiTheme="minorHAnsi" w:hAnsiTheme="minorHAnsi"/>
              <w:noProof/>
              <w:lang w:eastAsia="ja-JP"/>
            </w:rPr>
          </w:pPr>
          <w:hyperlink w:anchor="_Toc79414280" w:history="1">
            <w:r w:rsidRPr="00060C45">
              <w:rPr>
                <w:rStyle w:val="Hyperlink"/>
                <w:rFonts w:cs="Arial"/>
                <w:noProof/>
              </w:rPr>
              <w:t>6.12.3 The formative and summative assessment of adherence</w:t>
            </w:r>
            <w:r>
              <w:rPr>
                <w:noProof/>
                <w:webHidden/>
              </w:rPr>
              <w:tab/>
            </w:r>
            <w:r>
              <w:rPr>
                <w:noProof/>
                <w:webHidden/>
              </w:rPr>
              <w:fldChar w:fldCharType="begin"/>
            </w:r>
            <w:r>
              <w:rPr>
                <w:noProof/>
                <w:webHidden/>
              </w:rPr>
              <w:instrText xml:space="preserve"> PAGEREF _Toc79414280 \h </w:instrText>
            </w:r>
            <w:r>
              <w:rPr>
                <w:noProof/>
                <w:webHidden/>
              </w:rPr>
            </w:r>
            <w:r>
              <w:rPr>
                <w:noProof/>
                <w:webHidden/>
              </w:rPr>
              <w:fldChar w:fldCharType="separate"/>
            </w:r>
            <w:r w:rsidR="00DD38EE">
              <w:rPr>
                <w:noProof/>
                <w:webHidden/>
              </w:rPr>
              <w:t>224</w:t>
            </w:r>
            <w:r>
              <w:rPr>
                <w:noProof/>
                <w:webHidden/>
              </w:rPr>
              <w:fldChar w:fldCharType="end"/>
            </w:r>
          </w:hyperlink>
        </w:p>
        <w:p w14:paraId="6F1CC494" w14:textId="7B755FF6" w:rsidR="006F2D96" w:rsidRDefault="006F2D96">
          <w:pPr>
            <w:pStyle w:val="TOC3"/>
            <w:tabs>
              <w:tab w:val="right" w:leader="underscore" w:pos="9010"/>
            </w:tabs>
            <w:rPr>
              <w:rFonts w:asciiTheme="minorHAnsi" w:hAnsiTheme="minorHAnsi"/>
              <w:noProof/>
              <w:lang w:eastAsia="ja-JP"/>
            </w:rPr>
          </w:pPr>
          <w:hyperlink w:anchor="_Toc79414281" w:history="1">
            <w:r w:rsidRPr="00060C45">
              <w:rPr>
                <w:rStyle w:val="Hyperlink"/>
                <w:rFonts w:cs="Arial"/>
                <w:noProof/>
              </w:rPr>
              <w:t>6.12.4 Improving outcomes for therapy delivered by qualified therapists</w:t>
            </w:r>
            <w:r>
              <w:rPr>
                <w:noProof/>
                <w:webHidden/>
              </w:rPr>
              <w:tab/>
            </w:r>
            <w:r>
              <w:rPr>
                <w:noProof/>
                <w:webHidden/>
              </w:rPr>
              <w:fldChar w:fldCharType="begin"/>
            </w:r>
            <w:r>
              <w:rPr>
                <w:noProof/>
                <w:webHidden/>
              </w:rPr>
              <w:instrText xml:space="preserve"> PAGEREF _Toc79414281 \h </w:instrText>
            </w:r>
            <w:r>
              <w:rPr>
                <w:noProof/>
                <w:webHidden/>
              </w:rPr>
            </w:r>
            <w:r>
              <w:rPr>
                <w:noProof/>
                <w:webHidden/>
              </w:rPr>
              <w:fldChar w:fldCharType="separate"/>
            </w:r>
            <w:r w:rsidR="00DD38EE">
              <w:rPr>
                <w:noProof/>
                <w:webHidden/>
              </w:rPr>
              <w:t>225</w:t>
            </w:r>
            <w:r>
              <w:rPr>
                <w:noProof/>
                <w:webHidden/>
              </w:rPr>
              <w:fldChar w:fldCharType="end"/>
            </w:r>
          </w:hyperlink>
        </w:p>
        <w:p w14:paraId="3DAE53CF" w14:textId="5AFF4B49" w:rsidR="006F2D96" w:rsidRDefault="006F2D96">
          <w:pPr>
            <w:pStyle w:val="TOC3"/>
            <w:tabs>
              <w:tab w:val="right" w:leader="underscore" w:pos="9010"/>
            </w:tabs>
            <w:rPr>
              <w:rFonts w:asciiTheme="minorHAnsi" w:hAnsiTheme="minorHAnsi"/>
              <w:noProof/>
              <w:lang w:eastAsia="ja-JP"/>
            </w:rPr>
          </w:pPr>
          <w:hyperlink w:anchor="_Toc79414282" w:history="1">
            <w:r w:rsidRPr="00060C45">
              <w:rPr>
                <w:rStyle w:val="Hyperlink"/>
                <w:rFonts w:cs="Arial"/>
                <w:noProof/>
              </w:rPr>
              <w:t>6.12.5 Therapist competence and continuing professional development</w:t>
            </w:r>
            <w:r>
              <w:rPr>
                <w:noProof/>
                <w:webHidden/>
              </w:rPr>
              <w:tab/>
            </w:r>
            <w:r>
              <w:rPr>
                <w:noProof/>
                <w:webHidden/>
              </w:rPr>
              <w:fldChar w:fldCharType="begin"/>
            </w:r>
            <w:r>
              <w:rPr>
                <w:noProof/>
                <w:webHidden/>
              </w:rPr>
              <w:instrText xml:space="preserve"> PAGEREF _Toc79414282 \h </w:instrText>
            </w:r>
            <w:r>
              <w:rPr>
                <w:noProof/>
                <w:webHidden/>
              </w:rPr>
            </w:r>
            <w:r>
              <w:rPr>
                <w:noProof/>
                <w:webHidden/>
              </w:rPr>
              <w:fldChar w:fldCharType="separate"/>
            </w:r>
            <w:r w:rsidR="00DD38EE">
              <w:rPr>
                <w:noProof/>
                <w:webHidden/>
              </w:rPr>
              <w:t>225</w:t>
            </w:r>
            <w:r>
              <w:rPr>
                <w:noProof/>
                <w:webHidden/>
              </w:rPr>
              <w:fldChar w:fldCharType="end"/>
            </w:r>
          </w:hyperlink>
        </w:p>
        <w:p w14:paraId="63D1F15B" w14:textId="5C32C41A" w:rsidR="006F2D96" w:rsidRDefault="006F2D96">
          <w:pPr>
            <w:pStyle w:val="TOC3"/>
            <w:tabs>
              <w:tab w:val="right" w:leader="underscore" w:pos="9010"/>
            </w:tabs>
            <w:rPr>
              <w:rFonts w:asciiTheme="minorHAnsi" w:hAnsiTheme="minorHAnsi"/>
              <w:noProof/>
              <w:lang w:eastAsia="ja-JP"/>
            </w:rPr>
          </w:pPr>
          <w:hyperlink w:anchor="_Toc79414283" w:history="1">
            <w:r w:rsidRPr="00060C45">
              <w:rPr>
                <w:rStyle w:val="Hyperlink"/>
                <w:rFonts w:cs="Arial"/>
                <w:noProof/>
              </w:rPr>
              <w:t>6.12.6 Developing new methods of assessing competence</w:t>
            </w:r>
            <w:r>
              <w:rPr>
                <w:noProof/>
                <w:webHidden/>
              </w:rPr>
              <w:tab/>
            </w:r>
            <w:r>
              <w:rPr>
                <w:noProof/>
                <w:webHidden/>
              </w:rPr>
              <w:fldChar w:fldCharType="begin"/>
            </w:r>
            <w:r>
              <w:rPr>
                <w:noProof/>
                <w:webHidden/>
              </w:rPr>
              <w:instrText xml:space="preserve"> PAGEREF _Toc79414283 \h </w:instrText>
            </w:r>
            <w:r>
              <w:rPr>
                <w:noProof/>
                <w:webHidden/>
              </w:rPr>
            </w:r>
            <w:r>
              <w:rPr>
                <w:noProof/>
                <w:webHidden/>
              </w:rPr>
              <w:fldChar w:fldCharType="separate"/>
            </w:r>
            <w:r w:rsidR="00DD38EE">
              <w:rPr>
                <w:noProof/>
                <w:webHidden/>
              </w:rPr>
              <w:t>226</w:t>
            </w:r>
            <w:r>
              <w:rPr>
                <w:noProof/>
                <w:webHidden/>
              </w:rPr>
              <w:fldChar w:fldCharType="end"/>
            </w:r>
          </w:hyperlink>
        </w:p>
        <w:p w14:paraId="08252301" w14:textId="08EB941D" w:rsidR="006F2D96" w:rsidRDefault="006F2D96">
          <w:pPr>
            <w:pStyle w:val="TOC3"/>
            <w:tabs>
              <w:tab w:val="right" w:leader="underscore" w:pos="9010"/>
            </w:tabs>
            <w:rPr>
              <w:rFonts w:asciiTheme="minorHAnsi" w:hAnsiTheme="minorHAnsi"/>
              <w:noProof/>
              <w:lang w:eastAsia="ja-JP"/>
            </w:rPr>
          </w:pPr>
          <w:hyperlink w:anchor="_Toc79414284" w:history="1">
            <w:r w:rsidRPr="00060C45">
              <w:rPr>
                <w:rStyle w:val="Hyperlink"/>
                <w:rFonts w:cs="Arial"/>
                <w:noProof/>
              </w:rPr>
              <w:t>6.12.7 Therapist adherence</w:t>
            </w:r>
            <w:r>
              <w:rPr>
                <w:noProof/>
                <w:webHidden/>
              </w:rPr>
              <w:tab/>
            </w:r>
            <w:r>
              <w:rPr>
                <w:noProof/>
                <w:webHidden/>
              </w:rPr>
              <w:fldChar w:fldCharType="begin"/>
            </w:r>
            <w:r>
              <w:rPr>
                <w:noProof/>
                <w:webHidden/>
              </w:rPr>
              <w:instrText xml:space="preserve"> PAGEREF _Toc79414284 \h </w:instrText>
            </w:r>
            <w:r>
              <w:rPr>
                <w:noProof/>
                <w:webHidden/>
              </w:rPr>
            </w:r>
            <w:r>
              <w:rPr>
                <w:noProof/>
                <w:webHidden/>
              </w:rPr>
              <w:fldChar w:fldCharType="separate"/>
            </w:r>
            <w:r w:rsidR="00DD38EE">
              <w:rPr>
                <w:noProof/>
                <w:webHidden/>
              </w:rPr>
              <w:t>229</w:t>
            </w:r>
            <w:r>
              <w:rPr>
                <w:noProof/>
                <w:webHidden/>
              </w:rPr>
              <w:fldChar w:fldCharType="end"/>
            </w:r>
          </w:hyperlink>
        </w:p>
        <w:p w14:paraId="13BC82E8" w14:textId="54021513" w:rsidR="006F2D96" w:rsidRDefault="006F2D96">
          <w:pPr>
            <w:pStyle w:val="TOC2"/>
            <w:tabs>
              <w:tab w:val="right" w:leader="underscore" w:pos="9010"/>
            </w:tabs>
            <w:rPr>
              <w:rFonts w:asciiTheme="minorHAnsi" w:hAnsiTheme="minorHAnsi"/>
              <w:b w:val="0"/>
              <w:noProof/>
              <w:lang w:eastAsia="ja-JP"/>
            </w:rPr>
          </w:pPr>
          <w:hyperlink w:anchor="_Toc79414285" w:history="1">
            <w:r w:rsidRPr="00060C45">
              <w:rPr>
                <w:rStyle w:val="Hyperlink"/>
                <w:rFonts w:cs="Arial"/>
                <w:noProof/>
              </w:rPr>
              <w:t>6.13 WIDER IMPLICATIONS</w:t>
            </w:r>
            <w:r>
              <w:rPr>
                <w:noProof/>
                <w:webHidden/>
              </w:rPr>
              <w:tab/>
            </w:r>
            <w:r>
              <w:rPr>
                <w:noProof/>
                <w:webHidden/>
              </w:rPr>
              <w:fldChar w:fldCharType="begin"/>
            </w:r>
            <w:r>
              <w:rPr>
                <w:noProof/>
                <w:webHidden/>
              </w:rPr>
              <w:instrText xml:space="preserve"> PAGEREF _Toc79414285 \h </w:instrText>
            </w:r>
            <w:r>
              <w:rPr>
                <w:noProof/>
                <w:webHidden/>
              </w:rPr>
            </w:r>
            <w:r>
              <w:rPr>
                <w:noProof/>
                <w:webHidden/>
              </w:rPr>
              <w:fldChar w:fldCharType="separate"/>
            </w:r>
            <w:r w:rsidR="00DD38EE">
              <w:rPr>
                <w:noProof/>
                <w:webHidden/>
              </w:rPr>
              <w:t>231</w:t>
            </w:r>
            <w:r>
              <w:rPr>
                <w:noProof/>
                <w:webHidden/>
              </w:rPr>
              <w:fldChar w:fldCharType="end"/>
            </w:r>
          </w:hyperlink>
        </w:p>
        <w:p w14:paraId="41F6B1D5" w14:textId="72466555" w:rsidR="006F2D96" w:rsidRDefault="006F2D96">
          <w:pPr>
            <w:pStyle w:val="TOC3"/>
            <w:tabs>
              <w:tab w:val="right" w:leader="underscore" w:pos="9010"/>
            </w:tabs>
            <w:rPr>
              <w:rFonts w:asciiTheme="minorHAnsi" w:hAnsiTheme="minorHAnsi"/>
              <w:noProof/>
              <w:lang w:eastAsia="ja-JP"/>
            </w:rPr>
          </w:pPr>
          <w:hyperlink w:anchor="_Toc79414286" w:history="1">
            <w:r w:rsidRPr="00060C45">
              <w:rPr>
                <w:rStyle w:val="Hyperlink"/>
                <w:rFonts w:cs="Arial"/>
                <w:noProof/>
              </w:rPr>
              <w:t>6.13.1 Policy</w:t>
            </w:r>
            <w:r>
              <w:rPr>
                <w:noProof/>
                <w:webHidden/>
              </w:rPr>
              <w:tab/>
            </w:r>
            <w:r>
              <w:rPr>
                <w:noProof/>
                <w:webHidden/>
              </w:rPr>
              <w:fldChar w:fldCharType="begin"/>
            </w:r>
            <w:r>
              <w:rPr>
                <w:noProof/>
                <w:webHidden/>
              </w:rPr>
              <w:instrText xml:space="preserve"> PAGEREF _Toc79414286 \h </w:instrText>
            </w:r>
            <w:r>
              <w:rPr>
                <w:noProof/>
                <w:webHidden/>
              </w:rPr>
            </w:r>
            <w:r>
              <w:rPr>
                <w:noProof/>
                <w:webHidden/>
              </w:rPr>
              <w:fldChar w:fldCharType="separate"/>
            </w:r>
            <w:r w:rsidR="00DD38EE">
              <w:rPr>
                <w:noProof/>
                <w:webHidden/>
              </w:rPr>
              <w:t>231</w:t>
            </w:r>
            <w:r>
              <w:rPr>
                <w:noProof/>
                <w:webHidden/>
              </w:rPr>
              <w:fldChar w:fldCharType="end"/>
            </w:r>
          </w:hyperlink>
        </w:p>
        <w:p w14:paraId="30111105" w14:textId="5322A3CE" w:rsidR="006F2D96" w:rsidRDefault="006F2D96">
          <w:pPr>
            <w:pStyle w:val="TOC3"/>
            <w:tabs>
              <w:tab w:val="right" w:leader="underscore" w:pos="9010"/>
            </w:tabs>
            <w:rPr>
              <w:rFonts w:asciiTheme="minorHAnsi" w:hAnsiTheme="minorHAnsi"/>
              <w:noProof/>
              <w:lang w:eastAsia="ja-JP"/>
            </w:rPr>
          </w:pPr>
          <w:hyperlink w:anchor="_Toc79414287" w:history="1">
            <w:r w:rsidRPr="00060C45">
              <w:rPr>
                <w:rStyle w:val="Hyperlink"/>
                <w:rFonts w:cs="Arial"/>
                <w:noProof/>
              </w:rPr>
              <w:t>6.13.2 Embedding technology in psychological therapy</w:t>
            </w:r>
            <w:r>
              <w:rPr>
                <w:noProof/>
                <w:webHidden/>
              </w:rPr>
              <w:tab/>
            </w:r>
            <w:r>
              <w:rPr>
                <w:noProof/>
                <w:webHidden/>
              </w:rPr>
              <w:fldChar w:fldCharType="begin"/>
            </w:r>
            <w:r>
              <w:rPr>
                <w:noProof/>
                <w:webHidden/>
              </w:rPr>
              <w:instrText xml:space="preserve"> PAGEREF _Toc79414287 \h </w:instrText>
            </w:r>
            <w:r>
              <w:rPr>
                <w:noProof/>
                <w:webHidden/>
              </w:rPr>
            </w:r>
            <w:r>
              <w:rPr>
                <w:noProof/>
                <w:webHidden/>
              </w:rPr>
              <w:fldChar w:fldCharType="separate"/>
            </w:r>
            <w:r w:rsidR="00DD38EE">
              <w:rPr>
                <w:noProof/>
                <w:webHidden/>
              </w:rPr>
              <w:t>232</w:t>
            </w:r>
            <w:r>
              <w:rPr>
                <w:noProof/>
                <w:webHidden/>
              </w:rPr>
              <w:fldChar w:fldCharType="end"/>
            </w:r>
          </w:hyperlink>
        </w:p>
        <w:p w14:paraId="19C6C216" w14:textId="6E2662E7" w:rsidR="006F2D96" w:rsidRDefault="006F2D96">
          <w:pPr>
            <w:pStyle w:val="TOC2"/>
            <w:tabs>
              <w:tab w:val="right" w:leader="underscore" w:pos="9010"/>
            </w:tabs>
            <w:rPr>
              <w:rFonts w:asciiTheme="minorHAnsi" w:hAnsiTheme="minorHAnsi"/>
              <w:b w:val="0"/>
              <w:noProof/>
              <w:lang w:eastAsia="ja-JP"/>
            </w:rPr>
          </w:pPr>
          <w:hyperlink w:anchor="_Toc79414288" w:history="1">
            <w:r w:rsidRPr="00060C45">
              <w:rPr>
                <w:rStyle w:val="Hyperlink"/>
                <w:rFonts w:cs="Arial"/>
                <w:noProof/>
              </w:rPr>
              <w:t>6.14 CONCLUSION</w:t>
            </w:r>
            <w:r>
              <w:rPr>
                <w:noProof/>
                <w:webHidden/>
              </w:rPr>
              <w:tab/>
            </w:r>
            <w:r>
              <w:rPr>
                <w:noProof/>
                <w:webHidden/>
              </w:rPr>
              <w:fldChar w:fldCharType="begin"/>
            </w:r>
            <w:r>
              <w:rPr>
                <w:noProof/>
                <w:webHidden/>
              </w:rPr>
              <w:instrText xml:space="preserve"> PAGEREF _Toc79414288 \h </w:instrText>
            </w:r>
            <w:r>
              <w:rPr>
                <w:noProof/>
                <w:webHidden/>
              </w:rPr>
            </w:r>
            <w:r>
              <w:rPr>
                <w:noProof/>
                <w:webHidden/>
              </w:rPr>
              <w:fldChar w:fldCharType="separate"/>
            </w:r>
            <w:r w:rsidR="00DD38EE">
              <w:rPr>
                <w:noProof/>
                <w:webHidden/>
              </w:rPr>
              <w:t>232</w:t>
            </w:r>
            <w:r>
              <w:rPr>
                <w:noProof/>
                <w:webHidden/>
              </w:rPr>
              <w:fldChar w:fldCharType="end"/>
            </w:r>
          </w:hyperlink>
        </w:p>
        <w:p w14:paraId="79109497" w14:textId="7C7458D5" w:rsidR="006F2D96" w:rsidRDefault="006F2D96">
          <w:pPr>
            <w:pStyle w:val="TOC1"/>
            <w:rPr>
              <w:rFonts w:asciiTheme="minorHAnsi" w:hAnsiTheme="minorHAnsi"/>
              <w:b w:val="0"/>
              <w:noProof/>
              <w:szCs w:val="22"/>
              <w:lang w:eastAsia="ja-JP"/>
            </w:rPr>
          </w:pPr>
          <w:hyperlink w:anchor="_Toc79414289" w:history="1">
            <w:r w:rsidRPr="00060C45">
              <w:rPr>
                <w:rStyle w:val="Hyperlink"/>
                <w:rFonts w:cs="Arial"/>
                <w:noProof/>
              </w:rPr>
              <w:t>CHAPTER SEVEN: A PERSONAL REFLECTION ON THE IMPLICATIONS OF THIS RESEARCH</w:t>
            </w:r>
            <w:r>
              <w:rPr>
                <w:noProof/>
                <w:webHidden/>
              </w:rPr>
              <w:tab/>
            </w:r>
            <w:r>
              <w:rPr>
                <w:noProof/>
                <w:webHidden/>
              </w:rPr>
              <w:fldChar w:fldCharType="begin"/>
            </w:r>
            <w:r>
              <w:rPr>
                <w:noProof/>
                <w:webHidden/>
              </w:rPr>
              <w:instrText xml:space="preserve"> PAGEREF _Toc79414289 \h </w:instrText>
            </w:r>
            <w:r>
              <w:rPr>
                <w:noProof/>
                <w:webHidden/>
              </w:rPr>
            </w:r>
            <w:r>
              <w:rPr>
                <w:noProof/>
                <w:webHidden/>
              </w:rPr>
              <w:fldChar w:fldCharType="separate"/>
            </w:r>
            <w:r w:rsidR="00DD38EE">
              <w:rPr>
                <w:noProof/>
                <w:webHidden/>
              </w:rPr>
              <w:t>235</w:t>
            </w:r>
            <w:r>
              <w:rPr>
                <w:noProof/>
                <w:webHidden/>
              </w:rPr>
              <w:fldChar w:fldCharType="end"/>
            </w:r>
          </w:hyperlink>
        </w:p>
        <w:p w14:paraId="0C215374" w14:textId="6B9326D5" w:rsidR="006F2D96" w:rsidRDefault="006F2D96">
          <w:pPr>
            <w:pStyle w:val="TOC2"/>
            <w:tabs>
              <w:tab w:val="right" w:leader="underscore" w:pos="9010"/>
            </w:tabs>
            <w:rPr>
              <w:rFonts w:asciiTheme="minorHAnsi" w:hAnsiTheme="minorHAnsi"/>
              <w:b w:val="0"/>
              <w:noProof/>
              <w:lang w:eastAsia="ja-JP"/>
            </w:rPr>
          </w:pPr>
          <w:hyperlink w:anchor="_Toc79414290" w:history="1">
            <w:r w:rsidRPr="00060C45">
              <w:rPr>
                <w:rStyle w:val="Hyperlink"/>
                <w:rFonts w:cs="Arial"/>
                <w:noProof/>
              </w:rPr>
              <w:t>7.1 INTRODUCTION</w:t>
            </w:r>
            <w:r>
              <w:rPr>
                <w:noProof/>
                <w:webHidden/>
              </w:rPr>
              <w:tab/>
            </w:r>
            <w:r>
              <w:rPr>
                <w:noProof/>
                <w:webHidden/>
              </w:rPr>
              <w:fldChar w:fldCharType="begin"/>
            </w:r>
            <w:r>
              <w:rPr>
                <w:noProof/>
                <w:webHidden/>
              </w:rPr>
              <w:instrText xml:space="preserve"> PAGEREF _Toc79414290 \h </w:instrText>
            </w:r>
            <w:r>
              <w:rPr>
                <w:noProof/>
                <w:webHidden/>
              </w:rPr>
            </w:r>
            <w:r>
              <w:rPr>
                <w:noProof/>
                <w:webHidden/>
              </w:rPr>
              <w:fldChar w:fldCharType="separate"/>
            </w:r>
            <w:r w:rsidR="00DD38EE">
              <w:rPr>
                <w:noProof/>
                <w:webHidden/>
              </w:rPr>
              <w:t>235</w:t>
            </w:r>
            <w:r>
              <w:rPr>
                <w:noProof/>
                <w:webHidden/>
              </w:rPr>
              <w:fldChar w:fldCharType="end"/>
            </w:r>
          </w:hyperlink>
        </w:p>
        <w:p w14:paraId="758B4082" w14:textId="18D37C1E" w:rsidR="006F2D96" w:rsidRDefault="006F2D96">
          <w:pPr>
            <w:pStyle w:val="TOC3"/>
            <w:tabs>
              <w:tab w:val="right" w:leader="underscore" w:pos="9010"/>
            </w:tabs>
            <w:rPr>
              <w:rFonts w:asciiTheme="minorHAnsi" w:hAnsiTheme="minorHAnsi"/>
              <w:noProof/>
              <w:lang w:eastAsia="ja-JP"/>
            </w:rPr>
          </w:pPr>
          <w:hyperlink w:anchor="_Toc79414291" w:history="1">
            <w:r w:rsidRPr="00060C45">
              <w:rPr>
                <w:rStyle w:val="Hyperlink"/>
                <w:rFonts w:cs="Arial"/>
                <w:noProof/>
              </w:rPr>
              <w:t>7.1.1 Reflections on the process of undertaking this research</w:t>
            </w:r>
            <w:r>
              <w:rPr>
                <w:noProof/>
                <w:webHidden/>
              </w:rPr>
              <w:tab/>
            </w:r>
            <w:r>
              <w:rPr>
                <w:noProof/>
                <w:webHidden/>
              </w:rPr>
              <w:fldChar w:fldCharType="begin"/>
            </w:r>
            <w:r>
              <w:rPr>
                <w:noProof/>
                <w:webHidden/>
              </w:rPr>
              <w:instrText xml:space="preserve"> PAGEREF _Toc79414291 \h </w:instrText>
            </w:r>
            <w:r>
              <w:rPr>
                <w:noProof/>
                <w:webHidden/>
              </w:rPr>
            </w:r>
            <w:r>
              <w:rPr>
                <w:noProof/>
                <w:webHidden/>
              </w:rPr>
              <w:fldChar w:fldCharType="separate"/>
            </w:r>
            <w:r w:rsidR="00DD38EE">
              <w:rPr>
                <w:noProof/>
                <w:webHidden/>
              </w:rPr>
              <w:t>235</w:t>
            </w:r>
            <w:r>
              <w:rPr>
                <w:noProof/>
                <w:webHidden/>
              </w:rPr>
              <w:fldChar w:fldCharType="end"/>
            </w:r>
          </w:hyperlink>
        </w:p>
        <w:p w14:paraId="7A36C458" w14:textId="24334578" w:rsidR="006F2D96" w:rsidRDefault="006F2D96">
          <w:pPr>
            <w:pStyle w:val="TOC3"/>
            <w:tabs>
              <w:tab w:val="right" w:leader="underscore" w:pos="9010"/>
            </w:tabs>
            <w:rPr>
              <w:rFonts w:asciiTheme="minorHAnsi" w:hAnsiTheme="minorHAnsi"/>
              <w:noProof/>
              <w:lang w:eastAsia="ja-JP"/>
            </w:rPr>
          </w:pPr>
          <w:hyperlink w:anchor="_Toc79414292" w:history="1">
            <w:r w:rsidRPr="00060C45">
              <w:rPr>
                <w:rStyle w:val="Hyperlink"/>
                <w:rFonts w:cs="Arial"/>
                <w:noProof/>
              </w:rPr>
              <w:t>7.1.2 The ‘insider researcher’</w:t>
            </w:r>
            <w:r>
              <w:rPr>
                <w:noProof/>
                <w:webHidden/>
              </w:rPr>
              <w:tab/>
            </w:r>
            <w:r>
              <w:rPr>
                <w:noProof/>
                <w:webHidden/>
              </w:rPr>
              <w:fldChar w:fldCharType="begin"/>
            </w:r>
            <w:r>
              <w:rPr>
                <w:noProof/>
                <w:webHidden/>
              </w:rPr>
              <w:instrText xml:space="preserve"> PAGEREF _Toc79414292 \h </w:instrText>
            </w:r>
            <w:r>
              <w:rPr>
                <w:noProof/>
                <w:webHidden/>
              </w:rPr>
            </w:r>
            <w:r>
              <w:rPr>
                <w:noProof/>
                <w:webHidden/>
              </w:rPr>
              <w:fldChar w:fldCharType="separate"/>
            </w:r>
            <w:r w:rsidR="00DD38EE">
              <w:rPr>
                <w:noProof/>
                <w:webHidden/>
              </w:rPr>
              <w:t>236</w:t>
            </w:r>
            <w:r>
              <w:rPr>
                <w:noProof/>
                <w:webHidden/>
              </w:rPr>
              <w:fldChar w:fldCharType="end"/>
            </w:r>
          </w:hyperlink>
        </w:p>
        <w:p w14:paraId="22174D65" w14:textId="47218487" w:rsidR="006F2D96" w:rsidRDefault="006F2D96">
          <w:pPr>
            <w:pStyle w:val="TOC3"/>
            <w:tabs>
              <w:tab w:val="right" w:leader="underscore" w:pos="9010"/>
            </w:tabs>
            <w:rPr>
              <w:rFonts w:asciiTheme="minorHAnsi" w:hAnsiTheme="minorHAnsi"/>
              <w:noProof/>
              <w:lang w:eastAsia="ja-JP"/>
            </w:rPr>
          </w:pPr>
          <w:hyperlink w:anchor="_Toc79414293" w:history="1">
            <w:r w:rsidRPr="00060C45">
              <w:rPr>
                <w:rStyle w:val="Hyperlink"/>
                <w:rFonts w:cs="Arial"/>
                <w:noProof/>
              </w:rPr>
              <w:t>7.1.3 What I have learned</w:t>
            </w:r>
            <w:r>
              <w:rPr>
                <w:noProof/>
                <w:webHidden/>
              </w:rPr>
              <w:tab/>
            </w:r>
            <w:r>
              <w:rPr>
                <w:noProof/>
                <w:webHidden/>
              </w:rPr>
              <w:fldChar w:fldCharType="begin"/>
            </w:r>
            <w:r>
              <w:rPr>
                <w:noProof/>
                <w:webHidden/>
              </w:rPr>
              <w:instrText xml:space="preserve"> PAGEREF _Toc79414293 \h </w:instrText>
            </w:r>
            <w:r>
              <w:rPr>
                <w:noProof/>
                <w:webHidden/>
              </w:rPr>
            </w:r>
            <w:r>
              <w:rPr>
                <w:noProof/>
                <w:webHidden/>
              </w:rPr>
              <w:fldChar w:fldCharType="separate"/>
            </w:r>
            <w:r w:rsidR="00DD38EE">
              <w:rPr>
                <w:noProof/>
                <w:webHidden/>
              </w:rPr>
              <w:t>240</w:t>
            </w:r>
            <w:r>
              <w:rPr>
                <w:noProof/>
                <w:webHidden/>
              </w:rPr>
              <w:fldChar w:fldCharType="end"/>
            </w:r>
          </w:hyperlink>
        </w:p>
        <w:p w14:paraId="7300E50B" w14:textId="7109CDA0" w:rsidR="006F2D96" w:rsidRDefault="006F2D96">
          <w:pPr>
            <w:pStyle w:val="TOC3"/>
            <w:tabs>
              <w:tab w:val="right" w:leader="underscore" w:pos="9010"/>
            </w:tabs>
            <w:rPr>
              <w:rFonts w:asciiTheme="minorHAnsi" w:hAnsiTheme="minorHAnsi"/>
              <w:noProof/>
              <w:lang w:eastAsia="ja-JP"/>
            </w:rPr>
          </w:pPr>
          <w:hyperlink w:anchor="_Toc79414294" w:history="1">
            <w:r w:rsidRPr="00060C45">
              <w:rPr>
                <w:rStyle w:val="Hyperlink"/>
                <w:rFonts w:cs="Arial"/>
                <w:noProof/>
              </w:rPr>
              <w:t>7.1.4 What I have yet to learn</w:t>
            </w:r>
            <w:r>
              <w:rPr>
                <w:noProof/>
                <w:webHidden/>
              </w:rPr>
              <w:tab/>
            </w:r>
            <w:r>
              <w:rPr>
                <w:noProof/>
                <w:webHidden/>
              </w:rPr>
              <w:fldChar w:fldCharType="begin"/>
            </w:r>
            <w:r>
              <w:rPr>
                <w:noProof/>
                <w:webHidden/>
              </w:rPr>
              <w:instrText xml:space="preserve"> PAGEREF _Toc79414294 \h </w:instrText>
            </w:r>
            <w:r>
              <w:rPr>
                <w:noProof/>
                <w:webHidden/>
              </w:rPr>
            </w:r>
            <w:r>
              <w:rPr>
                <w:noProof/>
                <w:webHidden/>
              </w:rPr>
              <w:fldChar w:fldCharType="separate"/>
            </w:r>
            <w:r w:rsidR="00DD38EE">
              <w:rPr>
                <w:noProof/>
                <w:webHidden/>
              </w:rPr>
              <w:t>241</w:t>
            </w:r>
            <w:r>
              <w:rPr>
                <w:noProof/>
                <w:webHidden/>
              </w:rPr>
              <w:fldChar w:fldCharType="end"/>
            </w:r>
          </w:hyperlink>
        </w:p>
        <w:p w14:paraId="045FD089" w14:textId="6583E5B1" w:rsidR="006F2D96" w:rsidRDefault="006F2D96">
          <w:pPr>
            <w:pStyle w:val="TOC2"/>
            <w:tabs>
              <w:tab w:val="right" w:leader="underscore" w:pos="9010"/>
            </w:tabs>
            <w:rPr>
              <w:rFonts w:asciiTheme="minorHAnsi" w:hAnsiTheme="minorHAnsi"/>
              <w:b w:val="0"/>
              <w:noProof/>
              <w:lang w:eastAsia="ja-JP"/>
            </w:rPr>
          </w:pPr>
          <w:hyperlink w:anchor="_Toc79414295" w:history="1">
            <w:r w:rsidRPr="00060C45">
              <w:rPr>
                <w:rStyle w:val="Hyperlink"/>
                <w:rFonts w:cs="Arial"/>
                <w:noProof/>
              </w:rPr>
              <w:t>7.2 IMPLICATIONS FOR MY OWN PROFESSIONAL PRACTICE</w:t>
            </w:r>
            <w:r>
              <w:rPr>
                <w:noProof/>
                <w:webHidden/>
              </w:rPr>
              <w:tab/>
            </w:r>
            <w:r>
              <w:rPr>
                <w:noProof/>
                <w:webHidden/>
              </w:rPr>
              <w:fldChar w:fldCharType="begin"/>
            </w:r>
            <w:r>
              <w:rPr>
                <w:noProof/>
                <w:webHidden/>
              </w:rPr>
              <w:instrText xml:space="preserve"> PAGEREF _Toc79414295 \h </w:instrText>
            </w:r>
            <w:r>
              <w:rPr>
                <w:noProof/>
                <w:webHidden/>
              </w:rPr>
            </w:r>
            <w:r>
              <w:rPr>
                <w:noProof/>
                <w:webHidden/>
              </w:rPr>
              <w:fldChar w:fldCharType="separate"/>
            </w:r>
            <w:r w:rsidR="00DD38EE">
              <w:rPr>
                <w:noProof/>
                <w:webHidden/>
              </w:rPr>
              <w:t>242</w:t>
            </w:r>
            <w:r>
              <w:rPr>
                <w:noProof/>
                <w:webHidden/>
              </w:rPr>
              <w:fldChar w:fldCharType="end"/>
            </w:r>
          </w:hyperlink>
        </w:p>
        <w:p w14:paraId="6ACFBCDB" w14:textId="4184B523" w:rsidR="006F2D96" w:rsidRDefault="006F2D96">
          <w:pPr>
            <w:pStyle w:val="TOC3"/>
            <w:tabs>
              <w:tab w:val="right" w:leader="underscore" w:pos="9010"/>
            </w:tabs>
            <w:rPr>
              <w:rFonts w:asciiTheme="minorHAnsi" w:hAnsiTheme="minorHAnsi"/>
              <w:noProof/>
              <w:lang w:eastAsia="ja-JP"/>
            </w:rPr>
          </w:pPr>
          <w:hyperlink w:anchor="_Toc79414296" w:history="1">
            <w:r w:rsidRPr="00060C45">
              <w:rPr>
                <w:rStyle w:val="Hyperlink"/>
                <w:rFonts w:cs="Arial"/>
                <w:noProof/>
              </w:rPr>
              <w:t>7.2.1 Implications as a senior leader and researcher</w:t>
            </w:r>
            <w:r>
              <w:rPr>
                <w:noProof/>
                <w:webHidden/>
              </w:rPr>
              <w:tab/>
            </w:r>
            <w:r>
              <w:rPr>
                <w:noProof/>
                <w:webHidden/>
              </w:rPr>
              <w:fldChar w:fldCharType="begin"/>
            </w:r>
            <w:r>
              <w:rPr>
                <w:noProof/>
                <w:webHidden/>
              </w:rPr>
              <w:instrText xml:space="preserve"> PAGEREF _Toc79414296 \h </w:instrText>
            </w:r>
            <w:r>
              <w:rPr>
                <w:noProof/>
                <w:webHidden/>
              </w:rPr>
            </w:r>
            <w:r>
              <w:rPr>
                <w:noProof/>
                <w:webHidden/>
              </w:rPr>
              <w:fldChar w:fldCharType="separate"/>
            </w:r>
            <w:r w:rsidR="00DD38EE">
              <w:rPr>
                <w:noProof/>
                <w:webHidden/>
              </w:rPr>
              <w:t>242</w:t>
            </w:r>
            <w:r>
              <w:rPr>
                <w:noProof/>
                <w:webHidden/>
              </w:rPr>
              <w:fldChar w:fldCharType="end"/>
            </w:r>
          </w:hyperlink>
        </w:p>
        <w:p w14:paraId="3E8D1A64" w14:textId="153A9838" w:rsidR="006F2D96" w:rsidRDefault="006F2D96">
          <w:pPr>
            <w:pStyle w:val="TOC3"/>
            <w:tabs>
              <w:tab w:val="right" w:leader="underscore" w:pos="9010"/>
            </w:tabs>
            <w:rPr>
              <w:rFonts w:asciiTheme="minorHAnsi" w:hAnsiTheme="minorHAnsi"/>
              <w:noProof/>
              <w:lang w:eastAsia="ja-JP"/>
            </w:rPr>
          </w:pPr>
          <w:hyperlink w:anchor="_Toc79414297" w:history="1">
            <w:r w:rsidRPr="00060C45">
              <w:rPr>
                <w:rStyle w:val="Hyperlink"/>
                <w:rFonts w:cs="Arial"/>
                <w:noProof/>
              </w:rPr>
              <w:t>7.2.2 Implications as a clinical supervisor</w:t>
            </w:r>
            <w:r>
              <w:rPr>
                <w:noProof/>
                <w:webHidden/>
              </w:rPr>
              <w:tab/>
            </w:r>
            <w:r>
              <w:rPr>
                <w:noProof/>
                <w:webHidden/>
              </w:rPr>
              <w:fldChar w:fldCharType="begin"/>
            </w:r>
            <w:r>
              <w:rPr>
                <w:noProof/>
                <w:webHidden/>
              </w:rPr>
              <w:instrText xml:space="preserve"> PAGEREF _Toc79414297 \h </w:instrText>
            </w:r>
            <w:r>
              <w:rPr>
                <w:noProof/>
                <w:webHidden/>
              </w:rPr>
            </w:r>
            <w:r>
              <w:rPr>
                <w:noProof/>
                <w:webHidden/>
              </w:rPr>
              <w:fldChar w:fldCharType="separate"/>
            </w:r>
            <w:r w:rsidR="00DD38EE">
              <w:rPr>
                <w:noProof/>
                <w:webHidden/>
              </w:rPr>
              <w:t>247</w:t>
            </w:r>
            <w:r>
              <w:rPr>
                <w:noProof/>
                <w:webHidden/>
              </w:rPr>
              <w:fldChar w:fldCharType="end"/>
            </w:r>
          </w:hyperlink>
        </w:p>
        <w:p w14:paraId="463A397B" w14:textId="69F74BC2" w:rsidR="006F2D96" w:rsidRDefault="006F2D96">
          <w:pPr>
            <w:pStyle w:val="TOC3"/>
            <w:tabs>
              <w:tab w:val="right" w:leader="underscore" w:pos="9010"/>
            </w:tabs>
            <w:rPr>
              <w:rFonts w:asciiTheme="minorHAnsi" w:hAnsiTheme="minorHAnsi"/>
              <w:noProof/>
              <w:lang w:eastAsia="ja-JP"/>
            </w:rPr>
          </w:pPr>
          <w:hyperlink w:anchor="_Toc79414298" w:history="1">
            <w:r w:rsidRPr="00060C45">
              <w:rPr>
                <w:rStyle w:val="Hyperlink"/>
                <w:rFonts w:cs="Arial"/>
                <w:noProof/>
              </w:rPr>
              <w:t>7.2.3 Implications as cognitive behavioural therapist</w:t>
            </w:r>
            <w:r>
              <w:rPr>
                <w:noProof/>
                <w:webHidden/>
              </w:rPr>
              <w:tab/>
            </w:r>
            <w:r>
              <w:rPr>
                <w:noProof/>
                <w:webHidden/>
              </w:rPr>
              <w:fldChar w:fldCharType="begin"/>
            </w:r>
            <w:r>
              <w:rPr>
                <w:noProof/>
                <w:webHidden/>
              </w:rPr>
              <w:instrText xml:space="preserve"> PAGEREF _Toc79414298 \h </w:instrText>
            </w:r>
            <w:r>
              <w:rPr>
                <w:noProof/>
                <w:webHidden/>
              </w:rPr>
            </w:r>
            <w:r>
              <w:rPr>
                <w:noProof/>
                <w:webHidden/>
              </w:rPr>
              <w:fldChar w:fldCharType="separate"/>
            </w:r>
            <w:r w:rsidR="00DD38EE">
              <w:rPr>
                <w:noProof/>
                <w:webHidden/>
              </w:rPr>
              <w:t>247</w:t>
            </w:r>
            <w:r>
              <w:rPr>
                <w:noProof/>
                <w:webHidden/>
              </w:rPr>
              <w:fldChar w:fldCharType="end"/>
            </w:r>
          </w:hyperlink>
        </w:p>
        <w:p w14:paraId="42BC04A4" w14:textId="70EC85AB" w:rsidR="006F2D96" w:rsidRDefault="006F2D96">
          <w:pPr>
            <w:pStyle w:val="TOC2"/>
            <w:tabs>
              <w:tab w:val="right" w:leader="underscore" w:pos="9010"/>
            </w:tabs>
            <w:rPr>
              <w:rFonts w:asciiTheme="minorHAnsi" w:hAnsiTheme="minorHAnsi"/>
              <w:b w:val="0"/>
              <w:noProof/>
              <w:lang w:eastAsia="ja-JP"/>
            </w:rPr>
          </w:pPr>
          <w:hyperlink w:anchor="_Toc79414299" w:history="1">
            <w:r w:rsidRPr="00060C45">
              <w:rPr>
                <w:rStyle w:val="Hyperlink"/>
                <w:rFonts w:cs="Arial"/>
                <w:noProof/>
              </w:rPr>
              <w:t>7.3 CONCLUSION</w:t>
            </w:r>
            <w:r>
              <w:rPr>
                <w:noProof/>
                <w:webHidden/>
              </w:rPr>
              <w:tab/>
            </w:r>
            <w:r>
              <w:rPr>
                <w:noProof/>
                <w:webHidden/>
              </w:rPr>
              <w:fldChar w:fldCharType="begin"/>
            </w:r>
            <w:r>
              <w:rPr>
                <w:noProof/>
                <w:webHidden/>
              </w:rPr>
              <w:instrText xml:space="preserve"> PAGEREF _Toc79414299 \h </w:instrText>
            </w:r>
            <w:r>
              <w:rPr>
                <w:noProof/>
                <w:webHidden/>
              </w:rPr>
            </w:r>
            <w:r>
              <w:rPr>
                <w:noProof/>
                <w:webHidden/>
              </w:rPr>
              <w:fldChar w:fldCharType="separate"/>
            </w:r>
            <w:r w:rsidR="00DD38EE">
              <w:rPr>
                <w:noProof/>
                <w:webHidden/>
              </w:rPr>
              <w:t>248</w:t>
            </w:r>
            <w:r>
              <w:rPr>
                <w:noProof/>
                <w:webHidden/>
              </w:rPr>
              <w:fldChar w:fldCharType="end"/>
            </w:r>
          </w:hyperlink>
        </w:p>
        <w:p w14:paraId="420AE311" w14:textId="3376D4FA" w:rsidR="006F2D96" w:rsidRDefault="006F2D96">
          <w:pPr>
            <w:pStyle w:val="TOC1"/>
            <w:rPr>
              <w:rFonts w:asciiTheme="minorHAnsi" w:hAnsiTheme="minorHAnsi"/>
              <w:b w:val="0"/>
              <w:noProof/>
              <w:szCs w:val="22"/>
              <w:lang w:eastAsia="ja-JP"/>
            </w:rPr>
          </w:pPr>
          <w:hyperlink w:anchor="_Toc79414300" w:history="1">
            <w:r w:rsidRPr="00060C45">
              <w:rPr>
                <w:rStyle w:val="Hyperlink"/>
                <w:noProof/>
              </w:rPr>
              <w:t>REFERENCES</w:t>
            </w:r>
            <w:r>
              <w:rPr>
                <w:noProof/>
                <w:webHidden/>
              </w:rPr>
              <w:tab/>
            </w:r>
            <w:r>
              <w:rPr>
                <w:noProof/>
                <w:webHidden/>
              </w:rPr>
              <w:fldChar w:fldCharType="begin"/>
            </w:r>
            <w:r>
              <w:rPr>
                <w:noProof/>
                <w:webHidden/>
              </w:rPr>
              <w:instrText xml:space="preserve"> PAGEREF _Toc79414300 \h </w:instrText>
            </w:r>
            <w:r>
              <w:rPr>
                <w:noProof/>
                <w:webHidden/>
              </w:rPr>
            </w:r>
            <w:r>
              <w:rPr>
                <w:noProof/>
                <w:webHidden/>
              </w:rPr>
              <w:fldChar w:fldCharType="separate"/>
            </w:r>
            <w:r w:rsidR="00DD38EE">
              <w:rPr>
                <w:noProof/>
                <w:webHidden/>
              </w:rPr>
              <w:t>249</w:t>
            </w:r>
            <w:r>
              <w:rPr>
                <w:noProof/>
                <w:webHidden/>
              </w:rPr>
              <w:fldChar w:fldCharType="end"/>
            </w:r>
          </w:hyperlink>
        </w:p>
        <w:p w14:paraId="36B5D4B3" w14:textId="41435E68" w:rsidR="006F2D96" w:rsidRDefault="006F2D96">
          <w:pPr>
            <w:pStyle w:val="TOC1"/>
            <w:rPr>
              <w:rFonts w:asciiTheme="minorHAnsi" w:hAnsiTheme="minorHAnsi"/>
              <w:b w:val="0"/>
              <w:noProof/>
              <w:szCs w:val="22"/>
              <w:lang w:eastAsia="ja-JP"/>
            </w:rPr>
          </w:pPr>
          <w:hyperlink w:anchor="_Toc79414301" w:history="1">
            <w:r w:rsidRPr="00060C45">
              <w:rPr>
                <w:rStyle w:val="Hyperlink"/>
                <w:noProof/>
              </w:rPr>
              <w:t>APPENDICES</w:t>
            </w:r>
            <w:r>
              <w:rPr>
                <w:noProof/>
                <w:webHidden/>
              </w:rPr>
              <w:tab/>
            </w:r>
            <w:r>
              <w:rPr>
                <w:noProof/>
                <w:webHidden/>
              </w:rPr>
              <w:fldChar w:fldCharType="begin"/>
            </w:r>
            <w:r>
              <w:rPr>
                <w:noProof/>
                <w:webHidden/>
              </w:rPr>
              <w:instrText xml:space="preserve"> PAGEREF _Toc79414301 \h </w:instrText>
            </w:r>
            <w:r>
              <w:rPr>
                <w:noProof/>
                <w:webHidden/>
              </w:rPr>
            </w:r>
            <w:r>
              <w:rPr>
                <w:noProof/>
                <w:webHidden/>
              </w:rPr>
              <w:fldChar w:fldCharType="separate"/>
            </w:r>
            <w:r w:rsidR="00DD38EE">
              <w:rPr>
                <w:noProof/>
                <w:webHidden/>
              </w:rPr>
              <w:t>315</w:t>
            </w:r>
            <w:r>
              <w:rPr>
                <w:noProof/>
                <w:webHidden/>
              </w:rPr>
              <w:fldChar w:fldCharType="end"/>
            </w:r>
          </w:hyperlink>
        </w:p>
        <w:p w14:paraId="04E31390" w14:textId="78ADA27A" w:rsidR="006F2D96" w:rsidRDefault="006F2D96">
          <w:r>
            <w:rPr>
              <w:b/>
              <w:bCs/>
              <w:noProof/>
            </w:rPr>
            <w:fldChar w:fldCharType="end"/>
          </w:r>
        </w:p>
      </w:sdtContent>
    </w:sdt>
    <w:p w14:paraId="70A7E25A" w14:textId="77777777" w:rsidR="006F2D96" w:rsidRDefault="006F2D96">
      <w:pPr>
        <w:rPr>
          <w:rFonts w:ascii="Arial" w:eastAsiaTheme="majorEastAsia" w:hAnsi="Arial" w:cs="Arial"/>
          <w:b/>
          <w:bCs/>
          <w:color w:val="000000" w:themeColor="text1"/>
          <w:sz w:val="22"/>
          <w:szCs w:val="22"/>
        </w:rPr>
      </w:pPr>
      <w:r>
        <w:br w:type="page"/>
      </w:r>
    </w:p>
    <w:p w14:paraId="03006610" w14:textId="5F6DDAD4" w:rsidR="00A01281" w:rsidRDefault="00887A63" w:rsidP="001D546E">
      <w:pPr>
        <w:pStyle w:val="Heading1"/>
        <w:spacing w:before="0" w:after="120" w:line="360" w:lineRule="auto"/>
        <w:rPr>
          <w:rFonts w:cs="Arial"/>
          <w:color w:val="000000" w:themeColor="text1"/>
          <w:szCs w:val="22"/>
        </w:rPr>
      </w:pPr>
      <w:bookmarkStart w:id="5" w:name="_Toc46770697"/>
      <w:bookmarkStart w:id="6" w:name="_Toc79414108"/>
      <w:r w:rsidRPr="0061002B">
        <w:rPr>
          <w:rFonts w:cs="Arial"/>
          <w:color w:val="000000" w:themeColor="text1"/>
          <w:szCs w:val="22"/>
        </w:rPr>
        <w:lastRenderedPageBreak/>
        <w:t>LIST OF FIGURE</w:t>
      </w:r>
      <w:r w:rsidR="00514A8B">
        <w:rPr>
          <w:rFonts w:cs="Arial"/>
          <w:color w:val="000000" w:themeColor="text1"/>
          <w:szCs w:val="22"/>
        </w:rPr>
        <w:t>S</w:t>
      </w:r>
      <w:bookmarkEnd w:id="5"/>
      <w:bookmarkEnd w:id="6"/>
    </w:p>
    <w:p w14:paraId="68CEF09A" w14:textId="688D8614" w:rsidR="00CA7CE1" w:rsidRPr="001F5176" w:rsidRDefault="00514A8B">
      <w:pPr>
        <w:pStyle w:val="TableofFigures"/>
        <w:tabs>
          <w:tab w:val="right" w:leader="underscore" w:pos="9010"/>
        </w:tabs>
        <w:rPr>
          <w:rFonts w:asciiTheme="minorHAnsi" w:hAnsiTheme="minorHAnsi"/>
          <w:noProof/>
          <w:szCs w:val="22"/>
          <w:lang w:eastAsia="en-GB"/>
        </w:rPr>
      </w:pPr>
      <w:r w:rsidRPr="001F5176">
        <w:rPr>
          <w:rFonts w:cs="Arial"/>
        </w:rPr>
        <w:fldChar w:fldCharType="begin"/>
      </w:r>
      <w:r w:rsidRPr="001F5176">
        <w:rPr>
          <w:rFonts w:cs="Arial"/>
        </w:rPr>
        <w:instrText xml:space="preserve"> TOC \h \z \t "Figures" \c </w:instrText>
      </w:r>
      <w:r w:rsidRPr="001F5176">
        <w:rPr>
          <w:rFonts w:cs="Arial"/>
        </w:rPr>
        <w:fldChar w:fldCharType="separate"/>
      </w:r>
      <w:hyperlink r:id="rId10" w:anchor="_Toc46770930" w:history="1">
        <w:r w:rsidR="00CA7CE1" w:rsidRPr="001F5176">
          <w:rPr>
            <w:rStyle w:val="Hyperlink"/>
            <w:noProof/>
          </w:rPr>
          <w:t xml:space="preserve">Figure 2.1 The Stepped Care Model (NICE, 2011) </w:t>
        </w:r>
        <w:r w:rsidR="00CA7CE1" w:rsidRPr="001F5176">
          <w:rPr>
            <w:rStyle w:val="Hyperlink"/>
            <w:bCs/>
            <w:noProof/>
          </w:rPr>
          <w:t>showing how patients are classified according to severity/complexity of their presentation</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_Toc46770930 \h </w:instrText>
        </w:r>
        <w:r w:rsidR="00CA7CE1" w:rsidRPr="001F5176">
          <w:rPr>
            <w:noProof/>
            <w:webHidden/>
          </w:rPr>
        </w:r>
        <w:r w:rsidR="00CA7CE1" w:rsidRPr="001F5176">
          <w:rPr>
            <w:noProof/>
            <w:webHidden/>
          </w:rPr>
          <w:fldChar w:fldCharType="separate"/>
        </w:r>
        <w:r w:rsidR="00DD38EE">
          <w:rPr>
            <w:noProof/>
            <w:webHidden/>
          </w:rPr>
          <w:t>26</w:t>
        </w:r>
        <w:r w:rsidR="00CA7CE1" w:rsidRPr="001F5176">
          <w:rPr>
            <w:noProof/>
            <w:webHidden/>
          </w:rPr>
          <w:fldChar w:fldCharType="end"/>
        </w:r>
      </w:hyperlink>
    </w:p>
    <w:p w14:paraId="65F13A2E" w14:textId="5BA9B3B7" w:rsidR="00CA7CE1" w:rsidRPr="001F5176" w:rsidRDefault="00DD38EE">
      <w:pPr>
        <w:pStyle w:val="TableofFigures"/>
        <w:tabs>
          <w:tab w:val="right" w:leader="underscore" w:pos="9010"/>
        </w:tabs>
        <w:rPr>
          <w:rFonts w:asciiTheme="minorHAnsi" w:hAnsiTheme="minorHAnsi"/>
          <w:noProof/>
          <w:szCs w:val="22"/>
          <w:lang w:eastAsia="en-GB"/>
        </w:rPr>
      </w:pPr>
      <w:hyperlink r:id="rId11" w:anchor="_Toc46770931" w:history="1">
        <w:r w:rsidR="00CA7CE1" w:rsidRPr="001F5176">
          <w:rPr>
            <w:rStyle w:val="Hyperlink"/>
            <w:noProof/>
          </w:rPr>
          <w:t xml:space="preserve">Figure 2.2 </w:t>
        </w:r>
        <w:r w:rsidR="00CA7CE1" w:rsidRPr="001F5176">
          <w:rPr>
            <w:rStyle w:val="Hyperlink"/>
            <w:bCs/>
            <w:noProof/>
          </w:rPr>
          <w:t>Rating</w:t>
        </w:r>
        <w:r w:rsidR="00CA7CE1" w:rsidRPr="001F5176">
          <w:rPr>
            <w:rStyle w:val="Hyperlink"/>
            <w:noProof/>
          </w:rPr>
          <w:t xml:space="preserve"> clinical expertise in CBT adapted from Dreyfus and Dreyfus (1986)</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_Toc46770931 \h </w:instrText>
        </w:r>
        <w:r w:rsidR="00CA7CE1" w:rsidRPr="001F5176">
          <w:rPr>
            <w:noProof/>
            <w:webHidden/>
          </w:rPr>
        </w:r>
        <w:r w:rsidR="00CA7CE1" w:rsidRPr="001F5176">
          <w:rPr>
            <w:noProof/>
            <w:webHidden/>
          </w:rPr>
          <w:fldChar w:fldCharType="separate"/>
        </w:r>
        <w:r>
          <w:rPr>
            <w:noProof/>
            <w:webHidden/>
          </w:rPr>
          <w:t>37</w:t>
        </w:r>
        <w:r w:rsidR="00CA7CE1" w:rsidRPr="001F5176">
          <w:rPr>
            <w:noProof/>
            <w:webHidden/>
          </w:rPr>
          <w:fldChar w:fldCharType="end"/>
        </w:r>
      </w:hyperlink>
    </w:p>
    <w:p w14:paraId="7251E8AD" w14:textId="426EC9DB" w:rsidR="00CA7CE1" w:rsidRPr="001F5176" w:rsidRDefault="00DD38EE">
      <w:pPr>
        <w:pStyle w:val="TableofFigures"/>
        <w:tabs>
          <w:tab w:val="right" w:leader="underscore" w:pos="9010"/>
        </w:tabs>
        <w:rPr>
          <w:rFonts w:asciiTheme="minorHAnsi" w:hAnsiTheme="minorHAnsi"/>
          <w:noProof/>
          <w:szCs w:val="22"/>
          <w:lang w:eastAsia="en-GB"/>
        </w:rPr>
      </w:pPr>
      <w:hyperlink w:anchor="_Toc46770932" w:history="1">
        <w:r w:rsidR="00CA7CE1" w:rsidRPr="001F5176">
          <w:rPr>
            <w:rStyle w:val="Hyperlink"/>
            <w:noProof/>
          </w:rPr>
          <w:t>Figure 2.3 The 12 items of the CTS-R (Blackburn et al., 2001)</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_Toc46770932 \h </w:instrText>
        </w:r>
        <w:r w:rsidR="00CA7CE1" w:rsidRPr="001F5176">
          <w:rPr>
            <w:noProof/>
            <w:webHidden/>
          </w:rPr>
        </w:r>
        <w:r w:rsidR="00CA7CE1" w:rsidRPr="001F5176">
          <w:rPr>
            <w:noProof/>
            <w:webHidden/>
          </w:rPr>
          <w:fldChar w:fldCharType="separate"/>
        </w:r>
        <w:r>
          <w:rPr>
            <w:noProof/>
            <w:webHidden/>
          </w:rPr>
          <w:t>38</w:t>
        </w:r>
        <w:r w:rsidR="00CA7CE1" w:rsidRPr="001F5176">
          <w:rPr>
            <w:noProof/>
            <w:webHidden/>
          </w:rPr>
          <w:fldChar w:fldCharType="end"/>
        </w:r>
      </w:hyperlink>
    </w:p>
    <w:p w14:paraId="4B581940" w14:textId="2D7E7ED4" w:rsidR="00CA7CE1" w:rsidRPr="001F5176" w:rsidRDefault="00DD38EE">
      <w:pPr>
        <w:pStyle w:val="TableofFigures"/>
        <w:tabs>
          <w:tab w:val="right" w:leader="underscore" w:pos="9010"/>
        </w:tabs>
        <w:rPr>
          <w:rFonts w:asciiTheme="minorHAnsi" w:hAnsiTheme="minorHAnsi"/>
          <w:noProof/>
          <w:szCs w:val="22"/>
          <w:lang w:eastAsia="en-GB"/>
        </w:rPr>
      </w:pPr>
      <w:hyperlink w:anchor="_Toc46770933" w:history="1">
        <w:r w:rsidR="00CA7CE1" w:rsidRPr="001F5176">
          <w:rPr>
            <w:rStyle w:val="Hyperlink"/>
            <w:noProof/>
          </w:rPr>
          <w:t>Figure 2.4 The continuum of online and digital products used to deliver CBT</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_Toc46770933 \h </w:instrText>
        </w:r>
        <w:r w:rsidR="00CA7CE1" w:rsidRPr="001F5176">
          <w:rPr>
            <w:noProof/>
            <w:webHidden/>
          </w:rPr>
        </w:r>
        <w:r w:rsidR="00CA7CE1" w:rsidRPr="001F5176">
          <w:rPr>
            <w:noProof/>
            <w:webHidden/>
          </w:rPr>
          <w:fldChar w:fldCharType="separate"/>
        </w:r>
        <w:r>
          <w:rPr>
            <w:noProof/>
            <w:webHidden/>
          </w:rPr>
          <w:t>49</w:t>
        </w:r>
        <w:r w:rsidR="00CA7CE1" w:rsidRPr="001F5176">
          <w:rPr>
            <w:noProof/>
            <w:webHidden/>
          </w:rPr>
          <w:fldChar w:fldCharType="end"/>
        </w:r>
      </w:hyperlink>
    </w:p>
    <w:p w14:paraId="0DCD9561" w14:textId="37C9303F" w:rsidR="00CA7CE1" w:rsidRPr="001F5176" w:rsidRDefault="00DD38EE">
      <w:pPr>
        <w:pStyle w:val="TableofFigures"/>
        <w:tabs>
          <w:tab w:val="right" w:leader="underscore" w:pos="9010"/>
        </w:tabs>
        <w:rPr>
          <w:rFonts w:asciiTheme="minorHAnsi" w:hAnsiTheme="minorHAnsi"/>
          <w:noProof/>
          <w:szCs w:val="22"/>
          <w:lang w:eastAsia="en-GB"/>
        </w:rPr>
      </w:pPr>
      <w:hyperlink w:anchor="_Toc46770934" w:history="1">
        <w:r w:rsidR="00CA7CE1" w:rsidRPr="001F5176">
          <w:rPr>
            <w:rStyle w:val="Hyperlink"/>
            <w:noProof/>
          </w:rPr>
          <w:t>Figure 2.5  A (fictitious) example of an Internet Enabled CBT session</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_Toc46770934 \h </w:instrText>
        </w:r>
        <w:r w:rsidR="00CA7CE1" w:rsidRPr="001F5176">
          <w:rPr>
            <w:noProof/>
            <w:webHidden/>
          </w:rPr>
        </w:r>
        <w:r w:rsidR="00CA7CE1" w:rsidRPr="001F5176">
          <w:rPr>
            <w:noProof/>
            <w:webHidden/>
          </w:rPr>
          <w:fldChar w:fldCharType="separate"/>
        </w:r>
        <w:r>
          <w:rPr>
            <w:noProof/>
            <w:webHidden/>
          </w:rPr>
          <w:t>52</w:t>
        </w:r>
        <w:r w:rsidR="00CA7CE1" w:rsidRPr="001F5176">
          <w:rPr>
            <w:noProof/>
            <w:webHidden/>
          </w:rPr>
          <w:fldChar w:fldCharType="end"/>
        </w:r>
      </w:hyperlink>
    </w:p>
    <w:p w14:paraId="22E857A6" w14:textId="67B836D3" w:rsidR="00CA7CE1" w:rsidRPr="001F5176" w:rsidRDefault="00DD38EE">
      <w:pPr>
        <w:pStyle w:val="TableofFigures"/>
        <w:tabs>
          <w:tab w:val="right" w:leader="underscore" w:pos="9010"/>
        </w:tabs>
        <w:rPr>
          <w:rFonts w:asciiTheme="minorHAnsi" w:hAnsiTheme="minorHAnsi"/>
          <w:noProof/>
          <w:szCs w:val="22"/>
          <w:lang w:eastAsia="en-GB"/>
        </w:rPr>
      </w:pPr>
      <w:hyperlink w:anchor="_Toc46770935" w:history="1">
        <w:r w:rsidR="00CA7CE1" w:rsidRPr="001F5176">
          <w:rPr>
            <w:rStyle w:val="Hyperlink"/>
            <w:noProof/>
          </w:rPr>
          <w:t>Figure 2.6 The IECBT e-learning platform, showing one example of a therapist’s view of the modules released in order to meet their identified training needs</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_Toc46770935 \h </w:instrText>
        </w:r>
        <w:r w:rsidR="00CA7CE1" w:rsidRPr="001F5176">
          <w:rPr>
            <w:noProof/>
            <w:webHidden/>
          </w:rPr>
        </w:r>
        <w:r w:rsidR="00CA7CE1" w:rsidRPr="001F5176">
          <w:rPr>
            <w:noProof/>
            <w:webHidden/>
          </w:rPr>
          <w:fldChar w:fldCharType="separate"/>
        </w:r>
        <w:r>
          <w:rPr>
            <w:noProof/>
            <w:webHidden/>
          </w:rPr>
          <w:t>56</w:t>
        </w:r>
        <w:r w:rsidR="00CA7CE1" w:rsidRPr="001F5176">
          <w:rPr>
            <w:noProof/>
            <w:webHidden/>
          </w:rPr>
          <w:fldChar w:fldCharType="end"/>
        </w:r>
      </w:hyperlink>
    </w:p>
    <w:p w14:paraId="467731A1" w14:textId="517A44B3" w:rsidR="00CA7CE1" w:rsidRPr="001F5176" w:rsidRDefault="00DD38EE">
      <w:pPr>
        <w:pStyle w:val="TableofFigures"/>
        <w:tabs>
          <w:tab w:val="right" w:leader="underscore" w:pos="9010"/>
        </w:tabs>
        <w:rPr>
          <w:rFonts w:asciiTheme="minorHAnsi" w:hAnsiTheme="minorHAnsi"/>
          <w:noProof/>
          <w:szCs w:val="22"/>
          <w:lang w:eastAsia="en-GB"/>
        </w:rPr>
      </w:pPr>
      <w:hyperlink w:anchor="_Toc46770936" w:history="1">
        <w:r w:rsidR="00CA7CE1" w:rsidRPr="001F5176">
          <w:rPr>
            <w:rStyle w:val="Hyperlink"/>
            <w:noProof/>
          </w:rPr>
          <w:t xml:space="preserve">Figure 2.7 The Bennett-Levy Personal Practice model adapted from Bennett-Levy and Finlay-Jones (2018). </w:t>
        </w:r>
        <w:r w:rsidR="00CA7CE1" w:rsidRPr="001F5176">
          <w:rPr>
            <w:rStyle w:val="Hyperlink"/>
            <w:bCs/>
            <w:noProof/>
          </w:rPr>
          <w:t>The model shows the interconnection between 2 aspects of the therapist, the personal self (blue rectangle) and the therapist self (orange rectangle). Both selves are impacted by 4 domains: personal development, self-awareness, beliefs/attitudes  and conceptual/technical skills. The model shows how personal practice, training, feedback and supervision directly impact on a therapist’s self-awareness, beliefs and skills when therapists are able to reflect on learning. This process aims to improve therapist effectiveness.</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_Toc46770936 \h </w:instrText>
        </w:r>
        <w:r w:rsidR="00CA7CE1" w:rsidRPr="001F5176">
          <w:rPr>
            <w:noProof/>
            <w:webHidden/>
          </w:rPr>
        </w:r>
        <w:r w:rsidR="00CA7CE1" w:rsidRPr="001F5176">
          <w:rPr>
            <w:noProof/>
            <w:webHidden/>
          </w:rPr>
          <w:fldChar w:fldCharType="separate"/>
        </w:r>
        <w:r>
          <w:rPr>
            <w:noProof/>
            <w:webHidden/>
          </w:rPr>
          <w:t>58</w:t>
        </w:r>
        <w:r w:rsidR="00CA7CE1" w:rsidRPr="001F5176">
          <w:rPr>
            <w:noProof/>
            <w:webHidden/>
          </w:rPr>
          <w:fldChar w:fldCharType="end"/>
        </w:r>
      </w:hyperlink>
    </w:p>
    <w:p w14:paraId="65B7BB69" w14:textId="544A8238" w:rsidR="00CA7CE1" w:rsidRPr="001F5176" w:rsidRDefault="00DD38EE">
      <w:pPr>
        <w:pStyle w:val="TableofFigures"/>
        <w:tabs>
          <w:tab w:val="right" w:leader="underscore" w:pos="9010"/>
        </w:tabs>
        <w:rPr>
          <w:rFonts w:asciiTheme="minorHAnsi" w:hAnsiTheme="minorHAnsi"/>
          <w:noProof/>
          <w:szCs w:val="22"/>
          <w:lang w:eastAsia="en-GB"/>
        </w:rPr>
      </w:pPr>
      <w:hyperlink w:anchor="_Toc46770937" w:history="1">
        <w:r w:rsidR="00CA7CE1" w:rsidRPr="001F5176">
          <w:rPr>
            <w:rStyle w:val="Hyperlink"/>
            <w:noProof/>
          </w:rPr>
          <w:t>Figure 2.8 The IECBT model of continuing professional development. The figure shows how the learning management system (LMS) supports therapists to transfer theoretical knowledge into clinical practice and then receive feedback (therapy insights) on their ability to demonstrate that they have met the learning objectives whilst treating a patient.</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_Toc46770937 \h </w:instrText>
        </w:r>
        <w:r w:rsidR="00CA7CE1" w:rsidRPr="001F5176">
          <w:rPr>
            <w:noProof/>
            <w:webHidden/>
          </w:rPr>
        </w:r>
        <w:r w:rsidR="00CA7CE1" w:rsidRPr="001F5176">
          <w:rPr>
            <w:noProof/>
            <w:webHidden/>
          </w:rPr>
          <w:fldChar w:fldCharType="separate"/>
        </w:r>
        <w:r>
          <w:rPr>
            <w:noProof/>
            <w:webHidden/>
          </w:rPr>
          <w:t>60</w:t>
        </w:r>
        <w:r w:rsidR="00CA7CE1" w:rsidRPr="001F5176">
          <w:rPr>
            <w:noProof/>
            <w:webHidden/>
          </w:rPr>
          <w:fldChar w:fldCharType="end"/>
        </w:r>
      </w:hyperlink>
    </w:p>
    <w:p w14:paraId="549DA7C0" w14:textId="46BBBD48" w:rsidR="00CA7CE1" w:rsidRPr="001F5176" w:rsidRDefault="00DD38EE">
      <w:pPr>
        <w:pStyle w:val="TableofFigures"/>
        <w:tabs>
          <w:tab w:val="right" w:leader="underscore" w:pos="9010"/>
        </w:tabs>
        <w:rPr>
          <w:rFonts w:asciiTheme="minorHAnsi" w:hAnsiTheme="minorHAnsi"/>
          <w:noProof/>
          <w:szCs w:val="22"/>
          <w:lang w:eastAsia="en-GB"/>
        </w:rPr>
      </w:pPr>
      <w:hyperlink w:anchor="_Toc46770938" w:history="1">
        <w:r w:rsidR="00CA7CE1" w:rsidRPr="001F5176">
          <w:rPr>
            <w:rStyle w:val="Hyperlink"/>
            <w:noProof/>
          </w:rPr>
          <w:t>Figure 2.9 A Clinical Decision Support tool on the IECBT platform</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_Toc46770938 \h </w:instrText>
        </w:r>
        <w:r w:rsidR="00CA7CE1" w:rsidRPr="001F5176">
          <w:rPr>
            <w:noProof/>
            <w:webHidden/>
          </w:rPr>
        </w:r>
        <w:r w:rsidR="00CA7CE1" w:rsidRPr="001F5176">
          <w:rPr>
            <w:noProof/>
            <w:webHidden/>
          </w:rPr>
          <w:fldChar w:fldCharType="separate"/>
        </w:r>
        <w:r>
          <w:rPr>
            <w:noProof/>
            <w:webHidden/>
          </w:rPr>
          <w:t>62</w:t>
        </w:r>
        <w:r w:rsidR="00CA7CE1" w:rsidRPr="001F5176">
          <w:rPr>
            <w:noProof/>
            <w:webHidden/>
          </w:rPr>
          <w:fldChar w:fldCharType="end"/>
        </w:r>
      </w:hyperlink>
    </w:p>
    <w:p w14:paraId="3F394D36" w14:textId="1C5E9F23" w:rsidR="00CA7CE1" w:rsidRPr="001F5176" w:rsidRDefault="00DD38EE">
      <w:pPr>
        <w:pStyle w:val="TableofFigures"/>
        <w:tabs>
          <w:tab w:val="right" w:leader="underscore" w:pos="9010"/>
        </w:tabs>
        <w:rPr>
          <w:rFonts w:asciiTheme="minorHAnsi" w:hAnsiTheme="minorHAnsi"/>
          <w:noProof/>
          <w:szCs w:val="22"/>
          <w:lang w:eastAsia="en-GB"/>
        </w:rPr>
      </w:pPr>
      <w:hyperlink w:anchor="_Toc46770939" w:history="1">
        <w:r w:rsidR="00CA7CE1" w:rsidRPr="001F5176">
          <w:rPr>
            <w:rStyle w:val="Hyperlink"/>
            <w:noProof/>
          </w:rPr>
          <w:t>Figure 2.10 Variables that have been reported to affect clinical outcome</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_Toc46770939 \h </w:instrText>
        </w:r>
        <w:r w:rsidR="00CA7CE1" w:rsidRPr="001F5176">
          <w:rPr>
            <w:noProof/>
            <w:webHidden/>
          </w:rPr>
        </w:r>
        <w:r w:rsidR="00CA7CE1" w:rsidRPr="001F5176">
          <w:rPr>
            <w:noProof/>
            <w:webHidden/>
          </w:rPr>
          <w:fldChar w:fldCharType="separate"/>
        </w:r>
        <w:r>
          <w:rPr>
            <w:noProof/>
            <w:webHidden/>
          </w:rPr>
          <w:t>75</w:t>
        </w:r>
        <w:r w:rsidR="00CA7CE1" w:rsidRPr="001F5176">
          <w:rPr>
            <w:noProof/>
            <w:webHidden/>
          </w:rPr>
          <w:fldChar w:fldCharType="end"/>
        </w:r>
      </w:hyperlink>
    </w:p>
    <w:p w14:paraId="1453F001" w14:textId="612C7CB1" w:rsidR="00CA7CE1" w:rsidRPr="001F5176" w:rsidRDefault="00DD38EE">
      <w:pPr>
        <w:pStyle w:val="TableofFigures"/>
        <w:tabs>
          <w:tab w:val="right" w:leader="underscore" w:pos="9010"/>
        </w:tabs>
        <w:rPr>
          <w:rFonts w:asciiTheme="minorHAnsi" w:hAnsiTheme="minorHAnsi"/>
          <w:noProof/>
          <w:szCs w:val="22"/>
          <w:lang w:eastAsia="en-GB"/>
        </w:rPr>
      </w:pPr>
      <w:hyperlink w:anchor="_Toc46770940" w:history="1">
        <w:r w:rsidR="00CA7CE1" w:rsidRPr="001F5176">
          <w:rPr>
            <w:rStyle w:val="Hyperlink"/>
            <w:noProof/>
          </w:rPr>
          <w:t>Figure 2.11 Variance in recovery rates reported in 2018/19 for patients who had CBT in IAPT (n= 77,983). Source NHS Digital (2019f)</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_Toc46770940 \h </w:instrText>
        </w:r>
        <w:r w:rsidR="00CA7CE1" w:rsidRPr="001F5176">
          <w:rPr>
            <w:noProof/>
            <w:webHidden/>
          </w:rPr>
        </w:r>
        <w:r w:rsidR="00CA7CE1" w:rsidRPr="001F5176">
          <w:rPr>
            <w:noProof/>
            <w:webHidden/>
          </w:rPr>
          <w:fldChar w:fldCharType="separate"/>
        </w:r>
        <w:r>
          <w:rPr>
            <w:noProof/>
            <w:webHidden/>
          </w:rPr>
          <w:t>77</w:t>
        </w:r>
        <w:r w:rsidR="00CA7CE1" w:rsidRPr="001F5176">
          <w:rPr>
            <w:noProof/>
            <w:webHidden/>
          </w:rPr>
          <w:fldChar w:fldCharType="end"/>
        </w:r>
      </w:hyperlink>
    </w:p>
    <w:p w14:paraId="732B129A" w14:textId="77DFF555" w:rsidR="00CA7CE1" w:rsidRPr="001F5176" w:rsidRDefault="00DD38EE">
      <w:pPr>
        <w:pStyle w:val="TableofFigures"/>
        <w:tabs>
          <w:tab w:val="right" w:leader="underscore" w:pos="9010"/>
        </w:tabs>
        <w:rPr>
          <w:rFonts w:asciiTheme="minorHAnsi" w:hAnsiTheme="minorHAnsi"/>
          <w:noProof/>
          <w:szCs w:val="22"/>
          <w:lang w:eastAsia="en-GB"/>
        </w:rPr>
      </w:pPr>
      <w:hyperlink w:anchor="_Toc46770941" w:history="1">
        <w:r w:rsidR="00CA7CE1" w:rsidRPr="001F5176">
          <w:rPr>
            <w:rStyle w:val="Hyperlink"/>
            <w:noProof/>
          </w:rPr>
          <w:t>Figure 3.1 PRISMA Diagram showing article selection process</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_Toc46770941 \h </w:instrText>
        </w:r>
        <w:r w:rsidR="00CA7CE1" w:rsidRPr="001F5176">
          <w:rPr>
            <w:noProof/>
            <w:webHidden/>
          </w:rPr>
        </w:r>
        <w:r w:rsidR="00CA7CE1" w:rsidRPr="001F5176">
          <w:rPr>
            <w:noProof/>
            <w:webHidden/>
          </w:rPr>
          <w:fldChar w:fldCharType="separate"/>
        </w:r>
        <w:r>
          <w:rPr>
            <w:noProof/>
            <w:webHidden/>
          </w:rPr>
          <w:t>98</w:t>
        </w:r>
        <w:r w:rsidR="00CA7CE1" w:rsidRPr="001F5176">
          <w:rPr>
            <w:noProof/>
            <w:webHidden/>
          </w:rPr>
          <w:fldChar w:fldCharType="end"/>
        </w:r>
      </w:hyperlink>
    </w:p>
    <w:p w14:paraId="56759FA5" w14:textId="07F94B41" w:rsidR="00CA7CE1" w:rsidRPr="001F5176" w:rsidRDefault="00DD38EE">
      <w:pPr>
        <w:pStyle w:val="TableofFigures"/>
        <w:tabs>
          <w:tab w:val="right" w:leader="underscore" w:pos="9010"/>
        </w:tabs>
        <w:rPr>
          <w:rFonts w:asciiTheme="minorHAnsi" w:hAnsiTheme="minorHAnsi"/>
          <w:noProof/>
          <w:szCs w:val="22"/>
          <w:lang w:eastAsia="en-GB"/>
        </w:rPr>
      </w:pPr>
      <w:hyperlink w:anchor="_Toc46770942" w:history="1">
        <w:r w:rsidR="00CA7CE1" w:rsidRPr="001F5176">
          <w:rPr>
            <w:rStyle w:val="Hyperlink"/>
            <w:noProof/>
          </w:rPr>
          <w:t>Figure 3.2 Sample size – therapist (Gyani et al., fail to disclose therapist n)</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_Toc46770942 \h </w:instrText>
        </w:r>
        <w:r w:rsidR="00CA7CE1" w:rsidRPr="001F5176">
          <w:rPr>
            <w:noProof/>
            <w:webHidden/>
          </w:rPr>
        </w:r>
        <w:r w:rsidR="00CA7CE1" w:rsidRPr="001F5176">
          <w:rPr>
            <w:noProof/>
            <w:webHidden/>
          </w:rPr>
          <w:fldChar w:fldCharType="separate"/>
        </w:r>
        <w:r>
          <w:rPr>
            <w:noProof/>
            <w:webHidden/>
          </w:rPr>
          <w:t>112</w:t>
        </w:r>
        <w:r w:rsidR="00CA7CE1" w:rsidRPr="001F5176">
          <w:rPr>
            <w:noProof/>
            <w:webHidden/>
          </w:rPr>
          <w:fldChar w:fldCharType="end"/>
        </w:r>
      </w:hyperlink>
    </w:p>
    <w:p w14:paraId="797A66F6" w14:textId="0C6E44A4" w:rsidR="00CA7CE1" w:rsidRPr="001F5176" w:rsidRDefault="00DD38EE">
      <w:pPr>
        <w:pStyle w:val="TableofFigures"/>
        <w:tabs>
          <w:tab w:val="right" w:leader="underscore" w:pos="9010"/>
        </w:tabs>
        <w:rPr>
          <w:rFonts w:asciiTheme="minorHAnsi" w:hAnsiTheme="minorHAnsi"/>
          <w:noProof/>
          <w:szCs w:val="22"/>
          <w:lang w:eastAsia="en-GB"/>
        </w:rPr>
      </w:pPr>
      <w:hyperlink w:anchor="_Toc46770943" w:history="1">
        <w:r w:rsidR="00CA7CE1" w:rsidRPr="001F5176">
          <w:rPr>
            <w:rStyle w:val="Hyperlink"/>
            <w:noProof/>
          </w:rPr>
          <w:t>Figure 3.3 Sample size – patient</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_Toc46770943 \h </w:instrText>
        </w:r>
        <w:r w:rsidR="00CA7CE1" w:rsidRPr="001F5176">
          <w:rPr>
            <w:noProof/>
            <w:webHidden/>
          </w:rPr>
        </w:r>
        <w:r w:rsidR="00CA7CE1" w:rsidRPr="001F5176">
          <w:rPr>
            <w:noProof/>
            <w:webHidden/>
          </w:rPr>
          <w:fldChar w:fldCharType="separate"/>
        </w:r>
        <w:r>
          <w:rPr>
            <w:noProof/>
            <w:webHidden/>
          </w:rPr>
          <w:t>112</w:t>
        </w:r>
        <w:r w:rsidR="00CA7CE1" w:rsidRPr="001F5176">
          <w:rPr>
            <w:noProof/>
            <w:webHidden/>
          </w:rPr>
          <w:fldChar w:fldCharType="end"/>
        </w:r>
      </w:hyperlink>
    </w:p>
    <w:p w14:paraId="67CCEC64" w14:textId="6819032C" w:rsidR="00CA7CE1" w:rsidRPr="001F5176" w:rsidRDefault="00DD38EE">
      <w:pPr>
        <w:pStyle w:val="TableofFigures"/>
        <w:tabs>
          <w:tab w:val="right" w:leader="underscore" w:pos="9010"/>
        </w:tabs>
        <w:rPr>
          <w:rFonts w:asciiTheme="minorHAnsi" w:hAnsiTheme="minorHAnsi"/>
          <w:noProof/>
          <w:szCs w:val="22"/>
          <w:lang w:eastAsia="en-GB"/>
        </w:rPr>
      </w:pPr>
      <w:hyperlink r:id="rId12" w:anchor="_Toc46770944" w:history="1">
        <w:r w:rsidR="00CA7CE1" w:rsidRPr="001F5176">
          <w:rPr>
            <w:rStyle w:val="Hyperlink"/>
            <w:noProof/>
          </w:rPr>
          <w:t>Figure 4.1 Cognitive Theory (Beck, 1967)</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_Toc46770944 \h </w:instrText>
        </w:r>
        <w:r w:rsidR="00CA7CE1" w:rsidRPr="001F5176">
          <w:rPr>
            <w:noProof/>
            <w:webHidden/>
          </w:rPr>
        </w:r>
        <w:r w:rsidR="00CA7CE1" w:rsidRPr="001F5176">
          <w:rPr>
            <w:noProof/>
            <w:webHidden/>
          </w:rPr>
          <w:fldChar w:fldCharType="separate"/>
        </w:r>
        <w:r>
          <w:rPr>
            <w:noProof/>
            <w:webHidden/>
          </w:rPr>
          <w:t>123</w:t>
        </w:r>
        <w:r w:rsidR="00CA7CE1" w:rsidRPr="001F5176">
          <w:rPr>
            <w:noProof/>
            <w:webHidden/>
          </w:rPr>
          <w:fldChar w:fldCharType="end"/>
        </w:r>
      </w:hyperlink>
    </w:p>
    <w:p w14:paraId="3B95B070" w14:textId="444FD327" w:rsidR="00CA7CE1" w:rsidRPr="001F5176" w:rsidRDefault="00DD38EE">
      <w:pPr>
        <w:pStyle w:val="TableofFigures"/>
        <w:tabs>
          <w:tab w:val="right" w:leader="underscore" w:pos="9010"/>
        </w:tabs>
        <w:rPr>
          <w:rFonts w:asciiTheme="minorHAnsi" w:hAnsiTheme="minorHAnsi"/>
          <w:noProof/>
          <w:szCs w:val="22"/>
          <w:lang w:eastAsia="en-GB"/>
        </w:rPr>
      </w:pPr>
      <w:hyperlink r:id="rId13" w:anchor="_Toc46770945" w:history="1">
        <w:r w:rsidR="00CA7CE1" w:rsidRPr="001F5176">
          <w:rPr>
            <w:rStyle w:val="Hyperlink"/>
            <w:noProof/>
          </w:rPr>
          <w:t>Figure 4.2 Beck’s (1979) Cognitive Triad</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_Toc46770945 \h </w:instrText>
        </w:r>
        <w:r w:rsidR="00CA7CE1" w:rsidRPr="001F5176">
          <w:rPr>
            <w:noProof/>
            <w:webHidden/>
          </w:rPr>
        </w:r>
        <w:r w:rsidR="00CA7CE1" w:rsidRPr="001F5176">
          <w:rPr>
            <w:noProof/>
            <w:webHidden/>
          </w:rPr>
          <w:fldChar w:fldCharType="separate"/>
        </w:r>
        <w:r>
          <w:rPr>
            <w:noProof/>
            <w:webHidden/>
          </w:rPr>
          <w:t>124</w:t>
        </w:r>
        <w:r w:rsidR="00CA7CE1" w:rsidRPr="001F5176">
          <w:rPr>
            <w:noProof/>
            <w:webHidden/>
          </w:rPr>
          <w:fldChar w:fldCharType="end"/>
        </w:r>
      </w:hyperlink>
    </w:p>
    <w:p w14:paraId="789E990B" w14:textId="33F147D5" w:rsidR="00CA7CE1" w:rsidRPr="001F5176" w:rsidRDefault="00DD38EE">
      <w:pPr>
        <w:pStyle w:val="TableofFigures"/>
        <w:tabs>
          <w:tab w:val="right" w:leader="underscore" w:pos="9010"/>
        </w:tabs>
        <w:rPr>
          <w:rFonts w:asciiTheme="minorHAnsi" w:hAnsiTheme="minorHAnsi"/>
          <w:noProof/>
          <w:szCs w:val="22"/>
          <w:lang w:eastAsia="en-GB"/>
        </w:rPr>
      </w:pPr>
      <w:hyperlink w:anchor="_Toc46770946" w:history="1">
        <w:r w:rsidR="00CA7CE1" w:rsidRPr="001F5176">
          <w:rPr>
            <w:rStyle w:val="Hyperlink"/>
            <w:noProof/>
          </w:rPr>
          <w:t>Figure 4.3 The Cognitive Model of Skill Acquisition (Bennett-Levy, 2006)</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_Toc46770946 \h </w:instrText>
        </w:r>
        <w:r w:rsidR="00CA7CE1" w:rsidRPr="001F5176">
          <w:rPr>
            <w:noProof/>
            <w:webHidden/>
          </w:rPr>
        </w:r>
        <w:r w:rsidR="00CA7CE1" w:rsidRPr="001F5176">
          <w:rPr>
            <w:noProof/>
            <w:webHidden/>
          </w:rPr>
          <w:fldChar w:fldCharType="separate"/>
        </w:r>
        <w:r>
          <w:rPr>
            <w:noProof/>
            <w:webHidden/>
          </w:rPr>
          <w:t>124</w:t>
        </w:r>
        <w:r w:rsidR="00CA7CE1" w:rsidRPr="001F5176">
          <w:rPr>
            <w:noProof/>
            <w:webHidden/>
          </w:rPr>
          <w:fldChar w:fldCharType="end"/>
        </w:r>
      </w:hyperlink>
    </w:p>
    <w:p w14:paraId="77622B76" w14:textId="0239089B" w:rsidR="00CA7CE1" w:rsidRPr="001F5176" w:rsidRDefault="00DD38EE">
      <w:pPr>
        <w:pStyle w:val="TableofFigures"/>
        <w:tabs>
          <w:tab w:val="right" w:leader="underscore" w:pos="9010"/>
        </w:tabs>
        <w:rPr>
          <w:rFonts w:asciiTheme="minorHAnsi" w:hAnsiTheme="minorHAnsi"/>
          <w:noProof/>
          <w:szCs w:val="22"/>
          <w:lang w:eastAsia="en-GB"/>
        </w:rPr>
      </w:pPr>
      <w:hyperlink w:anchor="_Toc46770947" w:history="1">
        <w:r w:rsidR="00CA7CE1" w:rsidRPr="001F5176">
          <w:rPr>
            <w:rStyle w:val="Hyperlink"/>
            <w:noProof/>
          </w:rPr>
          <w:t>Figure 4.4 The study sample in comparison to the population of BABCP accredited therapists</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_Toc46770947 \h </w:instrText>
        </w:r>
        <w:r w:rsidR="00CA7CE1" w:rsidRPr="001F5176">
          <w:rPr>
            <w:noProof/>
            <w:webHidden/>
          </w:rPr>
        </w:r>
        <w:r w:rsidR="00CA7CE1" w:rsidRPr="001F5176">
          <w:rPr>
            <w:noProof/>
            <w:webHidden/>
          </w:rPr>
          <w:fldChar w:fldCharType="separate"/>
        </w:r>
        <w:r>
          <w:rPr>
            <w:noProof/>
            <w:webHidden/>
          </w:rPr>
          <w:t>128</w:t>
        </w:r>
        <w:r w:rsidR="00CA7CE1" w:rsidRPr="001F5176">
          <w:rPr>
            <w:noProof/>
            <w:webHidden/>
          </w:rPr>
          <w:fldChar w:fldCharType="end"/>
        </w:r>
      </w:hyperlink>
    </w:p>
    <w:p w14:paraId="0C2A4070" w14:textId="1EDE88A5" w:rsidR="00CA7CE1" w:rsidRPr="001F5176" w:rsidRDefault="00DD38EE">
      <w:pPr>
        <w:pStyle w:val="TableofFigures"/>
        <w:tabs>
          <w:tab w:val="right" w:leader="underscore" w:pos="9010"/>
        </w:tabs>
        <w:rPr>
          <w:rFonts w:asciiTheme="minorHAnsi" w:hAnsiTheme="minorHAnsi"/>
          <w:noProof/>
          <w:szCs w:val="22"/>
          <w:lang w:eastAsia="en-GB"/>
        </w:rPr>
      </w:pPr>
      <w:hyperlink w:anchor="_Toc46770948" w:history="1">
        <w:r w:rsidR="00CA7CE1" w:rsidRPr="001F5176">
          <w:rPr>
            <w:rStyle w:val="Hyperlink"/>
            <w:noProof/>
          </w:rPr>
          <w:t>Figure 5.1 Years of post-qualification experience showing that most therapist had been qualified for 11 years or fewer</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_Toc46770948 \h </w:instrText>
        </w:r>
        <w:r w:rsidR="00CA7CE1" w:rsidRPr="001F5176">
          <w:rPr>
            <w:noProof/>
            <w:webHidden/>
          </w:rPr>
        </w:r>
        <w:r w:rsidR="00CA7CE1" w:rsidRPr="001F5176">
          <w:rPr>
            <w:noProof/>
            <w:webHidden/>
          </w:rPr>
          <w:fldChar w:fldCharType="separate"/>
        </w:r>
        <w:r>
          <w:rPr>
            <w:noProof/>
            <w:webHidden/>
          </w:rPr>
          <w:t>149</w:t>
        </w:r>
        <w:r w:rsidR="00CA7CE1" w:rsidRPr="001F5176">
          <w:rPr>
            <w:noProof/>
            <w:webHidden/>
          </w:rPr>
          <w:fldChar w:fldCharType="end"/>
        </w:r>
      </w:hyperlink>
    </w:p>
    <w:p w14:paraId="4BF6B1D3" w14:textId="0568D705" w:rsidR="00CA7CE1" w:rsidRPr="001F5176" w:rsidRDefault="00DD38EE">
      <w:pPr>
        <w:pStyle w:val="TableofFigures"/>
        <w:tabs>
          <w:tab w:val="right" w:leader="underscore" w:pos="9010"/>
        </w:tabs>
        <w:rPr>
          <w:rFonts w:asciiTheme="minorHAnsi" w:hAnsiTheme="minorHAnsi"/>
          <w:noProof/>
          <w:szCs w:val="22"/>
          <w:lang w:eastAsia="en-GB"/>
        </w:rPr>
      </w:pPr>
      <w:hyperlink w:anchor="_Toc46770949" w:history="1">
        <w:r w:rsidR="00CA7CE1" w:rsidRPr="001F5176">
          <w:rPr>
            <w:rStyle w:val="Hyperlink"/>
            <w:noProof/>
          </w:rPr>
          <w:t>Figure 5.2 Distribution plot for F scores</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_Toc46770949 \h </w:instrText>
        </w:r>
        <w:r w:rsidR="00CA7CE1" w:rsidRPr="001F5176">
          <w:rPr>
            <w:noProof/>
            <w:webHidden/>
          </w:rPr>
        </w:r>
        <w:r w:rsidR="00CA7CE1" w:rsidRPr="001F5176">
          <w:rPr>
            <w:noProof/>
            <w:webHidden/>
          </w:rPr>
          <w:fldChar w:fldCharType="separate"/>
        </w:r>
        <w:r>
          <w:rPr>
            <w:noProof/>
            <w:webHidden/>
          </w:rPr>
          <w:t>151</w:t>
        </w:r>
        <w:r w:rsidR="00CA7CE1" w:rsidRPr="001F5176">
          <w:rPr>
            <w:noProof/>
            <w:webHidden/>
          </w:rPr>
          <w:fldChar w:fldCharType="end"/>
        </w:r>
      </w:hyperlink>
    </w:p>
    <w:p w14:paraId="5210BAC7" w14:textId="7E68F5C9" w:rsidR="00CA7CE1" w:rsidRPr="001F5176" w:rsidRDefault="00DD38EE">
      <w:pPr>
        <w:pStyle w:val="TableofFigures"/>
        <w:tabs>
          <w:tab w:val="right" w:leader="underscore" w:pos="9010"/>
        </w:tabs>
        <w:rPr>
          <w:rFonts w:asciiTheme="minorHAnsi" w:hAnsiTheme="minorHAnsi"/>
          <w:noProof/>
          <w:szCs w:val="22"/>
          <w:lang w:eastAsia="en-GB"/>
        </w:rPr>
      </w:pPr>
      <w:hyperlink w:anchor="_Toc46770950" w:history="1">
        <w:r w:rsidR="00CA7CE1" w:rsidRPr="001F5176">
          <w:rPr>
            <w:rStyle w:val="Hyperlink"/>
            <w:noProof/>
          </w:rPr>
          <w:t>Figure 5.3 Distribution plot for A scores</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_Toc46770950 \h </w:instrText>
        </w:r>
        <w:r w:rsidR="00CA7CE1" w:rsidRPr="001F5176">
          <w:rPr>
            <w:noProof/>
            <w:webHidden/>
          </w:rPr>
        </w:r>
        <w:r w:rsidR="00CA7CE1" w:rsidRPr="001F5176">
          <w:rPr>
            <w:noProof/>
            <w:webHidden/>
          </w:rPr>
          <w:fldChar w:fldCharType="separate"/>
        </w:r>
        <w:r>
          <w:rPr>
            <w:noProof/>
            <w:webHidden/>
          </w:rPr>
          <w:t>152</w:t>
        </w:r>
        <w:r w:rsidR="00CA7CE1" w:rsidRPr="001F5176">
          <w:rPr>
            <w:noProof/>
            <w:webHidden/>
          </w:rPr>
          <w:fldChar w:fldCharType="end"/>
        </w:r>
      </w:hyperlink>
    </w:p>
    <w:p w14:paraId="66DA36F0" w14:textId="654D42F0" w:rsidR="00CA7CE1" w:rsidRPr="001F5176" w:rsidRDefault="00DD38EE">
      <w:pPr>
        <w:pStyle w:val="TableofFigures"/>
        <w:tabs>
          <w:tab w:val="right" w:leader="underscore" w:pos="9010"/>
        </w:tabs>
        <w:rPr>
          <w:rFonts w:asciiTheme="minorHAnsi" w:hAnsiTheme="minorHAnsi"/>
          <w:noProof/>
          <w:szCs w:val="22"/>
          <w:lang w:eastAsia="en-GB"/>
        </w:rPr>
      </w:pPr>
      <w:hyperlink w:anchor="_Toc46770951" w:history="1">
        <w:r w:rsidR="00CA7CE1" w:rsidRPr="001F5176">
          <w:rPr>
            <w:rStyle w:val="Hyperlink"/>
            <w:noProof/>
          </w:rPr>
          <w:t>Figure 5.4 Distribution plot for patient recovery rate</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_Toc46770951 \h </w:instrText>
        </w:r>
        <w:r w:rsidR="00CA7CE1" w:rsidRPr="001F5176">
          <w:rPr>
            <w:noProof/>
            <w:webHidden/>
          </w:rPr>
        </w:r>
        <w:r w:rsidR="00CA7CE1" w:rsidRPr="001F5176">
          <w:rPr>
            <w:noProof/>
            <w:webHidden/>
          </w:rPr>
          <w:fldChar w:fldCharType="separate"/>
        </w:r>
        <w:r>
          <w:rPr>
            <w:noProof/>
            <w:webHidden/>
          </w:rPr>
          <w:t>153</w:t>
        </w:r>
        <w:r w:rsidR="00CA7CE1" w:rsidRPr="001F5176">
          <w:rPr>
            <w:noProof/>
            <w:webHidden/>
          </w:rPr>
          <w:fldChar w:fldCharType="end"/>
        </w:r>
      </w:hyperlink>
    </w:p>
    <w:p w14:paraId="5C7A7C70" w14:textId="0DAB2C47" w:rsidR="00CA7CE1" w:rsidRPr="001F5176" w:rsidRDefault="00DD38EE">
      <w:pPr>
        <w:pStyle w:val="TableofFigures"/>
        <w:tabs>
          <w:tab w:val="right" w:leader="underscore" w:pos="9010"/>
        </w:tabs>
        <w:rPr>
          <w:rFonts w:asciiTheme="minorHAnsi" w:hAnsiTheme="minorHAnsi"/>
          <w:noProof/>
          <w:szCs w:val="22"/>
          <w:lang w:eastAsia="en-GB"/>
        </w:rPr>
      </w:pPr>
      <w:hyperlink r:id="rId14" w:anchor="_Toc46770952" w:history="1">
        <w:r w:rsidR="00CA7CE1" w:rsidRPr="001F5176">
          <w:rPr>
            <w:rStyle w:val="Hyperlink"/>
            <w:noProof/>
          </w:rPr>
          <w:t>Figure 5.5 Distribution plot for patient reliable improvement rate</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_Toc46770952 \h </w:instrText>
        </w:r>
        <w:r w:rsidR="00CA7CE1" w:rsidRPr="001F5176">
          <w:rPr>
            <w:noProof/>
            <w:webHidden/>
          </w:rPr>
        </w:r>
        <w:r w:rsidR="00CA7CE1" w:rsidRPr="001F5176">
          <w:rPr>
            <w:noProof/>
            <w:webHidden/>
          </w:rPr>
          <w:fldChar w:fldCharType="separate"/>
        </w:r>
        <w:r>
          <w:rPr>
            <w:noProof/>
            <w:webHidden/>
          </w:rPr>
          <w:t>154</w:t>
        </w:r>
        <w:r w:rsidR="00CA7CE1" w:rsidRPr="001F5176">
          <w:rPr>
            <w:noProof/>
            <w:webHidden/>
          </w:rPr>
          <w:fldChar w:fldCharType="end"/>
        </w:r>
      </w:hyperlink>
    </w:p>
    <w:p w14:paraId="6204BA10" w14:textId="57E1B54C" w:rsidR="00CA7CE1" w:rsidRPr="001F5176" w:rsidRDefault="00DD38EE">
      <w:pPr>
        <w:pStyle w:val="TableofFigures"/>
        <w:tabs>
          <w:tab w:val="right" w:leader="underscore" w:pos="9010"/>
        </w:tabs>
        <w:rPr>
          <w:rFonts w:asciiTheme="minorHAnsi" w:hAnsiTheme="minorHAnsi"/>
          <w:noProof/>
          <w:szCs w:val="22"/>
          <w:lang w:eastAsia="en-GB"/>
        </w:rPr>
      </w:pPr>
      <w:hyperlink w:anchor="_Toc46770953" w:history="1">
        <w:r w:rsidR="00CA7CE1" w:rsidRPr="001F5176">
          <w:rPr>
            <w:rStyle w:val="Hyperlink"/>
            <w:bCs/>
            <w:noProof/>
          </w:rPr>
          <w:t>Figure 5.6</w:t>
        </w:r>
        <w:r w:rsidR="00CA7CE1" w:rsidRPr="001F5176">
          <w:rPr>
            <w:rStyle w:val="Hyperlink"/>
            <w:noProof/>
          </w:rPr>
          <w:t xml:space="preserve"> </w:t>
        </w:r>
        <w:r w:rsidR="00CA7CE1" w:rsidRPr="001F5176">
          <w:rPr>
            <w:rStyle w:val="Hyperlink"/>
            <w:bCs/>
            <w:noProof/>
          </w:rPr>
          <w:t>Scatter plot of years qualified and recovery rate</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_Toc46770953 \h </w:instrText>
        </w:r>
        <w:r w:rsidR="00CA7CE1" w:rsidRPr="001F5176">
          <w:rPr>
            <w:noProof/>
            <w:webHidden/>
          </w:rPr>
        </w:r>
        <w:r w:rsidR="00CA7CE1" w:rsidRPr="001F5176">
          <w:rPr>
            <w:noProof/>
            <w:webHidden/>
          </w:rPr>
          <w:fldChar w:fldCharType="separate"/>
        </w:r>
        <w:r>
          <w:rPr>
            <w:noProof/>
            <w:webHidden/>
          </w:rPr>
          <w:t>157</w:t>
        </w:r>
        <w:r w:rsidR="00CA7CE1" w:rsidRPr="001F5176">
          <w:rPr>
            <w:noProof/>
            <w:webHidden/>
          </w:rPr>
          <w:fldChar w:fldCharType="end"/>
        </w:r>
      </w:hyperlink>
    </w:p>
    <w:p w14:paraId="6A62EECC" w14:textId="3D532B1A" w:rsidR="00CA7CE1" w:rsidRPr="001F5176" w:rsidRDefault="00DD38EE">
      <w:pPr>
        <w:pStyle w:val="TableofFigures"/>
        <w:tabs>
          <w:tab w:val="right" w:leader="underscore" w:pos="9010"/>
        </w:tabs>
        <w:rPr>
          <w:rFonts w:asciiTheme="minorHAnsi" w:hAnsiTheme="minorHAnsi"/>
          <w:noProof/>
          <w:szCs w:val="22"/>
          <w:lang w:eastAsia="en-GB"/>
        </w:rPr>
      </w:pPr>
      <w:hyperlink w:anchor="_Toc46770954" w:history="1">
        <w:r w:rsidR="00CA7CE1" w:rsidRPr="001F5176">
          <w:rPr>
            <w:rStyle w:val="Hyperlink"/>
            <w:noProof/>
          </w:rPr>
          <w:t>Figure 5.7 Scatter plot showing positive regression line for recovery rate</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_Toc46770954 \h </w:instrText>
        </w:r>
        <w:r w:rsidR="00CA7CE1" w:rsidRPr="001F5176">
          <w:rPr>
            <w:noProof/>
            <w:webHidden/>
          </w:rPr>
        </w:r>
        <w:r w:rsidR="00CA7CE1" w:rsidRPr="001F5176">
          <w:rPr>
            <w:noProof/>
            <w:webHidden/>
          </w:rPr>
          <w:fldChar w:fldCharType="separate"/>
        </w:r>
        <w:r>
          <w:rPr>
            <w:noProof/>
            <w:webHidden/>
          </w:rPr>
          <w:t>160</w:t>
        </w:r>
        <w:r w:rsidR="00CA7CE1" w:rsidRPr="001F5176">
          <w:rPr>
            <w:noProof/>
            <w:webHidden/>
          </w:rPr>
          <w:fldChar w:fldCharType="end"/>
        </w:r>
      </w:hyperlink>
    </w:p>
    <w:p w14:paraId="706FF308" w14:textId="0B8ACB1D" w:rsidR="00CA7CE1" w:rsidRPr="001F5176" w:rsidRDefault="00DD38EE">
      <w:pPr>
        <w:pStyle w:val="TableofFigures"/>
        <w:tabs>
          <w:tab w:val="right" w:leader="underscore" w:pos="9010"/>
        </w:tabs>
        <w:rPr>
          <w:rFonts w:asciiTheme="minorHAnsi" w:hAnsiTheme="minorHAnsi"/>
          <w:noProof/>
          <w:szCs w:val="22"/>
          <w:lang w:eastAsia="en-GB"/>
        </w:rPr>
      </w:pPr>
      <w:hyperlink w:anchor="_Toc46770955" w:history="1">
        <w:r w:rsidR="00CA7CE1" w:rsidRPr="001F5176">
          <w:rPr>
            <w:rStyle w:val="Hyperlink"/>
            <w:noProof/>
          </w:rPr>
          <w:t>Figure 5.8 Scatter plot showing positive regression line for reliable improvement rate</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_Toc46770955 \h </w:instrText>
        </w:r>
        <w:r w:rsidR="00CA7CE1" w:rsidRPr="001F5176">
          <w:rPr>
            <w:noProof/>
            <w:webHidden/>
          </w:rPr>
        </w:r>
        <w:r w:rsidR="00CA7CE1" w:rsidRPr="001F5176">
          <w:rPr>
            <w:noProof/>
            <w:webHidden/>
          </w:rPr>
          <w:fldChar w:fldCharType="separate"/>
        </w:r>
        <w:r>
          <w:rPr>
            <w:noProof/>
            <w:webHidden/>
          </w:rPr>
          <w:t>161</w:t>
        </w:r>
        <w:r w:rsidR="00CA7CE1" w:rsidRPr="001F5176">
          <w:rPr>
            <w:noProof/>
            <w:webHidden/>
          </w:rPr>
          <w:fldChar w:fldCharType="end"/>
        </w:r>
      </w:hyperlink>
    </w:p>
    <w:p w14:paraId="11CB5B77" w14:textId="74D38447" w:rsidR="00CA7CE1" w:rsidRPr="001F5176" w:rsidRDefault="00DD38EE">
      <w:pPr>
        <w:pStyle w:val="TableofFigures"/>
        <w:tabs>
          <w:tab w:val="right" w:leader="underscore" w:pos="9010"/>
        </w:tabs>
        <w:rPr>
          <w:rFonts w:asciiTheme="minorHAnsi" w:hAnsiTheme="minorHAnsi"/>
          <w:noProof/>
          <w:szCs w:val="22"/>
          <w:lang w:eastAsia="en-GB"/>
        </w:rPr>
      </w:pPr>
      <w:hyperlink w:anchor="_Toc46770956" w:history="1">
        <w:r w:rsidR="00CA7CE1" w:rsidRPr="001F5176">
          <w:rPr>
            <w:rStyle w:val="Hyperlink"/>
            <w:noProof/>
          </w:rPr>
          <w:t>Figure 5.9 Scatter plot of F score and recovery rate</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_Toc46770956 \h </w:instrText>
        </w:r>
        <w:r w:rsidR="00CA7CE1" w:rsidRPr="001F5176">
          <w:rPr>
            <w:noProof/>
            <w:webHidden/>
          </w:rPr>
        </w:r>
        <w:r w:rsidR="00CA7CE1" w:rsidRPr="001F5176">
          <w:rPr>
            <w:noProof/>
            <w:webHidden/>
          </w:rPr>
          <w:fldChar w:fldCharType="separate"/>
        </w:r>
        <w:r>
          <w:rPr>
            <w:noProof/>
            <w:webHidden/>
          </w:rPr>
          <w:t>162</w:t>
        </w:r>
        <w:r w:rsidR="00CA7CE1" w:rsidRPr="001F5176">
          <w:rPr>
            <w:noProof/>
            <w:webHidden/>
          </w:rPr>
          <w:fldChar w:fldCharType="end"/>
        </w:r>
      </w:hyperlink>
    </w:p>
    <w:p w14:paraId="4180AAE3" w14:textId="502949EC" w:rsidR="00CA7CE1" w:rsidRPr="001F5176" w:rsidRDefault="00DD38EE">
      <w:pPr>
        <w:pStyle w:val="TableofFigures"/>
        <w:tabs>
          <w:tab w:val="right" w:leader="underscore" w:pos="9010"/>
        </w:tabs>
        <w:rPr>
          <w:rFonts w:asciiTheme="minorHAnsi" w:hAnsiTheme="minorHAnsi"/>
          <w:noProof/>
          <w:szCs w:val="22"/>
          <w:lang w:eastAsia="en-GB"/>
        </w:rPr>
      </w:pPr>
      <w:hyperlink w:anchor="_Toc46770957" w:history="1">
        <w:r w:rsidR="00CA7CE1" w:rsidRPr="001F5176">
          <w:rPr>
            <w:rStyle w:val="Hyperlink"/>
            <w:bCs/>
            <w:noProof/>
          </w:rPr>
          <w:t>Figure 5.10</w:t>
        </w:r>
        <w:r w:rsidR="00CA7CE1" w:rsidRPr="001F5176">
          <w:rPr>
            <w:rStyle w:val="Hyperlink"/>
            <w:noProof/>
          </w:rPr>
          <w:t xml:space="preserve"> </w:t>
        </w:r>
        <w:r w:rsidR="00CA7CE1" w:rsidRPr="001F5176">
          <w:rPr>
            <w:rStyle w:val="Hyperlink"/>
            <w:bCs/>
            <w:noProof/>
          </w:rPr>
          <w:t>Scatter plot of F score and reliable improvement rate</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_Toc46770957 \h </w:instrText>
        </w:r>
        <w:r w:rsidR="00CA7CE1" w:rsidRPr="001F5176">
          <w:rPr>
            <w:noProof/>
            <w:webHidden/>
          </w:rPr>
        </w:r>
        <w:r w:rsidR="00CA7CE1" w:rsidRPr="001F5176">
          <w:rPr>
            <w:noProof/>
            <w:webHidden/>
          </w:rPr>
          <w:fldChar w:fldCharType="separate"/>
        </w:r>
        <w:r>
          <w:rPr>
            <w:noProof/>
            <w:webHidden/>
          </w:rPr>
          <w:t>163</w:t>
        </w:r>
        <w:r w:rsidR="00CA7CE1" w:rsidRPr="001F5176">
          <w:rPr>
            <w:noProof/>
            <w:webHidden/>
          </w:rPr>
          <w:fldChar w:fldCharType="end"/>
        </w:r>
      </w:hyperlink>
    </w:p>
    <w:p w14:paraId="0028AB53" w14:textId="072E58EC" w:rsidR="00CA7CE1" w:rsidRPr="001F5176" w:rsidRDefault="00DD38EE">
      <w:pPr>
        <w:pStyle w:val="TableofFigures"/>
        <w:tabs>
          <w:tab w:val="right" w:leader="underscore" w:pos="9010"/>
        </w:tabs>
        <w:rPr>
          <w:rFonts w:asciiTheme="minorHAnsi" w:hAnsiTheme="minorHAnsi"/>
          <w:noProof/>
          <w:szCs w:val="22"/>
          <w:lang w:eastAsia="en-GB"/>
        </w:rPr>
      </w:pPr>
      <w:hyperlink w:anchor="_Toc46770958" w:history="1">
        <w:r w:rsidR="00CA7CE1" w:rsidRPr="001F5176">
          <w:rPr>
            <w:rStyle w:val="Hyperlink"/>
            <w:noProof/>
          </w:rPr>
          <w:t>Figure 5.11 Histogram showing normal distributed standardised residuals</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_Toc46770958 \h </w:instrText>
        </w:r>
        <w:r w:rsidR="00CA7CE1" w:rsidRPr="001F5176">
          <w:rPr>
            <w:noProof/>
            <w:webHidden/>
          </w:rPr>
        </w:r>
        <w:r w:rsidR="00CA7CE1" w:rsidRPr="001F5176">
          <w:rPr>
            <w:noProof/>
            <w:webHidden/>
          </w:rPr>
          <w:fldChar w:fldCharType="separate"/>
        </w:r>
        <w:r>
          <w:rPr>
            <w:noProof/>
            <w:webHidden/>
          </w:rPr>
          <w:t>164</w:t>
        </w:r>
        <w:r w:rsidR="00CA7CE1" w:rsidRPr="001F5176">
          <w:rPr>
            <w:noProof/>
            <w:webHidden/>
          </w:rPr>
          <w:fldChar w:fldCharType="end"/>
        </w:r>
      </w:hyperlink>
    </w:p>
    <w:p w14:paraId="33412EFF" w14:textId="1FCB3589" w:rsidR="00CA7CE1" w:rsidRPr="001F5176" w:rsidRDefault="00DD38EE">
      <w:pPr>
        <w:pStyle w:val="TableofFigures"/>
        <w:tabs>
          <w:tab w:val="right" w:leader="underscore" w:pos="9010"/>
        </w:tabs>
        <w:rPr>
          <w:rFonts w:asciiTheme="minorHAnsi" w:hAnsiTheme="minorHAnsi"/>
          <w:noProof/>
          <w:szCs w:val="22"/>
          <w:lang w:eastAsia="en-GB"/>
        </w:rPr>
      </w:pPr>
      <w:hyperlink w:anchor="_Toc46770959" w:history="1">
        <w:r w:rsidR="00CA7CE1" w:rsidRPr="001F5176">
          <w:rPr>
            <w:rStyle w:val="Hyperlink"/>
            <w:noProof/>
          </w:rPr>
          <w:t>Figure 5.12 Loglinear analysis ‘saturated model’ showing all 28 possible interactions</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_Toc46770959 \h </w:instrText>
        </w:r>
        <w:r w:rsidR="00CA7CE1" w:rsidRPr="001F5176">
          <w:rPr>
            <w:noProof/>
            <w:webHidden/>
          </w:rPr>
        </w:r>
        <w:r w:rsidR="00CA7CE1" w:rsidRPr="001F5176">
          <w:rPr>
            <w:noProof/>
            <w:webHidden/>
          </w:rPr>
          <w:fldChar w:fldCharType="separate"/>
        </w:r>
        <w:r>
          <w:rPr>
            <w:noProof/>
            <w:webHidden/>
          </w:rPr>
          <w:t>175</w:t>
        </w:r>
        <w:r w:rsidR="00CA7CE1" w:rsidRPr="001F5176">
          <w:rPr>
            <w:noProof/>
            <w:webHidden/>
          </w:rPr>
          <w:fldChar w:fldCharType="end"/>
        </w:r>
      </w:hyperlink>
    </w:p>
    <w:p w14:paraId="66B4CE0B" w14:textId="6C9E0E4C" w:rsidR="00CA7CE1" w:rsidRPr="001F5176" w:rsidRDefault="00DD38EE">
      <w:pPr>
        <w:pStyle w:val="TableofFigures"/>
        <w:tabs>
          <w:tab w:val="right" w:leader="underscore" w:pos="9010"/>
        </w:tabs>
        <w:rPr>
          <w:rFonts w:asciiTheme="minorHAnsi" w:hAnsiTheme="minorHAnsi"/>
          <w:noProof/>
          <w:szCs w:val="22"/>
          <w:lang w:eastAsia="en-GB"/>
        </w:rPr>
      </w:pPr>
      <w:hyperlink w:anchor="_Toc46770960" w:history="1">
        <w:r w:rsidR="00CA7CE1" w:rsidRPr="001F5176">
          <w:rPr>
            <w:rStyle w:val="Hyperlink"/>
            <w:noProof/>
            <w:lang w:val="en-US"/>
          </w:rPr>
          <w:t xml:space="preserve">Figure 5.13 </w:t>
        </w:r>
        <w:r w:rsidR="00CA7CE1" w:rsidRPr="001F5176">
          <w:rPr>
            <w:rStyle w:val="Hyperlink"/>
            <w:bCs/>
            <w:noProof/>
            <w:lang w:val="en-US"/>
          </w:rPr>
          <w:t>The Hierarchical Loglinear ‘fitted model’ showing how the model eliminates non- significant links, one at a time until only significant links remain</w:t>
        </w:r>
        <w:r w:rsidR="00CA7CE1" w:rsidRPr="001F5176">
          <w:rPr>
            <w:rStyle w:val="Hyperlink"/>
            <w:noProof/>
            <w:lang w:val="en-US"/>
          </w:rPr>
          <w:t>.</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_Toc46770960 \h </w:instrText>
        </w:r>
        <w:r w:rsidR="00CA7CE1" w:rsidRPr="001F5176">
          <w:rPr>
            <w:noProof/>
            <w:webHidden/>
          </w:rPr>
        </w:r>
        <w:r w:rsidR="00CA7CE1" w:rsidRPr="001F5176">
          <w:rPr>
            <w:noProof/>
            <w:webHidden/>
          </w:rPr>
          <w:fldChar w:fldCharType="separate"/>
        </w:r>
        <w:r>
          <w:rPr>
            <w:noProof/>
            <w:webHidden/>
          </w:rPr>
          <w:t>176</w:t>
        </w:r>
        <w:r w:rsidR="00CA7CE1" w:rsidRPr="001F5176">
          <w:rPr>
            <w:noProof/>
            <w:webHidden/>
          </w:rPr>
          <w:fldChar w:fldCharType="end"/>
        </w:r>
      </w:hyperlink>
    </w:p>
    <w:p w14:paraId="41516951" w14:textId="7ADB814F" w:rsidR="00CA7CE1" w:rsidRPr="001F5176" w:rsidRDefault="00DD38EE">
      <w:pPr>
        <w:pStyle w:val="TableofFigures"/>
        <w:tabs>
          <w:tab w:val="right" w:leader="underscore" w:pos="9010"/>
        </w:tabs>
        <w:rPr>
          <w:rFonts w:asciiTheme="minorHAnsi" w:hAnsiTheme="minorHAnsi"/>
          <w:noProof/>
          <w:szCs w:val="22"/>
          <w:lang w:eastAsia="en-GB"/>
        </w:rPr>
      </w:pPr>
      <w:hyperlink w:anchor="_Toc46770961" w:history="1">
        <w:r w:rsidR="00CA7CE1" w:rsidRPr="001F5176">
          <w:rPr>
            <w:rStyle w:val="Hyperlink"/>
            <w:bCs/>
            <w:noProof/>
          </w:rPr>
          <w:t>Figure 5.14</w:t>
        </w:r>
        <w:r w:rsidR="00CA7CE1" w:rsidRPr="001F5176">
          <w:rPr>
            <w:rStyle w:val="Hyperlink"/>
            <w:noProof/>
          </w:rPr>
          <w:t xml:space="preserve"> </w:t>
        </w:r>
        <w:r w:rsidR="00CA7CE1" w:rsidRPr="001F5176">
          <w:rPr>
            <w:rStyle w:val="Hyperlink"/>
            <w:bCs/>
            <w:noProof/>
          </w:rPr>
          <w:t>The final model showing associations between the variables</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_Toc46770961 \h </w:instrText>
        </w:r>
        <w:r w:rsidR="00CA7CE1" w:rsidRPr="001F5176">
          <w:rPr>
            <w:noProof/>
            <w:webHidden/>
          </w:rPr>
        </w:r>
        <w:r w:rsidR="00CA7CE1" w:rsidRPr="001F5176">
          <w:rPr>
            <w:noProof/>
            <w:webHidden/>
          </w:rPr>
          <w:fldChar w:fldCharType="separate"/>
        </w:r>
        <w:r>
          <w:rPr>
            <w:noProof/>
            <w:webHidden/>
          </w:rPr>
          <w:t>179</w:t>
        </w:r>
        <w:r w:rsidR="00CA7CE1" w:rsidRPr="001F5176">
          <w:rPr>
            <w:noProof/>
            <w:webHidden/>
          </w:rPr>
          <w:fldChar w:fldCharType="end"/>
        </w:r>
      </w:hyperlink>
    </w:p>
    <w:p w14:paraId="6B4222C9" w14:textId="646F2F2E" w:rsidR="00CA7CE1" w:rsidRPr="001F5176" w:rsidRDefault="00DD38EE">
      <w:pPr>
        <w:pStyle w:val="TableofFigures"/>
        <w:tabs>
          <w:tab w:val="right" w:leader="underscore" w:pos="9010"/>
        </w:tabs>
        <w:rPr>
          <w:rFonts w:asciiTheme="minorHAnsi" w:hAnsiTheme="minorHAnsi"/>
          <w:noProof/>
          <w:szCs w:val="22"/>
          <w:lang w:eastAsia="en-GB"/>
        </w:rPr>
      </w:pPr>
      <w:hyperlink w:anchor="_Toc46770962" w:history="1">
        <w:r w:rsidR="00CA7CE1" w:rsidRPr="001F5176">
          <w:rPr>
            <w:rStyle w:val="Hyperlink"/>
            <w:noProof/>
          </w:rPr>
          <w:t>Figure 6.1 This research in the context of the research relating to IAPT. The figure is a metaphorical representation of how the relevant literature has been built on top of the evidence-base for CBT (horizontal line across the diagram). The evidence base represents the foundational structure which underpins research in the context of IAPT. Gradually new layers of research are added to the structure including, therapist effects studies, therapist demographics studies and the research reported in this thesis.</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_Toc46770962 \h </w:instrText>
        </w:r>
        <w:r w:rsidR="00CA7CE1" w:rsidRPr="001F5176">
          <w:rPr>
            <w:noProof/>
            <w:webHidden/>
          </w:rPr>
        </w:r>
        <w:r w:rsidR="00CA7CE1" w:rsidRPr="001F5176">
          <w:rPr>
            <w:noProof/>
            <w:webHidden/>
          </w:rPr>
          <w:fldChar w:fldCharType="separate"/>
        </w:r>
        <w:r>
          <w:rPr>
            <w:noProof/>
            <w:webHidden/>
          </w:rPr>
          <w:t>185</w:t>
        </w:r>
        <w:r w:rsidR="00CA7CE1" w:rsidRPr="001F5176">
          <w:rPr>
            <w:noProof/>
            <w:webHidden/>
          </w:rPr>
          <w:fldChar w:fldCharType="end"/>
        </w:r>
      </w:hyperlink>
    </w:p>
    <w:p w14:paraId="633D7B78" w14:textId="6543D492" w:rsidR="00CA7CE1" w:rsidRPr="001F5176" w:rsidRDefault="00DD38EE">
      <w:pPr>
        <w:pStyle w:val="TableofFigures"/>
        <w:tabs>
          <w:tab w:val="right" w:leader="underscore" w:pos="9010"/>
        </w:tabs>
        <w:rPr>
          <w:rFonts w:asciiTheme="minorHAnsi" w:hAnsiTheme="minorHAnsi"/>
          <w:noProof/>
          <w:szCs w:val="22"/>
          <w:lang w:eastAsia="en-GB"/>
        </w:rPr>
      </w:pPr>
      <w:hyperlink w:anchor="_Toc46770963" w:history="1">
        <w:r w:rsidR="00CA7CE1" w:rsidRPr="001F5176">
          <w:rPr>
            <w:rStyle w:val="Hyperlink"/>
            <w:noProof/>
          </w:rPr>
          <w:t>Figure 6.2 Patients nested in therapists</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_Toc46770963 \h </w:instrText>
        </w:r>
        <w:r w:rsidR="00CA7CE1" w:rsidRPr="001F5176">
          <w:rPr>
            <w:noProof/>
            <w:webHidden/>
          </w:rPr>
        </w:r>
        <w:r w:rsidR="00CA7CE1" w:rsidRPr="001F5176">
          <w:rPr>
            <w:noProof/>
            <w:webHidden/>
          </w:rPr>
          <w:fldChar w:fldCharType="separate"/>
        </w:r>
        <w:r>
          <w:rPr>
            <w:noProof/>
            <w:webHidden/>
          </w:rPr>
          <w:t>189</w:t>
        </w:r>
        <w:r w:rsidR="00CA7CE1" w:rsidRPr="001F5176">
          <w:rPr>
            <w:noProof/>
            <w:webHidden/>
          </w:rPr>
          <w:fldChar w:fldCharType="end"/>
        </w:r>
      </w:hyperlink>
    </w:p>
    <w:p w14:paraId="48B68D93" w14:textId="60306F47" w:rsidR="00CA7CE1" w:rsidRPr="001F5176" w:rsidRDefault="00DD38EE">
      <w:pPr>
        <w:pStyle w:val="TableofFigures"/>
        <w:tabs>
          <w:tab w:val="right" w:leader="underscore" w:pos="9010"/>
        </w:tabs>
        <w:rPr>
          <w:rFonts w:asciiTheme="minorHAnsi" w:hAnsiTheme="minorHAnsi"/>
          <w:noProof/>
          <w:szCs w:val="22"/>
          <w:lang w:eastAsia="en-GB"/>
        </w:rPr>
      </w:pPr>
      <w:hyperlink w:anchor="_Toc46770964" w:history="1">
        <w:r w:rsidR="00CA7CE1" w:rsidRPr="001F5176">
          <w:rPr>
            <w:rStyle w:val="Hyperlink"/>
            <w:noProof/>
          </w:rPr>
          <w:t>Figure 6.3  Distribution of A scores, showing those therapists (in red) who demonstrated little or no adherence in the 3 episodes of care assessed</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_Toc46770964 \h </w:instrText>
        </w:r>
        <w:r w:rsidR="00CA7CE1" w:rsidRPr="001F5176">
          <w:rPr>
            <w:noProof/>
            <w:webHidden/>
          </w:rPr>
        </w:r>
        <w:r w:rsidR="00CA7CE1" w:rsidRPr="001F5176">
          <w:rPr>
            <w:noProof/>
            <w:webHidden/>
          </w:rPr>
          <w:fldChar w:fldCharType="separate"/>
        </w:r>
        <w:r>
          <w:rPr>
            <w:noProof/>
            <w:webHidden/>
          </w:rPr>
          <w:t>198</w:t>
        </w:r>
        <w:r w:rsidR="00CA7CE1" w:rsidRPr="001F5176">
          <w:rPr>
            <w:noProof/>
            <w:webHidden/>
          </w:rPr>
          <w:fldChar w:fldCharType="end"/>
        </w:r>
      </w:hyperlink>
    </w:p>
    <w:p w14:paraId="1E621838" w14:textId="0D48EE12" w:rsidR="00CA7CE1" w:rsidRPr="001F5176" w:rsidRDefault="00DD38EE">
      <w:pPr>
        <w:pStyle w:val="TableofFigures"/>
        <w:tabs>
          <w:tab w:val="right" w:leader="underscore" w:pos="9010"/>
        </w:tabs>
        <w:rPr>
          <w:rFonts w:asciiTheme="minorHAnsi" w:hAnsiTheme="minorHAnsi"/>
          <w:noProof/>
          <w:szCs w:val="22"/>
          <w:lang w:eastAsia="en-GB"/>
        </w:rPr>
      </w:pPr>
      <w:hyperlink w:anchor="_Toc46770965" w:history="1">
        <w:r w:rsidR="00CA7CE1" w:rsidRPr="001F5176">
          <w:rPr>
            <w:rStyle w:val="Hyperlink"/>
            <w:noProof/>
          </w:rPr>
          <w:t>Figure 6.4 Log-linear analysis model illustration</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_Toc46770965 \h </w:instrText>
        </w:r>
        <w:r w:rsidR="00CA7CE1" w:rsidRPr="001F5176">
          <w:rPr>
            <w:noProof/>
            <w:webHidden/>
          </w:rPr>
        </w:r>
        <w:r w:rsidR="00CA7CE1" w:rsidRPr="001F5176">
          <w:rPr>
            <w:noProof/>
            <w:webHidden/>
          </w:rPr>
          <w:fldChar w:fldCharType="separate"/>
        </w:r>
        <w:r>
          <w:rPr>
            <w:noProof/>
            <w:webHidden/>
          </w:rPr>
          <w:t>203</w:t>
        </w:r>
        <w:r w:rsidR="00CA7CE1" w:rsidRPr="001F5176">
          <w:rPr>
            <w:noProof/>
            <w:webHidden/>
          </w:rPr>
          <w:fldChar w:fldCharType="end"/>
        </w:r>
      </w:hyperlink>
    </w:p>
    <w:p w14:paraId="3447F1B0" w14:textId="13407A6B" w:rsidR="00CA7CE1" w:rsidRPr="001F5176" w:rsidRDefault="00DD38EE">
      <w:pPr>
        <w:pStyle w:val="TableofFigures"/>
        <w:tabs>
          <w:tab w:val="right" w:leader="underscore" w:pos="9010"/>
        </w:tabs>
        <w:rPr>
          <w:rFonts w:asciiTheme="minorHAnsi" w:hAnsiTheme="minorHAnsi"/>
          <w:noProof/>
          <w:szCs w:val="22"/>
          <w:lang w:eastAsia="en-GB"/>
        </w:rPr>
      </w:pPr>
      <w:hyperlink w:anchor="_Toc46770966" w:history="1">
        <w:r w:rsidR="00CA7CE1" w:rsidRPr="001F5176">
          <w:rPr>
            <w:rStyle w:val="Hyperlink"/>
            <w:noProof/>
          </w:rPr>
          <w:t>Figure 6.5</w:t>
        </w:r>
        <w:r w:rsidR="00CA7CE1" w:rsidRPr="001F5176">
          <w:rPr>
            <w:rStyle w:val="Hyperlink"/>
            <w:bCs/>
            <w:noProof/>
          </w:rPr>
          <w:t xml:space="preserve"> Therapist rank position</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_Toc46770966 \h </w:instrText>
        </w:r>
        <w:r w:rsidR="00CA7CE1" w:rsidRPr="001F5176">
          <w:rPr>
            <w:noProof/>
            <w:webHidden/>
          </w:rPr>
        </w:r>
        <w:r w:rsidR="00CA7CE1" w:rsidRPr="001F5176">
          <w:rPr>
            <w:noProof/>
            <w:webHidden/>
          </w:rPr>
          <w:fldChar w:fldCharType="separate"/>
        </w:r>
        <w:r>
          <w:rPr>
            <w:noProof/>
            <w:webHidden/>
          </w:rPr>
          <w:t>211</w:t>
        </w:r>
        <w:r w:rsidR="00CA7CE1" w:rsidRPr="001F5176">
          <w:rPr>
            <w:noProof/>
            <w:webHidden/>
          </w:rPr>
          <w:fldChar w:fldCharType="end"/>
        </w:r>
      </w:hyperlink>
    </w:p>
    <w:p w14:paraId="470FC281" w14:textId="76F334B0" w:rsidR="00CA7CE1" w:rsidRPr="001F5176" w:rsidRDefault="00DD38EE">
      <w:pPr>
        <w:pStyle w:val="TableofFigures"/>
        <w:tabs>
          <w:tab w:val="right" w:leader="underscore" w:pos="9010"/>
        </w:tabs>
        <w:rPr>
          <w:rFonts w:asciiTheme="minorHAnsi" w:hAnsiTheme="minorHAnsi"/>
          <w:noProof/>
          <w:szCs w:val="22"/>
          <w:lang w:eastAsia="en-GB"/>
        </w:rPr>
      </w:pPr>
      <w:hyperlink w:anchor="_Toc46770967" w:history="1">
        <w:r w:rsidR="00CA7CE1" w:rsidRPr="001F5176">
          <w:rPr>
            <w:rStyle w:val="Hyperlink"/>
            <w:noProof/>
          </w:rPr>
          <w:t>Figure 6.6 The Therapy Insights Model (Ewbank et al., 2019) Extract of a (fictitious) IECBT session where the utterances of a therapist are on the right, and those of the patient on the left. The utterance tag (shown in yellow) show the output of TIM</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_Toc46770967 \h </w:instrText>
        </w:r>
        <w:r w:rsidR="00CA7CE1" w:rsidRPr="001F5176">
          <w:rPr>
            <w:noProof/>
            <w:webHidden/>
          </w:rPr>
        </w:r>
        <w:r w:rsidR="00CA7CE1" w:rsidRPr="001F5176">
          <w:rPr>
            <w:noProof/>
            <w:webHidden/>
          </w:rPr>
          <w:fldChar w:fldCharType="separate"/>
        </w:r>
        <w:r>
          <w:rPr>
            <w:noProof/>
            <w:webHidden/>
          </w:rPr>
          <w:t>228</w:t>
        </w:r>
        <w:r w:rsidR="00CA7CE1" w:rsidRPr="001F5176">
          <w:rPr>
            <w:noProof/>
            <w:webHidden/>
          </w:rPr>
          <w:fldChar w:fldCharType="end"/>
        </w:r>
      </w:hyperlink>
    </w:p>
    <w:p w14:paraId="42A5B956" w14:textId="106D9A04" w:rsidR="00CA7CE1" w:rsidRPr="001F5176" w:rsidRDefault="00DD38EE">
      <w:pPr>
        <w:pStyle w:val="TableofFigures"/>
        <w:tabs>
          <w:tab w:val="right" w:leader="underscore" w:pos="9010"/>
        </w:tabs>
        <w:rPr>
          <w:rFonts w:asciiTheme="minorHAnsi" w:hAnsiTheme="minorHAnsi"/>
          <w:noProof/>
          <w:szCs w:val="22"/>
          <w:lang w:eastAsia="en-GB"/>
        </w:rPr>
      </w:pPr>
      <w:hyperlink w:anchor="_Toc46770968" w:history="1">
        <w:r w:rsidR="00CA7CE1" w:rsidRPr="001F5176">
          <w:rPr>
            <w:rStyle w:val="Hyperlink"/>
            <w:noProof/>
          </w:rPr>
          <w:t>Figure 7.1 The influences and stakeholders impacting on this research (adapted from Costley, Elliott and Gibbs, 2013 p. 2)</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_Toc46770968 \h </w:instrText>
        </w:r>
        <w:r w:rsidR="00CA7CE1" w:rsidRPr="001F5176">
          <w:rPr>
            <w:noProof/>
            <w:webHidden/>
          </w:rPr>
        </w:r>
        <w:r w:rsidR="00CA7CE1" w:rsidRPr="001F5176">
          <w:rPr>
            <w:noProof/>
            <w:webHidden/>
          </w:rPr>
          <w:fldChar w:fldCharType="separate"/>
        </w:r>
        <w:r>
          <w:rPr>
            <w:noProof/>
            <w:webHidden/>
          </w:rPr>
          <w:t>239</w:t>
        </w:r>
        <w:r w:rsidR="00CA7CE1" w:rsidRPr="001F5176">
          <w:rPr>
            <w:noProof/>
            <w:webHidden/>
          </w:rPr>
          <w:fldChar w:fldCharType="end"/>
        </w:r>
      </w:hyperlink>
    </w:p>
    <w:p w14:paraId="1470E790" w14:textId="62D5AF8C" w:rsidR="00514A8B" w:rsidRPr="00514A8B" w:rsidRDefault="00514A8B" w:rsidP="001D546E">
      <w:pPr>
        <w:spacing w:line="360" w:lineRule="auto"/>
      </w:pPr>
      <w:r w:rsidRPr="001F5176">
        <w:rPr>
          <w:rFonts w:ascii="Arial" w:hAnsi="Arial" w:cs="Arial"/>
          <w:sz w:val="22"/>
        </w:rPr>
        <w:fldChar w:fldCharType="end"/>
      </w:r>
    </w:p>
    <w:p w14:paraId="4AB60437" w14:textId="33D6EBA5" w:rsidR="00496F33" w:rsidRDefault="00496F33">
      <w:pPr>
        <w:rPr>
          <w:rFonts w:ascii="Arial" w:eastAsiaTheme="majorEastAsia" w:hAnsi="Arial" w:cs="Arial"/>
          <w:b/>
          <w:bCs/>
          <w:color w:val="000000" w:themeColor="text1"/>
          <w:sz w:val="22"/>
          <w:szCs w:val="22"/>
        </w:rPr>
      </w:pPr>
      <w:r>
        <w:rPr>
          <w:rFonts w:ascii="Arial" w:hAnsi="Arial" w:cs="Arial"/>
          <w:color w:val="000000" w:themeColor="text1"/>
          <w:sz w:val="22"/>
          <w:szCs w:val="22"/>
        </w:rPr>
        <w:br w:type="page"/>
      </w:r>
    </w:p>
    <w:p w14:paraId="2430520A" w14:textId="1C8705ED" w:rsidR="00897661" w:rsidRDefault="005C3CCC" w:rsidP="00897661">
      <w:pPr>
        <w:pStyle w:val="Heading1"/>
        <w:rPr>
          <w:rFonts w:cs="Arial"/>
          <w:color w:val="000000" w:themeColor="text1"/>
          <w:szCs w:val="22"/>
        </w:rPr>
      </w:pPr>
      <w:bookmarkStart w:id="7" w:name="_Toc46770698"/>
      <w:bookmarkStart w:id="8" w:name="_Toc79414109"/>
      <w:r>
        <w:rPr>
          <w:rFonts w:cs="Arial"/>
          <w:color w:val="000000" w:themeColor="text1"/>
          <w:szCs w:val="22"/>
        </w:rPr>
        <w:lastRenderedPageBreak/>
        <w:t>LIST OF TABLES</w:t>
      </w:r>
      <w:bookmarkEnd w:id="7"/>
      <w:bookmarkEnd w:id="8"/>
    </w:p>
    <w:p w14:paraId="4333B1C5" w14:textId="77777777" w:rsidR="00E3326C" w:rsidRPr="00E3326C" w:rsidRDefault="00E3326C" w:rsidP="00E3326C"/>
    <w:p w14:paraId="22F6CC09" w14:textId="203DB46D" w:rsidR="00CA7CE1" w:rsidRDefault="000B5716">
      <w:pPr>
        <w:pStyle w:val="TableofFigures"/>
        <w:tabs>
          <w:tab w:val="right" w:leader="underscore" w:pos="9010"/>
        </w:tabs>
        <w:rPr>
          <w:rFonts w:asciiTheme="minorHAnsi" w:hAnsiTheme="minorHAnsi"/>
          <w:noProof/>
          <w:szCs w:val="22"/>
          <w:lang w:eastAsia="en-GB"/>
        </w:rPr>
      </w:pPr>
      <w:r>
        <w:rPr>
          <w:rFonts w:cs="Arial"/>
          <w:color w:val="000000" w:themeColor="text1"/>
          <w:szCs w:val="22"/>
        </w:rPr>
        <w:fldChar w:fldCharType="begin"/>
      </w:r>
      <w:r>
        <w:rPr>
          <w:rFonts w:cs="Arial"/>
          <w:color w:val="000000" w:themeColor="text1"/>
          <w:szCs w:val="22"/>
        </w:rPr>
        <w:instrText xml:space="preserve"> TOC \h \z \t "Tables" \c </w:instrText>
      </w:r>
      <w:r>
        <w:rPr>
          <w:rFonts w:cs="Arial"/>
          <w:color w:val="000000" w:themeColor="text1"/>
          <w:szCs w:val="22"/>
        </w:rPr>
        <w:fldChar w:fldCharType="separate"/>
      </w:r>
      <w:hyperlink w:anchor="_Toc46770969" w:history="1">
        <w:r w:rsidR="00CA7CE1" w:rsidRPr="009F5789">
          <w:rPr>
            <w:rStyle w:val="Hyperlink"/>
            <w:noProof/>
          </w:rPr>
          <w:t>Table 2.1 Patient age (as a %) in face-to-face CBT and IECBT</w:t>
        </w:r>
        <w:r w:rsidR="00CA7CE1">
          <w:rPr>
            <w:noProof/>
            <w:webHidden/>
          </w:rPr>
          <w:tab/>
        </w:r>
        <w:r w:rsidR="00CA7CE1">
          <w:rPr>
            <w:noProof/>
            <w:webHidden/>
          </w:rPr>
          <w:fldChar w:fldCharType="begin"/>
        </w:r>
        <w:r w:rsidR="00CA7CE1">
          <w:rPr>
            <w:noProof/>
            <w:webHidden/>
          </w:rPr>
          <w:instrText xml:space="preserve"> PAGEREF _Toc46770969 \h </w:instrText>
        </w:r>
        <w:r w:rsidR="00CA7CE1">
          <w:rPr>
            <w:noProof/>
            <w:webHidden/>
          </w:rPr>
        </w:r>
        <w:r w:rsidR="00CA7CE1">
          <w:rPr>
            <w:noProof/>
            <w:webHidden/>
          </w:rPr>
          <w:fldChar w:fldCharType="separate"/>
        </w:r>
        <w:r w:rsidR="00DD38EE">
          <w:rPr>
            <w:noProof/>
            <w:webHidden/>
          </w:rPr>
          <w:t>63</w:t>
        </w:r>
        <w:r w:rsidR="00CA7CE1">
          <w:rPr>
            <w:noProof/>
            <w:webHidden/>
          </w:rPr>
          <w:fldChar w:fldCharType="end"/>
        </w:r>
      </w:hyperlink>
    </w:p>
    <w:p w14:paraId="70FE3A80" w14:textId="71BD9BBD" w:rsidR="00CA7CE1" w:rsidRDefault="00DD38EE">
      <w:pPr>
        <w:pStyle w:val="TableofFigures"/>
        <w:tabs>
          <w:tab w:val="right" w:leader="underscore" w:pos="9010"/>
        </w:tabs>
        <w:rPr>
          <w:rFonts w:asciiTheme="minorHAnsi" w:hAnsiTheme="minorHAnsi"/>
          <w:noProof/>
          <w:szCs w:val="22"/>
          <w:lang w:eastAsia="en-GB"/>
        </w:rPr>
      </w:pPr>
      <w:hyperlink w:anchor="_Toc46770970" w:history="1">
        <w:r w:rsidR="00CA7CE1" w:rsidRPr="009F5789">
          <w:rPr>
            <w:rStyle w:val="Hyperlink"/>
            <w:noProof/>
          </w:rPr>
          <w:t xml:space="preserve">Table 2.2 </w:t>
        </w:r>
        <w:r w:rsidR="00CA7CE1" w:rsidRPr="009F5789">
          <w:rPr>
            <w:rStyle w:val="Hyperlink"/>
            <w:bCs/>
            <w:noProof/>
          </w:rPr>
          <w:t>Patient ethnicity in face-to-face CBT and IECBT</w:t>
        </w:r>
        <w:r w:rsidR="00CA7CE1">
          <w:rPr>
            <w:noProof/>
            <w:webHidden/>
          </w:rPr>
          <w:tab/>
        </w:r>
        <w:r w:rsidR="00CA7CE1">
          <w:rPr>
            <w:noProof/>
            <w:webHidden/>
          </w:rPr>
          <w:fldChar w:fldCharType="begin"/>
        </w:r>
        <w:r w:rsidR="00CA7CE1">
          <w:rPr>
            <w:noProof/>
            <w:webHidden/>
          </w:rPr>
          <w:instrText xml:space="preserve"> PAGEREF _Toc46770970 \h </w:instrText>
        </w:r>
        <w:r w:rsidR="00CA7CE1">
          <w:rPr>
            <w:noProof/>
            <w:webHidden/>
          </w:rPr>
        </w:r>
        <w:r w:rsidR="00CA7CE1">
          <w:rPr>
            <w:noProof/>
            <w:webHidden/>
          </w:rPr>
          <w:fldChar w:fldCharType="separate"/>
        </w:r>
        <w:r>
          <w:rPr>
            <w:noProof/>
            <w:webHidden/>
          </w:rPr>
          <w:t>64</w:t>
        </w:r>
        <w:r w:rsidR="00CA7CE1">
          <w:rPr>
            <w:noProof/>
            <w:webHidden/>
          </w:rPr>
          <w:fldChar w:fldCharType="end"/>
        </w:r>
      </w:hyperlink>
    </w:p>
    <w:p w14:paraId="64173A68" w14:textId="0920733E" w:rsidR="00CA7CE1" w:rsidRDefault="00DD38EE">
      <w:pPr>
        <w:pStyle w:val="TableofFigures"/>
        <w:tabs>
          <w:tab w:val="right" w:leader="underscore" w:pos="9010"/>
        </w:tabs>
        <w:rPr>
          <w:rFonts w:asciiTheme="minorHAnsi" w:hAnsiTheme="minorHAnsi"/>
          <w:noProof/>
          <w:szCs w:val="22"/>
          <w:lang w:eastAsia="en-GB"/>
        </w:rPr>
      </w:pPr>
      <w:hyperlink w:anchor="_Toc46770971" w:history="1">
        <w:r w:rsidR="00CA7CE1" w:rsidRPr="009F5789">
          <w:rPr>
            <w:rStyle w:val="Hyperlink"/>
            <w:noProof/>
          </w:rPr>
          <w:t>Table 2.3 Reported primary presenting problem in face-to-face CBT and IECBT</w:t>
        </w:r>
        <w:r w:rsidR="00CA7CE1">
          <w:rPr>
            <w:noProof/>
            <w:webHidden/>
          </w:rPr>
          <w:tab/>
        </w:r>
        <w:r w:rsidR="00CA7CE1">
          <w:rPr>
            <w:noProof/>
            <w:webHidden/>
          </w:rPr>
          <w:fldChar w:fldCharType="begin"/>
        </w:r>
        <w:r w:rsidR="00CA7CE1">
          <w:rPr>
            <w:noProof/>
            <w:webHidden/>
          </w:rPr>
          <w:instrText xml:space="preserve"> PAGEREF _Toc46770971 \h </w:instrText>
        </w:r>
        <w:r w:rsidR="00CA7CE1">
          <w:rPr>
            <w:noProof/>
            <w:webHidden/>
          </w:rPr>
        </w:r>
        <w:r w:rsidR="00CA7CE1">
          <w:rPr>
            <w:noProof/>
            <w:webHidden/>
          </w:rPr>
          <w:fldChar w:fldCharType="separate"/>
        </w:r>
        <w:r>
          <w:rPr>
            <w:noProof/>
            <w:webHidden/>
          </w:rPr>
          <w:t>64</w:t>
        </w:r>
        <w:r w:rsidR="00CA7CE1">
          <w:rPr>
            <w:noProof/>
            <w:webHidden/>
          </w:rPr>
          <w:fldChar w:fldCharType="end"/>
        </w:r>
      </w:hyperlink>
    </w:p>
    <w:p w14:paraId="6A289600" w14:textId="23FF6D14" w:rsidR="00CA7CE1" w:rsidRDefault="00DD38EE">
      <w:pPr>
        <w:pStyle w:val="TableofFigures"/>
        <w:tabs>
          <w:tab w:val="right" w:leader="underscore" w:pos="9010"/>
        </w:tabs>
        <w:rPr>
          <w:rFonts w:asciiTheme="minorHAnsi" w:hAnsiTheme="minorHAnsi"/>
          <w:noProof/>
          <w:szCs w:val="22"/>
          <w:lang w:eastAsia="en-GB"/>
        </w:rPr>
      </w:pPr>
      <w:hyperlink w:anchor="_Toc46770972" w:history="1">
        <w:r w:rsidR="00CA7CE1" w:rsidRPr="009F5789">
          <w:rPr>
            <w:rStyle w:val="Hyperlink"/>
            <w:noProof/>
          </w:rPr>
          <w:t>Table 2.4 Therapist age in face-to-face CBT and IECBT (whole cohort of therapists providing IECBT)</w:t>
        </w:r>
        <w:r w:rsidR="00CA7CE1">
          <w:rPr>
            <w:noProof/>
            <w:webHidden/>
          </w:rPr>
          <w:tab/>
        </w:r>
        <w:r w:rsidR="00CA7CE1">
          <w:rPr>
            <w:noProof/>
            <w:webHidden/>
          </w:rPr>
          <w:fldChar w:fldCharType="begin"/>
        </w:r>
        <w:r w:rsidR="00CA7CE1">
          <w:rPr>
            <w:noProof/>
            <w:webHidden/>
          </w:rPr>
          <w:instrText xml:space="preserve"> PAGEREF _Toc46770972 \h </w:instrText>
        </w:r>
        <w:r w:rsidR="00CA7CE1">
          <w:rPr>
            <w:noProof/>
            <w:webHidden/>
          </w:rPr>
        </w:r>
        <w:r w:rsidR="00CA7CE1">
          <w:rPr>
            <w:noProof/>
            <w:webHidden/>
          </w:rPr>
          <w:fldChar w:fldCharType="separate"/>
        </w:r>
        <w:r>
          <w:rPr>
            <w:noProof/>
            <w:webHidden/>
          </w:rPr>
          <w:t>66</w:t>
        </w:r>
        <w:r w:rsidR="00CA7CE1">
          <w:rPr>
            <w:noProof/>
            <w:webHidden/>
          </w:rPr>
          <w:fldChar w:fldCharType="end"/>
        </w:r>
      </w:hyperlink>
    </w:p>
    <w:p w14:paraId="320F5F42" w14:textId="6E966676" w:rsidR="00CA7CE1" w:rsidRDefault="00DD38EE">
      <w:pPr>
        <w:pStyle w:val="TableofFigures"/>
        <w:tabs>
          <w:tab w:val="right" w:leader="underscore" w:pos="9010"/>
        </w:tabs>
        <w:rPr>
          <w:rFonts w:asciiTheme="minorHAnsi" w:hAnsiTheme="minorHAnsi"/>
          <w:noProof/>
          <w:szCs w:val="22"/>
          <w:lang w:eastAsia="en-GB"/>
        </w:rPr>
      </w:pPr>
      <w:hyperlink w:anchor="_Toc46770973" w:history="1">
        <w:r w:rsidR="00CA7CE1" w:rsidRPr="009F5789">
          <w:rPr>
            <w:rStyle w:val="Hyperlink"/>
            <w:noProof/>
          </w:rPr>
          <w:t>Table 2.5 IAPT definitions of recovery and reliable improvement</w:t>
        </w:r>
        <w:r w:rsidR="00CA7CE1">
          <w:rPr>
            <w:noProof/>
            <w:webHidden/>
          </w:rPr>
          <w:tab/>
        </w:r>
        <w:r w:rsidR="00CA7CE1">
          <w:rPr>
            <w:noProof/>
            <w:webHidden/>
          </w:rPr>
          <w:fldChar w:fldCharType="begin"/>
        </w:r>
        <w:r w:rsidR="00CA7CE1">
          <w:rPr>
            <w:noProof/>
            <w:webHidden/>
          </w:rPr>
          <w:instrText xml:space="preserve"> PAGEREF _Toc46770973 \h </w:instrText>
        </w:r>
        <w:r w:rsidR="00CA7CE1">
          <w:rPr>
            <w:noProof/>
            <w:webHidden/>
          </w:rPr>
        </w:r>
        <w:r w:rsidR="00CA7CE1">
          <w:rPr>
            <w:noProof/>
            <w:webHidden/>
          </w:rPr>
          <w:fldChar w:fldCharType="separate"/>
        </w:r>
        <w:r>
          <w:rPr>
            <w:noProof/>
            <w:webHidden/>
          </w:rPr>
          <w:t>71</w:t>
        </w:r>
        <w:r w:rsidR="00CA7CE1">
          <w:rPr>
            <w:noProof/>
            <w:webHidden/>
          </w:rPr>
          <w:fldChar w:fldCharType="end"/>
        </w:r>
      </w:hyperlink>
    </w:p>
    <w:p w14:paraId="12C637FA" w14:textId="7690FB87" w:rsidR="00CA7CE1" w:rsidRDefault="00DD38EE">
      <w:pPr>
        <w:pStyle w:val="TableofFigures"/>
        <w:tabs>
          <w:tab w:val="right" w:leader="underscore" w:pos="9010"/>
        </w:tabs>
        <w:rPr>
          <w:rFonts w:asciiTheme="minorHAnsi" w:hAnsiTheme="minorHAnsi"/>
          <w:noProof/>
          <w:szCs w:val="22"/>
          <w:lang w:eastAsia="en-GB"/>
        </w:rPr>
      </w:pPr>
      <w:hyperlink w:anchor="_Toc46770974" w:history="1">
        <w:r w:rsidR="00CA7CE1" w:rsidRPr="009F5789">
          <w:rPr>
            <w:rStyle w:val="Hyperlink"/>
            <w:noProof/>
          </w:rPr>
          <w:t xml:space="preserve">Table 3.1 </w:t>
        </w:r>
        <w:r w:rsidR="00CA7CE1" w:rsidRPr="009F5789">
          <w:rPr>
            <w:rStyle w:val="Hyperlink"/>
            <w:bCs/>
            <w:noProof/>
          </w:rPr>
          <w:t>Sample sizes of the major studies</w:t>
        </w:r>
        <w:r w:rsidR="00CA7CE1">
          <w:rPr>
            <w:noProof/>
            <w:webHidden/>
          </w:rPr>
          <w:tab/>
        </w:r>
        <w:r w:rsidR="00CA7CE1">
          <w:rPr>
            <w:noProof/>
            <w:webHidden/>
          </w:rPr>
          <w:fldChar w:fldCharType="begin"/>
        </w:r>
        <w:r w:rsidR="00CA7CE1">
          <w:rPr>
            <w:noProof/>
            <w:webHidden/>
          </w:rPr>
          <w:instrText xml:space="preserve"> PAGEREF _Toc46770974 \h </w:instrText>
        </w:r>
        <w:r w:rsidR="00CA7CE1">
          <w:rPr>
            <w:noProof/>
            <w:webHidden/>
          </w:rPr>
        </w:r>
        <w:r w:rsidR="00CA7CE1">
          <w:rPr>
            <w:noProof/>
            <w:webHidden/>
          </w:rPr>
          <w:fldChar w:fldCharType="separate"/>
        </w:r>
        <w:r>
          <w:rPr>
            <w:noProof/>
            <w:webHidden/>
          </w:rPr>
          <w:t>94</w:t>
        </w:r>
        <w:r w:rsidR="00CA7CE1">
          <w:rPr>
            <w:noProof/>
            <w:webHidden/>
          </w:rPr>
          <w:fldChar w:fldCharType="end"/>
        </w:r>
      </w:hyperlink>
    </w:p>
    <w:p w14:paraId="595E32DB" w14:textId="4956F87F" w:rsidR="00CA7CE1" w:rsidRDefault="00DD38EE">
      <w:pPr>
        <w:pStyle w:val="TableofFigures"/>
        <w:tabs>
          <w:tab w:val="right" w:leader="underscore" w:pos="9010"/>
        </w:tabs>
        <w:rPr>
          <w:rFonts w:asciiTheme="minorHAnsi" w:hAnsiTheme="minorHAnsi"/>
          <w:noProof/>
          <w:szCs w:val="22"/>
          <w:lang w:eastAsia="en-GB"/>
        </w:rPr>
      </w:pPr>
      <w:hyperlink w:anchor="_Toc46770975" w:history="1">
        <w:r w:rsidR="00CA7CE1" w:rsidRPr="009F5789">
          <w:rPr>
            <w:rStyle w:val="Hyperlink"/>
            <w:noProof/>
          </w:rPr>
          <w:t>Table 3.2 Articles yielded from the review</w:t>
        </w:r>
        <w:r w:rsidR="00CA7CE1">
          <w:rPr>
            <w:noProof/>
            <w:webHidden/>
          </w:rPr>
          <w:tab/>
        </w:r>
        <w:r w:rsidR="00CA7CE1">
          <w:rPr>
            <w:noProof/>
            <w:webHidden/>
          </w:rPr>
          <w:fldChar w:fldCharType="begin"/>
        </w:r>
        <w:r w:rsidR="00CA7CE1">
          <w:rPr>
            <w:noProof/>
            <w:webHidden/>
          </w:rPr>
          <w:instrText xml:space="preserve"> PAGEREF _Toc46770975 \h </w:instrText>
        </w:r>
        <w:r w:rsidR="00CA7CE1">
          <w:rPr>
            <w:noProof/>
            <w:webHidden/>
          </w:rPr>
        </w:r>
        <w:r w:rsidR="00CA7CE1">
          <w:rPr>
            <w:noProof/>
            <w:webHidden/>
          </w:rPr>
          <w:fldChar w:fldCharType="separate"/>
        </w:r>
        <w:r>
          <w:rPr>
            <w:noProof/>
            <w:webHidden/>
          </w:rPr>
          <w:t>102</w:t>
        </w:r>
        <w:r w:rsidR="00CA7CE1">
          <w:rPr>
            <w:noProof/>
            <w:webHidden/>
          </w:rPr>
          <w:fldChar w:fldCharType="end"/>
        </w:r>
      </w:hyperlink>
    </w:p>
    <w:p w14:paraId="0DD1EEE0" w14:textId="02546B98" w:rsidR="00CA7CE1" w:rsidRPr="001F5176" w:rsidRDefault="00DD38EE">
      <w:pPr>
        <w:pStyle w:val="TableofFigures"/>
        <w:tabs>
          <w:tab w:val="right" w:leader="underscore" w:pos="9010"/>
        </w:tabs>
        <w:rPr>
          <w:rFonts w:asciiTheme="minorHAnsi" w:hAnsiTheme="minorHAnsi"/>
          <w:noProof/>
          <w:szCs w:val="22"/>
          <w:lang w:eastAsia="en-GB"/>
        </w:rPr>
      </w:pPr>
      <w:hyperlink w:anchor="_Toc46770976" w:history="1">
        <w:r w:rsidR="00CA7CE1" w:rsidRPr="001F5176">
          <w:rPr>
            <w:rStyle w:val="Hyperlink"/>
            <w:noProof/>
          </w:rPr>
          <w:t>Table 3.3 McMaster Critical Review Form (Law et al., 1998). The table shows the components (left hand column) that were used to critically review each paper. A mark of ‘x’ denotes that the article met the component. Where there is no ‘x’ the article did not meet the criteria. A mark of ‘NA’ shows that this component was not applicable to the article.</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_Toc46770976 \h </w:instrText>
        </w:r>
        <w:r w:rsidR="00CA7CE1" w:rsidRPr="001F5176">
          <w:rPr>
            <w:noProof/>
            <w:webHidden/>
          </w:rPr>
        </w:r>
        <w:r w:rsidR="00CA7CE1" w:rsidRPr="001F5176">
          <w:rPr>
            <w:noProof/>
            <w:webHidden/>
          </w:rPr>
          <w:fldChar w:fldCharType="separate"/>
        </w:r>
        <w:r>
          <w:rPr>
            <w:noProof/>
            <w:webHidden/>
          </w:rPr>
          <w:t>103</w:t>
        </w:r>
        <w:r w:rsidR="00CA7CE1" w:rsidRPr="001F5176">
          <w:rPr>
            <w:noProof/>
            <w:webHidden/>
          </w:rPr>
          <w:fldChar w:fldCharType="end"/>
        </w:r>
      </w:hyperlink>
    </w:p>
    <w:p w14:paraId="49C5CFC1" w14:textId="35B04762" w:rsidR="00CA7CE1" w:rsidRPr="001F5176" w:rsidRDefault="00DD38EE">
      <w:pPr>
        <w:pStyle w:val="TableofFigures"/>
        <w:tabs>
          <w:tab w:val="right" w:leader="underscore" w:pos="9010"/>
        </w:tabs>
        <w:rPr>
          <w:rFonts w:asciiTheme="minorHAnsi" w:hAnsiTheme="minorHAnsi"/>
          <w:noProof/>
          <w:szCs w:val="22"/>
          <w:lang w:eastAsia="en-GB"/>
        </w:rPr>
      </w:pPr>
      <w:hyperlink w:anchor="_Toc46770977" w:history="1">
        <w:r w:rsidR="00CA7CE1" w:rsidRPr="001F5176">
          <w:rPr>
            <w:rStyle w:val="Hyperlink"/>
            <w:noProof/>
          </w:rPr>
          <w:t>Table 3.4 Recommendations for further research in current articles</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_Toc46770977 \h </w:instrText>
        </w:r>
        <w:r w:rsidR="00CA7CE1" w:rsidRPr="001F5176">
          <w:rPr>
            <w:noProof/>
            <w:webHidden/>
          </w:rPr>
        </w:r>
        <w:r w:rsidR="00CA7CE1" w:rsidRPr="001F5176">
          <w:rPr>
            <w:noProof/>
            <w:webHidden/>
          </w:rPr>
          <w:fldChar w:fldCharType="separate"/>
        </w:r>
        <w:r>
          <w:rPr>
            <w:noProof/>
            <w:webHidden/>
          </w:rPr>
          <w:t>115</w:t>
        </w:r>
        <w:r w:rsidR="00CA7CE1" w:rsidRPr="001F5176">
          <w:rPr>
            <w:noProof/>
            <w:webHidden/>
          </w:rPr>
          <w:fldChar w:fldCharType="end"/>
        </w:r>
      </w:hyperlink>
    </w:p>
    <w:p w14:paraId="44C00AC9" w14:textId="50A5F4F2" w:rsidR="00CA7CE1" w:rsidRPr="001F5176" w:rsidRDefault="00DD38EE">
      <w:pPr>
        <w:pStyle w:val="TableofFigures"/>
        <w:tabs>
          <w:tab w:val="right" w:leader="underscore" w:pos="9010"/>
        </w:tabs>
        <w:rPr>
          <w:rFonts w:asciiTheme="minorHAnsi" w:hAnsiTheme="minorHAnsi"/>
          <w:noProof/>
          <w:szCs w:val="22"/>
          <w:lang w:eastAsia="en-GB"/>
        </w:rPr>
      </w:pPr>
      <w:hyperlink w:anchor="_Toc46770978" w:history="1">
        <w:r w:rsidR="00CA7CE1" w:rsidRPr="001F5176">
          <w:rPr>
            <w:rStyle w:val="Hyperlink"/>
            <w:noProof/>
          </w:rPr>
          <w:t>Table 4.1 Questions that were used to collect therapist demographic data</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_Toc46770978 \h </w:instrText>
        </w:r>
        <w:r w:rsidR="00CA7CE1" w:rsidRPr="001F5176">
          <w:rPr>
            <w:noProof/>
            <w:webHidden/>
          </w:rPr>
        </w:r>
        <w:r w:rsidR="00CA7CE1" w:rsidRPr="001F5176">
          <w:rPr>
            <w:noProof/>
            <w:webHidden/>
          </w:rPr>
          <w:fldChar w:fldCharType="separate"/>
        </w:r>
        <w:r>
          <w:rPr>
            <w:noProof/>
            <w:webHidden/>
          </w:rPr>
          <w:t>137</w:t>
        </w:r>
        <w:r w:rsidR="00CA7CE1" w:rsidRPr="001F5176">
          <w:rPr>
            <w:noProof/>
            <w:webHidden/>
          </w:rPr>
          <w:fldChar w:fldCharType="end"/>
        </w:r>
      </w:hyperlink>
    </w:p>
    <w:p w14:paraId="166A9B89" w14:textId="2913628C" w:rsidR="00CA7CE1" w:rsidRPr="001F5176" w:rsidRDefault="00DD38EE">
      <w:pPr>
        <w:pStyle w:val="TableofFigures"/>
        <w:tabs>
          <w:tab w:val="right" w:leader="underscore" w:pos="9010"/>
        </w:tabs>
        <w:rPr>
          <w:rFonts w:asciiTheme="minorHAnsi" w:hAnsiTheme="minorHAnsi"/>
          <w:noProof/>
          <w:szCs w:val="22"/>
          <w:lang w:eastAsia="en-GB"/>
        </w:rPr>
      </w:pPr>
      <w:hyperlink w:anchor="_Toc46770979" w:history="1">
        <w:r w:rsidR="00CA7CE1" w:rsidRPr="001F5176">
          <w:rPr>
            <w:rStyle w:val="Hyperlink"/>
            <w:noProof/>
          </w:rPr>
          <w:t>Table 4.2 Data collected for each therapist</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_Toc46770979 \h </w:instrText>
        </w:r>
        <w:r w:rsidR="00CA7CE1" w:rsidRPr="001F5176">
          <w:rPr>
            <w:noProof/>
            <w:webHidden/>
          </w:rPr>
        </w:r>
        <w:r w:rsidR="00CA7CE1" w:rsidRPr="001F5176">
          <w:rPr>
            <w:noProof/>
            <w:webHidden/>
          </w:rPr>
          <w:fldChar w:fldCharType="separate"/>
        </w:r>
        <w:r>
          <w:rPr>
            <w:noProof/>
            <w:webHidden/>
          </w:rPr>
          <w:t>141</w:t>
        </w:r>
        <w:r w:rsidR="00CA7CE1" w:rsidRPr="001F5176">
          <w:rPr>
            <w:noProof/>
            <w:webHidden/>
          </w:rPr>
          <w:fldChar w:fldCharType="end"/>
        </w:r>
      </w:hyperlink>
    </w:p>
    <w:p w14:paraId="12DD9A6F" w14:textId="263A0035" w:rsidR="00CA7CE1" w:rsidRPr="001F5176" w:rsidRDefault="00DD38EE">
      <w:pPr>
        <w:pStyle w:val="TableofFigures"/>
        <w:tabs>
          <w:tab w:val="right" w:leader="underscore" w:pos="9010"/>
        </w:tabs>
        <w:rPr>
          <w:rFonts w:asciiTheme="minorHAnsi" w:hAnsiTheme="minorHAnsi"/>
          <w:noProof/>
          <w:szCs w:val="22"/>
          <w:lang w:eastAsia="en-GB"/>
        </w:rPr>
      </w:pPr>
      <w:hyperlink w:anchor="_Toc46770980" w:history="1">
        <w:r w:rsidR="00CA7CE1" w:rsidRPr="001F5176">
          <w:rPr>
            <w:rStyle w:val="Hyperlink"/>
            <w:noProof/>
          </w:rPr>
          <w:t>Table 4.3 The 12 CTS-R items (Blackburn et al., 2001)</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_Toc46770980 \h </w:instrText>
        </w:r>
        <w:r w:rsidR="00CA7CE1" w:rsidRPr="001F5176">
          <w:rPr>
            <w:noProof/>
            <w:webHidden/>
          </w:rPr>
        </w:r>
        <w:r w:rsidR="00CA7CE1" w:rsidRPr="001F5176">
          <w:rPr>
            <w:noProof/>
            <w:webHidden/>
          </w:rPr>
          <w:fldChar w:fldCharType="separate"/>
        </w:r>
        <w:r>
          <w:rPr>
            <w:noProof/>
            <w:webHidden/>
          </w:rPr>
          <w:t>144</w:t>
        </w:r>
        <w:r w:rsidR="00CA7CE1" w:rsidRPr="001F5176">
          <w:rPr>
            <w:noProof/>
            <w:webHidden/>
          </w:rPr>
          <w:fldChar w:fldCharType="end"/>
        </w:r>
      </w:hyperlink>
    </w:p>
    <w:p w14:paraId="5A7A489F" w14:textId="5859624B" w:rsidR="00CA7CE1" w:rsidRPr="001F5176" w:rsidRDefault="00DD38EE">
      <w:pPr>
        <w:pStyle w:val="TableofFigures"/>
        <w:tabs>
          <w:tab w:val="right" w:leader="underscore" w:pos="9010"/>
        </w:tabs>
        <w:rPr>
          <w:rFonts w:asciiTheme="minorHAnsi" w:hAnsiTheme="minorHAnsi"/>
          <w:noProof/>
          <w:szCs w:val="22"/>
          <w:lang w:eastAsia="en-GB"/>
        </w:rPr>
      </w:pPr>
      <w:hyperlink w:anchor="_Toc46770981" w:history="1">
        <w:r w:rsidR="00CA7CE1" w:rsidRPr="001F5176">
          <w:rPr>
            <w:rStyle w:val="Hyperlink"/>
            <w:noProof/>
          </w:rPr>
          <w:t>Table 5.1 Demographic characteristics of study sample</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_Toc46770981 \h </w:instrText>
        </w:r>
        <w:r w:rsidR="00CA7CE1" w:rsidRPr="001F5176">
          <w:rPr>
            <w:noProof/>
            <w:webHidden/>
          </w:rPr>
        </w:r>
        <w:r w:rsidR="00CA7CE1" w:rsidRPr="001F5176">
          <w:rPr>
            <w:noProof/>
            <w:webHidden/>
          </w:rPr>
          <w:fldChar w:fldCharType="separate"/>
        </w:r>
        <w:r>
          <w:rPr>
            <w:noProof/>
            <w:webHidden/>
          </w:rPr>
          <w:t>150</w:t>
        </w:r>
        <w:r w:rsidR="00CA7CE1" w:rsidRPr="001F5176">
          <w:rPr>
            <w:noProof/>
            <w:webHidden/>
          </w:rPr>
          <w:fldChar w:fldCharType="end"/>
        </w:r>
      </w:hyperlink>
    </w:p>
    <w:p w14:paraId="2040F3B9" w14:textId="013819DB" w:rsidR="00CA7CE1" w:rsidRDefault="00DD38EE">
      <w:pPr>
        <w:pStyle w:val="TableofFigures"/>
        <w:tabs>
          <w:tab w:val="right" w:leader="underscore" w:pos="9010"/>
        </w:tabs>
        <w:rPr>
          <w:rFonts w:asciiTheme="minorHAnsi" w:hAnsiTheme="minorHAnsi"/>
          <w:noProof/>
          <w:szCs w:val="22"/>
          <w:lang w:eastAsia="en-GB"/>
        </w:rPr>
      </w:pPr>
      <w:hyperlink w:anchor="_Toc46770982" w:history="1">
        <w:r w:rsidR="00CA7CE1" w:rsidRPr="001F5176">
          <w:rPr>
            <w:rStyle w:val="Hyperlink"/>
            <w:noProof/>
          </w:rPr>
          <w:t xml:space="preserve">Table 5.2 </w:t>
        </w:r>
        <w:r w:rsidR="00CA7CE1" w:rsidRPr="001F5176">
          <w:rPr>
            <w:rStyle w:val="Hyperlink"/>
            <w:bCs/>
            <w:noProof/>
          </w:rPr>
          <w:t>Model summary for the</w:t>
        </w:r>
        <w:r w:rsidR="00CA7CE1" w:rsidRPr="001F5176">
          <w:rPr>
            <w:rStyle w:val="Hyperlink"/>
            <w:noProof/>
          </w:rPr>
          <w:t xml:space="preserve"> linear regression model for A score and recovery rate</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_Toc46770982 \h </w:instrText>
        </w:r>
        <w:r w:rsidR="00CA7CE1" w:rsidRPr="001F5176">
          <w:rPr>
            <w:noProof/>
            <w:webHidden/>
          </w:rPr>
        </w:r>
        <w:r w:rsidR="00CA7CE1" w:rsidRPr="001F5176">
          <w:rPr>
            <w:noProof/>
            <w:webHidden/>
          </w:rPr>
          <w:fldChar w:fldCharType="separate"/>
        </w:r>
        <w:r>
          <w:rPr>
            <w:noProof/>
            <w:webHidden/>
          </w:rPr>
          <w:t>159</w:t>
        </w:r>
        <w:r w:rsidR="00CA7CE1" w:rsidRPr="001F5176">
          <w:rPr>
            <w:noProof/>
            <w:webHidden/>
          </w:rPr>
          <w:fldChar w:fldCharType="end"/>
        </w:r>
      </w:hyperlink>
    </w:p>
    <w:p w14:paraId="76D2D2A0" w14:textId="42F89B64" w:rsidR="00CA7CE1" w:rsidRDefault="00DD38EE">
      <w:pPr>
        <w:pStyle w:val="TableofFigures"/>
        <w:tabs>
          <w:tab w:val="right" w:leader="underscore" w:pos="9010"/>
        </w:tabs>
        <w:rPr>
          <w:rFonts w:asciiTheme="minorHAnsi" w:hAnsiTheme="minorHAnsi"/>
          <w:noProof/>
          <w:szCs w:val="22"/>
          <w:lang w:eastAsia="en-GB"/>
        </w:rPr>
      </w:pPr>
      <w:hyperlink w:anchor="_Toc46770983" w:history="1">
        <w:r w:rsidR="00CA7CE1" w:rsidRPr="009F5789">
          <w:rPr>
            <w:rStyle w:val="Hyperlink"/>
            <w:bCs/>
            <w:noProof/>
          </w:rPr>
          <w:t>Table 5.3</w:t>
        </w:r>
        <w:r w:rsidR="00CA7CE1" w:rsidRPr="009F5789">
          <w:rPr>
            <w:rStyle w:val="Hyperlink"/>
            <w:noProof/>
          </w:rPr>
          <w:t xml:space="preserve"> Model summary for the linear regression model for A scores and reliable improvement rate</w:t>
        </w:r>
        <w:r w:rsidR="00CA7CE1">
          <w:rPr>
            <w:noProof/>
            <w:webHidden/>
          </w:rPr>
          <w:tab/>
        </w:r>
        <w:r w:rsidR="00CA7CE1">
          <w:rPr>
            <w:noProof/>
            <w:webHidden/>
          </w:rPr>
          <w:fldChar w:fldCharType="begin"/>
        </w:r>
        <w:r w:rsidR="00CA7CE1">
          <w:rPr>
            <w:noProof/>
            <w:webHidden/>
          </w:rPr>
          <w:instrText xml:space="preserve"> PAGEREF _Toc46770983 \h </w:instrText>
        </w:r>
        <w:r w:rsidR="00CA7CE1">
          <w:rPr>
            <w:noProof/>
            <w:webHidden/>
          </w:rPr>
        </w:r>
        <w:r w:rsidR="00CA7CE1">
          <w:rPr>
            <w:noProof/>
            <w:webHidden/>
          </w:rPr>
          <w:fldChar w:fldCharType="separate"/>
        </w:r>
        <w:r>
          <w:rPr>
            <w:noProof/>
            <w:webHidden/>
          </w:rPr>
          <w:t>160</w:t>
        </w:r>
        <w:r w:rsidR="00CA7CE1">
          <w:rPr>
            <w:noProof/>
            <w:webHidden/>
          </w:rPr>
          <w:fldChar w:fldCharType="end"/>
        </w:r>
      </w:hyperlink>
    </w:p>
    <w:p w14:paraId="10E73CD6" w14:textId="5A91D46C" w:rsidR="00CA7CE1" w:rsidRPr="001F5176" w:rsidRDefault="00DD38EE">
      <w:pPr>
        <w:pStyle w:val="TableofFigures"/>
        <w:tabs>
          <w:tab w:val="right" w:leader="underscore" w:pos="9010"/>
        </w:tabs>
        <w:rPr>
          <w:rFonts w:asciiTheme="minorHAnsi" w:hAnsiTheme="minorHAnsi"/>
          <w:noProof/>
          <w:szCs w:val="22"/>
          <w:lang w:eastAsia="en-GB"/>
        </w:rPr>
      </w:pPr>
      <w:hyperlink w:anchor="_Toc46770984" w:history="1">
        <w:r w:rsidR="00CA7CE1" w:rsidRPr="001F5176">
          <w:rPr>
            <w:rStyle w:val="Hyperlink"/>
            <w:noProof/>
          </w:rPr>
          <w:t>Table 5.4 The Linear Regression Model</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_Toc46770984 \h </w:instrText>
        </w:r>
        <w:r w:rsidR="00CA7CE1" w:rsidRPr="001F5176">
          <w:rPr>
            <w:noProof/>
            <w:webHidden/>
          </w:rPr>
        </w:r>
        <w:r w:rsidR="00CA7CE1" w:rsidRPr="001F5176">
          <w:rPr>
            <w:noProof/>
            <w:webHidden/>
          </w:rPr>
          <w:fldChar w:fldCharType="separate"/>
        </w:r>
        <w:r>
          <w:rPr>
            <w:noProof/>
            <w:webHidden/>
          </w:rPr>
          <w:t>164</w:t>
        </w:r>
        <w:r w:rsidR="00CA7CE1" w:rsidRPr="001F5176">
          <w:rPr>
            <w:noProof/>
            <w:webHidden/>
          </w:rPr>
          <w:fldChar w:fldCharType="end"/>
        </w:r>
      </w:hyperlink>
    </w:p>
    <w:p w14:paraId="1215A933" w14:textId="36823D3D" w:rsidR="00CA7CE1" w:rsidRPr="001F5176" w:rsidRDefault="00DD38EE">
      <w:pPr>
        <w:pStyle w:val="TableofFigures"/>
        <w:tabs>
          <w:tab w:val="right" w:leader="underscore" w:pos="9010"/>
        </w:tabs>
        <w:rPr>
          <w:rFonts w:asciiTheme="minorHAnsi" w:hAnsiTheme="minorHAnsi"/>
          <w:noProof/>
          <w:szCs w:val="22"/>
          <w:lang w:eastAsia="en-GB"/>
        </w:rPr>
      </w:pPr>
      <w:hyperlink w:anchor="_Toc46770985" w:history="1">
        <w:r w:rsidR="00CA7CE1" w:rsidRPr="001F5176">
          <w:rPr>
            <w:rStyle w:val="Hyperlink"/>
            <w:noProof/>
          </w:rPr>
          <w:t>Table 5.5 Coefficients from linear regression model showing no significant findings</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_Toc46770985 \h </w:instrText>
        </w:r>
        <w:r w:rsidR="00CA7CE1" w:rsidRPr="001F5176">
          <w:rPr>
            <w:noProof/>
            <w:webHidden/>
          </w:rPr>
        </w:r>
        <w:r w:rsidR="00CA7CE1" w:rsidRPr="001F5176">
          <w:rPr>
            <w:noProof/>
            <w:webHidden/>
          </w:rPr>
          <w:fldChar w:fldCharType="separate"/>
        </w:r>
        <w:r>
          <w:rPr>
            <w:noProof/>
            <w:webHidden/>
          </w:rPr>
          <w:t>165</w:t>
        </w:r>
        <w:r w:rsidR="00CA7CE1" w:rsidRPr="001F5176">
          <w:rPr>
            <w:noProof/>
            <w:webHidden/>
          </w:rPr>
          <w:fldChar w:fldCharType="end"/>
        </w:r>
      </w:hyperlink>
    </w:p>
    <w:p w14:paraId="6408B9A1" w14:textId="2A73AEE9" w:rsidR="00CA7CE1" w:rsidRPr="001F5176" w:rsidRDefault="00DD38EE">
      <w:pPr>
        <w:pStyle w:val="TableofFigures"/>
        <w:tabs>
          <w:tab w:val="right" w:leader="underscore" w:pos="9010"/>
        </w:tabs>
        <w:rPr>
          <w:rFonts w:asciiTheme="minorHAnsi" w:hAnsiTheme="minorHAnsi"/>
          <w:noProof/>
          <w:szCs w:val="22"/>
          <w:lang w:eastAsia="en-GB"/>
        </w:rPr>
      </w:pPr>
      <w:hyperlink w:anchor="_Toc46770986" w:history="1">
        <w:r w:rsidR="00CA7CE1" w:rsidRPr="001F5176">
          <w:rPr>
            <w:rStyle w:val="Hyperlink"/>
            <w:noProof/>
          </w:rPr>
          <w:t>Table 5.6 Model summary of the Multiple Regression Model used</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_Toc46770986 \h </w:instrText>
        </w:r>
        <w:r w:rsidR="00CA7CE1" w:rsidRPr="001F5176">
          <w:rPr>
            <w:noProof/>
            <w:webHidden/>
          </w:rPr>
        </w:r>
        <w:r w:rsidR="00CA7CE1" w:rsidRPr="001F5176">
          <w:rPr>
            <w:noProof/>
            <w:webHidden/>
          </w:rPr>
          <w:fldChar w:fldCharType="separate"/>
        </w:r>
        <w:r>
          <w:rPr>
            <w:noProof/>
            <w:webHidden/>
          </w:rPr>
          <w:t>167</w:t>
        </w:r>
        <w:r w:rsidR="00CA7CE1" w:rsidRPr="001F5176">
          <w:rPr>
            <w:noProof/>
            <w:webHidden/>
          </w:rPr>
          <w:fldChar w:fldCharType="end"/>
        </w:r>
      </w:hyperlink>
    </w:p>
    <w:p w14:paraId="3DC646DB" w14:textId="1BE1D203" w:rsidR="00CA7CE1" w:rsidRPr="001F5176" w:rsidRDefault="00DD38EE">
      <w:pPr>
        <w:pStyle w:val="TableofFigures"/>
        <w:tabs>
          <w:tab w:val="right" w:leader="underscore" w:pos="9010"/>
        </w:tabs>
        <w:rPr>
          <w:rFonts w:asciiTheme="minorHAnsi" w:hAnsiTheme="minorHAnsi"/>
          <w:noProof/>
          <w:szCs w:val="22"/>
          <w:lang w:eastAsia="en-GB"/>
        </w:rPr>
      </w:pPr>
      <w:hyperlink w:anchor="_Toc46770987" w:history="1">
        <w:r w:rsidR="00CA7CE1" w:rsidRPr="001F5176">
          <w:rPr>
            <w:rStyle w:val="Hyperlink"/>
            <w:noProof/>
          </w:rPr>
          <w:t>Table 5.7 Sequential results from the F test in the Multiple Regression Model showing that whilst model 1 is significant (p= .030) the total model with all the variables added is insignificant (p=. 296).</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_Toc46770987 \h </w:instrText>
        </w:r>
        <w:r w:rsidR="00CA7CE1" w:rsidRPr="001F5176">
          <w:rPr>
            <w:noProof/>
            <w:webHidden/>
          </w:rPr>
        </w:r>
        <w:r w:rsidR="00CA7CE1" w:rsidRPr="001F5176">
          <w:rPr>
            <w:noProof/>
            <w:webHidden/>
          </w:rPr>
          <w:fldChar w:fldCharType="separate"/>
        </w:r>
        <w:r>
          <w:rPr>
            <w:noProof/>
            <w:webHidden/>
          </w:rPr>
          <w:t>168</w:t>
        </w:r>
        <w:r w:rsidR="00CA7CE1" w:rsidRPr="001F5176">
          <w:rPr>
            <w:noProof/>
            <w:webHidden/>
          </w:rPr>
          <w:fldChar w:fldCharType="end"/>
        </w:r>
      </w:hyperlink>
    </w:p>
    <w:p w14:paraId="7A991293" w14:textId="30353633" w:rsidR="00CA7CE1" w:rsidRPr="001F5176" w:rsidRDefault="00DD38EE">
      <w:pPr>
        <w:pStyle w:val="TableofFigures"/>
        <w:tabs>
          <w:tab w:val="right" w:leader="underscore" w:pos="9010"/>
        </w:tabs>
        <w:rPr>
          <w:rFonts w:asciiTheme="minorHAnsi" w:hAnsiTheme="minorHAnsi"/>
          <w:noProof/>
          <w:szCs w:val="22"/>
          <w:lang w:eastAsia="en-GB"/>
        </w:rPr>
      </w:pPr>
      <w:hyperlink w:anchor="_Toc46770988" w:history="1">
        <w:r w:rsidR="00CA7CE1" w:rsidRPr="001F5176">
          <w:rPr>
            <w:rStyle w:val="Hyperlink"/>
            <w:noProof/>
          </w:rPr>
          <w:t xml:space="preserve">Table 5.8 </w:t>
        </w:r>
        <w:r w:rsidR="00CA7CE1" w:rsidRPr="001F5176">
          <w:rPr>
            <w:rStyle w:val="Hyperlink"/>
            <w:bCs/>
            <w:noProof/>
          </w:rPr>
          <w:t>Coefficients, confidence intervals and t test scores from the</w:t>
        </w:r>
        <w:r w:rsidR="00CA7CE1" w:rsidRPr="001F5176">
          <w:rPr>
            <w:rStyle w:val="Hyperlink"/>
            <w:noProof/>
          </w:rPr>
          <w:t xml:space="preserve"> Multiple Regression Model showing insignificant findings</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_Toc46770988 \h </w:instrText>
        </w:r>
        <w:r w:rsidR="00CA7CE1" w:rsidRPr="001F5176">
          <w:rPr>
            <w:noProof/>
            <w:webHidden/>
          </w:rPr>
        </w:r>
        <w:r w:rsidR="00CA7CE1" w:rsidRPr="001F5176">
          <w:rPr>
            <w:noProof/>
            <w:webHidden/>
          </w:rPr>
          <w:fldChar w:fldCharType="separate"/>
        </w:r>
        <w:r>
          <w:rPr>
            <w:noProof/>
            <w:webHidden/>
          </w:rPr>
          <w:t>169</w:t>
        </w:r>
        <w:r w:rsidR="00CA7CE1" w:rsidRPr="001F5176">
          <w:rPr>
            <w:noProof/>
            <w:webHidden/>
          </w:rPr>
          <w:fldChar w:fldCharType="end"/>
        </w:r>
      </w:hyperlink>
    </w:p>
    <w:p w14:paraId="5D6A9B7E" w14:textId="64DE223F" w:rsidR="00CA7CE1" w:rsidRPr="001F5176" w:rsidRDefault="00DD38EE">
      <w:pPr>
        <w:pStyle w:val="TableofFigures"/>
        <w:tabs>
          <w:tab w:val="right" w:leader="underscore" w:pos="9010"/>
        </w:tabs>
        <w:rPr>
          <w:rFonts w:asciiTheme="minorHAnsi" w:hAnsiTheme="minorHAnsi"/>
          <w:noProof/>
          <w:szCs w:val="22"/>
          <w:lang w:eastAsia="en-GB"/>
        </w:rPr>
      </w:pPr>
      <w:hyperlink w:anchor="_Toc46770989" w:history="1">
        <w:r w:rsidR="00CA7CE1" w:rsidRPr="001F5176">
          <w:rPr>
            <w:rStyle w:val="Hyperlink"/>
            <w:noProof/>
          </w:rPr>
          <w:t>Table 5.9 Conversion to categorical variables</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_Toc46770989 \h </w:instrText>
        </w:r>
        <w:r w:rsidR="00CA7CE1" w:rsidRPr="001F5176">
          <w:rPr>
            <w:noProof/>
            <w:webHidden/>
          </w:rPr>
        </w:r>
        <w:r w:rsidR="00CA7CE1" w:rsidRPr="001F5176">
          <w:rPr>
            <w:noProof/>
            <w:webHidden/>
          </w:rPr>
          <w:fldChar w:fldCharType="separate"/>
        </w:r>
        <w:r>
          <w:rPr>
            <w:noProof/>
            <w:webHidden/>
          </w:rPr>
          <w:t>172</w:t>
        </w:r>
        <w:r w:rsidR="00CA7CE1" w:rsidRPr="001F5176">
          <w:rPr>
            <w:noProof/>
            <w:webHidden/>
          </w:rPr>
          <w:fldChar w:fldCharType="end"/>
        </w:r>
      </w:hyperlink>
    </w:p>
    <w:p w14:paraId="5DDC27FC" w14:textId="53EDC0A4" w:rsidR="00CA7CE1" w:rsidRDefault="00DD38EE">
      <w:pPr>
        <w:pStyle w:val="TableofFigures"/>
        <w:tabs>
          <w:tab w:val="right" w:leader="underscore" w:pos="9010"/>
        </w:tabs>
        <w:rPr>
          <w:rFonts w:asciiTheme="minorHAnsi" w:hAnsiTheme="minorHAnsi"/>
          <w:noProof/>
          <w:szCs w:val="22"/>
          <w:lang w:eastAsia="en-GB"/>
        </w:rPr>
      </w:pPr>
      <w:hyperlink w:anchor="_Toc46770990" w:history="1">
        <w:r w:rsidR="00CA7CE1" w:rsidRPr="001F5176">
          <w:rPr>
            <w:rStyle w:val="Hyperlink"/>
            <w:noProof/>
          </w:rPr>
          <w:t>Table 5.10 Frequency table for patient and therapist variables showing median, mean and standard deviation for patient age and severity (PHQ-9 and GAD-7)</w:t>
        </w:r>
        <w:r w:rsidR="00CA7CE1" w:rsidRPr="001F5176">
          <w:rPr>
            <w:noProof/>
            <w:webHidden/>
          </w:rPr>
          <w:tab/>
        </w:r>
        <w:r w:rsidR="00CA7CE1" w:rsidRPr="001F5176">
          <w:rPr>
            <w:noProof/>
            <w:webHidden/>
          </w:rPr>
          <w:fldChar w:fldCharType="begin"/>
        </w:r>
        <w:r w:rsidR="00CA7CE1" w:rsidRPr="001F5176">
          <w:rPr>
            <w:noProof/>
            <w:webHidden/>
          </w:rPr>
          <w:instrText xml:space="preserve"> PAGEREF _Toc46770990 \h </w:instrText>
        </w:r>
        <w:r w:rsidR="00CA7CE1" w:rsidRPr="001F5176">
          <w:rPr>
            <w:noProof/>
            <w:webHidden/>
          </w:rPr>
        </w:r>
        <w:r w:rsidR="00CA7CE1" w:rsidRPr="001F5176">
          <w:rPr>
            <w:noProof/>
            <w:webHidden/>
          </w:rPr>
          <w:fldChar w:fldCharType="separate"/>
        </w:r>
        <w:r>
          <w:rPr>
            <w:noProof/>
            <w:webHidden/>
          </w:rPr>
          <w:t>173</w:t>
        </w:r>
        <w:r w:rsidR="00CA7CE1" w:rsidRPr="001F5176">
          <w:rPr>
            <w:noProof/>
            <w:webHidden/>
          </w:rPr>
          <w:fldChar w:fldCharType="end"/>
        </w:r>
      </w:hyperlink>
    </w:p>
    <w:p w14:paraId="61F6C802" w14:textId="35B06C9E" w:rsidR="00CA7CE1" w:rsidRDefault="00DD38EE">
      <w:pPr>
        <w:pStyle w:val="TableofFigures"/>
        <w:tabs>
          <w:tab w:val="right" w:leader="underscore" w:pos="9010"/>
        </w:tabs>
        <w:rPr>
          <w:rFonts w:asciiTheme="minorHAnsi" w:hAnsiTheme="minorHAnsi"/>
          <w:noProof/>
          <w:szCs w:val="22"/>
          <w:lang w:eastAsia="en-GB"/>
        </w:rPr>
      </w:pPr>
      <w:hyperlink w:anchor="_Toc46770991" w:history="1">
        <w:r w:rsidR="00CA7CE1" w:rsidRPr="009F5789">
          <w:rPr>
            <w:rStyle w:val="Hyperlink"/>
            <w:noProof/>
          </w:rPr>
          <w:t>Table 5.11 Generating class for best hierarchical log linear model</w:t>
        </w:r>
        <w:r w:rsidR="00CA7CE1">
          <w:rPr>
            <w:noProof/>
            <w:webHidden/>
          </w:rPr>
          <w:tab/>
        </w:r>
        <w:r w:rsidR="00CA7CE1">
          <w:rPr>
            <w:noProof/>
            <w:webHidden/>
          </w:rPr>
          <w:fldChar w:fldCharType="begin"/>
        </w:r>
        <w:r w:rsidR="00CA7CE1">
          <w:rPr>
            <w:noProof/>
            <w:webHidden/>
          </w:rPr>
          <w:instrText xml:space="preserve"> PAGEREF _Toc46770991 \h </w:instrText>
        </w:r>
        <w:r w:rsidR="00CA7CE1">
          <w:rPr>
            <w:noProof/>
            <w:webHidden/>
          </w:rPr>
        </w:r>
        <w:r w:rsidR="00CA7CE1">
          <w:rPr>
            <w:noProof/>
            <w:webHidden/>
          </w:rPr>
          <w:fldChar w:fldCharType="separate"/>
        </w:r>
        <w:r>
          <w:rPr>
            <w:noProof/>
            <w:webHidden/>
          </w:rPr>
          <w:t>174</w:t>
        </w:r>
        <w:r w:rsidR="00CA7CE1">
          <w:rPr>
            <w:noProof/>
            <w:webHidden/>
          </w:rPr>
          <w:fldChar w:fldCharType="end"/>
        </w:r>
      </w:hyperlink>
    </w:p>
    <w:p w14:paraId="5363F048" w14:textId="5CA903B9" w:rsidR="00CA7CE1" w:rsidRDefault="00DD38EE">
      <w:pPr>
        <w:pStyle w:val="TableofFigures"/>
        <w:tabs>
          <w:tab w:val="right" w:leader="underscore" w:pos="9010"/>
        </w:tabs>
        <w:rPr>
          <w:rFonts w:asciiTheme="minorHAnsi" w:hAnsiTheme="minorHAnsi"/>
          <w:noProof/>
          <w:szCs w:val="22"/>
          <w:lang w:eastAsia="en-GB"/>
        </w:rPr>
      </w:pPr>
      <w:hyperlink w:anchor="_Toc46770992" w:history="1">
        <w:r w:rsidR="00CA7CE1" w:rsidRPr="009F5789">
          <w:rPr>
            <w:rStyle w:val="Hyperlink"/>
            <w:noProof/>
          </w:rPr>
          <w:t xml:space="preserve">Table 5.12 </w:t>
        </w:r>
        <w:r w:rsidR="00CA7CE1" w:rsidRPr="009F5789">
          <w:rPr>
            <w:rStyle w:val="Hyperlink"/>
            <w:bCs/>
            <w:noProof/>
          </w:rPr>
          <w:t xml:space="preserve">Odds ratios (ORs) and 95% confidence intervals (CIs) for reliable improvement and clinical recovery by patient factors (gender; age below/above median; low/high </w:t>
        </w:r>
        <w:r w:rsidR="00CA7CE1" w:rsidRPr="009F5789">
          <w:rPr>
            <w:rStyle w:val="Hyperlink"/>
            <w:bCs/>
            <w:noProof/>
          </w:rPr>
          <w:lastRenderedPageBreak/>
          <w:t>GAD and PHQ scores) and therapist factors (Adherence score low/high; Fidelity score low/high).</w:t>
        </w:r>
        <w:r w:rsidR="00CA7CE1">
          <w:rPr>
            <w:noProof/>
            <w:webHidden/>
          </w:rPr>
          <w:tab/>
        </w:r>
        <w:r w:rsidR="00CA7CE1">
          <w:rPr>
            <w:noProof/>
            <w:webHidden/>
          </w:rPr>
          <w:fldChar w:fldCharType="begin"/>
        </w:r>
        <w:r w:rsidR="00CA7CE1">
          <w:rPr>
            <w:noProof/>
            <w:webHidden/>
          </w:rPr>
          <w:instrText xml:space="preserve"> PAGEREF _Toc46770992 \h </w:instrText>
        </w:r>
        <w:r w:rsidR="00CA7CE1">
          <w:rPr>
            <w:noProof/>
            <w:webHidden/>
          </w:rPr>
        </w:r>
        <w:r w:rsidR="00CA7CE1">
          <w:rPr>
            <w:noProof/>
            <w:webHidden/>
          </w:rPr>
          <w:fldChar w:fldCharType="separate"/>
        </w:r>
        <w:r>
          <w:rPr>
            <w:noProof/>
            <w:webHidden/>
          </w:rPr>
          <w:t>180</w:t>
        </w:r>
        <w:r w:rsidR="00CA7CE1">
          <w:rPr>
            <w:noProof/>
            <w:webHidden/>
          </w:rPr>
          <w:fldChar w:fldCharType="end"/>
        </w:r>
      </w:hyperlink>
    </w:p>
    <w:p w14:paraId="3C05E827" w14:textId="438B3FE7" w:rsidR="00CA7CE1" w:rsidRDefault="00DD38EE">
      <w:pPr>
        <w:pStyle w:val="TableofFigures"/>
        <w:tabs>
          <w:tab w:val="right" w:leader="underscore" w:pos="9010"/>
        </w:tabs>
        <w:rPr>
          <w:rFonts w:asciiTheme="minorHAnsi" w:hAnsiTheme="minorHAnsi"/>
          <w:noProof/>
          <w:szCs w:val="22"/>
          <w:lang w:eastAsia="en-GB"/>
        </w:rPr>
      </w:pPr>
      <w:hyperlink w:anchor="_Toc46770993" w:history="1">
        <w:r w:rsidR="00CA7CE1" w:rsidRPr="009F5789">
          <w:rPr>
            <w:rStyle w:val="Hyperlink"/>
            <w:noProof/>
          </w:rPr>
          <w:t>Table 7.1 Ongoing research following the findings of this research</w:t>
        </w:r>
        <w:r w:rsidR="00CA7CE1">
          <w:rPr>
            <w:noProof/>
            <w:webHidden/>
          </w:rPr>
          <w:tab/>
        </w:r>
        <w:r w:rsidR="00CA7CE1">
          <w:rPr>
            <w:noProof/>
            <w:webHidden/>
          </w:rPr>
          <w:fldChar w:fldCharType="begin"/>
        </w:r>
        <w:r w:rsidR="00CA7CE1">
          <w:rPr>
            <w:noProof/>
            <w:webHidden/>
          </w:rPr>
          <w:instrText xml:space="preserve"> PAGEREF _Toc46770993 \h </w:instrText>
        </w:r>
        <w:r w:rsidR="00CA7CE1">
          <w:rPr>
            <w:noProof/>
            <w:webHidden/>
          </w:rPr>
        </w:r>
        <w:r w:rsidR="00CA7CE1">
          <w:rPr>
            <w:noProof/>
            <w:webHidden/>
          </w:rPr>
          <w:fldChar w:fldCharType="separate"/>
        </w:r>
        <w:r>
          <w:rPr>
            <w:noProof/>
            <w:webHidden/>
          </w:rPr>
          <w:t>245</w:t>
        </w:r>
        <w:r w:rsidR="00CA7CE1">
          <w:rPr>
            <w:noProof/>
            <w:webHidden/>
          </w:rPr>
          <w:fldChar w:fldCharType="end"/>
        </w:r>
      </w:hyperlink>
    </w:p>
    <w:p w14:paraId="4DD294CF" w14:textId="5D97F64D" w:rsidR="00EB19FD" w:rsidRPr="00D238AD" w:rsidRDefault="000B5716" w:rsidP="00D238AD">
      <w:pPr>
        <w:pStyle w:val="TableofFigures"/>
        <w:tabs>
          <w:tab w:val="right" w:leader="dot" w:pos="9010"/>
        </w:tabs>
        <w:rPr>
          <w:rFonts w:asciiTheme="minorHAnsi" w:hAnsiTheme="minorHAnsi"/>
          <w:noProof/>
          <w:szCs w:val="22"/>
          <w:lang w:eastAsia="en-GB"/>
        </w:rPr>
      </w:pPr>
      <w:r>
        <w:rPr>
          <w:rFonts w:cs="Arial"/>
          <w:color w:val="000000" w:themeColor="text1"/>
          <w:szCs w:val="22"/>
        </w:rPr>
        <w:fldChar w:fldCharType="end"/>
      </w:r>
      <w:r w:rsidR="00E3326C">
        <w:rPr>
          <w:rFonts w:cs="Arial"/>
          <w:color w:val="000000" w:themeColor="text1"/>
          <w:szCs w:val="22"/>
        </w:rPr>
        <w:fldChar w:fldCharType="begin"/>
      </w:r>
      <w:r w:rsidR="00E3326C">
        <w:rPr>
          <w:rFonts w:cs="Arial"/>
          <w:color w:val="000000" w:themeColor="text1"/>
          <w:szCs w:val="22"/>
        </w:rPr>
        <w:instrText xml:space="preserve"> TOC \h \z \t "Tables" \c </w:instrText>
      </w:r>
      <w:r w:rsidR="00DD38EE">
        <w:rPr>
          <w:rFonts w:cs="Arial"/>
          <w:color w:val="000000" w:themeColor="text1"/>
          <w:szCs w:val="22"/>
        </w:rPr>
        <w:fldChar w:fldCharType="separate"/>
      </w:r>
      <w:r w:rsidR="00E3326C">
        <w:rPr>
          <w:rFonts w:cs="Arial"/>
          <w:color w:val="000000" w:themeColor="text1"/>
          <w:szCs w:val="22"/>
        </w:rPr>
        <w:fldChar w:fldCharType="end"/>
      </w:r>
    </w:p>
    <w:p w14:paraId="7A061010" w14:textId="77777777" w:rsidR="00EB19FD" w:rsidRDefault="00EB19FD">
      <w:pPr>
        <w:rPr>
          <w:rFonts w:ascii="Arial" w:eastAsiaTheme="majorEastAsia" w:hAnsi="Arial" w:cs="Arial"/>
          <w:b/>
          <w:bCs/>
          <w:color w:val="000000" w:themeColor="text1"/>
          <w:sz w:val="22"/>
          <w:szCs w:val="22"/>
        </w:rPr>
      </w:pPr>
      <w:r>
        <w:rPr>
          <w:rFonts w:cs="Arial"/>
          <w:color w:val="000000" w:themeColor="text1"/>
          <w:szCs w:val="22"/>
        </w:rPr>
        <w:br w:type="page"/>
      </w:r>
    </w:p>
    <w:p w14:paraId="19BD57FE" w14:textId="22A39E8B" w:rsidR="005C3CCC" w:rsidRDefault="005C3CCC" w:rsidP="005C3CCC">
      <w:pPr>
        <w:pStyle w:val="Heading1"/>
        <w:rPr>
          <w:rFonts w:cs="Arial"/>
          <w:color w:val="000000" w:themeColor="text1"/>
          <w:szCs w:val="22"/>
        </w:rPr>
      </w:pPr>
      <w:bookmarkStart w:id="9" w:name="_Toc46770699"/>
      <w:bookmarkStart w:id="10" w:name="_Toc79414110"/>
      <w:r w:rsidRPr="00EF45E0">
        <w:rPr>
          <w:rFonts w:cs="Arial"/>
          <w:color w:val="000000" w:themeColor="text1"/>
          <w:szCs w:val="22"/>
        </w:rPr>
        <w:lastRenderedPageBreak/>
        <w:t>LIST OF ABBREVIATIONS</w:t>
      </w:r>
      <w:bookmarkEnd w:id="9"/>
      <w:bookmarkEnd w:id="10"/>
    </w:p>
    <w:p w14:paraId="14044413" w14:textId="77777777" w:rsidR="00A33EE5" w:rsidRPr="00A33EE5" w:rsidRDefault="00A33EE5" w:rsidP="00A33EE5"/>
    <w:p w14:paraId="0FE57262" w14:textId="77777777" w:rsidR="005C3CCC" w:rsidRDefault="005C3CCC" w:rsidP="005C3CCC"/>
    <w:p w14:paraId="7061DB89" w14:textId="27313D29" w:rsidR="005C3CCC" w:rsidRPr="00071F8C" w:rsidRDefault="005C3CCC" w:rsidP="005C3CCC">
      <w:pPr>
        <w:rPr>
          <w:rFonts w:ascii="Arial" w:hAnsi="Arial" w:cs="Arial"/>
          <w:sz w:val="22"/>
          <w:szCs w:val="22"/>
        </w:rPr>
      </w:pPr>
      <w:r w:rsidRPr="00071F8C">
        <w:rPr>
          <w:rFonts w:ascii="Arial" w:hAnsi="Arial" w:cs="Arial"/>
          <w:sz w:val="22"/>
          <w:szCs w:val="22"/>
        </w:rPr>
        <w:t xml:space="preserve">CBT: </w:t>
      </w:r>
      <w:r w:rsidRPr="00071F8C">
        <w:rPr>
          <w:rFonts w:ascii="Arial" w:hAnsi="Arial" w:cs="Arial"/>
          <w:sz w:val="22"/>
          <w:szCs w:val="22"/>
        </w:rPr>
        <w:tab/>
      </w:r>
      <w:r w:rsidRPr="00071F8C">
        <w:rPr>
          <w:rFonts w:ascii="Arial" w:hAnsi="Arial" w:cs="Arial"/>
          <w:sz w:val="22"/>
          <w:szCs w:val="22"/>
        </w:rPr>
        <w:tab/>
        <w:t>Cognitive Behavioural Therapy</w:t>
      </w:r>
    </w:p>
    <w:p w14:paraId="27040605" w14:textId="6067A32A" w:rsidR="008B33AE" w:rsidRPr="00071F8C" w:rsidRDefault="008B33AE" w:rsidP="005C3CCC">
      <w:pPr>
        <w:rPr>
          <w:rFonts w:ascii="Arial" w:hAnsi="Arial" w:cs="Arial"/>
          <w:sz w:val="22"/>
          <w:szCs w:val="22"/>
        </w:rPr>
      </w:pPr>
    </w:p>
    <w:p w14:paraId="02EB68B0" w14:textId="5FEBA187" w:rsidR="008B33AE" w:rsidRPr="00071F8C" w:rsidRDefault="008B33AE" w:rsidP="005C3CCC">
      <w:pPr>
        <w:rPr>
          <w:rFonts w:ascii="Arial" w:hAnsi="Arial" w:cs="Arial"/>
          <w:sz w:val="22"/>
          <w:szCs w:val="22"/>
        </w:rPr>
      </w:pPr>
      <w:r w:rsidRPr="00071F8C">
        <w:rPr>
          <w:rFonts w:ascii="Arial" w:hAnsi="Arial" w:cs="Arial"/>
          <w:sz w:val="22"/>
          <w:szCs w:val="22"/>
        </w:rPr>
        <w:t>CDS:</w:t>
      </w:r>
      <w:r w:rsidRPr="00071F8C">
        <w:rPr>
          <w:rFonts w:ascii="Arial" w:hAnsi="Arial" w:cs="Arial"/>
          <w:sz w:val="22"/>
          <w:szCs w:val="22"/>
        </w:rPr>
        <w:tab/>
      </w:r>
      <w:r w:rsidRPr="00071F8C">
        <w:rPr>
          <w:rFonts w:ascii="Arial" w:hAnsi="Arial" w:cs="Arial"/>
          <w:sz w:val="22"/>
          <w:szCs w:val="22"/>
        </w:rPr>
        <w:tab/>
        <w:t>Clinical Decision Support</w:t>
      </w:r>
    </w:p>
    <w:p w14:paraId="1BA94B77" w14:textId="48C0C42F" w:rsidR="005C3CCC" w:rsidRPr="00071F8C" w:rsidRDefault="005C3CCC" w:rsidP="005C3CCC">
      <w:pPr>
        <w:rPr>
          <w:rFonts w:ascii="Arial" w:hAnsi="Arial" w:cs="Arial"/>
          <w:sz w:val="22"/>
          <w:szCs w:val="22"/>
        </w:rPr>
      </w:pPr>
    </w:p>
    <w:p w14:paraId="26332282" w14:textId="26CA0611" w:rsidR="005C3CCC" w:rsidRPr="00071F8C" w:rsidRDefault="005C3CCC" w:rsidP="005C3CCC">
      <w:pPr>
        <w:rPr>
          <w:rFonts w:ascii="Arial" w:hAnsi="Arial" w:cs="Arial"/>
          <w:sz w:val="22"/>
          <w:szCs w:val="22"/>
        </w:rPr>
      </w:pPr>
      <w:r w:rsidRPr="00071F8C">
        <w:rPr>
          <w:rFonts w:ascii="Arial" w:hAnsi="Arial" w:cs="Arial"/>
          <w:sz w:val="22"/>
          <w:szCs w:val="22"/>
        </w:rPr>
        <w:t>CTS-R:</w:t>
      </w:r>
      <w:r w:rsidRPr="00071F8C">
        <w:rPr>
          <w:rFonts w:ascii="Arial" w:hAnsi="Arial" w:cs="Arial"/>
          <w:sz w:val="22"/>
          <w:szCs w:val="22"/>
        </w:rPr>
        <w:tab/>
        <w:t>Cognitive Therapy Scale-Revised</w:t>
      </w:r>
    </w:p>
    <w:p w14:paraId="753010FA" w14:textId="77777777" w:rsidR="005C3CCC" w:rsidRPr="00071F8C" w:rsidRDefault="005C3CCC" w:rsidP="005C3CCC">
      <w:pPr>
        <w:rPr>
          <w:sz w:val="22"/>
          <w:szCs w:val="22"/>
        </w:rPr>
      </w:pPr>
    </w:p>
    <w:p w14:paraId="50082A8D" w14:textId="07F5C8C4" w:rsidR="005C3CCC" w:rsidRPr="00071F8C" w:rsidRDefault="005C3CCC" w:rsidP="005C3CCC">
      <w:pPr>
        <w:rPr>
          <w:rFonts w:ascii="Arial" w:hAnsi="Arial" w:cs="Arial"/>
          <w:sz w:val="22"/>
          <w:szCs w:val="22"/>
        </w:rPr>
      </w:pPr>
      <w:r w:rsidRPr="00071F8C">
        <w:rPr>
          <w:rFonts w:ascii="Arial" w:hAnsi="Arial" w:cs="Arial"/>
          <w:sz w:val="22"/>
          <w:szCs w:val="22"/>
        </w:rPr>
        <w:t xml:space="preserve">HI:  </w:t>
      </w:r>
      <w:r w:rsidRPr="00071F8C">
        <w:rPr>
          <w:rFonts w:ascii="Arial" w:hAnsi="Arial" w:cs="Arial"/>
          <w:sz w:val="22"/>
          <w:szCs w:val="22"/>
        </w:rPr>
        <w:tab/>
      </w:r>
      <w:r w:rsidRPr="00071F8C">
        <w:rPr>
          <w:rFonts w:ascii="Arial" w:hAnsi="Arial" w:cs="Arial"/>
          <w:sz w:val="22"/>
          <w:szCs w:val="22"/>
        </w:rPr>
        <w:tab/>
        <w:t>High Intensity</w:t>
      </w:r>
      <w:r w:rsidRPr="00071F8C">
        <w:rPr>
          <w:rFonts w:ascii="Arial" w:hAnsi="Arial" w:cs="Arial"/>
          <w:sz w:val="22"/>
          <w:szCs w:val="22"/>
        </w:rPr>
        <w:tab/>
      </w:r>
    </w:p>
    <w:p w14:paraId="64553412" w14:textId="77777777" w:rsidR="005C3CCC" w:rsidRPr="00071F8C" w:rsidRDefault="005C3CCC" w:rsidP="005C3CCC">
      <w:pPr>
        <w:rPr>
          <w:rFonts w:ascii="Arial" w:hAnsi="Arial" w:cs="Arial"/>
          <w:sz w:val="22"/>
          <w:szCs w:val="22"/>
        </w:rPr>
      </w:pPr>
    </w:p>
    <w:p w14:paraId="33BB7001" w14:textId="7B23C145" w:rsidR="005C3CCC" w:rsidRPr="00071F8C" w:rsidRDefault="005C3CCC" w:rsidP="005C3CCC">
      <w:pPr>
        <w:rPr>
          <w:rFonts w:ascii="Arial" w:hAnsi="Arial" w:cs="Arial"/>
          <w:sz w:val="22"/>
          <w:szCs w:val="22"/>
        </w:rPr>
      </w:pPr>
      <w:r w:rsidRPr="00071F8C">
        <w:rPr>
          <w:rFonts w:ascii="Arial" w:hAnsi="Arial" w:cs="Arial"/>
          <w:sz w:val="22"/>
          <w:szCs w:val="22"/>
        </w:rPr>
        <w:t>IAPT:</w:t>
      </w:r>
      <w:r w:rsidRPr="00071F8C">
        <w:rPr>
          <w:rFonts w:ascii="Arial" w:hAnsi="Arial" w:cs="Arial"/>
          <w:sz w:val="22"/>
          <w:szCs w:val="22"/>
        </w:rPr>
        <w:tab/>
      </w:r>
      <w:r w:rsidRPr="00071F8C">
        <w:rPr>
          <w:rFonts w:ascii="Arial" w:hAnsi="Arial" w:cs="Arial"/>
          <w:sz w:val="22"/>
          <w:szCs w:val="22"/>
        </w:rPr>
        <w:tab/>
        <w:t>Improving Access to Psychological Therapy</w:t>
      </w:r>
    </w:p>
    <w:p w14:paraId="5880014B" w14:textId="41BE8552" w:rsidR="005C3CCC" w:rsidRPr="00071F8C" w:rsidRDefault="005C3CCC" w:rsidP="005C3CCC">
      <w:pPr>
        <w:rPr>
          <w:rFonts w:ascii="Arial" w:hAnsi="Arial" w:cs="Arial"/>
          <w:sz w:val="22"/>
          <w:szCs w:val="22"/>
        </w:rPr>
      </w:pPr>
    </w:p>
    <w:p w14:paraId="450D63EB" w14:textId="40A07B0E" w:rsidR="005C3CCC" w:rsidRPr="00071F8C" w:rsidRDefault="005C3CCC" w:rsidP="005C3CCC">
      <w:pPr>
        <w:rPr>
          <w:rFonts w:ascii="Arial" w:hAnsi="Arial" w:cs="Arial"/>
          <w:sz w:val="22"/>
          <w:szCs w:val="22"/>
        </w:rPr>
      </w:pPr>
      <w:r w:rsidRPr="00071F8C">
        <w:rPr>
          <w:rFonts w:ascii="Arial" w:hAnsi="Arial" w:cs="Arial"/>
          <w:sz w:val="22"/>
          <w:szCs w:val="22"/>
        </w:rPr>
        <w:t>IECBT:</w:t>
      </w:r>
      <w:r w:rsidRPr="00071F8C">
        <w:rPr>
          <w:rFonts w:ascii="Arial" w:hAnsi="Arial" w:cs="Arial"/>
          <w:sz w:val="22"/>
          <w:szCs w:val="22"/>
        </w:rPr>
        <w:tab/>
      </w:r>
      <w:r w:rsidR="00071F8C">
        <w:rPr>
          <w:rFonts w:ascii="Arial" w:hAnsi="Arial" w:cs="Arial"/>
          <w:sz w:val="22"/>
          <w:szCs w:val="22"/>
        </w:rPr>
        <w:tab/>
      </w:r>
      <w:r w:rsidRPr="00071F8C">
        <w:rPr>
          <w:rFonts w:ascii="Arial" w:hAnsi="Arial" w:cs="Arial"/>
          <w:sz w:val="22"/>
          <w:szCs w:val="22"/>
        </w:rPr>
        <w:t>Internet Enabled Cognitive Behavioural Therapy</w:t>
      </w:r>
    </w:p>
    <w:p w14:paraId="35B278A7" w14:textId="1ACB7224" w:rsidR="008B33AE" w:rsidRPr="00071F8C" w:rsidRDefault="008B33AE" w:rsidP="005C3CCC">
      <w:pPr>
        <w:rPr>
          <w:rFonts w:ascii="Arial" w:hAnsi="Arial" w:cs="Arial"/>
          <w:sz w:val="22"/>
          <w:szCs w:val="22"/>
        </w:rPr>
      </w:pPr>
    </w:p>
    <w:p w14:paraId="09E68FE5" w14:textId="6F9AF837" w:rsidR="008B33AE" w:rsidRPr="00071F8C" w:rsidRDefault="008B33AE" w:rsidP="005C3CCC">
      <w:pPr>
        <w:rPr>
          <w:rFonts w:ascii="Arial" w:hAnsi="Arial" w:cs="Arial"/>
          <w:sz w:val="22"/>
          <w:szCs w:val="22"/>
        </w:rPr>
      </w:pPr>
      <w:r w:rsidRPr="00071F8C">
        <w:rPr>
          <w:rFonts w:ascii="Arial" w:hAnsi="Arial" w:cs="Arial"/>
          <w:sz w:val="22"/>
          <w:szCs w:val="22"/>
        </w:rPr>
        <w:t>NHS:</w:t>
      </w:r>
      <w:r w:rsidRPr="00071F8C">
        <w:rPr>
          <w:rFonts w:ascii="Arial" w:hAnsi="Arial" w:cs="Arial"/>
          <w:sz w:val="22"/>
          <w:szCs w:val="22"/>
        </w:rPr>
        <w:tab/>
      </w:r>
      <w:r w:rsidRPr="00071F8C">
        <w:rPr>
          <w:rFonts w:ascii="Arial" w:hAnsi="Arial" w:cs="Arial"/>
          <w:sz w:val="22"/>
          <w:szCs w:val="22"/>
        </w:rPr>
        <w:tab/>
        <w:t>National Health Service</w:t>
      </w:r>
    </w:p>
    <w:p w14:paraId="38C4AB8F" w14:textId="77777777" w:rsidR="005C3CCC" w:rsidRPr="00071F8C" w:rsidRDefault="005C3CCC" w:rsidP="005C3CCC">
      <w:pPr>
        <w:rPr>
          <w:rFonts w:ascii="Arial" w:hAnsi="Arial" w:cs="Arial"/>
          <w:sz w:val="22"/>
          <w:szCs w:val="22"/>
        </w:rPr>
      </w:pPr>
    </w:p>
    <w:p w14:paraId="6BF65494" w14:textId="25BA6B81" w:rsidR="005C3CCC" w:rsidRPr="00071F8C" w:rsidRDefault="005C3CCC" w:rsidP="005C3CCC">
      <w:pPr>
        <w:rPr>
          <w:rFonts w:ascii="Arial" w:hAnsi="Arial" w:cs="Arial"/>
          <w:sz w:val="22"/>
          <w:szCs w:val="22"/>
        </w:rPr>
      </w:pPr>
      <w:r w:rsidRPr="00071F8C">
        <w:rPr>
          <w:rFonts w:ascii="Arial" w:hAnsi="Arial" w:cs="Arial"/>
          <w:sz w:val="22"/>
          <w:szCs w:val="22"/>
        </w:rPr>
        <w:t>NICE:</w:t>
      </w:r>
      <w:r w:rsidRPr="00071F8C">
        <w:rPr>
          <w:rFonts w:ascii="Arial" w:hAnsi="Arial" w:cs="Arial"/>
          <w:sz w:val="22"/>
          <w:szCs w:val="22"/>
        </w:rPr>
        <w:tab/>
      </w:r>
      <w:r w:rsidRPr="00071F8C">
        <w:rPr>
          <w:rFonts w:ascii="Arial" w:hAnsi="Arial" w:cs="Arial"/>
          <w:sz w:val="22"/>
          <w:szCs w:val="22"/>
        </w:rPr>
        <w:tab/>
        <w:t>National Institute for Health and Social Care Excellence</w:t>
      </w:r>
    </w:p>
    <w:p w14:paraId="6417A47B" w14:textId="77777777" w:rsidR="005C3CCC" w:rsidRPr="00071F8C" w:rsidRDefault="005C3CCC" w:rsidP="005C3CCC">
      <w:pPr>
        <w:rPr>
          <w:rFonts w:ascii="Arial" w:hAnsi="Arial" w:cs="Arial"/>
          <w:sz w:val="22"/>
          <w:szCs w:val="22"/>
        </w:rPr>
      </w:pPr>
    </w:p>
    <w:p w14:paraId="7A0DE01E" w14:textId="7BBAFC04" w:rsidR="005C3CCC" w:rsidRPr="00071F8C" w:rsidRDefault="005C3CCC" w:rsidP="005C3CCC">
      <w:pPr>
        <w:rPr>
          <w:rFonts w:ascii="Arial" w:hAnsi="Arial" w:cs="Arial"/>
          <w:sz w:val="22"/>
          <w:szCs w:val="22"/>
        </w:rPr>
      </w:pPr>
      <w:r w:rsidRPr="00071F8C">
        <w:rPr>
          <w:rFonts w:ascii="Arial" w:hAnsi="Arial" w:cs="Arial"/>
          <w:sz w:val="22"/>
          <w:szCs w:val="22"/>
        </w:rPr>
        <w:t>PWP:</w:t>
      </w:r>
      <w:r w:rsidRPr="00071F8C">
        <w:rPr>
          <w:rFonts w:ascii="Arial" w:hAnsi="Arial" w:cs="Arial"/>
          <w:sz w:val="22"/>
          <w:szCs w:val="22"/>
        </w:rPr>
        <w:tab/>
      </w:r>
      <w:r w:rsidRPr="00071F8C">
        <w:rPr>
          <w:rFonts w:ascii="Arial" w:hAnsi="Arial" w:cs="Arial"/>
          <w:sz w:val="22"/>
          <w:szCs w:val="22"/>
        </w:rPr>
        <w:tab/>
        <w:t>Psychological Wellbeing Practitioner</w:t>
      </w:r>
    </w:p>
    <w:p w14:paraId="015BCC26" w14:textId="77777777" w:rsidR="005C3CCC" w:rsidRDefault="005C3CCC" w:rsidP="005C3CCC"/>
    <w:p w14:paraId="39B37AFD" w14:textId="77777777" w:rsidR="005C3CCC" w:rsidRDefault="005C3CCC" w:rsidP="005C3CCC">
      <w:pPr>
        <w:spacing w:line="480" w:lineRule="auto"/>
        <w:rPr>
          <w:rFonts w:ascii="Arial" w:hAnsi="Arial" w:cs="Arial"/>
        </w:rPr>
      </w:pPr>
    </w:p>
    <w:p w14:paraId="42FDB2B3" w14:textId="77777777" w:rsidR="005C3CCC" w:rsidRPr="005C3CCC" w:rsidRDefault="005C3CCC" w:rsidP="005C3CCC"/>
    <w:p w14:paraId="4E23B658" w14:textId="4B1731D9" w:rsidR="005C3CCC" w:rsidRDefault="005C3CCC" w:rsidP="005C3CCC"/>
    <w:p w14:paraId="53E0308A" w14:textId="77777777" w:rsidR="005C3CCC" w:rsidRPr="005C3CCC" w:rsidRDefault="005C3CCC" w:rsidP="005C3CCC"/>
    <w:p w14:paraId="28D0916A" w14:textId="6467515E" w:rsidR="005C3CCC" w:rsidRDefault="005C3CCC" w:rsidP="005C3CCC"/>
    <w:p w14:paraId="04EAD136" w14:textId="77777777" w:rsidR="00A22BF4" w:rsidRDefault="00A22BF4" w:rsidP="005C3CCC">
      <w:pPr>
        <w:rPr>
          <w:rFonts w:ascii="Arial" w:hAnsi="Arial" w:cs="Arial"/>
          <w:b/>
          <w:bCs/>
          <w:sz w:val="22"/>
          <w:szCs w:val="22"/>
        </w:rPr>
      </w:pPr>
    </w:p>
    <w:p w14:paraId="318A89F3" w14:textId="77777777" w:rsidR="00A22BF4" w:rsidRDefault="00A22BF4" w:rsidP="005C3CCC">
      <w:pPr>
        <w:rPr>
          <w:rFonts w:ascii="Arial" w:hAnsi="Arial" w:cs="Arial"/>
          <w:b/>
          <w:bCs/>
          <w:sz w:val="22"/>
          <w:szCs w:val="22"/>
        </w:rPr>
      </w:pPr>
    </w:p>
    <w:p w14:paraId="2E2ACA65" w14:textId="77777777" w:rsidR="00A22BF4" w:rsidRDefault="00A22BF4" w:rsidP="005C3CCC">
      <w:pPr>
        <w:rPr>
          <w:rFonts w:ascii="Arial" w:hAnsi="Arial" w:cs="Arial"/>
          <w:b/>
          <w:bCs/>
          <w:sz w:val="22"/>
          <w:szCs w:val="22"/>
        </w:rPr>
      </w:pPr>
    </w:p>
    <w:p w14:paraId="244F688B" w14:textId="77777777" w:rsidR="00A22BF4" w:rsidRDefault="00A22BF4" w:rsidP="005C3CCC">
      <w:pPr>
        <w:rPr>
          <w:rFonts w:ascii="Arial" w:hAnsi="Arial" w:cs="Arial"/>
          <w:b/>
          <w:bCs/>
          <w:sz w:val="22"/>
          <w:szCs w:val="22"/>
        </w:rPr>
      </w:pPr>
    </w:p>
    <w:p w14:paraId="2CE959D8" w14:textId="77777777" w:rsidR="00A22BF4" w:rsidRDefault="00A22BF4" w:rsidP="005C3CCC">
      <w:pPr>
        <w:rPr>
          <w:rFonts w:ascii="Arial" w:hAnsi="Arial" w:cs="Arial"/>
          <w:b/>
          <w:bCs/>
          <w:sz w:val="22"/>
          <w:szCs w:val="22"/>
        </w:rPr>
      </w:pPr>
    </w:p>
    <w:p w14:paraId="1DDC6E40" w14:textId="77777777" w:rsidR="00A22BF4" w:rsidRDefault="00A22BF4" w:rsidP="005C3CCC">
      <w:pPr>
        <w:rPr>
          <w:rFonts w:ascii="Arial" w:hAnsi="Arial" w:cs="Arial"/>
          <w:b/>
          <w:bCs/>
          <w:sz w:val="22"/>
          <w:szCs w:val="22"/>
        </w:rPr>
      </w:pPr>
    </w:p>
    <w:p w14:paraId="0409FFCA" w14:textId="77777777" w:rsidR="00A22BF4" w:rsidRDefault="00A22BF4" w:rsidP="005C3CCC">
      <w:pPr>
        <w:rPr>
          <w:rFonts w:ascii="Arial" w:hAnsi="Arial" w:cs="Arial"/>
          <w:b/>
          <w:bCs/>
          <w:sz w:val="22"/>
          <w:szCs w:val="22"/>
        </w:rPr>
      </w:pPr>
    </w:p>
    <w:p w14:paraId="25C21A9C" w14:textId="77777777" w:rsidR="00A22BF4" w:rsidRDefault="00A22BF4" w:rsidP="005C3CCC">
      <w:pPr>
        <w:rPr>
          <w:rFonts w:ascii="Arial" w:hAnsi="Arial" w:cs="Arial"/>
          <w:b/>
          <w:bCs/>
          <w:sz w:val="22"/>
          <w:szCs w:val="22"/>
        </w:rPr>
      </w:pPr>
    </w:p>
    <w:p w14:paraId="2C1FC192" w14:textId="77777777" w:rsidR="00A22BF4" w:rsidRDefault="00A22BF4" w:rsidP="005C3CCC">
      <w:pPr>
        <w:rPr>
          <w:rFonts w:ascii="Arial" w:hAnsi="Arial" w:cs="Arial"/>
          <w:b/>
          <w:bCs/>
          <w:sz w:val="22"/>
          <w:szCs w:val="22"/>
        </w:rPr>
      </w:pPr>
    </w:p>
    <w:p w14:paraId="32891349" w14:textId="77777777" w:rsidR="00A22BF4" w:rsidRDefault="00A22BF4" w:rsidP="005C3CCC">
      <w:pPr>
        <w:rPr>
          <w:rFonts w:ascii="Arial" w:hAnsi="Arial" w:cs="Arial"/>
          <w:b/>
          <w:bCs/>
          <w:sz w:val="22"/>
          <w:szCs w:val="22"/>
        </w:rPr>
      </w:pPr>
    </w:p>
    <w:p w14:paraId="049933AE" w14:textId="77777777" w:rsidR="00A22BF4" w:rsidRDefault="00A22BF4" w:rsidP="005C3CCC">
      <w:pPr>
        <w:rPr>
          <w:rFonts w:ascii="Arial" w:hAnsi="Arial" w:cs="Arial"/>
          <w:b/>
          <w:bCs/>
          <w:sz w:val="22"/>
          <w:szCs w:val="22"/>
        </w:rPr>
      </w:pPr>
    </w:p>
    <w:p w14:paraId="7EA7FE10" w14:textId="77777777" w:rsidR="00A22BF4" w:rsidRDefault="00A22BF4" w:rsidP="005C3CCC">
      <w:pPr>
        <w:rPr>
          <w:rFonts w:ascii="Arial" w:hAnsi="Arial" w:cs="Arial"/>
          <w:b/>
          <w:bCs/>
          <w:sz w:val="22"/>
          <w:szCs w:val="22"/>
        </w:rPr>
      </w:pPr>
    </w:p>
    <w:p w14:paraId="30BAA3DB" w14:textId="77777777" w:rsidR="00A22BF4" w:rsidRDefault="00A22BF4" w:rsidP="005C3CCC">
      <w:pPr>
        <w:rPr>
          <w:rFonts w:ascii="Arial" w:hAnsi="Arial" w:cs="Arial"/>
          <w:b/>
          <w:bCs/>
          <w:sz w:val="22"/>
          <w:szCs w:val="22"/>
        </w:rPr>
      </w:pPr>
    </w:p>
    <w:p w14:paraId="6C7D4EA5" w14:textId="77777777" w:rsidR="00A22BF4" w:rsidRDefault="00A22BF4" w:rsidP="005C3CCC">
      <w:pPr>
        <w:rPr>
          <w:rFonts w:ascii="Arial" w:hAnsi="Arial" w:cs="Arial"/>
          <w:b/>
          <w:bCs/>
          <w:sz w:val="22"/>
          <w:szCs w:val="22"/>
        </w:rPr>
      </w:pPr>
    </w:p>
    <w:p w14:paraId="74022833" w14:textId="77777777" w:rsidR="00A22BF4" w:rsidRDefault="00A22BF4" w:rsidP="005C3CCC">
      <w:pPr>
        <w:rPr>
          <w:rFonts w:ascii="Arial" w:hAnsi="Arial" w:cs="Arial"/>
          <w:b/>
          <w:bCs/>
          <w:sz w:val="22"/>
          <w:szCs w:val="22"/>
        </w:rPr>
      </w:pPr>
    </w:p>
    <w:p w14:paraId="02FE2484" w14:textId="77777777" w:rsidR="00A22BF4" w:rsidRDefault="00A22BF4" w:rsidP="005C3CCC">
      <w:pPr>
        <w:rPr>
          <w:rFonts w:ascii="Arial" w:hAnsi="Arial" w:cs="Arial"/>
          <w:b/>
          <w:bCs/>
          <w:sz w:val="22"/>
          <w:szCs w:val="22"/>
        </w:rPr>
      </w:pPr>
    </w:p>
    <w:p w14:paraId="1D6CEA98" w14:textId="77777777" w:rsidR="00A22BF4" w:rsidRDefault="00A22BF4" w:rsidP="005C3CCC">
      <w:pPr>
        <w:rPr>
          <w:rFonts w:ascii="Arial" w:hAnsi="Arial" w:cs="Arial"/>
          <w:b/>
          <w:bCs/>
          <w:sz w:val="22"/>
          <w:szCs w:val="22"/>
        </w:rPr>
      </w:pPr>
    </w:p>
    <w:p w14:paraId="595D516E" w14:textId="77777777" w:rsidR="00A22BF4" w:rsidRDefault="00A22BF4" w:rsidP="005C3CCC">
      <w:pPr>
        <w:rPr>
          <w:rFonts w:ascii="Arial" w:hAnsi="Arial" w:cs="Arial"/>
          <w:b/>
          <w:bCs/>
          <w:sz w:val="22"/>
          <w:szCs w:val="22"/>
        </w:rPr>
      </w:pPr>
    </w:p>
    <w:p w14:paraId="51B05409" w14:textId="77777777" w:rsidR="00A22BF4" w:rsidRDefault="00A22BF4" w:rsidP="005C3CCC">
      <w:pPr>
        <w:rPr>
          <w:rFonts w:ascii="Arial" w:hAnsi="Arial" w:cs="Arial"/>
          <w:b/>
          <w:bCs/>
          <w:sz w:val="22"/>
          <w:szCs w:val="22"/>
        </w:rPr>
      </w:pPr>
    </w:p>
    <w:p w14:paraId="086F7CC7" w14:textId="77777777" w:rsidR="00A22BF4" w:rsidRDefault="00A22BF4" w:rsidP="005C3CCC">
      <w:pPr>
        <w:rPr>
          <w:rFonts w:ascii="Arial" w:hAnsi="Arial" w:cs="Arial"/>
          <w:b/>
          <w:bCs/>
          <w:sz w:val="22"/>
          <w:szCs w:val="22"/>
        </w:rPr>
      </w:pPr>
    </w:p>
    <w:p w14:paraId="3D017222" w14:textId="77777777" w:rsidR="00A22BF4" w:rsidRDefault="00A22BF4" w:rsidP="005C3CCC">
      <w:pPr>
        <w:rPr>
          <w:rFonts w:ascii="Arial" w:hAnsi="Arial" w:cs="Arial"/>
          <w:b/>
          <w:bCs/>
          <w:sz w:val="22"/>
          <w:szCs w:val="22"/>
        </w:rPr>
      </w:pPr>
    </w:p>
    <w:p w14:paraId="1F86D8D6" w14:textId="77777777" w:rsidR="00A22BF4" w:rsidRDefault="00A22BF4" w:rsidP="005C3CCC">
      <w:pPr>
        <w:rPr>
          <w:rFonts w:ascii="Arial" w:hAnsi="Arial" w:cs="Arial"/>
          <w:b/>
          <w:bCs/>
          <w:sz w:val="22"/>
          <w:szCs w:val="22"/>
        </w:rPr>
      </w:pPr>
    </w:p>
    <w:p w14:paraId="1A6C2B4A" w14:textId="77777777" w:rsidR="00A22BF4" w:rsidRDefault="00A22BF4" w:rsidP="005C3CCC">
      <w:pPr>
        <w:rPr>
          <w:rFonts w:ascii="Arial" w:hAnsi="Arial" w:cs="Arial"/>
          <w:b/>
          <w:bCs/>
          <w:sz w:val="22"/>
          <w:szCs w:val="22"/>
        </w:rPr>
      </w:pPr>
    </w:p>
    <w:p w14:paraId="2A847ECD" w14:textId="77777777" w:rsidR="00A22BF4" w:rsidRDefault="00A22BF4" w:rsidP="005C3CCC">
      <w:pPr>
        <w:rPr>
          <w:rFonts w:ascii="Arial" w:hAnsi="Arial" w:cs="Arial"/>
          <w:b/>
          <w:bCs/>
          <w:sz w:val="22"/>
          <w:szCs w:val="22"/>
        </w:rPr>
      </w:pPr>
    </w:p>
    <w:p w14:paraId="26274C6D" w14:textId="77777777" w:rsidR="00A22BF4" w:rsidRDefault="00A22BF4" w:rsidP="005C3CCC">
      <w:pPr>
        <w:rPr>
          <w:rFonts w:ascii="Arial" w:hAnsi="Arial" w:cs="Arial"/>
          <w:b/>
          <w:bCs/>
          <w:sz w:val="22"/>
          <w:szCs w:val="22"/>
        </w:rPr>
      </w:pPr>
    </w:p>
    <w:p w14:paraId="7404AC3D" w14:textId="77777777" w:rsidR="00A22BF4" w:rsidRDefault="00A22BF4" w:rsidP="005C3CCC">
      <w:pPr>
        <w:rPr>
          <w:rFonts w:ascii="Arial" w:hAnsi="Arial" w:cs="Arial"/>
          <w:b/>
          <w:bCs/>
          <w:sz w:val="22"/>
          <w:szCs w:val="22"/>
        </w:rPr>
      </w:pPr>
    </w:p>
    <w:p w14:paraId="1841F743" w14:textId="77777777" w:rsidR="00A22BF4" w:rsidRDefault="00A22BF4" w:rsidP="005C3CCC">
      <w:pPr>
        <w:rPr>
          <w:rFonts w:ascii="Arial" w:hAnsi="Arial" w:cs="Arial"/>
          <w:b/>
          <w:bCs/>
          <w:sz w:val="22"/>
          <w:szCs w:val="22"/>
        </w:rPr>
      </w:pPr>
    </w:p>
    <w:p w14:paraId="0ACBF665" w14:textId="5A66C045" w:rsidR="00A22BF4" w:rsidRDefault="0035575B" w:rsidP="00A33EE5">
      <w:pPr>
        <w:pStyle w:val="Heading1"/>
        <w:rPr>
          <w:rFonts w:cs="Arial"/>
          <w:color w:val="000000" w:themeColor="text1"/>
          <w:szCs w:val="22"/>
        </w:rPr>
      </w:pPr>
      <w:bookmarkStart w:id="11" w:name="_Toc46770700"/>
      <w:bookmarkStart w:id="12" w:name="_Toc79414111"/>
      <w:r>
        <w:rPr>
          <w:rFonts w:cs="Arial"/>
          <w:color w:val="000000" w:themeColor="text1"/>
          <w:szCs w:val="22"/>
        </w:rPr>
        <w:lastRenderedPageBreak/>
        <w:t>LIST OF APPENDICES</w:t>
      </w:r>
      <w:bookmarkEnd w:id="11"/>
      <w:bookmarkEnd w:id="12"/>
    </w:p>
    <w:p w14:paraId="32EAEB84" w14:textId="7959E644" w:rsidR="00A33EE5" w:rsidRDefault="00A33EE5" w:rsidP="00A33EE5"/>
    <w:p w14:paraId="04460895" w14:textId="02687506" w:rsidR="00CA7CE1" w:rsidRDefault="00A33EE5">
      <w:pPr>
        <w:pStyle w:val="TableofFigures"/>
        <w:tabs>
          <w:tab w:val="right" w:leader="underscore" w:pos="9010"/>
        </w:tabs>
        <w:rPr>
          <w:rFonts w:asciiTheme="minorHAnsi" w:hAnsiTheme="minorHAnsi"/>
          <w:noProof/>
          <w:szCs w:val="22"/>
          <w:lang w:eastAsia="en-GB"/>
        </w:rPr>
      </w:pPr>
      <w:r>
        <w:fldChar w:fldCharType="begin"/>
      </w:r>
      <w:r>
        <w:instrText xml:space="preserve"> TOC \h \z \t "Appendices" \c </w:instrText>
      </w:r>
      <w:r>
        <w:fldChar w:fldCharType="separate"/>
      </w:r>
      <w:hyperlink w:anchor="_Toc46770994" w:history="1">
        <w:r w:rsidR="00CA7CE1" w:rsidRPr="00A04C4F">
          <w:rPr>
            <w:rStyle w:val="Hyperlink"/>
            <w:noProof/>
          </w:rPr>
          <w:t>Appendix 1 Ewbank, Cummins, Tablan, Bateup, Catarino, Martin and Blackwell (2019)</w:t>
        </w:r>
        <w:r w:rsidR="00CA7CE1">
          <w:rPr>
            <w:noProof/>
            <w:webHidden/>
          </w:rPr>
          <w:tab/>
        </w:r>
        <w:r w:rsidR="00CA7CE1">
          <w:rPr>
            <w:noProof/>
            <w:webHidden/>
          </w:rPr>
          <w:fldChar w:fldCharType="begin"/>
        </w:r>
        <w:r w:rsidR="00CA7CE1">
          <w:rPr>
            <w:noProof/>
            <w:webHidden/>
          </w:rPr>
          <w:instrText xml:space="preserve"> PAGEREF _Toc46770994 \h </w:instrText>
        </w:r>
        <w:r w:rsidR="00CA7CE1">
          <w:rPr>
            <w:noProof/>
            <w:webHidden/>
          </w:rPr>
          <w:fldChar w:fldCharType="separate"/>
        </w:r>
        <w:r w:rsidR="00DD38EE">
          <w:rPr>
            <w:b/>
            <w:bCs/>
            <w:noProof/>
            <w:webHidden/>
            <w:lang w:val="en-US"/>
          </w:rPr>
          <w:t>Error! Bookmark not defined.</w:t>
        </w:r>
        <w:r w:rsidR="00CA7CE1">
          <w:rPr>
            <w:noProof/>
            <w:webHidden/>
          </w:rPr>
          <w:fldChar w:fldCharType="end"/>
        </w:r>
      </w:hyperlink>
    </w:p>
    <w:p w14:paraId="0DC3F5C1" w14:textId="42878151" w:rsidR="00CA7CE1" w:rsidRDefault="00DD38EE">
      <w:pPr>
        <w:pStyle w:val="TableofFigures"/>
        <w:tabs>
          <w:tab w:val="right" w:leader="underscore" w:pos="9010"/>
        </w:tabs>
        <w:rPr>
          <w:rFonts w:asciiTheme="minorHAnsi" w:hAnsiTheme="minorHAnsi"/>
          <w:noProof/>
          <w:szCs w:val="22"/>
          <w:lang w:eastAsia="en-GB"/>
        </w:rPr>
      </w:pPr>
      <w:hyperlink w:anchor="_Toc46770995" w:history="1">
        <w:r w:rsidR="00CA7CE1" w:rsidRPr="00A04C4F">
          <w:rPr>
            <w:rStyle w:val="Hyperlink"/>
            <w:noProof/>
          </w:rPr>
          <w:t>Appendix 2: Catarino, Bateup, Tablan, Innes, Freer, Richards, Stott, Hollon, Chamberlain, Hayes and Blackwell (2018)</w:t>
        </w:r>
        <w:r w:rsidR="00CA7CE1">
          <w:rPr>
            <w:noProof/>
            <w:webHidden/>
          </w:rPr>
          <w:tab/>
        </w:r>
        <w:r w:rsidR="00CA7CE1">
          <w:rPr>
            <w:noProof/>
            <w:webHidden/>
          </w:rPr>
          <w:fldChar w:fldCharType="begin"/>
        </w:r>
        <w:r w:rsidR="00CA7CE1">
          <w:rPr>
            <w:noProof/>
            <w:webHidden/>
          </w:rPr>
          <w:instrText xml:space="preserve"> PAGEREF _Toc46770995 \h </w:instrText>
        </w:r>
        <w:r w:rsidR="00CA7CE1">
          <w:rPr>
            <w:noProof/>
            <w:webHidden/>
          </w:rPr>
        </w:r>
        <w:r w:rsidR="00CA7CE1">
          <w:rPr>
            <w:noProof/>
            <w:webHidden/>
          </w:rPr>
          <w:fldChar w:fldCharType="separate"/>
        </w:r>
        <w:r>
          <w:rPr>
            <w:noProof/>
            <w:webHidden/>
          </w:rPr>
          <w:t>324</w:t>
        </w:r>
        <w:r w:rsidR="00CA7CE1">
          <w:rPr>
            <w:noProof/>
            <w:webHidden/>
          </w:rPr>
          <w:fldChar w:fldCharType="end"/>
        </w:r>
      </w:hyperlink>
    </w:p>
    <w:p w14:paraId="31B79460" w14:textId="2D3AC14F" w:rsidR="00CA7CE1" w:rsidRDefault="00DD38EE">
      <w:pPr>
        <w:pStyle w:val="TableofFigures"/>
        <w:tabs>
          <w:tab w:val="right" w:leader="underscore" w:pos="9010"/>
        </w:tabs>
        <w:rPr>
          <w:rFonts w:asciiTheme="minorHAnsi" w:hAnsiTheme="minorHAnsi"/>
          <w:noProof/>
          <w:szCs w:val="22"/>
          <w:lang w:eastAsia="en-GB"/>
        </w:rPr>
      </w:pPr>
      <w:hyperlink w:anchor="_Toc46770996" w:history="1">
        <w:r w:rsidR="00CA7CE1" w:rsidRPr="00A04C4F">
          <w:rPr>
            <w:rStyle w:val="Hyperlink"/>
            <w:noProof/>
          </w:rPr>
          <w:t>Appendix 3: Burch, Preston and Bateup (2018)</w:t>
        </w:r>
        <w:r w:rsidR="00CA7CE1">
          <w:rPr>
            <w:noProof/>
            <w:webHidden/>
          </w:rPr>
          <w:tab/>
        </w:r>
        <w:r w:rsidR="00CA7CE1">
          <w:rPr>
            <w:noProof/>
            <w:webHidden/>
          </w:rPr>
          <w:fldChar w:fldCharType="begin"/>
        </w:r>
        <w:r w:rsidR="00CA7CE1">
          <w:rPr>
            <w:noProof/>
            <w:webHidden/>
          </w:rPr>
          <w:instrText xml:space="preserve"> PAGEREF _Toc46770996 \h </w:instrText>
        </w:r>
        <w:r w:rsidR="00CA7CE1">
          <w:rPr>
            <w:noProof/>
            <w:webHidden/>
          </w:rPr>
        </w:r>
        <w:r w:rsidR="00CA7CE1">
          <w:rPr>
            <w:noProof/>
            <w:webHidden/>
          </w:rPr>
          <w:fldChar w:fldCharType="separate"/>
        </w:r>
        <w:r>
          <w:rPr>
            <w:noProof/>
            <w:webHidden/>
          </w:rPr>
          <w:t>332</w:t>
        </w:r>
        <w:r w:rsidR="00CA7CE1">
          <w:rPr>
            <w:noProof/>
            <w:webHidden/>
          </w:rPr>
          <w:fldChar w:fldCharType="end"/>
        </w:r>
      </w:hyperlink>
    </w:p>
    <w:p w14:paraId="6AC4079B" w14:textId="7E4B4AA6" w:rsidR="00CA7CE1" w:rsidRDefault="00DD38EE">
      <w:pPr>
        <w:pStyle w:val="TableofFigures"/>
        <w:tabs>
          <w:tab w:val="right" w:leader="underscore" w:pos="9010"/>
        </w:tabs>
        <w:rPr>
          <w:rFonts w:asciiTheme="minorHAnsi" w:hAnsiTheme="minorHAnsi"/>
          <w:noProof/>
          <w:szCs w:val="22"/>
          <w:lang w:eastAsia="en-GB"/>
        </w:rPr>
      </w:pPr>
      <w:hyperlink w:anchor="_Toc46770997" w:history="1">
        <w:r w:rsidR="00CA7CE1" w:rsidRPr="00A04C4F">
          <w:rPr>
            <w:rStyle w:val="Hyperlink"/>
            <w:noProof/>
          </w:rPr>
          <w:t>Appendix 4: Burch, Preston, Bateup and Hina (2017)</w:t>
        </w:r>
        <w:r w:rsidR="00CA7CE1">
          <w:rPr>
            <w:noProof/>
            <w:webHidden/>
          </w:rPr>
          <w:tab/>
        </w:r>
        <w:r w:rsidR="00CA7CE1">
          <w:rPr>
            <w:noProof/>
            <w:webHidden/>
          </w:rPr>
          <w:fldChar w:fldCharType="begin"/>
        </w:r>
        <w:r w:rsidR="00CA7CE1">
          <w:rPr>
            <w:noProof/>
            <w:webHidden/>
          </w:rPr>
          <w:instrText xml:space="preserve"> PAGEREF _Toc46770997 \h </w:instrText>
        </w:r>
        <w:r w:rsidR="00CA7CE1">
          <w:rPr>
            <w:noProof/>
            <w:webHidden/>
          </w:rPr>
        </w:r>
        <w:r w:rsidR="00CA7CE1">
          <w:rPr>
            <w:noProof/>
            <w:webHidden/>
          </w:rPr>
          <w:fldChar w:fldCharType="separate"/>
        </w:r>
        <w:r>
          <w:rPr>
            <w:noProof/>
            <w:webHidden/>
          </w:rPr>
          <w:t>335</w:t>
        </w:r>
        <w:r w:rsidR="00CA7CE1">
          <w:rPr>
            <w:noProof/>
            <w:webHidden/>
          </w:rPr>
          <w:fldChar w:fldCharType="end"/>
        </w:r>
      </w:hyperlink>
    </w:p>
    <w:p w14:paraId="7D64B240" w14:textId="0ACDD364" w:rsidR="00CA7CE1" w:rsidRDefault="00DD38EE">
      <w:pPr>
        <w:pStyle w:val="TableofFigures"/>
        <w:tabs>
          <w:tab w:val="right" w:leader="underscore" w:pos="9010"/>
        </w:tabs>
        <w:rPr>
          <w:rFonts w:asciiTheme="minorHAnsi" w:hAnsiTheme="minorHAnsi"/>
          <w:noProof/>
          <w:szCs w:val="22"/>
          <w:lang w:eastAsia="en-GB"/>
        </w:rPr>
      </w:pPr>
      <w:hyperlink w:anchor="_Toc46770998" w:history="1">
        <w:r w:rsidR="00CA7CE1" w:rsidRPr="00A04C4F">
          <w:rPr>
            <w:rStyle w:val="Hyperlink"/>
            <w:noProof/>
          </w:rPr>
          <w:t>Appendix 5: Ieso Digital Health Plain Language Information for Patients</w:t>
        </w:r>
        <w:r w:rsidR="00CA7CE1">
          <w:rPr>
            <w:noProof/>
            <w:webHidden/>
          </w:rPr>
          <w:tab/>
        </w:r>
        <w:r w:rsidR="00CA7CE1">
          <w:rPr>
            <w:noProof/>
            <w:webHidden/>
          </w:rPr>
          <w:fldChar w:fldCharType="begin"/>
        </w:r>
        <w:r w:rsidR="00CA7CE1">
          <w:rPr>
            <w:noProof/>
            <w:webHidden/>
          </w:rPr>
          <w:instrText xml:space="preserve"> PAGEREF _Toc46770998 \h </w:instrText>
        </w:r>
        <w:r w:rsidR="00CA7CE1">
          <w:rPr>
            <w:noProof/>
            <w:webHidden/>
          </w:rPr>
        </w:r>
        <w:r w:rsidR="00CA7CE1">
          <w:rPr>
            <w:noProof/>
            <w:webHidden/>
          </w:rPr>
          <w:fldChar w:fldCharType="separate"/>
        </w:r>
        <w:r>
          <w:rPr>
            <w:noProof/>
            <w:webHidden/>
          </w:rPr>
          <w:t>336</w:t>
        </w:r>
        <w:r w:rsidR="00CA7CE1">
          <w:rPr>
            <w:noProof/>
            <w:webHidden/>
          </w:rPr>
          <w:fldChar w:fldCharType="end"/>
        </w:r>
      </w:hyperlink>
    </w:p>
    <w:p w14:paraId="1B174580" w14:textId="705BEE90" w:rsidR="00CA7CE1" w:rsidRDefault="00DD38EE">
      <w:pPr>
        <w:pStyle w:val="TableofFigures"/>
        <w:tabs>
          <w:tab w:val="right" w:leader="underscore" w:pos="9010"/>
        </w:tabs>
        <w:rPr>
          <w:rFonts w:asciiTheme="minorHAnsi" w:hAnsiTheme="minorHAnsi"/>
          <w:noProof/>
          <w:szCs w:val="22"/>
          <w:lang w:eastAsia="en-GB"/>
        </w:rPr>
      </w:pPr>
      <w:hyperlink w:anchor="_Toc46770999" w:history="1">
        <w:r w:rsidR="00CA7CE1" w:rsidRPr="00A04C4F">
          <w:rPr>
            <w:rStyle w:val="Hyperlink"/>
            <w:noProof/>
          </w:rPr>
          <w:t>Appendix 6: The CTS-R</w:t>
        </w:r>
        <w:r w:rsidR="00CA7CE1">
          <w:rPr>
            <w:noProof/>
            <w:webHidden/>
          </w:rPr>
          <w:tab/>
        </w:r>
        <w:r w:rsidR="00CA7CE1">
          <w:rPr>
            <w:noProof/>
            <w:webHidden/>
          </w:rPr>
          <w:fldChar w:fldCharType="begin"/>
        </w:r>
        <w:r w:rsidR="00CA7CE1">
          <w:rPr>
            <w:noProof/>
            <w:webHidden/>
          </w:rPr>
          <w:instrText xml:space="preserve"> PAGEREF _Toc46770999 \h </w:instrText>
        </w:r>
        <w:r w:rsidR="00CA7CE1">
          <w:rPr>
            <w:noProof/>
            <w:webHidden/>
          </w:rPr>
        </w:r>
        <w:r w:rsidR="00CA7CE1">
          <w:rPr>
            <w:noProof/>
            <w:webHidden/>
          </w:rPr>
          <w:fldChar w:fldCharType="separate"/>
        </w:r>
        <w:r>
          <w:rPr>
            <w:noProof/>
            <w:webHidden/>
          </w:rPr>
          <w:t>338</w:t>
        </w:r>
        <w:r w:rsidR="00CA7CE1">
          <w:rPr>
            <w:noProof/>
            <w:webHidden/>
          </w:rPr>
          <w:fldChar w:fldCharType="end"/>
        </w:r>
      </w:hyperlink>
    </w:p>
    <w:p w14:paraId="66D209E7" w14:textId="3E6A3FB5" w:rsidR="00CA7CE1" w:rsidRDefault="00DD38EE">
      <w:pPr>
        <w:pStyle w:val="TableofFigures"/>
        <w:tabs>
          <w:tab w:val="right" w:leader="underscore" w:pos="9010"/>
        </w:tabs>
        <w:rPr>
          <w:rFonts w:asciiTheme="minorHAnsi" w:hAnsiTheme="minorHAnsi"/>
          <w:noProof/>
          <w:szCs w:val="22"/>
          <w:lang w:eastAsia="en-GB"/>
        </w:rPr>
      </w:pPr>
      <w:hyperlink w:anchor="_Toc46771000" w:history="1">
        <w:r w:rsidR="00CA7CE1" w:rsidRPr="00A04C4F">
          <w:rPr>
            <w:rStyle w:val="Hyperlink"/>
            <w:noProof/>
          </w:rPr>
          <w:t>Appendix 7: The Participant Information Sheet</w:t>
        </w:r>
        <w:r w:rsidR="00CA7CE1">
          <w:rPr>
            <w:noProof/>
            <w:webHidden/>
          </w:rPr>
          <w:tab/>
        </w:r>
        <w:r w:rsidR="00CA7CE1">
          <w:rPr>
            <w:noProof/>
            <w:webHidden/>
          </w:rPr>
          <w:fldChar w:fldCharType="begin"/>
        </w:r>
        <w:r w:rsidR="00CA7CE1">
          <w:rPr>
            <w:noProof/>
            <w:webHidden/>
          </w:rPr>
          <w:instrText xml:space="preserve"> PAGEREF _Toc46771000 \h </w:instrText>
        </w:r>
        <w:r w:rsidR="00CA7CE1">
          <w:rPr>
            <w:noProof/>
            <w:webHidden/>
          </w:rPr>
        </w:r>
        <w:r w:rsidR="00CA7CE1">
          <w:rPr>
            <w:noProof/>
            <w:webHidden/>
          </w:rPr>
          <w:fldChar w:fldCharType="separate"/>
        </w:r>
        <w:r>
          <w:rPr>
            <w:noProof/>
            <w:webHidden/>
          </w:rPr>
          <w:t>354</w:t>
        </w:r>
        <w:r w:rsidR="00CA7CE1">
          <w:rPr>
            <w:noProof/>
            <w:webHidden/>
          </w:rPr>
          <w:fldChar w:fldCharType="end"/>
        </w:r>
      </w:hyperlink>
    </w:p>
    <w:p w14:paraId="22D2CAEC" w14:textId="5A51279B" w:rsidR="00CA7CE1" w:rsidRDefault="00DD38EE">
      <w:pPr>
        <w:pStyle w:val="TableofFigures"/>
        <w:tabs>
          <w:tab w:val="right" w:leader="underscore" w:pos="9010"/>
        </w:tabs>
        <w:rPr>
          <w:rFonts w:asciiTheme="minorHAnsi" w:hAnsiTheme="minorHAnsi"/>
          <w:noProof/>
          <w:szCs w:val="22"/>
          <w:lang w:eastAsia="en-GB"/>
        </w:rPr>
      </w:pPr>
      <w:hyperlink w:anchor="_Toc46771001" w:history="1">
        <w:r w:rsidR="00CA7CE1" w:rsidRPr="00A04C4F">
          <w:rPr>
            <w:rStyle w:val="Hyperlink"/>
            <w:noProof/>
          </w:rPr>
          <w:t>Appendix 8: SPSS output from hierarchical loglinear analysis</w:t>
        </w:r>
        <w:r w:rsidR="00CA7CE1">
          <w:rPr>
            <w:noProof/>
            <w:webHidden/>
          </w:rPr>
          <w:tab/>
        </w:r>
        <w:r w:rsidR="00CA7CE1">
          <w:rPr>
            <w:noProof/>
            <w:webHidden/>
          </w:rPr>
          <w:fldChar w:fldCharType="begin"/>
        </w:r>
        <w:r w:rsidR="00CA7CE1">
          <w:rPr>
            <w:noProof/>
            <w:webHidden/>
          </w:rPr>
          <w:instrText xml:space="preserve"> PAGEREF _Toc46771001 \h </w:instrText>
        </w:r>
        <w:r w:rsidR="00CA7CE1">
          <w:rPr>
            <w:noProof/>
            <w:webHidden/>
          </w:rPr>
        </w:r>
        <w:r w:rsidR="00CA7CE1">
          <w:rPr>
            <w:noProof/>
            <w:webHidden/>
          </w:rPr>
          <w:fldChar w:fldCharType="separate"/>
        </w:r>
        <w:r>
          <w:rPr>
            <w:noProof/>
            <w:webHidden/>
          </w:rPr>
          <w:t>358</w:t>
        </w:r>
        <w:r w:rsidR="00CA7CE1">
          <w:rPr>
            <w:noProof/>
            <w:webHidden/>
          </w:rPr>
          <w:fldChar w:fldCharType="end"/>
        </w:r>
      </w:hyperlink>
    </w:p>
    <w:p w14:paraId="46F58ABD" w14:textId="0677AC6C" w:rsidR="00D238AD" w:rsidRDefault="00A33EE5" w:rsidP="00D238AD">
      <w:r>
        <w:fldChar w:fldCharType="end"/>
      </w:r>
    </w:p>
    <w:p w14:paraId="381E5A84" w14:textId="77777777" w:rsidR="00D238AD" w:rsidRDefault="00D238AD">
      <w:r>
        <w:br w:type="page"/>
      </w:r>
    </w:p>
    <w:p w14:paraId="5CC82D1D" w14:textId="77777777" w:rsidR="004E1579" w:rsidRDefault="004E1579" w:rsidP="00D238AD">
      <w:pPr>
        <w:rPr>
          <w:rFonts w:ascii="Arial" w:eastAsiaTheme="majorEastAsia" w:hAnsi="Arial" w:cs="Arial"/>
          <w:b/>
          <w:bCs/>
          <w:color w:val="000000" w:themeColor="text1"/>
          <w:sz w:val="22"/>
          <w:szCs w:val="22"/>
        </w:rPr>
      </w:pPr>
    </w:p>
    <w:p w14:paraId="6B4B0CFA" w14:textId="5EC1AC22" w:rsidR="004A0BBC" w:rsidRPr="005C3CCC" w:rsidRDefault="006622D5" w:rsidP="005C3CCC">
      <w:pPr>
        <w:pStyle w:val="Heading1"/>
        <w:jc w:val="center"/>
        <w:rPr>
          <w:rFonts w:cs="Arial"/>
          <w:color w:val="000000" w:themeColor="text1"/>
          <w:szCs w:val="22"/>
        </w:rPr>
      </w:pPr>
      <w:bookmarkStart w:id="13" w:name="_Toc46770701"/>
      <w:bookmarkStart w:id="14" w:name="_Toc79414112"/>
      <w:r w:rsidRPr="005C3CCC">
        <w:rPr>
          <w:rFonts w:cs="Arial"/>
          <w:color w:val="000000" w:themeColor="text1"/>
          <w:szCs w:val="22"/>
        </w:rPr>
        <w:t>COPYRIGHT DECLARATION</w:t>
      </w:r>
      <w:bookmarkEnd w:id="13"/>
      <w:bookmarkEnd w:id="14"/>
    </w:p>
    <w:p w14:paraId="7F8031CA" w14:textId="74032158" w:rsidR="006622D5" w:rsidRPr="005C3CCC" w:rsidRDefault="006622D5" w:rsidP="005C3CCC">
      <w:pPr>
        <w:jc w:val="center"/>
        <w:rPr>
          <w:sz w:val="22"/>
          <w:szCs w:val="22"/>
        </w:rPr>
      </w:pPr>
    </w:p>
    <w:p w14:paraId="59105F2E" w14:textId="3769B9AB" w:rsidR="006622D5" w:rsidRPr="005C3CCC" w:rsidRDefault="006622D5" w:rsidP="005C3CCC">
      <w:pPr>
        <w:spacing w:line="480" w:lineRule="auto"/>
        <w:jc w:val="center"/>
        <w:rPr>
          <w:rFonts w:ascii="Arial" w:hAnsi="Arial"/>
          <w:bCs/>
          <w:sz w:val="22"/>
          <w:szCs w:val="22"/>
        </w:rPr>
      </w:pPr>
      <w:r w:rsidRPr="005C3CCC">
        <w:rPr>
          <w:rFonts w:ascii="Arial" w:hAnsi="Arial"/>
          <w:bCs/>
          <w:sz w:val="22"/>
          <w:szCs w:val="22"/>
        </w:rPr>
        <w:t>UNDERSTANDING THERAPIST VARIABLES: AN ANALYSIS OF ONLINE COGNITIVE BEHAVIOURAL THERAPY TRANSCRIPTS</w:t>
      </w:r>
    </w:p>
    <w:p w14:paraId="37231CB0" w14:textId="2C7F9987" w:rsidR="006622D5" w:rsidRPr="005C3CCC" w:rsidRDefault="006622D5" w:rsidP="005C3CCC">
      <w:pPr>
        <w:jc w:val="center"/>
        <w:rPr>
          <w:bCs/>
        </w:rPr>
      </w:pPr>
    </w:p>
    <w:p w14:paraId="36318C23" w14:textId="703B071D" w:rsidR="005C3CCC" w:rsidRPr="005C3CCC" w:rsidRDefault="005C3CCC" w:rsidP="005C3CCC">
      <w:pPr>
        <w:jc w:val="center"/>
        <w:rPr>
          <w:rFonts w:ascii="Arial" w:hAnsi="Arial" w:cs="Arial"/>
          <w:sz w:val="22"/>
          <w:szCs w:val="22"/>
        </w:rPr>
      </w:pPr>
      <w:r w:rsidRPr="005C3CCC">
        <w:rPr>
          <w:rFonts w:ascii="Arial" w:hAnsi="Arial" w:cs="Arial"/>
          <w:sz w:val="22"/>
          <w:szCs w:val="22"/>
        </w:rPr>
        <w:t>SARAH BATEUP</w:t>
      </w:r>
    </w:p>
    <w:p w14:paraId="238CE205" w14:textId="6EC79562" w:rsidR="005C3CCC" w:rsidRPr="005C3CCC" w:rsidRDefault="005C3CCC" w:rsidP="005C3CCC">
      <w:pPr>
        <w:jc w:val="center"/>
        <w:rPr>
          <w:rFonts w:ascii="Arial" w:hAnsi="Arial" w:cs="Arial"/>
          <w:sz w:val="22"/>
          <w:szCs w:val="22"/>
        </w:rPr>
      </w:pPr>
    </w:p>
    <w:p w14:paraId="79BAB9F3" w14:textId="76A8F0BF" w:rsidR="005C3CCC" w:rsidRPr="005C3CCC" w:rsidRDefault="005C3CCC" w:rsidP="005C3CCC">
      <w:pPr>
        <w:jc w:val="center"/>
        <w:rPr>
          <w:rFonts w:ascii="Arial" w:hAnsi="Arial" w:cs="Arial"/>
          <w:sz w:val="22"/>
          <w:szCs w:val="22"/>
        </w:rPr>
      </w:pPr>
      <w:r w:rsidRPr="005C3CCC">
        <w:rPr>
          <w:rFonts w:ascii="Arial" w:hAnsi="Arial" w:cs="Arial"/>
          <w:sz w:val="22"/>
          <w:szCs w:val="22"/>
        </w:rPr>
        <w:t>JANUARY 2020</w:t>
      </w:r>
    </w:p>
    <w:p w14:paraId="4A28D3EF" w14:textId="6E04A54B" w:rsidR="005C3CCC" w:rsidRDefault="005C3CCC" w:rsidP="006622D5">
      <w:pPr>
        <w:rPr>
          <w:rFonts w:ascii="Arial" w:hAnsi="Arial" w:cs="Arial"/>
          <w:sz w:val="22"/>
          <w:szCs w:val="22"/>
        </w:rPr>
      </w:pPr>
    </w:p>
    <w:p w14:paraId="434615B9" w14:textId="72BC2E33" w:rsidR="005C3CCC" w:rsidRDefault="005C3CCC" w:rsidP="006622D5">
      <w:pPr>
        <w:rPr>
          <w:rFonts w:ascii="Arial" w:hAnsi="Arial" w:cs="Arial"/>
          <w:sz w:val="22"/>
          <w:szCs w:val="22"/>
        </w:rPr>
      </w:pPr>
    </w:p>
    <w:p w14:paraId="38454C1F" w14:textId="77777777" w:rsidR="005C3CCC" w:rsidRPr="005C3CCC" w:rsidRDefault="005C3CCC" w:rsidP="006622D5">
      <w:pPr>
        <w:rPr>
          <w:rFonts w:ascii="Arial" w:hAnsi="Arial" w:cs="Arial"/>
          <w:sz w:val="22"/>
          <w:szCs w:val="22"/>
        </w:rPr>
      </w:pPr>
    </w:p>
    <w:p w14:paraId="01C1E2F7" w14:textId="062CD734" w:rsidR="005C3CCC" w:rsidRPr="005C3CCC" w:rsidRDefault="005C3CCC" w:rsidP="005C3CCC">
      <w:pPr>
        <w:spacing w:line="480" w:lineRule="auto"/>
        <w:rPr>
          <w:rFonts w:ascii="Arial" w:hAnsi="Arial" w:cs="Arial"/>
          <w:sz w:val="22"/>
          <w:szCs w:val="22"/>
        </w:rPr>
      </w:pPr>
    </w:p>
    <w:p w14:paraId="0148A596" w14:textId="39EB8FB2" w:rsidR="005C3CCC" w:rsidRPr="005C3CCC" w:rsidRDefault="005C3CCC" w:rsidP="005C3CCC">
      <w:pPr>
        <w:spacing w:line="480" w:lineRule="auto"/>
        <w:rPr>
          <w:rFonts w:ascii="Arial" w:hAnsi="Arial" w:cs="Arial"/>
          <w:sz w:val="22"/>
          <w:szCs w:val="22"/>
        </w:rPr>
      </w:pPr>
      <w:r w:rsidRPr="005C3CCC">
        <w:rPr>
          <w:rFonts w:ascii="Arial" w:hAnsi="Arial" w:cs="Arial"/>
          <w:sz w:val="22"/>
          <w:szCs w:val="22"/>
        </w:rPr>
        <w:t>Attention is drawn to the fact that copyright of this thesis rests with:</w:t>
      </w:r>
    </w:p>
    <w:p w14:paraId="1CF48438" w14:textId="6B81290A" w:rsidR="005C3CCC" w:rsidRPr="005C3CCC" w:rsidRDefault="005C3CCC" w:rsidP="005C3CCC">
      <w:pPr>
        <w:spacing w:line="480" w:lineRule="auto"/>
        <w:rPr>
          <w:rFonts w:ascii="Arial" w:hAnsi="Arial" w:cs="Arial"/>
          <w:sz w:val="22"/>
          <w:szCs w:val="22"/>
        </w:rPr>
      </w:pPr>
    </w:p>
    <w:p w14:paraId="55105686" w14:textId="4C999FB1" w:rsidR="005C3CCC" w:rsidRPr="005C3CCC" w:rsidRDefault="005C3CCC" w:rsidP="005C3CCC">
      <w:pPr>
        <w:pStyle w:val="ListParagraph"/>
        <w:numPr>
          <w:ilvl w:val="0"/>
          <w:numId w:val="25"/>
        </w:numPr>
        <w:spacing w:line="480" w:lineRule="auto"/>
        <w:rPr>
          <w:rFonts w:ascii="Arial" w:hAnsi="Arial" w:cs="Arial"/>
          <w:sz w:val="22"/>
          <w:szCs w:val="22"/>
        </w:rPr>
      </w:pPr>
      <w:r w:rsidRPr="005C3CCC">
        <w:rPr>
          <w:rFonts w:ascii="Arial" w:hAnsi="Arial" w:cs="Arial"/>
          <w:sz w:val="22"/>
          <w:szCs w:val="22"/>
        </w:rPr>
        <w:t>Anglia Ruskin University for one year and thereafter with</w:t>
      </w:r>
    </w:p>
    <w:p w14:paraId="3C902922" w14:textId="4E03B4DA" w:rsidR="005C3CCC" w:rsidRPr="005C3CCC" w:rsidRDefault="005C3CCC" w:rsidP="005C3CCC">
      <w:pPr>
        <w:pStyle w:val="ListParagraph"/>
        <w:numPr>
          <w:ilvl w:val="0"/>
          <w:numId w:val="25"/>
        </w:numPr>
        <w:spacing w:line="480" w:lineRule="auto"/>
        <w:rPr>
          <w:rFonts w:ascii="Arial" w:hAnsi="Arial" w:cs="Arial"/>
          <w:sz w:val="22"/>
          <w:szCs w:val="22"/>
        </w:rPr>
      </w:pPr>
      <w:r w:rsidRPr="005C3CCC">
        <w:rPr>
          <w:rFonts w:ascii="Arial" w:hAnsi="Arial" w:cs="Arial"/>
          <w:sz w:val="22"/>
          <w:szCs w:val="22"/>
        </w:rPr>
        <w:t>Sarah Bateup</w:t>
      </w:r>
    </w:p>
    <w:p w14:paraId="7F3DF77E" w14:textId="08296739" w:rsidR="005C3CCC" w:rsidRPr="005C3CCC" w:rsidRDefault="005C3CCC" w:rsidP="005C3CCC">
      <w:pPr>
        <w:spacing w:line="480" w:lineRule="auto"/>
        <w:rPr>
          <w:rFonts w:ascii="Arial" w:hAnsi="Arial" w:cs="Arial"/>
          <w:sz w:val="22"/>
          <w:szCs w:val="22"/>
        </w:rPr>
      </w:pPr>
      <w:r w:rsidRPr="005C3CCC">
        <w:rPr>
          <w:rFonts w:ascii="Arial" w:hAnsi="Arial" w:cs="Arial"/>
          <w:sz w:val="22"/>
          <w:szCs w:val="22"/>
        </w:rPr>
        <w:t>This copy of the thesis has been supplied on condition that anyone who consults it is bound by copyright.</w:t>
      </w:r>
    </w:p>
    <w:p w14:paraId="2A552EEB" w14:textId="0364E5E9" w:rsidR="00D238AD" w:rsidRDefault="00D238AD">
      <w:pPr>
        <w:rPr>
          <w:rFonts w:ascii="Arial" w:eastAsiaTheme="majorEastAsia" w:hAnsi="Arial" w:cs="Arial"/>
          <w:b/>
          <w:bCs/>
          <w:color w:val="000000" w:themeColor="text1"/>
          <w:sz w:val="22"/>
          <w:szCs w:val="22"/>
        </w:rPr>
      </w:pPr>
      <w:r>
        <w:rPr>
          <w:rFonts w:cs="Arial"/>
          <w:color w:val="000000" w:themeColor="text1"/>
          <w:szCs w:val="22"/>
        </w:rPr>
        <w:br w:type="page"/>
      </w:r>
    </w:p>
    <w:p w14:paraId="50D4DF61" w14:textId="77777777" w:rsidR="00976181" w:rsidRDefault="00976181" w:rsidP="007126DB">
      <w:pPr>
        <w:pStyle w:val="Heading1"/>
        <w:rPr>
          <w:rFonts w:cs="Arial"/>
          <w:color w:val="000000" w:themeColor="text1"/>
          <w:szCs w:val="22"/>
        </w:rPr>
        <w:sectPr w:rsidR="00976181" w:rsidSect="00A66E64">
          <w:footerReference w:type="default" r:id="rId15"/>
          <w:pgSz w:w="11900" w:h="16840"/>
          <w:pgMar w:top="1440" w:right="1440" w:bottom="1440" w:left="1440" w:header="709" w:footer="709" w:gutter="0"/>
          <w:pgNumType w:fmt="lowerRoman" w:start="1"/>
          <w:cols w:space="708"/>
          <w:docGrid w:linePitch="360"/>
        </w:sectPr>
      </w:pPr>
    </w:p>
    <w:p w14:paraId="5E630EDB" w14:textId="1F01FD0A" w:rsidR="00B21B00" w:rsidRPr="007126DB" w:rsidRDefault="007126DB" w:rsidP="007126DB">
      <w:pPr>
        <w:pStyle w:val="Heading1"/>
        <w:rPr>
          <w:rFonts w:cs="Arial"/>
          <w:szCs w:val="22"/>
        </w:rPr>
      </w:pPr>
      <w:bookmarkStart w:id="15" w:name="_Toc46770702"/>
      <w:bookmarkStart w:id="16" w:name="_Toc79414113"/>
      <w:r>
        <w:rPr>
          <w:rFonts w:cs="Arial"/>
          <w:color w:val="000000" w:themeColor="text1"/>
          <w:szCs w:val="22"/>
        </w:rPr>
        <w:lastRenderedPageBreak/>
        <w:t>SCIENTIFIC PEER REVIEWED PUBLICATIONS DURING THE PERIOD OF THIS THESIS</w:t>
      </w:r>
      <w:bookmarkEnd w:id="15"/>
      <w:bookmarkEnd w:id="16"/>
    </w:p>
    <w:p w14:paraId="02F3B42D" w14:textId="5A53C3EA" w:rsidR="007126DB" w:rsidRDefault="007126DB" w:rsidP="007126DB"/>
    <w:p w14:paraId="053291BC" w14:textId="37DA5098" w:rsidR="00314893" w:rsidRPr="007126DB" w:rsidRDefault="007126DB" w:rsidP="007126DB">
      <w:pPr>
        <w:spacing w:line="480" w:lineRule="auto"/>
        <w:rPr>
          <w:rFonts w:ascii="Arial" w:hAnsi="Arial" w:cs="Arial"/>
          <w:sz w:val="22"/>
          <w:szCs w:val="22"/>
        </w:rPr>
      </w:pPr>
      <w:r w:rsidRPr="007126DB">
        <w:rPr>
          <w:rFonts w:ascii="Arial" w:hAnsi="Arial" w:cs="Arial"/>
          <w:sz w:val="22"/>
          <w:szCs w:val="22"/>
        </w:rPr>
        <w:t xml:space="preserve">As the Chief Clinical Officer at the company Ieso Digital Health (see </w:t>
      </w:r>
      <w:r>
        <w:rPr>
          <w:rFonts w:ascii="Arial" w:hAnsi="Arial" w:cs="Arial"/>
          <w:sz w:val="22"/>
          <w:szCs w:val="22"/>
        </w:rPr>
        <w:t>www.iesohealth.com)</w:t>
      </w:r>
      <w:r w:rsidRPr="007126DB">
        <w:rPr>
          <w:rFonts w:ascii="Arial" w:hAnsi="Arial" w:cs="Arial"/>
          <w:sz w:val="22"/>
          <w:szCs w:val="22"/>
        </w:rPr>
        <w:t xml:space="preserve">  I am part of a scientific community </w:t>
      </w:r>
      <w:r w:rsidR="00380AC8">
        <w:rPr>
          <w:rFonts w:ascii="Arial" w:hAnsi="Arial" w:cs="Arial"/>
          <w:sz w:val="22"/>
          <w:szCs w:val="22"/>
        </w:rPr>
        <w:t>of clinical scientists</w:t>
      </w:r>
      <w:r w:rsidR="001D042A">
        <w:rPr>
          <w:rFonts w:ascii="Arial" w:hAnsi="Arial" w:cs="Arial"/>
          <w:sz w:val="22"/>
          <w:szCs w:val="22"/>
        </w:rPr>
        <w:t>,</w:t>
      </w:r>
      <w:r w:rsidR="00380AC8">
        <w:rPr>
          <w:rFonts w:ascii="Arial" w:hAnsi="Arial" w:cs="Arial"/>
          <w:sz w:val="22"/>
          <w:szCs w:val="22"/>
        </w:rPr>
        <w:t xml:space="preserve"> </w:t>
      </w:r>
      <w:r w:rsidR="00D9383E">
        <w:rPr>
          <w:rFonts w:ascii="Arial" w:hAnsi="Arial" w:cs="Arial"/>
          <w:sz w:val="22"/>
          <w:szCs w:val="22"/>
        </w:rPr>
        <w:t xml:space="preserve">Artificial Intelligence scientists and </w:t>
      </w:r>
      <w:r w:rsidR="00E761EF">
        <w:rPr>
          <w:rFonts w:ascii="Arial" w:hAnsi="Arial" w:cs="Arial"/>
          <w:sz w:val="22"/>
          <w:szCs w:val="22"/>
        </w:rPr>
        <w:t xml:space="preserve">clinicians. </w:t>
      </w:r>
      <w:r w:rsidRPr="007126DB">
        <w:rPr>
          <w:rFonts w:ascii="Arial" w:hAnsi="Arial" w:cs="Arial"/>
          <w:sz w:val="22"/>
          <w:szCs w:val="22"/>
        </w:rPr>
        <w:t>I am the senior clinician</w:t>
      </w:r>
      <w:r w:rsidR="00E761EF">
        <w:rPr>
          <w:rFonts w:ascii="Arial" w:hAnsi="Arial" w:cs="Arial"/>
          <w:sz w:val="22"/>
          <w:szCs w:val="22"/>
        </w:rPr>
        <w:t xml:space="preserve"> in this team</w:t>
      </w:r>
      <w:r w:rsidRPr="007126DB">
        <w:rPr>
          <w:rFonts w:ascii="Arial" w:hAnsi="Arial" w:cs="Arial"/>
          <w:sz w:val="22"/>
          <w:szCs w:val="22"/>
        </w:rPr>
        <w:t>.  The work reported in this thesis has been conducted independently by me</w:t>
      </w:r>
      <w:r>
        <w:rPr>
          <w:rFonts w:ascii="Arial" w:hAnsi="Arial" w:cs="Arial"/>
          <w:sz w:val="22"/>
          <w:szCs w:val="22"/>
        </w:rPr>
        <w:t xml:space="preserve">. </w:t>
      </w:r>
      <w:r w:rsidR="0013167F">
        <w:rPr>
          <w:rFonts w:ascii="Arial" w:hAnsi="Arial" w:cs="Arial"/>
          <w:sz w:val="22"/>
          <w:szCs w:val="22"/>
        </w:rPr>
        <w:t xml:space="preserve"> </w:t>
      </w:r>
      <w:r w:rsidR="00E760F8">
        <w:rPr>
          <w:rFonts w:ascii="Arial" w:hAnsi="Arial" w:cs="Arial"/>
          <w:sz w:val="22"/>
          <w:szCs w:val="22"/>
        </w:rPr>
        <w:t xml:space="preserve">In the midst of conducting this research it became clear </w:t>
      </w:r>
      <w:r w:rsidR="00434D32" w:rsidRPr="00CF1079">
        <w:rPr>
          <w:rFonts w:ascii="Arial" w:hAnsi="Arial" w:cs="Arial"/>
          <w:sz w:val="22"/>
          <w:szCs w:val="22"/>
        </w:rPr>
        <w:t xml:space="preserve">that this work represents </w:t>
      </w:r>
      <w:r w:rsidR="00E760F8" w:rsidRPr="00CF1079">
        <w:rPr>
          <w:rFonts w:ascii="Arial" w:hAnsi="Arial" w:cs="Arial"/>
          <w:sz w:val="22"/>
          <w:szCs w:val="22"/>
        </w:rPr>
        <w:t xml:space="preserve">a new </w:t>
      </w:r>
      <w:r w:rsidR="00292008" w:rsidRPr="00CF1079">
        <w:rPr>
          <w:rFonts w:ascii="Arial" w:hAnsi="Arial" w:cs="Arial"/>
          <w:sz w:val="22"/>
          <w:szCs w:val="22"/>
        </w:rPr>
        <w:t>way of conducting</w:t>
      </w:r>
      <w:r w:rsidR="00E760F8" w:rsidRPr="00CF1079">
        <w:rPr>
          <w:rFonts w:ascii="Arial" w:hAnsi="Arial" w:cs="Arial"/>
          <w:sz w:val="22"/>
          <w:szCs w:val="22"/>
        </w:rPr>
        <w:t xml:space="preserve"> psychological therapy research</w:t>
      </w:r>
      <w:r w:rsidR="00434D32">
        <w:rPr>
          <w:rFonts w:ascii="Arial" w:hAnsi="Arial" w:cs="Arial"/>
          <w:sz w:val="22"/>
          <w:szCs w:val="22"/>
        </w:rPr>
        <w:t>. The ability to study what therapists are doing with patients</w:t>
      </w:r>
      <w:r w:rsidR="00956392">
        <w:rPr>
          <w:rFonts w:ascii="Arial" w:hAnsi="Arial" w:cs="Arial"/>
          <w:sz w:val="22"/>
          <w:szCs w:val="22"/>
        </w:rPr>
        <w:t>,</w:t>
      </w:r>
      <w:r w:rsidR="00434D32">
        <w:rPr>
          <w:rFonts w:ascii="Arial" w:hAnsi="Arial" w:cs="Arial"/>
          <w:sz w:val="22"/>
          <w:szCs w:val="22"/>
        </w:rPr>
        <w:t xml:space="preserve"> in volume</w:t>
      </w:r>
      <w:r w:rsidR="00956392">
        <w:rPr>
          <w:rFonts w:ascii="Arial" w:hAnsi="Arial" w:cs="Arial"/>
          <w:sz w:val="22"/>
          <w:szCs w:val="22"/>
        </w:rPr>
        <w:t>,</w:t>
      </w:r>
      <w:r w:rsidR="00434D32">
        <w:rPr>
          <w:rFonts w:ascii="Arial" w:hAnsi="Arial" w:cs="Arial"/>
          <w:sz w:val="22"/>
          <w:szCs w:val="22"/>
        </w:rPr>
        <w:t xml:space="preserve"> in a real</w:t>
      </w:r>
      <w:r w:rsidR="00D1494B">
        <w:rPr>
          <w:rFonts w:ascii="Arial" w:hAnsi="Arial" w:cs="Arial"/>
          <w:sz w:val="22"/>
          <w:szCs w:val="22"/>
        </w:rPr>
        <w:t>-</w:t>
      </w:r>
      <w:r w:rsidR="00434D32">
        <w:rPr>
          <w:rFonts w:ascii="Arial" w:hAnsi="Arial" w:cs="Arial"/>
          <w:sz w:val="22"/>
          <w:szCs w:val="22"/>
        </w:rPr>
        <w:t>world clinical setting</w:t>
      </w:r>
      <w:r w:rsidR="00E760F8">
        <w:rPr>
          <w:rFonts w:ascii="Arial" w:hAnsi="Arial" w:cs="Arial"/>
          <w:sz w:val="22"/>
          <w:szCs w:val="22"/>
        </w:rPr>
        <w:t xml:space="preserve"> </w:t>
      </w:r>
      <w:r w:rsidR="00434D32">
        <w:rPr>
          <w:rFonts w:ascii="Arial" w:hAnsi="Arial" w:cs="Arial"/>
          <w:sz w:val="22"/>
          <w:szCs w:val="22"/>
        </w:rPr>
        <w:t xml:space="preserve">has </w:t>
      </w:r>
      <w:r w:rsidR="00956392">
        <w:rPr>
          <w:rFonts w:ascii="Arial" w:hAnsi="Arial" w:cs="Arial"/>
          <w:sz w:val="22"/>
          <w:szCs w:val="22"/>
        </w:rPr>
        <w:t>very significant implications for psychological therapy</w:t>
      </w:r>
      <w:r w:rsidR="001954D1">
        <w:rPr>
          <w:rFonts w:ascii="Arial" w:hAnsi="Arial" w:cs="Arial"/>
          <w:sz w:val="22"/>
          <w:szCs w:val="22"/>
        </w:rPr>
        <w:t xml:space="preserve">. </w:t>
      </w:r>
      <w:r w:rsidR="000A3B16">
        <w:rPr>
          <w:rFonts w:ascii="Arial" w:hAnsi="Arial" w:cs="Arial"/>
          <w:sz w:val="22"/>
          <w:szCs w:val="22"/>
        </w:rPr>
        <w:t>Th</w:t>
      </w:r>
      <w:r w:rsidR="00946DDD">
        <w:rPr>
          <w:rFonts w:ascii="Arial" w:hAnsi="Arial" w:cs="Arial"/>
          <w:sz w:val="22"/>
          <w:szCs w:val="22"/>
        </w:rPr>
        <w:t>ese implications go</w:t>
      </w:r>
      <w:r w:rsidR="00956392">
        <w:rPr>
          <w:rFonts w:ascii="Arial" w:hAnsi="Arial" w:cs="Arial"/>
          <w:sz w:val="22"/>
          <w:szCs w:val="22"/>
        </w:rPr>
        <w:t xml:space="preserve"> beyond the work presented in this thesis.</w:t>
      </w:r>
      <w:r>
        <w:rPr>
          <w:rFonts w:ascii="Arial" w:hAnsi="Arial" w:cs="Arial"/>
          <w:sz w:val="22"/>
          <w:szCs w:val="22"/>
        </w:rPr>
        <w:t xml:space="preserve"> In parallel with this work</w:t>
      </w:r>
      <w:r w:rsidR="00D1494B">
        <w:rPr>
          <w:rFonts w:ascii="Arial" w:hAnsi="Arial" w:cs="Arial"/>
          <w:sz w:val="22"/>
          <w:szCs w:val="22"/>
        </w:rPr>
        <w:t>,</w:t>
      </w:r>
      <w:r w:rsidR="00956392">
        <w:rPr>
          <w:rFonts w:ascii="Arial" w:hAnsi="Arial" w:cs="Arial"/>
          <w:sz w:val="22"/>
          <w:szCs w:val="22"/>
        </w:rPr>
        <w:t xml:space="preserve"> </w:t>
      </w:r>
      <w:r>
        <w:rPr>
          <w:rFonts w:ascii="Arial" w:hAnsi="Arial" w:cs="Arial"/>
          <w:sz w:val="22"/>
          <w:szCs w:val="22"/>
        </w:rPr>
        <w:t>I have published the following papers:</w:t>
      </w:r>
    </w:p>
    <w:p w14:paraId="77511F67" w14:textId="0853DC82" w:rsidR="00314893" w:rsidRDefault="00314893" w:rsidP="00314893">
      <w:pPr>
        <w:spacing w:line="480" w:lineRule="auto"/>
        <w:rPr>
          <w:rFonts w:ascii="Arial" w:hAnsi="Arial" w:cs="Arial"/>
          <w:sz w:val="22"/>
          <w:szCs w:val="22"/>
        </w:rPr>
      </w:pPr>
      <w:r>
        <w:rPr>
          <w:rFonts w:ascii="Arial" w:hAnsi="Arial" w:cs="Arial"/>
          <w:sz w:val="22"/>
          <w:szCs w:val="22"/>
        </w:rPr>
        <w:t xml:space="preserve">Ewbank, M.P., Cummins, R., Tablan, V., </w:t>
      </w:r>
      <w:r w:rsidRPr="00314893">
        <w:rPr>
          <w:rFonts w:ascii="Arial" w:hAnsi="Arial" w:cs="Arial"/>
          <w:b/>
          <w:bCs/>
          <w:sz w:val="22"/>
          <w:szCs w:val="22"/>
        </w:rPr>
        <w:t>Bateup, S</w:t>
      </w:r>
      <w:r>
        <w:rPr>
          <w:rFonts w:ascii="Arial" w:hAnsi="Arial" w:cs="Arial"/>
          <w:sz w:val="22"/>
          <w:szCs w:val="22"/>
        </w:rPr>
        <w:t xml:space="preserve">., Catarino, A., Martin, A.J., Blackwell, A.D. (2019). Quantifying the association between psychotherapy content and clinical outcomes using deep learning. </w:t>
      </w:r>
      <w:r w:rsidRPr="00D62924">
        <w:rPr>
          <w:rFonts w:ascii="Arial" w:hAnsi="Arial" w:cs="Arial"/>
          <w:i/>
          <w:iCs/>
          <w:sz w:val="22"/>
          <w:szCs w:val="22"/>
        </w:rPr>
        <w:t>JAMA Psychiatry</w:t>
      </w:r>
      <w:r>
        <w:rPr>
          <w:rFonts w:ascii="Arial" w:hAnsi="Arial" w:cs="Arial"/>
          <w:sz w:val="22"/>
          <w:szCs w:val="22"/>
        </w:rPr>
        <w:t xml:space="preserve"> (see appendix item 1).</w:t>
      </w:r>
    </w:p>
    <w:p w14:paraId="4E7185A2" w14:textId="4D690C0D" w:rsidR="00D62924" w:rsidRDefault="00314893" w:rsidP="00D62924">
      <w:pPr>
        <w:pStyle w:val="NormalWeb"/>
        <w:spacing w:line="480" w:lineRule="auto"/>
        <w:rPr>
          <w:rFonts w:ascii="Arial" w:hAnsi="Arial" w:cs="Arial"/>
          <w:sz w:val="22"/>
          <w:szCs w:val="22"/>
        </w:rPr>
      </w:pPr>
      <w:r>
        <w:rPr>
          <w:rFonts w:ascii="Arial" w:hAnsi="Arial" w:cs="Arial"/>
          <w:sz w:val="22"/>
          <w:szCs w:val="22"/>
        </w:rPr>
        <w:t xml:space="preserve">Catarino, A., </w:t>
      </w:r>
      <w:r w:rsidRPr="00314893">
        <w:rPr>
          <w:rFonts w:ascii="Arial" w:hAnsi="Arial" w:cs="Arial"/>
          <w:b/>
          <w:bCs/>
          <w:sz w:val="22"/>
          <w:szCs w:val="22"/>
        </w:rPr>
        <w:t>Bateup, S</w:t>
      </w:r>
      <w:r>
        <w:rPr>
          <w:rFonts w:ascii="Arial" w:hAnsi="Arial" w:cs="Arial"/>
          <w:sz w:val="22"/>
          <w:szCs w:val="22"/>
        </w:rPr>
        <w:t xml:space="preserve">., Tablan, V., Inness, K., Freer, S., Richards, A., Stott, R., Hollon, S.D., Chamberlain, S.R., Hayes, A., and Blackwell, A. (2018). Demographic and Clinical predictors of response to internet-enabled cognitive-behavioural therapy for depression and anxiety. </w:t>
      </w:r>
      <w:r w:rsidRPr="00770BDB">
        <w:rPr>
          <w:rFonts w:ascii="Arial" w:hAnsi="Arial" w:cs="Arial"/>
          <w:i/>
          <w:iCs/>
          <w:sz w:val="22"/>
          <w:szCs w:val="22"/>
        </w:rPr>
        <w:t>British Journal of Psychiatry</w:t>
      </w:r>
      <w:r>
        <w:rPr>
          <w:rFonts w:ascii="Arial" w:hAnsi="Arial" w:cs="Arial"/>
          <w:sz w:val="22"/>
          <w:szCs w:val="22"/>
        </w:rPr>
        <w:t>, 4, 411-418 (see appendix item 2).</w:t>
      </w:r>
    </w:p>
    <w:p w14:paraId="74D72DF5" w14:textId="0E536EE7" w:rsidR="00D62924" w:rsidRDefault="00D62924" w:rsidP="00D62924">
      <w:pPr>
        <w:pStyle w:val="NormalWeb"/>
        <w:spacing w:line="480" w:lineRule="auto"/>
        <w:rPr>
          <w:rFonts w:ascii="Arial" w:hAnsi="Arial" w:cs="Arial"/>
          <w:sz w:val="22"/>
          <w:szCs w:val="22"/>
        </w:rPr>
      </w:pPr>
      <w:r>
        <w:rPr>
          <w:rFonts w:ascii="Arial" w:hAnsi="Arial" w:cs="Arial"/>
          <w:sz w:val="22"/>
          <w:szCs w:val="22"/>
        </w:rPr>
        <w:t xml:space="preserve">Burch, S., Preston, C., and </w:t>
      </w:r>
      <w:r w:rsidRPr="00D62924">
        <w:rPr>
          <w:rFonts w:ascii="Arial" w:hAnsi="Arial" w:cs="Arial"/>
          <w:b/>
          <w:bCs/>
          <w:sz w:val="22"/>
          <w:szCs w:val="22"/>
        </w:rPr>
        <w:t>Bateup, S</w:t>
      </w:r>
      <w:r>
        <w:rPr>
          <w:rFonts w:ascii="Arial" w:hAnsi="Arial" w:cs="Arial"/>
          <w:sz w:val="22"/>
          <w:szCs w:val="22"/>
        </w:rPr>
        <w:t xml:space="preserve">. (2018). True technology-enabled mental health care: Trust, agency and ageing. </w:t>
      </w:r>
      <w:r w:rsidRPr="00770BDB">
        <w:rPr>
          <w:rFonts w:ascii="Arial" w:hAnsi="Arial" w:cs="Arial"/>
          <w:i/>
          <w:iCs/>
          <w:sz w:val="22"/>
          <w:szCs w:val="22"/>
        </w:rPr>
        <w:t>mHealth</w:t>
      </w:r>
      <w:r>
        <w:rPr>
          <w:rFonts w:ascii="Arial" w:hAnsi="Arial" w:cs="Arial"/>
          <w:sz w:val="22"/>
          <w:szCs w:val="22"/>
        </w:rPr>
        <w:t xml:space="preserve"> (see appendix item 3).</w:t>
      </w:r>
    </w:p>
    <w:p w14:paraId="0428921F" w14:textId="2731EFAD" w:rsidR="00D62924" w:rsidRDefault="00D62924" w:rsidP="00D62924">
      <w:pPr>
        <w:pStyle w:val="NormalWeb"/>
        <w:spacing w:line="480" w:lineRule="auto"/>
        <w:rPr>
          <w:rFonts w:ascii="Arial" w:hAnsi="Arial" w:cs="Arial"/>
          <w:sz w:val="22"/>
          <w:szCs w:val="22"/>
        </w:rPr>
      </w:pPr>
      <w:r>
        <w:rPr>
          <w:rFonts w:ascii="Arial" w:hAnsi="Arial" w:cs="Arial"/>
          <w:sz w:val="22"/>
          <w:szCs w:val="22"/>
        </w:rPr>
        <w:t xml:space="preserve">Burch, S., Preston, C., </w:t>
      </w:r>
      <w:r w:rsidRPr="00D62924">
        <w:rPr>
          <w:rFonts w:ascii="Arial" w:hAnsi="Arial" w:cs="Arial"/>
          <w:b/>
          <w:bCs/>
          <w:sz w:val="22"/>
          <w:szCs w:val="22"/>
        </w:rPr>
        <w:t>Bateup, S</w:t>
      </w:r>
      <w:r>
        <w:rPr>
          <w:rFonts w:ascii="Arial" w:hAnsi="Arial" w:cs="Arial"/>
          <w:sz w:val="22"/>
          <w:szCs w:val="22"/>
        </w:rPr>
        <w:t xml:space="preserve">., and Hina, F. (2017). The use of internet-enabled cognitive behavioural therapy in the treatment of depression and anxiety amongst older people. </w:t>
      </w:r>
      <w:r w:rsidRPr="00D62924">
        <w:rPr>
          <w:rFonts w:ascii="Arial" w:hAnsi="Arial" w:cs="Arial"/>
          <w:i/>
          <w:iCs/>
          <w:sz w:val="22"/>
          <w:szCs w:val="22"/>
        </w:rPr>
        <w:t>The International Journal of Aging and Society</w:t>
      </w:r>
      <w:r>
        <w:rPr>
          <w:rFonts w:ascii="Arial" w:hAnsi="Arial" w:cs="Arial"/>
          <w:sz w:val="22"/>
          <w:szCs w:val="22"/>
        </w:rPr>
        <w:t>, 8, 1-11 (see appendix item 4).</w:t>
      </w:r>
    </w:p>
    <w:p w14:paraId="7A2EE797" w14:textId="11AD8506" w:rsidR="00D62924" w:rsidRDefault="00D62924" w:rsidP="00D62924">
      <w:pPr>
        <w:pStyle w:val="NormalWeb"/>
        <w:spacing w:line="480" w:lineRule="auto"/>
        <w:rPr>
          <w:rFonts w:ascii="Arial" w:hAnsi="Arial" w:cs="Arial"/>
          <w:sz w:val="22"/>
          <w:szCs w:val="22"/>
        </w:rPr>
      </w:pPr>
      <w:r w:rsidRPr="0098351F">
        <w:rPr>
          <w:rFonts w:ascii="Arial" w:hAnsi="Arial" w:cs="Arial"/>
          <w:b/>
          <w:bCs/>
          <w:sz w:val="22"/>
          <w:szCs w:val="22"/>
        </w:rPr>
        <w:t>Bateup, S.E</w:t>
      </w:r>
      <w:r w:rsidRPr="005D264F">
        <w:rPr>
          <w:rFonts w:ascii="Arial" w:hAnsi="Arial" w:cs="Arial"/>
          <w:sz w:val="22"/>
          <w:szCs w:val="22"/>
        </w:rPr>
        <w:t>.</w:t>
      </w:r>
      <w:r>
        <w:rPr>
          <w:rFonts w:ascii="Arial" w:hAnsi="Arial" w:cs="Arial"/>
          <w:sz w:val="22"/>
          <w:szCs w:val="22"/>
        </w:rPr>
        <w:t>,</w:t>
      </w:r>
      <w:r w:rsidRPr="005D264F">
        <w:rPr>
          <w:rFonts w:ascii="Arial" w:hAnsi="Arial" w:cs="Arial"/>
          <w:sz w:val="22"/>
          <w:szCs w:val="22"/>
        </w:rPr>
        <w:t xml:space="preserve"> </w:t>
      </w:r>
      <w:r>
        <w:rPr>
          <w:rFonts w:ascii="Arial" w:hAnsi="Arial" w:cs="Arial"/>
          <w:sz w:val="22"/>
          <w:szCs w:val="22"/>
        </w:rPr>
        <w:t>Palmer, C., and Catarino, A. (</w:t>
      </w:r>
      <w:r w:rsidR="00C96D70">
        <w:rPr>
          <w:rFonts w:ascii="Arial" w:hAnsi="Arial" w:cs="Arial"/>
          <w:sz w:val="22"/>
          <w:szCs w:val="22"/>
        </w:rPr>
        <w:t>2020</w:t>
      </w:r>
      <w:r>
        <w:rPr>
          <w:rFonts w:ascii="Arial" w:hAnsi="Arial" w:cs="Arial"/>
          <w:sz w:val="22"/>
          <w:szCs w:val="22"/>
        </w:rPr>
        <w:t xml:space="preserve">). Using technology to understand how therapist variables </w:t>
      </w:r>
      <w:r w:rsidR="00C96D70">
        <w:rPr>
          <w:rFonts w:ascii="Arial" w:hAnsi="Arial" w:cs="Arial"/>
          <w:sz w:val="22"/>
          <w:szCs w:val="22"/>
        </w:rPr>
        <w:t>are associated</w:t>
      </w:r>
      <w:r>
        <w:rPr>
          <w:rFonts w:ascii="Arial" w:hAnsi="Arial" w:cs="Arial"/>
          <w:sz w:val="22"/>
          <w:szCs w:val="22"/>
        </w:rPr>
        <w:t xml:space="preserve"> </w:t>
      </w:r>
      <w:r w:rsidR="00C96D70">
        <w:rPr>
          <w:rFonts w:ascii="Arial" w:hAnsi="Arial" w:cs="Arial"/>
          <w:sz w:val="22"/>
          <w:szCs w:val="22"/>
        </w:rPr>
        <w:t xml:space="preserve">with </w:t>
      </w:r>
      <w:r>
        <w:rPr>
          <w:rFonts w:ascii="Arial" w:hAnsi="Arial" w:cs="Arial"/>
          <w:sz w:val="22"/>
          <w:szCs w:val="22"/>
        </w:rPr>
        <w:t xml:space="preserve">clinical outcomes in IAPT. </w:t>
      </w:r>
    </w:p>
    <w:p w14:paraId="7D87C543" w14:textId="3AAC4BAE" w:rsidR="00F354A5" w:rsidRPr="007126DB" w:rsidRDefault="00F354A5" w:rsidP="00F354A5">
      <w:pPr>
        <w:pStyle w:val="Heading1"/>
        <w:rPr>
          <w:rFonts w:cs="Arial"/>
          <w:color w:val="000000" w:themeColor="text1"/>
          <w:szCs w:val="22"/>
        </w:rPr>
      </w:pPr>
      <w:bookmarkStart w:id="17" w:name="_Toc46770703"/>
      <w:bookmarkStart w:id="18" w:name="_Toc79414114"/>
      <w:r w:rsidRPr="007126DB">
        <w:rPr>
          <w:rFonts w:cs="Arial"/>
          <w:color w:val="000000" w:themeColor="text1"/>
          <w:szCs w:val="22"/>
        </w:rPr>
        <w:lastRenderedPageBreak/>
        <w:t>SOURCES OF DATA USED IN THIS RESEARCH</w:t>
      </w:r>
      <w:bookmarkEnd w:id="17"/>
      <w:bookmarkEnd w:id="18"/>
    </w:p>
    <w:p w14:paraId="5CA79D30" w14:textId="77777777" w:rsidR="00F354A5" w:rsidRPr="007126DB" w:rsidRDefault="00F354A5" w:rsidP="00F354A5">
      <w:pPr>
        <w:spacing w:line="480" w:lineRule="auto"/>
        <w:rPr>
          <w:rFonts w:ascii="Arial" w:hAnsi="Arial" w:cs="Arial"/>
          <w:sz w:val="22"/>
          <w:szCs w:val="22"/>
        </w:rPr>
      </w:pPr>
    </w:p>
    <w:p w14:paraId="25463266" w14:textId="1C13A200" w:rsidR="00F354A5" w:rsidRPr="00B525E0" w:rsidRDefault="00F354A5" w:rsidP="00F354A5">
      <w:pPr>
        <w:spacing w:line="480" w:lineRule="auto"/>
        <w:rPr>
          <w:rFonts w:ascii="Arial" w:hAnsi="Arial" w:cs="Arial"/>
          <w:sz w:val="22"/>
          <w:szCs w:val="22"/>
        </w:rPr>
      </w:pPr>
      <w:r w:rsidRPr="00B525E0">
        <w:rPr>
          <w:rFonts w:ascii="Arial" w:hAnsi="Arial" w:cs="Arial"/>
          <w:color w:val="000000" w:themeColor="text1"/>
          <w:sz w:val="22"/>
          <w:szCs w:val="22"/>
        </w:rPr>
        <w:t>The data that has been used in the research described in this thesis</w:t>
      </w:r>
      <w:r>
        <w:rPr>
          <w:rFonts w:ascii="Arial" w:hAnsi="Arial" w:cs="Arial"/>
          <w:color w:val="000000" w:themeColor="text1"/>
          <w:sz w:val="22"/>
          <w:szCs w:val="22"/>
        </w:rPr>
        <w:t xml:space="preserve"> was collected as part of normal service delivery at Ieso Digital Health (see </w:t>
      </w:r>
      <w:hyperlink r:id="rId16" w:history="1">
        <w:r w:rsidRPr="00E87551">
          <w:rPr>
            <w:rStyle w:val="Hyperlink"/>
            <w:rFonts w:ascii="Arial" w:hAnsi="Arial" w:cs="Arial"/>
            <w:sz w:val="22"/>
            <w:szCs w:val="22"/>
          </w:rPr>
          <w:t>www.iesohealth.com</w:t>
        </w:r>
      </w:hyperlink>
      <w:r>
        <w:rPr>
          <w:rFonts w:ascii="Arial" w:hAnsi="Arial" w:cs="Arial"/>
          <w:color w:val="000000" w:themeColor="text1"/>
          <w:sz w:val="22"/>
          <w:szCs w:val="22"/>
        </w:rPr>
        <w:t xml:space="preserve">). The company provides psychological therapy to NHS patients as part of the Improving Access to Psychological Therapy programme (IAPT). </w:t>
      </w:r>
      <w:r w:rsidRPr="00CF1079">
        <w:rPr>
          <w:rFonts w:ascii="Arial" w:hAnsi="Arial" w:cs="Arial"/>
          <w:color w:val="000000" w:themeColor="text1"/>
          <w:sz w:val="22"/>
          <w:szCs w:val="22"/>
        </w:rPr>
        <w:t>The data collected in this research falls under the auspices of the legal framework for data collection and data usage in the IAPT programme.</w:t>
      </w:r>
      <w:r w:rsidRPr="00B525E0">
        <w:rPr>
          <w:rFonts w:ascii="Arial" w:hAnsi="Arial" w:cs="Arial"/>
          <w:color w:val="000000" w:themeColor="text1"/>
          <w:sz w:val="22"/>
          <w:szCs w:val="22"/>
        </w:rPr>
        <w:t xml:space="preserve"> NHS England, under section 250 of the Health and Social Care Act (2012), have directed IAPT services to collect patient data</w:t>
      </w:r>
      <w:r>
        <w:rPr>
          <w:rFonts w:ascii="Arial" w:hAnsi="Arial" w:cs="Arial"/>
          <w:color w:val="000000" w:themeColor="text1"/>
          <w:sz w:val="22"/>
          <w:szCs w:val="22"/>
        </w:rPr>
        <w:t xml:space="preserve">.  This data set, otherwise known as the </w:t>
      </w:r>
      <w:r w:rsidRPr="007126DB">
        <w:rPr>
          <w:rFonts w:ascii="Arial" w:hAnsi="Arial" w:cs="Arial"/>
          <w:sz w:val="22"/>
          <w:szCs w:val="22"/>
        </w:rPr>
        <w:t>IAPT minimum data set</w:t>
      </w:r>
      <w:r>
        <w:rPr>
          <w:rFonts w:ascii="Arial" w:hAnsi="Arial" w:cs="Arial"/>
          <w:sz w:val="22"/>
          <w:szCs w:val="22"/>
        </w:rPr>
        <w:t xml:space="preserve">, </w:t>
      </w:r>
      <w:r w:rsidRPr="007126DB">
        <w:rPr>
          <w:rFonts w:ascii="Arial" w:hAnsi="Arial" w:cs="Arial"/>
          <w:sz w:val="22"/>
          <w:szCs w:val="22"/>
        </w:rPr>
        <w:t>includes information relating to a patient’s presenting problem, demographics, clinical outcomes and patient experience within the IAPT programme</w:t>
      </w:r>
      <w:r>
        <w:rPr>
          <w:rFonts w:ascii="Arial" w:hAnsi="Arial" w:cs="Arial"/>
          <w:sz w:val="22"/>
          <w:szCs w:val="22"/>
        </w:rPr>
        <w:t>. The data</w:t>
      </w:r>
      <w:r w:rsidRPr="007126DB">
        <w:rPr>
          <w:rFonts w:ascii="Arial" w:hAnsi="Arial" w:cs="Arial"/>
          <w:sz w:val="22"/>
          <w:szCs w:val="22"/>
        </w:rPr>
        <w:t xml:space="preserve"> is intended to be used to conduct clinical audits, monitor the effectiveness of the programme and the performance of individual services, national reporting analyses and research</w:t>
      </w:r>
      <w:r>
        <w:rPr>
          <w:rFonts w:ascii="Arial" w:hAnsi="Arial" w:cs="Arial"/>
          <w:sz w:val="22"/>
          <w:szCs w:val="22"/>
        </w:rPr>
        <w:t xml:space="preserve"> (NHS Digital 2019 a,b,c)</w:t>
      </w:r>
      <w:r w:rsidRPr="007126DB">
        <w:rPr>
          <w:rFonts w:ascii="Arial" w:hAnsi="Arial" w:cs="Arial"/>
          <w:sz w:val="22"/>
          <w:szCs w:val="22"/>
        </w:rPr>
        <w:t>.</w:t>
      </w:r>
      <w:r>
        <w:rPr>
          <w:rFonts w:ascii="Arial" w:hAnsi="Arial" w:cs="Arial"/>
          <w:sz w:val="22"/>
          <w:szCs w:val="22"/>
        </w:rPr>
        <w:t xml:space="preserve"> </w:t>
      </w:r>
      <w:r w:rsidRPr="00B525E0">
        <w:rPr>
          <w:rFonts w:ascii="Arial" w:hAnsi="Arial" w:cs="Arial"/>
          <w:color w:val="000000" w:themeColor="text1"/>
          <w:sz w:val="22"/>
          <w:szCs w:val="22"/>
        </w:rPr>
        <w:t>Explicit consent from the patient is not required for the data to be used</w:t>
      </w:r>
      <w:r>
        <w:rPr>
          <w:rFonts w:ascii="Arial" w:hAnsi="Arial" w:cs="Arial"/>
          <w:color w:val="000000" w:themeColor="text1"/>
          <w:sz w:val="22"/>
          <w:szCs w:val="22"/>
        </w:rPr>
        <w:t xml:space="preserve"> for these purposes</w:t>
      </w:r>
      <w:r w:rsidRPr="00B525E0">
        <w:rPr>
          <w:rFonts w:ascii="Arial" w:hAnsi="Arial" w:cs="Arial"/>
          <w:color w:val="000000" w:themeColor="text1"/>
          <w:sz w:val="22"/>
          <w:szCs w:val="22"/>
        </w:rPr>
        <w:t xml:space="preserve"> (NHS Digital 2019</w:t>
      </w:r>
      <w:r>
        <w:rPr>
          <w:rFonts w:ascii="Arial" w:hAnsi="Arial" w:cs="Arial"/>
          <w:color w:val="000000" w:themeColor="text1"/>
          <w:sz w:val="22"/>
          <w:szCs w:val="22"/>
        </w:rPr>
        <w:t xml:space="preserve"> </w:t>
      </w:r>
      <w:r w:rsidRPr="00B525E0">
        <w:rPr>
          <w:rFonts w:ascii="Arial" w:hAnsi="Arial" w:cs="Arial"/>
          <w:color w:val="000000" w:themeColor="text1"/>
          <w:sz w:val="22"/>
          <w:szCs w:val="22"/>
        </w:rPr>
        <w:t>a,b,c). This is currently the case and will continue to be the case going forward (NHS Digital 2019</w:t>
      </w:r>
      <w:r>
        <w:rPr>
          <w:rFonts w:ascii="Arial" w:hAnsi="Arial" w:cs="Arial"/>
          <w:color w:val="000000" w:themeColor="text1"/>
          <w:sz w:val="22"/>
          <w:szCs w:val="22"/>
        </w:rPr>
        <w:t xml:space="preserve"> </w:t>
      </w:r>
      <w:r w:rsidRPr="00B525E0">
        <w:rPr>
          <w:rFonts w:ascii="Arial" w:hAnsi="Arial" w:cs="Arial"/>
          <w:color w:val="000000" w:themeColor="text1"/>
          <w:sz w:val="22"/>
          <w:szCs w:val="22"/>
        </w:rPr>
        <w:t xml:space="preserve">e).  </w:t>
      </w:r>
    </w:p>
    <w:p w14:paraId="1108457B" w14:textId="77777777" w:rsidR="00F354A5" w:rsidRPr="00B525E0" w:rsidRDefault="00F354A5" w:rsidP="00F354A5">
      <w:pPr>
        <w:spacing w:line="480" w:lineRule="auto"/>
        <w:rPr>
          <w:rFonts w:ascii="Calibri" w:hAnsi="Calibri"/>
          <w:color w:val="000000" w:themeColor="text1"/>
        </w:rPr>
      </w:pPr>
      <w:r w:rsidRPr="00B525E0">
        <w:rPr>
          <w:rFonts w:ascii="Arial" w:hAnsi="Arial" w:cs="Arial"/>
          <w:color w:val="000000" w:themeColor="text1"/>
          <w:sz w:val="22"/>
          <w:szCs w:val="22"/>
        </w:rPr>
        <w:t> </w:t>
      </w:r>
    </w:p>
    <w:p w14:paraId="055E2BAC" w14:textId="77777777" w:rsidR="00F354A5" w:rsidRPr="00B525E0" w:rsidRDefault="00F354A5" w:rsidP="00F354A5">
      <w:pPr>
        <w:spacing w:line="480" w:lineRule="auto"/>
        <w:rPr>
          <w:rFonts w:ascii="Calibri" w:hAnsi="Calibri"/>
          <w:color w:val="000000" w:themeColor="text1"/>
        </w:rPr>
      </w:pPr>
      <w:r w:rsidRPr="00B525E0">
        <w:rPr>
          <w:rFonts w:ascii="Arial" w:hAnsi="Arial" w:cs="Arial"/>
          <w:color w:val="000000" w:themeColor="text1"/>
          <w:sz w:val="22"/>
          <w:szCs w:val="22"/>
        </w:rPr>
        <w:t>Where IAPT services use data to support secondary uses</w:t>
      </w:r>
      <w:r>
        <w:rPr>
          <w:rFonts w:ascii="Arial" w:hAnsi="Arial" w:cs="Arial"/>
          <w:color w:val="000000" w:themeColor="text1"/>
          <w:sz w:val="22"/>
          <w:szCs w:val="22"/>
        </w:rPr>
        <w:t>,</w:t>
      </w:r>
      <w:r w:rsidRPr="00B525E0">
        <w:rPr>
          <w:rFonts w:ascii="Arial" w:hAnsi="Arial" w:cs="Arial"/>
          <w:color w:val="000000" w:themeColor="text1"/>
          <w:sz w:val="22"/>
          <w:szCs w:val="22"/>
        </w:rPr>
        <w:t xml:space="preserve"> NHS England encourage services to </w:t>
      </w:r>
      <w:r>
        <w:rPr>
          <w:rFonts w:ascii="Arial" w:hAnsi="Arial" w:cs="Arial"/>
          <w:color w:val="000000" w:themeColor="text1"/>
          <w:sz w:val="22"/>
          <w:szCs w:val="22"/>
        </w:rPr>
        <w:t>require patients to</w:t>
      </w:r>
      <w:r w:rsidRPr="00B525E0">
        <w:rPr>
          <w:rFonts w:ascii="Arial" w:hAnsi="Arial" w:cs="Arial"/>
          <w:color w:val="000000" w:themeColor="text1"/>
          <w:sz w:val="22"/>
          <w:szCs w:val="22"/>
        </w:rPr>
        <w:t xml:space="preserve"> opt in</w:t>
      </w:r>
      <w:r>
        <w:rPr>
          <w:rFonts w:ascii="Arial" w:hAnsi="Arial" w:cs="Arial"/>
          <w:color w:val="000000" w:themeColor="text1"/>
          <w:sz w:val="22"/>
          <w:szCs w:val="22"/>
        </w:rPr>
        <w:t xml:space="preserve">to treatment having been made aware of how their deidentified data will be used (Clark, 2011, 2018, Gyani, Shfran, Layard and Clark, 2013). </w:t>
      </w:r>
      <w:r w:rsidRPr="00B525E0">
        <w:rPr>
          <w:rFonts w:ascii="Arial" w:hAnsi="Arial" w:cs="Arial"/>
          <w:color w:val="000000" w:themeColor="text1"/>
          <w:sz w:val="22"/>
          <w:szCs w:val="22"/>
        </w:rPr>
        <w:t xml:space="preserve"> This guidance is based on Information Governance best practice at the time when the data described in this thesis was analysed.  </w:t>
      </w:r>
      <w:r>
        <w:rPr>
          <w:rFonts w:ascii="Arial" w:hAnsi="Arial" w:cs="Arial"/>
          <w:color w:val="000000" w:themeColor="text1"/>
          <w:sz w:val="22"/>
          <w:szCs w:val="22"/>
        </w:rPr>
        <w:t>Additionally</w:t>
      </w:r>
      <w:r w:rsidRPr="00B525E0">
        <w:rPr>
          <w:rFonts w:ascii="Arial" w:hAnsi="Arial" w:cs="Arial"/>
          <w:color w:val="000000" w:themeColor="text1"/>
          <w:sz w:val="22"/>
          <w:szCs w:val="22"/>
        </w:rPr>
        <w:t>, patients may manage their preferences, in relation to how services use their data for research purposes, through the NHS National Data Opt Out Service (NHS Digital 2019d).</w:t>
      </w:r>
      <w:r>
        <w:rPr>
          <w:rFonts w:ascii="Arial" w:hAnsi="Arial" w:cs="Arial"/>
          <w:color w:val="000000" w:themeColor="text1"/>
          <w:sz w:val="22"/>
          <w:szCs w:val="22"/>
        </w:rPr>
        <w:t xml:space="preserve"> Where a patient changes their preference and opts out, their data is no longer used for research purposes.</w:t>
      </w:r>
    </w:p>
    <w:p w14:paraId="08BE0A81" w14:textId="77777777" w:rsidR="00F354A5" w:rsidRDefault="00F354A5" w:rsidP="00F354A5">
      <w:pPr>
        <w:rPr>
          <w:rFonts w:ascii="Calibri" w:hAnsi="Calibri"/>
          <w:color w:val="000000"/>
        </w:rPr>
      </w:pPr>
      <w:r>
        <w:rPr>
          <w:rFonts w:ascii="Arial" w:hAnsi="Arial" w:cs="Arial"/>
          <w:color w:val="17375E"/>
          <w:sz w:val="22"/>
          <w:szCs w:val="22"/>
        </w:rPr>
        <w:t> </w:t>
      </w:r>
    </w:p>
    <w:p w14:paraId="7DA59FFF" w14:textId="77777777" w:rsidR="00F354A5" w:rsidRDefault="00F354A5" w:rsidP="00F354A5">
      <w:pPr>
        <w:rPr>
          <w:rFonts w:ascii="Calibri" w:hAnsi="Calibri"/>
          <w:color w:val="000000"/>
        </w:rPr>
      </w:pPr>
      <w:r>
        <w:rPr>
          <w:rFonts w:ascii="Arial" w:hAnsi="Arial" w:cs="Arial"/>
          <w:color w:val="17375E"/>
          <w:sz w:val="22"/>
          <w:szCs w:val="22"/>
        </w:rPr>
        <w:t> </w:t>
      </w:r>
    </w:p>
    <w:p w14:paraId="55F7EF20" w14:textId="6DF10A78" w:rsidR="00F354A5" w:rsidRDefault="00F354A5" w:rsidP="00F354A5">
      <w:pPr>
        <w:spacing w:line="480" w:lineRule="auto"/>
        <w:rPr>
          <w:rFonts w:ascii="Arial" w:hAnsi="Arial" w:cs="Arial"/>
          <w:sz w:val="22"/>
          <w:szCs w:val="22"/>
        </w:rPr>
      </w:pPr>
      <w:r w:rsidRPr="007126DB">
        <w:rPr>
          <w:rFonts w:ascii="Arial" w:hAnsi="Arial" w:cs="Arial"/>
          <w:sz w:val="22"/>
          <w:szCs w:val="22"/>
        </w:rPr>
        <w:t xml:space="preserve">When registering to use the Ieso Digital Health service patients </w:t>
      </w:r>
      <w:r>
        <w:rPr>
          <w:rFonts w:ascii="Arial" w:hAnsi="Arial" w:cs="Arial"/>
          <w:sz w:val="22"/>
          <w:szCs w:val="22"/>
        </w:rPr>
        <w:t xml:space="preserve">are required to ‘opt in’ to the service by agreeing to the services terms and conditions policy. This policy provides detailed </w:t>
      </w:r>
      <w:r>
        <w:rPr>
          <w:rFonts w:ascii="Arial" w:hAnsi="Arial" w:cs="Arial"/>
          <w:sz w:val="22"/>
          <w:szCs w:val="22"/>
        </w:rPr>
        <w:lastRenderedPageBreak/>
        <w:t xml:space="preserve">information in relation to how Ieso Digital Health store and use their deidentified data for service improvement, clinical audit and research. Additionally, patients are provided with a plain language guidance on how their deidentified data will be used (see appendix item </w:t>
      </w:r>
      <w:r w:rsidR="00DA7637">
        <w:rPr>
          <w:rFonts w:ascii="Arial" w:hAnsi="Arial" w:cs="Arial"/>
          <w:sz w:val="22"/>
          <w:szCs w:val="22"/>
        </w:rPr>
        <w:t>5</w:t>
      </w:r>
      <w:r>
        <w:rPr>
          <w:rFonts w:ascii="Arial" w:hAnsi="Arial" w:cs="Arial"/>
          <w:sz w:val="22"/>
          <w:szCs w:val="22"/>
        </w:rPr>
        <w:t>). This enables patients to make an informed choice when opting into the service.  Patients may opt out at any time and this does not affect their ongoing treatment.  Where a patient opts out</w:t>
      </w:r>
      <w:r w:rsidR="00B74501">
        <w:rPr>
          <w:rFonts w:ascii="Arial" w:hAnsi="Arial" w:cs="Arial"/>
          <w:sz w:val="22"/>
          <w:szCs w:val="22"/>
        </w:rPr>
        <w:t>,</w:t>
      </w:r>
      <w:r>
        <w:rPr>
          <w:rFonts w:ascii="Arial" w:hAnsi="Arial" w:cs="Arial"/>
          <w:sz w:val="22"/>
          <w:szCs w:val="22"/>
        </w:rPr>
        <w:t xml:space="preserve"> their data is excluded from all research.</w:t>
      </w:r>
    </w:p>
    <w:p w14:paraId="239D7146" w14:textId="77777777" w:rsidR="00F354A5" w:rsidRDefault="00F354A5" w:rsidP="00F354A5">
      <w:pPr>
        <w:spacing w:line="480" w:lineRule="auto"/>
        <w:rPr>
          <w:rFonts w:ascii="Arial" w:hAnsi="Arial" w:cs="Arial"/>
          <w:sz w:val="22"/>
          <w:szCs w:val="22"/>
        </w:rPr>
      </w:pPr>
    </w:p>
    <w:p w14:paraId="616172C2" w14:textId="4288D117" w:rsidR="00F354A5" w:rsidRDefault="00F354A5" w:rsidP="00F354A5">
      <w:pPr>
        <w:spacing w:line="480" w:lineRule="auto"/>
        <w:rPr>
          <w:rFonts w:ascii="Arial" w:hAnsi="Arial" w:cs="Arial"/>
          <w:sz w:val="22"/>
          <w:szCs w:val="22"/>
        </w:rPr>
      </w:pPr>
      <w:r>
        <w:rPr>
          <w:rFonts w:ascii="Arial" w:hAnsi="Arial" w:cs="Arial"/>
          <w:sz w:val="22"/>
          <w:szCs w:val="22"/>
        </w:rPr>
        <w:t xml:space="preserve">Additionally, it should be pointed out that the analysis of the data described in this thesis was performed as part of normal routine care.  The researcher and the senior clinicians who reviewed the transcripts of therapy sessions have routine access to this data in order to assess the quality of each therapists work and to support therapists to make effective clinical decisions. </w:t>
      </w:r>
    </w:p>
    <w:p w14:paraId="15CA391F" w14:textId="09FE24F8" w:rsidR="00F354A5" w:rsidRDefault="00F354A5" w:rsidP="00F354A5">
      <w:pPr>
        <w:spacing w:line="480" w:lineRule="auto"/>
        <w:rPr>
          <w:rFonts w:ascii="Arial" w:hAnsi="Arial" w:cs="Arial"/>
          <w:sz w:val="22"/>
          <w:szCs w:val="22"/>
        </w:rPr>
      </w:pPr>
    </w:p>
    <w:p w14:paraId="75DCF53D" w14:textId="22A8426C" w:rsidR="00F354A5" w:rsidRDefault="00F354A5" w:rsidP="00F354A5">
      <w:pPr>
        <w:spacing w:line="480" w:lineRule="auto"/>
        <w:rPr>
          <w:rFonts w:ascii="Arial" w:hAnsi="Arial" w:cs="Arial"/>
          <w:sz w:val="22"/>
          <w:szCs w:val="22"/>
        </w:rPr>
      </w:pPr>
      <w:r w:rsidRPr="006A386F">
        <w:rPr>
          <w:rFonts w:ascii="Arial" w:hAnsi="Arial" w:cs="Arial"/>
          <w:sz w:val="22"/>
          <w:szCs w:val="22"/>
        </w:rPr>
        <w:t xml:space="preserve">This </w:t>
      </w:r>
      <w:r>
        <w:rPr>
          <w:rFonts w:ascii="Arial" w:hAnsi="Arial" w:cs="Arial"/>
          <w:sz w:val="22"/>
          <w:szCs w:val="22"/>
        </w:rPr>
        <w:t>research described in this thesis</w:t>
      </w:r>
      <w:r w:rsidRPr="006A386F">
        <w:rPr>
          <w:rFonts w:ascii="Arial" w:hAnsi="Arial" w:cs="Arial"/>
          <w:sz w:val="22"/>
          <w:szCs w:val="22"/>
        </w:rPr>
        <w:t xml:space="preserve"> was </w:t>
      </w:r>
      <w:r>
        <w:rPr>
          <w:rFonts w:ascii="Arial" w:hAnsi="Arial" w:cs="Arial"/>
          <w:sz w:val="22"/>
          <w:szCs w:val="22"/>
        </w:rPr>
        <w:t>reviewed by a</w:t>
      </w:r>
      <w:r w:rsidRPr="006A386F">
        <w:rPr>
          <w:rFonts w:ascii="Arial" w:hAnsi="Arial" w:cs="Arial"/>
          <w:sz w:val="22"/>
          <w:szCs w:val="22"/>
        </w:rPr>
        <w:t xml:space="preserve"> Research Ethics Committee</w:t>
      </w:r>
      <w:r>
        <w:rPr>
          <w:rFonts w:ascii="Arial" w:hAnsi="Arial" w:cs="Arial"/>
          <w:sz w:val="22"/>
          <w:szCs w:val="22"/>
        </w:rPr>
        <w:t xml:space="preserve">. </w:t>
      </w:r>
      <w:r w:rsidRPr="006A386F">
        <w:rPr>
          <w:rFonts w:ascii="Arial" w:hAnsi="Arial" w:cs="Arial"/>
          <w:sz w:val="22"/>
          <w:szCs w:val="22"/>
        </w:rPr>
        <w:t xml:space="preserve">Ethical approval for this </w:t>
      </w:r>
      <w:r>
        <w:rPr>
          <w:rFonts w:ascii="Arial" w:hAnsi="Arial" w:cs="Arial"/>
          <w:sz w:val="22"/>
          <w:szCs w:val="22"/>
        </w:rPr>
        <w:t xml:space="preserve">research </w:t>
      </w:r>
      <w:r w:rsidRPr="006A386F">
        <w:rPr>
          <w:rFonts w:ascii="Arial" w:hAnsi="Arial" w:cs="Arial"/>
          <w:sz w:val="22"/>
          <w:szCs w:val="22"/>
        </w:rPr>
        <w:t>was granted on 17</w:t>
      </w:r>
      <w:r w:rsidRPr="006A386F">
        <w:rPr>
          <w:rFonts w:ascii="Arial" w:hAnsi="Arial" w:cs="Arial"/>
          <w:sz w:val="22"/>
          <w:szCs w:val="22"/>
          <w:vertAlign w:val="superscript"/>
        </w:rPr>
        <w:t>th</w:t>
      </w:r>
      <w:r w:rsidRPr="006A386F">
        <w:rPr>
          <w:rFonts w:ascii="Arial" w:hAnsi="Arial" w:cs="Arial"/>
          <w:sz w:val="22"/>
          <w:szCs w:val="22"/>
        </w:rPr>
        <w:t xml:space="preserve"> January 2018 by the Departmental Research Ethics Panel (DREP) under the terms of Anglia Ruskin University’s Research Ethics Policy</w:t>
      </w:r>
      <w:r>
        <w:rPr>
          <w:rFonts w:ascii="Arial" w:hAnsi="Arial" w:cs="Arial"/>
          <w:sz w:val="22"/>
          <w:szCs w:val="22"/>
        </w:rPr>
        <w:t xml:space="preserve">, </w:t>
      </w:r>
      <w:r w:rsidRPr="006A386F">
        <w:rPr>
          <w:rFonts w:ascii="Arial" w:hAnsi="Arial" w:cs="Arial"/>
          <w:sz w:val="22"/>
          <w:szCs w:val="22"/>
        </w:rPr>
        <w:t>dated 8 September 2016, Version 1.7</w:t>
      </w:r>
      <w:r>
        <w:rPr>
          <w:rFonts w:ascii="Arial" w:hAnsi="Arial" w:cs="Arial"/>
          <w:sz w:val="22"/>
          <w:szCs w:val="22"/>
        </w:rPr>
        <w:t xml:space="preserve">, reference FHSE-DREP-17-069. </w:t>
      </w:r>
      <w:r w:rsidRPr="006A386F">
        <w:rPr>
          <w:rFonts w:ascii="Arial" w:hAnsi="Arial" w:cs="Arial"/>
          <w:sz w:val="22"/>
          <w:szCs w:val="22"/>
        </w:rPr>
        <w:t>This study was also conducted in accordance with the International Conference for Harmonisation of Good Clinical Practice and the Research Governance Framework for Health and Social Care. (Health Research Authority 2016)</w:t>
      </w:r>
      <w:r>
        <w:rPr>
          <w:rFonts w:ascii="Arial" w:hAnsi="Arial" w:cs="Arial"/>
          <w:sz w:val="22"/>
          <w:szCs w:val="22"/>
        </w:rPr>
        <w:t>. Further discussion regarding ethics can be found in section 4.3 of this thesis.</w:t>
      </w:r>
    </w:p>
    <w:p w14:paraId="276FAE72" w14:textId="77777777" w:rsidR="00F354A5" w:rsidRDefault="00F354A5" w:rsidP="00F354A5">
      <w:pPr>
        <w:spacing w:line="480" w:lineRule="auto"/>
        <w:rPr>
          <w:rFonts w:ascii="Arial" w:hAnsi="Arial" w:cs="Arial"/>
          <w:sz w:val="22"/>
          <w:szCs w:val="22"/>
        </w:rPr>
      </w:pPr>
    </w:p>
    <w:p w14:paraId="6A0F4B51" w14:textId="727C5903" w:rsidR="00F354A5" w:rsidRDefault="00F354A5" w:rsidP="00F354A5">
      <w:pPr>
        <w:spacing w:line="480" w:lineRule="auto"/>
        <w:rPr>
          <w:rFonts w:ascii="Arial" w:hAnsi="Arial" w:cs="Arial"/>
          <w:sz w:val="22"/>
          <w:szCs w:val="22"/>
        </w:rPr>
      </w:pPr>
      <w:r>
        <w:rPr>
          <w:rFonts w:ascii="Arial" w:hAnsi="Arial" w:cs="Arial"/>
          <w:sz w:val="22"/>
          <w:szCs w:val="22"/>
        </w:rPr>
        <w:t xml:space="preserve"> </w:t>
      </w:r>
    </w:p>
    <w:p w14:paraId="0B555DD3" w14:textId="77777777" w:rsidR="0060766B" w:rsidRDefault="0060766B">
      <w:pPr>
        <w:rPr>
          <w:rFonts w:ascii="Arial" w:eastAsiaTheme="majorEastAsia" w:hAnsi="Arial" w:cs="Arial"/>
          <w:b/>
          <w:bCs/>
          <w:color w:val="000000" w:themeColor="text1"/>
          <w:sz w:val="22"/>
          <w:szCs w:val="22"/>
        </w:rPr>
      </w:pPr>
      <w:r>
        <w:rPr>
          <w:rFonts w:ascii="Arial" w:hAnsi="Arial" w:cs="Arial"/>
          <w:color w:val="000000" w:themeColor="text1"/>
          <w:sz w:val="22"/>
          <w:szCs w:val="22"/>
        </w:rPr>
        <w:br w:type="page"/>
      </w:r>
    </w:p>
    <w:p w14:paraId="203D5E1A" w14:textId="18F53BB8" w:rsidR="007F596B" w:rsidRPr="003451A6" w:rsidRDefault="007F596B" w:rsidP="007F596B">
      <w:pPr>
        <w:pStyle w:val="Heading1"/>
        <w:spacing w:line="480" w:lineRule="auto"/>
        <w:rPr>
          <w:rFonts w:cs="Arial"/>
          <w:b w:val="0"/>
          <w:color w:val="000000" w:themeColor="text1"/>
          <w:szCs w:val="22"/>
        </w:rPr>
      </w:pPr>
      <w:bookmarkStart w:id="19" w:name="_Toc46770704"/>
      <w:bookmarkStart w:id="20" w:name="_Toc79414115"/>
      <w:r w:rsidRPr="003451A6">
        <w:rPr>
          <w:rFonts w:cs="Arial"/>
          <w:color w:val="000000" w:themeColor="text1"/>
          <w:szCs w:val="22"/>
        </w:rPr>
        <w:lastRenderedPageBreak/>
        <w:t xml:space="preserve">CHAPTER ONE: </w:t>
      </w:r>
      <w:r w:rsidR="00525B47">
        <w:rPr>
          <w:rFonts w:cs="Arial"/>
          <w:color w:val="000000" w:themeColor="text1"/>
          <w:szCs w:val="22"/>
        </w:rPr>
        <w:t>AN INTR</w:t>
      </w:r>
      <w:r w:rsidR="00A22BF4">
        <w:rPr>
          <w:rFonts w:cs="Arial"/>
          <w:color w:val="000000" w:themeColor="text1"/>
          <w:szCs w:val="22"/>
        </w:rPr>
        <w:t>O</w:t>
      </w:r>
      <w:r w:rsidR="00525B47">
        <w:rPr>
          <w:rFonts w:cs="Arial"/>
          <w:color w:val="000000" w:themeColor="text1"/>
          <w:szCs w:val="22"/>
        </w:rPr>
        <w:t>DUCTION TO THE PROFESSIONAL CONTEXT FOR THIS RESEARCH</w:t>
      </w:r>
      <w:bookmarkEnd w:id="19"/>
      <w:bookmarkEnd w:id="20"/>
    </w:p>
    <w:p w14:paraId="6D4FC297" w14:textId="77777777" w:rsidR="007F596B" w:rsidRDefault="007F596B" w:rsidP="007F596B">
      <w:pPr>
        <w:spacing w:line="480" w:lineRule="auto"/>
      </w:pPr>
    </w:p>
    <w:p w14:paraId="27E90F12" w14:textId="77777777" w:rsidR="007F596B" w:rsidRPr="00147844" w:rsidRDefault="007F596B" w:rsidP="007F596B">
      <w:pPr>
        <w:spacing w:line="480" w:lineRule="auto"/>
        <w:rPr>
          <w:rFonts w:ascii="Arial" w:hAnsi="Arial" w:cs="Arial"/>
          <w:sz w:val="22"/>
          <w:szCs w:val="22"/>
        </w:rPr>
      </w:pPr>
      <w:r w:rsidRPr="00147844">
        <w:rPr>
          <w:rFonts w:ascii="Arial" w:hAnsi="Arial" w:cs="Arial"/>
          <w:sz w:val="22"/>
          <w:szCs w:val="22"/>
        </w:rPr>
        <w:t>This thesis presents research that was undertaken between February 2015 and February 2019 as part of a Professional Doctorate in Health and Social Care. Due to the professional context of this research, and the close relationship between the research and my professional role, the first and last chapters of this thesis are written in the first person as they present my personal reflections on this research. In this first chapter I discuss my rationale for my chosen research area and present an overview for this thesis. In the final chapter I present my reflections on how the process of undertaking this research has impacted on my own professional practice.  The remaining chapters of this thesis are written from a scientist practitioner stance, in the third person, consistent with quantitative research.</w:t>
      </w:r>
    </w:p>
    <w:p w14:paraId="32F3F4E4" w14:textId="77777777" w:rsidR="007F596B" w:rsidRDefault="007F596B" w:rsidP="007F596B">
      <w:pPr>
        <w:spacing w:line="480" w:lineRule="auto"/>
      </w:pPr>
    </w:p>
    <w:p w14:paraId="54069004" w14:textId="77777777" w:rsidR="007F596B" w:rsidRPr="003451A6" w:rsidRDefault="007F596B" w:rsidP="007F596B">
      <w:pPr>
        <w:pStyle w:val="Heading2"/>
        <w:spacing w:line="480" w:lineRule="auto"/>
        <w:rPr>
          <w:rFonts w:ascii="Arial" w:hAnsi="Arial" w:cs="Arial"/>
          <w:b w:val="0"/>
          <w:color w:val="000000" w:themeColor="text1"/>
          <w:sz w:val="22"/>
          <w:szCs w:val="22"/>
        </w:rPr>
      </w:pPr>
      <w:bookmarkStart w:id="21" w:name="_Toc46770705"/>
      <w:bookmarkStart w:id="22" w:name="_Toc79414116"/>
      <w:r>
        <w:rPr>
          <w:rFonts w:ascii="Arial" w:hAnsi="Arial" w:cs="Arial"/>
          <w:color w:val="000000" w:themeColor="text1"/>
          <w:sz w:val="22"/>
          <w:szCs w:val="22"/>
        </w:rPr>
        <w:t xml:space="preserve">1.1 </w:t>
      </w:r>
      <w:r w:rsidRPr="003451A6">
        <w:rPr>
          <w:rFonts w:ascii="Arial" w:hAnsi="Arial" w:cs="Arial"/>
          <w:color w:val="000000" w:themeColor="text1"/>
          <w:sz w:val="22"/>
          <w:szCs w:val="22"/>
        </w:rPr>
        <w:t>INTRODUCTION</w:t>
      </w:r>
      <w:bookmarkEnd w:id="21"/>
      <w:bookmarkEnd w:id="22"/>
    </w:p>
    <w:p w14:paraId="2FAC241C" w14:textId="37ADAFF8" w:rsidR="007F596B" w:rsidRPr="00147844" w:rsidRDefault="007F596B" w:rsidP="007F596B">
      <w:pPr>
        <w:spacing w:line="480" w:lineRule="auto"/>
        <w:rPr>
          <w:rFonts w:ascii="Arial" w:hAnsi="Arial" w:cs="Arial"/>
          <w:sz w:val="22"/>
          <w:szCs w:val="22"/>
        </w:rPr>
      </w:pPr>
      <w:r w:rsidRPr="00147844">
        <w:rPr>
          <w:rFonts w:ascii="Arial" w:hAnsi="Arial" w:cs="Arial"/>
          <w:sz w:val="22"/>
          <w:szCs w:val="22"/>
        </w:rPr>
        <w:t>This research focuses on</w:t>
      </w:r>
      <w:r>
        <w:rPr>
          <w:rFonts w:ascii="Arial" w:hAnsi="Arial" w:cs="Arial"/>
          <w:sz w:val="22"/>
          <w:szCs w:val="22"/>
        </w:rPr>
        <w:t xml:space="preserve"> understanding the relationship between therapist variables and clinical outcome in </w:t>
      </w:r>
      <w:r w:rsidR="00626A2F">
        <w:rPr>
          <w:rFonts w:ascii="Arial" w:hAnsi="Arial" w:cs="Arial"/>
          <w:sz w:val="22"/>
          <w:szCs w:val="22"/>
        </w:rPr>
        <w:t xml:space="preserve">England’s </w:t>
      </w:r>
      <w:r>
        <w:rPr>
          <w:rFonts w:ascii="Arial" w:hAnsi="Arial" w:cs="Arial"/>
          <w:sz w:val="22"/>
          <w:szCs w:val="22"/>
        </w:rPr>
        <w:t xml:space="preserve">Improving Access to Psychological Therapy programme (IAPT). </w:t>
      </w:r>
      <w:r w:rsidR="00626A2F">
        <w:rPr>
          <w:rFonts w:ascii="Arial" w:hAnsi="Arial" w:cs="Arial"/>
          <w:sz w:val="22"/>
          <w:szCs w:val="22"/>
        </w:rPr>
        <w:t>The IAPT programme</w:t>
      </w:r>
      <w:r w:rsidR="00487A0F">
        <w:rPr>
          <w:rFonts w:ascii="Arial" w:hAnsi="Arial" w:cs="Arial"/>
          <w:sz w:val="22"/>
          <w:szCs w:val="22"/>
        </w:rPr>
        <w:t xml:space="preserve"> was implemented in 2008 and aims to improve access to evidenced based psychological therapies, such as cognitive behavioural therapy, to patients who present with anxiety disorders and depression (Layard and Clark, 2014).</w:t>
      </w:r>
      <w:r w:rsidR="00626A2F">
        <w:rPr>
          <w:rFonts w:ascii="Arial" w:hAnsi="Arial" w:cs="Arial"/>
          <w:sz w:val="22"/>
          <w:szCs w:val="22"/>
        </w:rPr>
        <w:t xml:space="preserve"> </w:t>
      </w:r>
      <w:r>
        <w:rPr>
          <w:rFonts w:ascii="Arial" w:hAnsi="Arial" w:cs="Arial"/>
          <w:sz w:val="22"/>
          <w:szCs w:val="22"/>
        </w:rPr>
        <w:t>Th</w:t>
      </w:r>
      <w:r w:rsidR="00487A0F">
        <w:rPr>
          <w:rFonts w:ascii="Arial" w:hAnsi="Arial" w:cs="Arial"/>
          <w:sz w:val="22"/>
          <w:szCs w:val="22"/>
        </w:rPr>
        <w:t>is</w:t>
      </w:r>
      <w:r>
        <w:rPr>
          <w:rFonts w:ascii="Arial" w:hAnsi="Arial" w:cs="Arial"/>
          <w:sz w:val="22"/>
          <w:szCs w:val="22"/>
        </w:rPr>
        <w:t xml:space="preserve"> research focuses specifically on British Association of Behavioural Cognitive Psychotherapy (BABCP) accredited therapists delivering </w:t>
      </w:r>
      <w:r w:rsidR="00626A2F">
        <w:rPr>
          <w:rFonts w:ascii="Arial" w:hAnsi="Arial" w:cs="Arial"/>
          <w:sz w:val="22"/>
          <w:szCs w:val="22"/>
        </w:rPr>
        <w:t>cognitive behavioural therapy (CBT)</w:t>
      </w:r>
      <w:r>
        <w:rPr>
          <w:rFonts w:ascii="Arial" w:hAnsi="Arial" w:cs="Arial"/>
          <w:sz w:val="22"/>
          <w:szCs w:val="22"/>
        </w:rPr>
        <w:t xml:space="preserve"> to patients at step 3 of the IAPT programme (see </w:t>
      </w:r>
      <w:r w:rsidR="00825044">
        <w:rPr>
          <w:rFonts w:ascii="Arial" w:hAnsi="Arial" w:cs="Arial"/>
          <w:sz w:val="22"/>
          <w:szCs w:val="22"/>
        </w:rPr>
        <w:t>C</w:t>
      </w:r>
      <w:r>
        <w:rPr>
          <w:rFonts w:ascii="Arial" w:hAnsi="Arial" w:cs="Arial"/>
          <w:sz w:val="22"/>
          <w:szCs w:val="22"/>
        </w:rPr>
        <w:t xml:space="preserve">hapter </w:t>
      </w:r>
      <w:r w:rsidR="004E1574">
        <w:rPr>
          <w:rFonts w:ascii="Arial" w:hAnsi="Arial" w:cs="Arial"/>
          <w:sz w:val="22"/>
          <w:szCs w:val="22"/>
        </w:rPr>
        <w:t>2</w:t>
      </w:r>
      <w:r>
        <w:rPr>
          <w:rFonts w:ascii="Arial" w:hAnsi="Arial" w:cs="Arial"/>
          <w:sz w:val="22"/>
          <w:szCs w:val="22"/>
        </w:rPr>
        <w:t xml:space="preserve"> for an explanation of the stepped care model developed by IAPT). This thesis will present how, despite the fact that CBT has a strong empirical evidence base that supports the notion that at least 50% of all patients treated with CBT will recover</w:t>
      </w:r>
      <w:r w:rsidR="00487A0F">
        <w:rPr>
          <w:rFonts w:ascii="Arial" w:hAnsi="Arial" w:cs="Arial"/>
          <w:sz w:val="22"/>
          <w:szCs w:val="22"/>
        </w:rPr>
        <w:t xml:space="preserve">, </w:t>
      </w:r>
      <w:r w:rsidR="00487A0F" w:rsidRPr="00CF1079">
        <w:rPr>
          <w:rFonts w:ascii="Arial" w:hAnsi="Arial" w:cs="Arial"/>
          <w:sz w:val="22"/>
          <w:szCs w:val="22"/>
        </w:rPr>
        <w:t>or achieve a clinically significant reliable improvement</w:t>
      </w:r>
      <w:r w:rsidR="00DE744C" w:rsidRPr="00CF1079">
        <w:rPr>
          <w:rFonts w:ascii="Arial" w:hAnsi="Arial" w:cs="Arial"/>
          <w:sz w:val="22"/>
          <w:szCs w:val="22"/>
        </w:rPr>
        <w:t xml:space="preserve">, </w:t>
      </w:r>
      <w:r w:rsidRPr="00CF1079">
        <w:rPr>
          <w:rFonts w:ascii="Arial" w:hAnsi="Arial" w:cs="Arial"/>
          <w:sz w:val="22"/>
          <w:szCs w:val="22"/>
        </w:rPr>
        <w:t>(Layard and Clark</w:t>
      </w:r>
      <w:r w:rsidR="00E7223E" w:rsidRPr="00CF1079">
        <w:rPr>
          <w:rFonts w:ascii="Arial" w:hAnsi="Arial" w:cs="Arial"/>
          <w:sz w:val="22"/>
          <w:szCs w:val="22"/>
        </w:rPr>
        <w:t>,</w:t>
      </w:r>
      <w:r w:rsidRPr="00CF1079">
        <w:rPr>
          <w:rFonts w:ascii="Arial" w:hAnsi="Arial" w:cs="Arial"/>
          <w:sz w:val="22"/>
          <w:szCs w:val="22"/>
        </w:rPr>
        <w:t xml:space="preserve"> 2014), there is a significant variance</w:t>
      </w:r>
      <w:r>
        <w:rPr>
          <w:rFonts w:ascii="Arial" w:hAnsi="Arial" w:cs="Arial"/>
          <w:sz w:val="22"/>
          <w:szCs w:val="22"/>
        </w:rPr>
        <w:t xml:space="preserve"> between individual cognitive behavioural therapists and between IAPT services (Gyanni, Shafran, Layard and Clark</w:t>
      </w:r>
      <w:r w:rsidR="000A098E">
        <w:rPr>
          <w:rFonts w:ascii="Arial" w:hAnsi="Arial" w:cs="Arial"/>
          <w:sz w:val="22"/>
          <w:szCs w:val="22"/>
        </w:rPr>
        <w:t>,</w:t>
      </w:r>
      <w:r>
        <w:rPr>
          <w:rFonts w:ascii="Arial" w:hAnsi="Arial" w:cs="Arial"/>
          <w:sz w:val="22"/>
          <w:szCs w:val="22"/>
        </w:rPr>
        <w:t xml:space="preserve"> 2013).  Additionally, IAPT has a </w:t>
      </w:r>
      <w:r>
        <w:rPr>
          <w:rFonts w:ascii="Arial" w:hAnsi="Arial" w:cs="Arial"/>
          <w:sz w:val="22"/>
          <w:szCs w:val="22"/>
        </w:rPr>
        <w:lastRenderedPageBreak/>
        <w:t xml:space="preserve">well-established, post-graduate, training curricula for cognitive behavioural therapy and mandatory minimum training standards for all BABCP accredited therapists (Layard and Clark 2014). </w:t>
      </w:r>
      <w:r w:rsidRPr="00CF1079">
        <w:rPr>
          <w:rFonts w:ascii="Arial" w:hAnsi="Arial" w:cs="Arial"/>
          <w:sz w:val="22"/>
          <w:szCs w:val="22"/>
        </w:rPr>
        <w:t>Given the training and accreditation criteria are closely aligned with the evidence base for CBT</w:t>
      </w:r>
      <w:r w:rsidR="00B74501" w:rsidRPr="00CF1079">
        <w:rPr>
          <w:rFonts w:ascii="Arial" w:hAnsi="Arial" w:cs="Arial"/>
          <w:sz w:val="22"/>
          <w:szCs w:val="22"/>
        </w:rPr>
        <w:t>,</w:t>
      </w:r>
      <w:r w:rsidRPr="00CF1079">
        <w:rPr>
          <w:rFonts w:ascii="Arial" w:hAnsi="Arial" w:cs="Arial"/>
          <w:sz w:val="22"/>
          <w:szCs w:val="22"/>
        </w:rPr>
        <w:t xml:space="preserve"> it is reasonable to assume that IAPT therapists should achieve similar results to those reported in the outcome research for CBT.</w:t>
      </w:r>
      <w:r>
        <w:rPr>
          <w:rFonts w:ascii="Arial" w:hAnsi="Arial" w:cs="Arial"/>
          <w:sz w:val="22"/>
          <w:szCs w:val="22"/>
        </w:rPr>
        <w:t xml:space="preserve"> Therefore</w:t>
      </w:r>
      <w:r w:rsidR="00A63BF0">
        <w:rPr>
          <w:rFonts w:ascii="Arial" w:hAnsi="Arial" w:cs="Arial"/>
          <w:sz w:val="22"/>
          <w:szCs w:val="22"/>
        </w:rPr>
        <w:t>,</w:t>
      </w:r>
      <w:r>
        <w:rPr>
          <w:rFonts w:ascii="Arial" w:hAnsi="Arial" w:cs="Arial"/>
          <w:sz w:val="22"/>
          <w:szCs w:val="22"/>
        </w:rPr>
        <w:t xml:space="preserve"> this thesis hypothesises that the variance in outcome is, in some part, directly attributed to what individual therapists are doing, or not doing with their patients.</w:t>
      </w:r>
    </w:p>
    <w:p w14:paraId="79F20C3A" w14:textId="77777777" w:rsidR="007F596B" w:rsidRDefault="007F596B" w:rsidP="007F596B">
      <w:pPr>
        <w:spacing w:line="480" w:lineRule="auto"/>
      </w:pPr>
    </w:p>
    <w:p w14:paraId="55CC06E7" w14:textId="6C410CA6" w:rsidR="007F596B" w:rsidRDefault="007F596B" w:rsidP="00D95072">
      <w:pPr>
        <w:pStyle w:val="Heading2"/>
        <w:rPr>
          <w:rFonts w:ascii="Arial" w:hAnsi="Arial" w:cs="Arial"/>
          <w:color w:val="000000" w:themeColor="text1"/>
          <w:sz w:val="22"/>
          <w:szCs w:val="22"/>
        </w:rPr>
      </w:pPr>
      <w:bookmarkStart w:id="23" w:name="_Toc46770706"/>
      <w:bookmarkStart w:id="24" w:name="_Toc79414117"/>
      <w:r w:rsidRPr="00D95072">
        <w:rPr>
          <w:rFonts w:ascii="Arial" w:hAnsi="Arial" w:cs="Arial"/>
          <w:color w:val="000000" w:themeColor="text1"/>
          <w:sz w:val="22"/>
          <w:szCs w:val="22"/>
        </w:rPr>
        <w:t>1.2 PROFESSIONAL BACKGROUND AND CONTEXT FOR THIS RESEARCH</w:t>
      </w:r>
      <w:bookmarkEnd w:id="23"/>
      <w:bookmarkEnd w:id="24"/>
    </w:p>
    <w:p w14:paraId="168F1EC3" w14:textId="77777777" w:rsidR="00D95072" w:rsidRPr="00D95072" w:rsidRDefault="00D95072" w:rsidP="00D95072"/>
    <w:p w14:paraId="406F5916" w14:textId="7F3B2F66" w:rsidR="00820E82" w:rsidRPr="00D238AD" w:rsidRDefault="007F596B" w:rsidP="00D238AD">
      <w:pPr>
        <w:spacing w:line="480" w:lineRule="auto"/>
        <w:rPr>
          <w:rFonts w:ascii="Arial" w:hAnsi="Arial" w:cs="Arial"/>
          <w:sz w:val="22"/>
          <w:szCs w:val="22"/>
        </w:rPr>
      </w:pPr>
      <w:r w:rsidRPr="005E456C">
        <w:rPr>
          <w:rFonts w:ascii="Arial" w:hAnsi="Arial" w:cs="Arial"/>
          <w:sz w:val="22"/>
          <w:szCs w:val="22"/>
        </w:rPr>
        <w:t>Th</w:t>
      </w:r>
      <w:r w:rsidR="00580DD5">
        <w:rPr>
          <w:rFonts w:ascii="Arial" w:hAnsi="Arial" w:cs="Arial"/>
          <w:sz w:val="22"/>
          <w:szCs w:val="22"/>
        </w:rPr>
        <w:t>e</w:t>
      </w:r>
      <w:r w:rsidRPr="005E456C">
        <w:rPr>
          <w:rFonts w:ascii="Arial" w:hAnsi="Arial" w:cs="Arial"/>
          <w:sz w:val="22"/>
          <w:szCs w:val="22"/>
        </w:rPr>
        <w:t xml:space="preserve"> research </w:t>
      </w:r>
      <w:r w:rsidR="00580DD5">
        <w:rPr>
          <w:rFonts w:ascii="Arial" w:hAnsi="Arial" w:cs="Arial"/>
          <w:sz w:val="22"/>
          <w:szCs w:val="22"/>
        </w:rPr>
        <w:t xml:space="preserve">reported in this thesis </w:t>
      </w:r>
      <w:r w:rsidRPr="005E456C">
        <w:rPr>
          <w:rFonts w:ascii="Arial" w:hAnsi="Arial" w:cs="Arial"/>
          <w:sz w:val="22"/>
          <w:szCs w:val="22"/>
        </w:rPr>
        <w:t>not only reflects my professional background</w:t>
      </w:r>
      <w:r w:rsidR="00580DD5">
        <w:rPr>
          <w:rFonts w:ascii="Arial" w:hAnsi="Arial" w:cs="Arial"/>
          <w:sz w:val="22"/>
          <w:szCs w:val="22"/>
        </w:rPr>
        <w:t>,</w:t>
      </w:r>
      <w:r w:rsidRPr="005E456C">
        <w:rPr>
          <w:rFonts w:ascii="Arial" w:hAnsi="Arial" w:cs="Arial"/>
          <w:sz w:val="22"/>
          <w:szCs w:val="22"/>
        </w:rPr>
        <w:t xml:space="preserve"> values and beliefs, but it is rooted within my current professional role.</w:t>
      </w:r>
      <w:r w:rsidR="0010742C">
        <w:rPr>
          <w:rFonts w:ascii="Arial" w:hAnsi="Arial" w:cs="Arial"/>
          <w:sz w:val="22"/>
          <w:szCs w:val="22"/>
        </w:rPr>
        <w:t xml:space="preserve"> In this section I will</w:t>
      </w:r>
      <w:r w:rsidR="00580DD5">
        <w:rPr>
          <w:rFonts w:ascii="Arial" w:hAnsi="Arial" w:cs="Arial"/>
          <w:sz w:val="22"/>
          <w:szCs w:val="22"/>
        </w:rPr>
        <w:t xml:space="preserve"> </w:t>
      </w:r>
      <w:r w:rsidR="00C03814">
        <w:rPr>
          <w:rFonts w:ascii="Arial" w:hAnsi="Arial" w:cs="Arial"/>
          <w:sz w:val="22"/>
          <w:szCs w:val="22"/>
        </w:rPr>
        <w:t>establish my professional background, my theoretical position</w:t>
      </w:r>
      <w:r w:rsidR="00F47D18">
        <w:rPr>
          <w:rFonts w:ascii="Arial" w:hAnsi="Arial" w:cs="Arial"/>
          <w:sz w:val="22"/>
          <w:szCs w:val="22"/>
        </w:rPr>
        <w:t>, current role and how these aspects of my professional background have led to this research</w:t>
      </w:r>
      <w:r w:rsidR="005B6D99">
        <w:rPr>
          <w:rFonts w:ascii="Arial" w:hAnsi="Arial" w:cs="Arial"/>
          <w:sz w:val="22"/>
          <w:szCs w:val="22"/>
        </w:rPr>
        <w:t>.</w:t>
      </w:r>
      <w:r w:rsidR="00D238AD">
        <w:rPr>
          <w:rFonts w:ascii="Arial" w:hAnsi="Arial" w:cs="Arial"/>
          <w:sz w:val="22"/>
          <w:szCs w:val="22"/>
        </w:rPr>
        <w:br/>
      </w:r>
    </w:p>
    <w:p w14:paraId="6A706083" w14:textId="0C9B649B" w:rsidR="007F596B" w:rsidRDefault="007F596B" w:rsidP="00B208A1">
      <w:pPr>
        <w:pStyle w:val="Heading3"/>
        <w:rPr>
          <w:rFonts w:cs="Arial"/>
          <w:color w:val="000000" w:themeColor="text1"/>
          <w:szCs w:val="22"/>
        </w:rPr>
      </w:pPr>
      <w:bookmarkStart w:id="25" w:name="_Toc46770707"/>
      <w:bookmarkStart w:id="26" w:name="_Toc79414118"/>
      <w:r w:rsidRPr="00B208A1">
        <w:rPr>
          <w:rFonts w:cs="Arial"/>
          <w:color w:val="000000" w:themeColor="text1"/>
          <w:szCs w:val="22"/>
        </w:rPr>
        <w:t>1.2.1 Professional background</w:t>
      </w:r>
      <w:bookmarkEnd w:id="25"/>
      <w:bookmarkEnd w:id="26"/>
    </w:p>
    <w:p w14:paraId="7C5BE8DE" w14:textId="77777777" w:rsidR="00B208A1" w:rsidRPr="00B208A1" w:rsidRDefault="00B208A1" w:rsidP="00B208A1"/>
    <w:p w14:paraId="0A423CB1" w14:textId="677405C1" w:rsidR="00820E82" w:rsidRPr="00D238AD" w:rsidRDefault="007F596B" w:rsidP="00D238AD">
      <w:pPr>
        <w:spacing w:line="480" w:lineRule="auto"/>
        <w:rPr>
          <w:rFonts w:ascii="Arial" w:hAnsi="Arial" w:cs="Arial"/>
          <w:sz w:val="22"/>
          <w:szCs w:val="22"/>
        </w:rPr>
      </w:pPr>
      <w:r w:rsidRPr="00B125A5">
        <w:rPr>
          <w:rFonts w:ascii="Arial" w:hAnsi="Arial" w:cs="Arial"/>
          <w:sz w:val="22"/>
          <w:szCs w:val="22"/>
        </w:rPr>
        <w:t xml:space="preserve">I am a British Association of Behavioural and Cognitive Psychotherapy (BABCP) accredited cognitive behavioural therapist. Since qualifying as a CBT therapist in 1994 I have delivered approximately </w:t>
      </w:r>
      <w:r w:rsidR="001E3627">
        <w:rPr>
          <w:rFonts w:ascii="Arial" w:hAnsi="Arial" w:cs="Arial"/>
          <w:sz w:val="22"/>
          <w:szCs w:val="22"/>
        </w:rPr>
        <w:t>30</w:t>
      </w:r>
      <w:r w:rsidRPr="00B125A5">
        <w:rPr>
          <w:rFonts w:ascii="Arial" w:hAnsi="Arial" w:cs="Arial"/>
          <w:sz w:val="22"/>
          <w:szCs w:val="22"/>
        </w:rPr>
        <w:t xml:space="preserve">,000 hours of CBT to NHS patients. I have always been driven to make a difference and perhaps for this reason I set out to try and influence the work of others by going on to </w:t>
      </w:r>
      <w:r>
        <w:rPr>
          <w:rFonts w:ascii="Arial" w:hAnsi="Arial" w:cs="Arial"/>
          <w:sz w:val="22"/>
          <w:szCs w:val="22"/>
        </w:rPr>
        <w:t>found two primary care services</w:t>
      </w:r>
      <w:r w:rsidRPr="00B125A5">
        <w:rPr>
          <w:rFonts w:ascii="Arial" w:hAnsi="Arial" w:cs="Arial"/>
          <w:sz w:val="22"/>
          <w:szCs w:val="22"/>
        </w:rPr>
        <w:t>, manag</w:t>
      </w:r>
      <w:r w:rsidR="001D7095">
        <w:rPr>
          <w:rFonts w:ascii="Arial" w:hAnsi="Arial" w:cs="Arial"/>
          <w:sz w:val="22"/>
          <w:szCs w:val="22"/>
        </w:rPr>
        <w:t>ing CBT</w:t>
      </w:r>
      <w:r w:rsidR="005432D3">
        <w:rPr>
          <w:rFonts w:ascii="Arial" w:hAnsi="Arial" w:cs="Arial"/>
          <w:sz w:val="22"/>
          <w:szCs w:val="22"/>
        </w:rPr>
        <w:t xml:space="preserve"> </w:t>
      </w:r>
      <w:r w:rsidRPr="00B125A5">
        <w:rPr>
          <w:rFonts w:ascii="Arial" w:hAnsi="Arial" w:cs="Arial"/>
          <w:sz w:val="22"/>
          <w:szCs w:val="22"/>
        </w:rPr>
        <w:t>services and teac</w:t>
      </w:r>
      <w:r w:rsidR="001D7095">
        <w:rPr>
          <w:rFonts w:ascii="Arial" w:hAnsi="Arial" w:cs="Arial"/>
          <w:sz w:val="22"/>
          <w:szCs w:val="22"/>
        </w:rPr>
        <w:t>hing</w:t>
      </w:r>
      <w:r w:rsidRPr="00B125A5">
        <w:rPr>
          <w:rFonts w:ascii="Arial" w:hAnsi="Arial" w:cs="Arial"/>
          <w:sz w:val="22"/>
          <w:szCs w:val="22"/>
        </w:rPr>
        <w:t xml:space="preserve"> </w:t>
      </w:r>
      <w:r>
        <w:rPr>
          <w:rFonts w:ascii="Arial" w:hAnsi="Arial" w:cs="Arial"/>
          <w:sz w:val="22"/>
          <w:szCs w:val="22"/>
        </w:rPr>
        <w:t xml:space="preserve">on </w:t>
      </w:r>
      <w:r w:rsidRPr="00B125A5">
        <w:rPr>
          <w:rFonts w:ascii="Arial" w:hAnsi="Arial" w:cs="Arial"/>
          <w:sz w:val="22"/>
          <w:szCs w:val="22"/>
        </w:rPr>
        <w:t xml:space="preserve">postgraduate </w:t>
      </w:r>
      <w:r>
        <w:rPr>
          <w:rFonts w:ascii="Arial" w:hAnsi="Arial" w:cs="Arial"/>
          <w:sz w:val="22"/>
          <w:szCs w:val="22"/>
        </w:rPr>
        <w:t>training programmes</w:t>
      </w:r>
      <w:r w:rsidRPr="00B125A5">
        <w:rPr>
          <w:rFonts w:ascii="Arial" w:hAnsi="Arial" w:cs="Arial"/>
          <w:sz w:val="22"/>
          <w:szCs w:val="22"/>
        </w:rPr>
        <w:t xml:space="preserve"> at </w:t>
      </w:r>
      <w:r>
        <w:rPr>
          <w:rFonts w:ascii="Arial" w:hAnsi="Arial" w:cs="Arial"/>
          <w:sz w:val="22"/>
          <w:szCs w:val="22"/>
        </w:rPr>
        <w:t>four</w:t>
      </w:r>
      <w:r w:rsidRPr="00B125A5">
        <w:rPr>
          <w:rFonts w:ascii="Arial" w:hAnsi="Arial" w:cs="Arial"/>
          <w:sz w:val="22"/>
          <w:szCs w:val="22"/>
        </w:rPr>
        <w:t xml:space="preserve"> universities</w:t>
      </w:r>
      <w:r w:rsidR="005432D3">
        <w:rPr>
          <w:rFonts w:ascii="Arial" w:hAnsi="Arial" w:cs="Arial"/>
          <w:sz w:val="22"/>
          <w:szCs w:val="22"/>
        </w:rPr>
        <w:t xml:space="preserve"> and </w:t>
      </w:r>
      <w:r w:rsidR="006E62B3">
        <w:rPr>
          <w:rFonts w:ascii="Arial" w:hAnsi="Arial" w:cs="Arial"/>
          <w:sz w:val="22"/>
          <w:szCs w:val="22"/>
        </w:rPr>
        <w:t>working</w:t>
      </w:r>
      <w:r w:rsidR="005432D3">
        <w:rPr>
          <w:rFonts w:ascii="Arial" w:hAnsi="Arial" w:cs="Arial"/>
          <w:sz w:val="22"/>
          <w:szCs w:val="22"/>
        </w:rPr>
        <w:t xml:space="preserve"> as an external examiner </w:t>
      </w:r>
      <w:r w:rsidR="004319F9">
        <w:rPr>
          <w:rFonts w:ascii="Arial" w:hAnsi="Arial" w:cs="Arial"/>
          <w:sz w:val="22"/>
          <w:szCs w:val="22"/>
        </w:rPr>
        <w:t>for a post-graduate CBT training programme.</w:t>
      </w:r>
      <w:r w:rsidRPr="00B125A5">
        <w:rPr>
          <w:rFonts w:ascii="Arial" w:hAnsi="Arial" w:cs="Arial"/>
          <w:sz w:val="22"/>
          <w:szCs w:val="22"/>
        </w:rPr>
        <w:t xml:space="preserve"> </w:t>
      </w:r>
      <w:r w:rsidR="00D238AD">
        <w:rPr>
          <w:rFonts w:ascii="Arial" w:hAnsi="Arial" w:cs="Arial"/>
          <w:sz w:val="22"/>
          <w:szCs w:val="22"/>
        </w:rPr>
        <w:br/>
      </w:r>
    </w:p>
    <w:p w14:paraId="1B56AE25" w14:textId="0AB98579" w:rsidR="00595F73" w:rsidRDefault="00595F73" w:rsidP="00B83169">
      <w:pPr>
        <w:pStyle w:val="Heading3"/>
        <w:rPr>
          <w:rFonts w:cs="Arial"/>
          <w:color w:val="000000" w:themeColor="text1"/>
          <w:szCs w:val="22"/>
        </w:rPr>
      </w:pPr>
      <w:bookmarkStart w:id="27" w:name="_Toc46770708"/>
      <w:bookmarkStart w:id="28" w:name="_Toc79414119"/>
      <w:r w:rsidRPr="00B83169">
        <w:rPr>
          <w:rFonts w:cs="Arial"/>
          <w:color w:val="000000" w:themeColor="text1"/>
          <w:szCs w:val="22"/>
        </w:rPr>
        <w:t>1.2.2 Cognitive behavioural therapy</w:t>
      </w:r>
      <w:bookmarkEnd w:id="27"/>
      <w:bookmarkEnd w:id="28"/>
    </w:p>
    <w:p w14:paraId="0E6BD5AC" w14:textId="77777777" w:rsidR="007A4639" w:rsidRDefault="007A4639" w:rsidP="001E3627">
      <w:pPr>
        <w:rPr>
          <w:rFonts w:ascii="Arial" w:hAnsi="Arial" w:cs="Arial"/>
          <w:sz w:val="22"/>
          <w:szCs w:val="22"/>
        </w:rPr>
      </w:pPr>
    </w:p>
    <w:p w14:paraId="01A6868F" w14:textId="1FFC48D2" w:rsidR="00820E82" w:rsidRPr="00D238AD" w:rsidRDefault="001E3627" w:rsidP="00D238AD">
      <w:pPr>
        <w:spacing w:line="480" w:lineRule="auto"/>
        <w:rPr>
          <w:rFonts w:ascii="Arial" w:hAnsi="Arial" w:cs="Arial"/>
          <w:sz w:val="22"/>
          <w:szCs w:val="22"/>
        </w:rPr>
      </w:pPr>
      <w:r w:rsidRPr="001E3627">
        <w:rPr>
          <w:rFonts w:ascii="Arial" w:hAnsi="Arial" w:cs="Arial"/>
          <w:sz w:val="22"/>
          <w:szCs w:val="22"/>
        </w:rPr>
        <w:t>I was</w:t>
      </w:r>
      <w:r w:rsidR="007A4639">
        <w:rPr>
          <w:rFonts w:ascii="Arial" w:hAnsi="Arial" w:cs="Arial"/>
          <w:sz w:val="22"/>
          <w:szCs w:val="22"/>
        </w:rPr>
        <w:t xml:space="preserve"> attracted to CBT becaus</w:t>
      </w:r>
      <w:r w:rsidR="006E62B3">
        <w:rPr>
          <w:rFonts w:ascii="Arial" w:hAnsi="Arial" w:cs="Arial"/>
          <w:sz w:val="22"/>
          <w:szCs w:val="22"/>
        </w:rPr>
        <w:t>e of its structured</w:t>
      </w:r>
      <w:r w:rsidR="00E65CD5">
        <w:rPr>
          <w:rFonts w:ascii="Arial" w:hAnsi="Arial" w:cs="Arial"/>
          <w:sz w:val="22"/>
          <w:szCs w:val="22"/>
        </w:rPr>
        <w:t xml:space="preserve">, evidence-based approach. CBT is a psychological therapy that </w:t>
      </w:r>
      <w:r w:rsidR="008E6AB7">
        <w:rPr>
          <w:rFonts w:ascii="Arial" w:hAnsi="Arial" w:cs="Arial"/>
          <w:sz w:val="22"/>
          <w:szCs w:val="22"/>
        </w:rPr>
        <w:t xml:space="preserve">enables patients to </w:t>
      </w:r>
      <w:r w:rsidR="002B773B">
        <w:rPr>
          <w:rFonts w:ascii="Arial" w:hAnsi="Arial" w:cs="Arial"/>
          <w:sz w:val="22"/>
          <w:szCs w:val="22"/>
        </w:rPr>
        <w:t xml:space="preserve">develop an </w:t>
      </w:r>
      <w:r w:rsidR="008E6AB7">
        <w:rPr>
          <w:rFonts w:ascii="Arial" w:hAnsi="Arial" w:cs="Arial"/>
          <w:sz w:val="22"/>
          <w:szCs w:val="22"/>
        </w:rPr>
        <w:t>understand</w:t>
      </w:r>
      <w:r w:rsidR="002B773B">
        <w:rPr>
          <w:rFonts w:ascii="Arial" w:hAnsi="Arial" w:cs="Arial"/>
          <w:sz w:val="22"/>
          <w:szCs w:val="22"/>
        </w:rPr>
        <w:t>ing of</w:t>
      </w:r>
      <w:r w:rsidR="008E6AB7">
        <w:rPr>
          <w:rFonts w:ascii="Arial" w:hAnsi="Arial" w:cs="Arial"/>
          <w:sz w:val="22"/>
          <w:szCs w:val="22"/>
        </w:rPr>
        <w:t xml:space="preserve"> the predisposing </w:t>
      </w:r>
      <w:r w:rsidR="008E6AB7">
        <w:rPr>
          <w:rFonts w:ascii="Arial" w:hAnsi="Arial" w:cs="Arial"/>
          <w:sz w:val="22"/>
          <w:szCs w:val="22"/>
        </w:rPr>
        <w:lastRenderedPageBreak/>
        <w:t>and precipitating factors</w:t>
      </w:r>
      <w:r w:rsidR="002B773B">
        <w:rPr>
          <w:rFonts w:ascii="Arial" w:hAnsi="Arial" w:cs="Arial"/>
          <w:sz w:val="22"/>
          <w:szCs w:val="22"/>
        </w:rPr>
        <w:t xml:space="preserve"> that</w:t>
      </w:r>
      <w:r w:rsidR="002F71EA">
        <w:rPr>
          <w:rFonts w:ascii="Arial" w:hAnsi="Arial" w:cs="Arial"/>
          <w:sz w:val="22"/>
          <w:szCs w:val="22"/>
        </w:rPr>
        <w:t xml:space="preserve"> have</w:t>
      </w:r>
      <w:r w:rsidR="002B773B">
        <w:rPr>
          <w:rFonts w:ascii="Arial" w:hAnsi="Arial" w:cs="Arial"/>
          <w:sz w:val="22"/>
          <w:szCs w:val="22"/>
        </w:rPr>
        <w:t xml:space="preserve"> led to the</w:t>
      </w:r>
      <w:r w:rsidR="002F71EA">
        <w:rPr>
          <w:rFonts w:ascii="Arial" w:hAnsi="Arial" w:cs="Arial"/>
          <w:sz w:val="22"/>
          <w:szCs w:val="22"/>
        </w:rPr>
        <w:t>m</w:t>
      </w:r>
      <w:r w:rsidR="002B773B">
        <w:rPr>
          <w:rFonts w:ascii="Arial" w:hAnsi="Arial" w:cs="Arial"/>
          <w:sz w:val="22"/>
          <w:szCs w:val="22"/>
        </w:rPr>
        <w:t xml:space="preserve"> </w:t>
      </w:r>
      <w:r w:rsidR="002F71EA">
        <w:rPr>
          <w:rFonts w:ascii="Arial" w:hAnsi="Arial" w:cs="Arial"/>
          <w:sz w:val="22"/>
          <w:szCs w:val="22"/>
        </w:rPr>
        <w:t>experiencing symptoms such as anxiety or depression</w:t>
      </w:r>
      <w:r w:rsidR="002B773B">
        <w:rPr>
          <w:rFonts w:ascii="Arial" w:hAnsi="Arial" w:cs="Arial"/>
          <w:sz w:val="22"/>
          <w:szCs w:val="22"/>
        </w:rPr>
        <w:t xml:space="preserve"> (</w:t>
      </w:r>
      <w:r w:rsidR="00644C51">
        <w:rPr>
          <w:rFonts w:ascii="Arial" w:hAnsi="Arial" w:cs="Arial"/>
          <w:sz w:val="22"/>
          <w:szCs w:val="22"/>
        </w:rPr>
        <w:t>Beck, 2011).</w:t>
      </w:r>
      <w:r w:rsidR="006645CB">
        <w:rPr>
          <w:rFonts w:ascii="Arial" w:hAnsi="Arial" w:cs="Arial"/>
          <w:sz w:val="22"/>
          <w:szCs w:val="22"/>
        </w:rPr>
        <w:t xml:space="preserve"> Furthermore, CBT places an emphasis on </w:t>
      </w:r>
      <w:r w:rsidR="009C0BC3">
        <w:rPr>
          <w:rFonts w:ascii="Arial" w:hAnsi="Arial" w:cs="Arial"/>
          <w:sz w:val="22"/>
          <w:szCs w:val="22"/>
        </w:rPr>
        <w:t>developing a shared understanding (between therapist and patient) of how thoughts, emotions, physiological symptoms and behaviour are interconnected and each serve to maintain</w:t>
      </w:r>
      <w:r w:rsidR="007C7100">
        <w:rPr>
          <w:rFonts w:ascii="Arial" w:hAnsi="Arial" w:cs="Arial"/>
          <w:sz w:val="22"/>
          <w:szCs w:val="22"/>
        </w:rPr>
        <w:t xml:space="preserve"> the patient’s presenting problem (Beck, 2011). This formulation</w:t>
      </w:r>
      <w:r w:rsidR="00B2047B">
        <w:rPr>
          <w:rFonts w:ascii="Arial" w:hAnsi="Arial" w:cs="Arial"/>
          <w:sz w:val="22"/>
          <w:szCs w:val="22"/>
        </w:rPr>
        <w:t>-</w:t>
      </w:r>
      <w:r w:rsidR="007C7100">
        <w:rPr>
          <w:rFonts w:ascii="Arial" w:hAnsi="Arial" w:cs="Arial"/>
          <w:sz w:val="22"/>
          <w:szCs w:val="22"/>
        </w:rPr>
        <w:t xml:space="preserve">driven approach </w:t>
      </w:r>
      <w:r w:rsidR="00B34C92">
        <w:rPr>
          <w:rFonts w:ascii="Arial" w:hAnsi="Arial" w:cs="Arial"/>
          <w:sz w:val="22"/>
          <w:szCs w:val="22"/>
        </w:rPr>
        <w:t xml:space="preserve">is fundamental in socialising the patient to the CBT model and enabling them to understand the rationale for </w:t>
      </w:r>
      <w:r w:rsidR="00884AE9">
        <w:rPr>
          <w:rFonts w:ascii="Arial" w:hAnsi="Arial" w:cs="Arial"/>
          <w:sz w:val="22"/>
          <w:szCs w:val="22"/>
        </w:rPr>
        <w:t xml:space="preserve">the </w:t>
      </w:r>
      <w:r w:rsidR="00866352">
        <w:rPr>
          <w:rFonts w:ascii="Arial" w:hAnsi="Arial" w:cs="Arial"/>
          <w:sz w:val="22"/>
          <w:szCs w:val="22"/>
        </w:rPr>
        <w:t>intervention</w:t>
      </w:r>
      <w:r w:rsidR="0002618A">
        <w:rPr>
          <w:rFonts w:ascii="Arial" w:hAnsi="Arial" w:cs="Arial"/>
          <w:sz w:val="22"/>
          <w:szCs w:val="22"/>
        </w:rPr>
        <w:t>s</w:t>
      </w:r>
      <w:r w:rsidR="00B041CE">
        <w:rPr>
          <w:rFonts w:ascii="Arial" w:hAnsi="Arial" w:cs="Arial"/>
          <w:sz w:val="22"/>
          <w:szCs w:val="22"/>
        </w:rPr>
        <w:t xml:space="preserve"> that follow.  </w:t>
      </w:r>
      <w:r w:rsidR="00866352">
        <w:rPr>
          <w:rFonts w:ascii="Arial" w:hAnsi="Arial" w:cs="Arial"/>
          <w:sz w:val="22"/>
          <w:szCs w:val="22"/>
        </w:rPr>
        <w:t xml:space="preserve">CBT </w:t>
      </w:r>
      <w:r w:rsidR="0002618A">
        <w:rPr>
          <w:rFonts w:ascii="Arial" w:hAnsi="Arial" w:cs="Arial"/>
          <w:sz w:val="22"/>
          <w:szCs w:val="22"/>
        </w:rPr>
        <w:t>interventions are protocol</w:t>
      </w:r>
      <w:r w:rsidR="00B2047B">
        <w:rPr>
          <w:rFonts w:ascii="Arial" w:hAnsi="Arial" w:cs="Arial"/>
          <w:sz w:val="22"/>
          <w:szCs w:val="22"/>
        </w:rPr>
        <w:t>-</w:t>
      </w:r>
      <w:r w:rsidR="0002618A">
        <w:rPr>
          <w:rFonts w:ascii="Arial" w:hAnsi="Arial" w:cs="Arial"/>
          <w:sz w:val="22"/>
          <w:szCs w:val="22"/>
        </w:rPr>
        <w:t>driven (Roth and Pilling, 2007, 2008)</w:t>
      </w:r>
      <w:r w:rsidR="00E31EAC">
        <w:rPr>
          <w:rFonts w:ascii="Arial" w:hAnsi="Arial" w:cs="Arial"/>
          <w:sz w:val="22"/>
          <w:szCs w:val="22"/>
        </w:rPr>
        <w:t xml:space="preserve"> and each </w:t>
      </w:r>
      <w:r w:rsidR="00817BBC">
        <w:rPr>
          <w:rFonts w:ascii="Arial" w:hAnsi="Arial" w:cs="Arial"/>
          <w:sz w:val="22"/>
          <w:szCs w:val="22"/>
        </w:rPr>
        <w:t xml:space="preserve">treatment </w:t>
      </w:r>
      <w:r w:rsidR="00E31EAC">
        <w:rPr>
          <w:rFonts w:ascii="Arial" w:hAnsi="Arial" w:cs="Arial"/>
          <w:sz w:val="22"/>
          <w:szCs w:val="22"/>
        </w:rPr>
        <w:t>protocol consists of a range of change mechanisms</w:t>
      </w:r>
      <w:r w:rsidR="00F55C98">
        <w:rPr>
          <w:rFonts w:ascii="Arial" w:hAnsi="Arial" w:cs="Arial"/>
          <w:sz w:val="22"/>
          <w:szCs w:val="22"/>
        </w:rPr>
        <w:t>, each of which target iden</w:t>
      </w:r>
      <w:r w:rsidR="003C6EC4">
        <w:rPr>
          <w:rFonts w:ascii="Arial" w:hAnsi="Arial" w:cs="Arial"/>
          <w:sz w:val="22"/>
          <w:szCs w:val="22"/>
        </w:rPr>
        <w:t xml:space="preserve">tified </w:t>
      </w:r>
      <w:r w:rsidR="00F55C98">
        <w:rPr>
          <w:rFonts w:ascii="Arial" w:hAnsi="Arial" w:cs="Arial"/>
          <w:sz w:val="22"/>
          <w:szCs w:val="22"/>
        </w:rPr>
        <w:t xml:space="preserve">cognitive or behavioural </w:t>
      </w:r>
      <w:r w:rsidR="003C6EC4">
        <w:rPr>
          <w:rFonts w:ascii="Arial" w:hAnsi="Arial" w:cs="Arial"/>
          <w:sz w:val="22"/>
          <w:szCs w:val="22"/>
        </w:rPr>
        <w:t>problem areas (Roth and Pilling, 2007, 2008).</w:t>
      </w:r>
      <w:r w:rsidR="00221D06">
        <w:rPr>
          <w:rFonts w:ascii="Arial" w:hAnsi="Arial" w:cs="Arial"/>
          <w:sz w:val="22"/>
          <w:szCs w:val="22"/>
        </w:rPr>
        <w:t xml:space="preserve"> Therapist and patient work together with the aim of enabling the patient to learn how to reduce (or extinguish)</w:t>
      </w:r>
      <w:r w:rsidR="00E87701">
        <w:rPr>
          <w:rFonts w:ascii="Arial" w:hAnsi="Arial" w:cs="Arial"/>
          <w:sz w:val="22"/>
          <w:szCs w:val="22"/>
        </w:rPr>
        <w:t xml:space="preserve"> the frequency and intensity of their symptoms</w:t>
      </w:r>
      <w:r w:rsidR="00817BBC">
        <w:rPr>
          <w:rFonts w:ascii="Arial" w:hAnsi="Arial" w:cs="Arial"/>
          <w:sz w:val="22"/>
          <w:szCs w:val="22"/>
        </w:rPr>
        <w:t xml:space="preserve"> using</w:t>
      </w:r>
      <w:r w:rsidR="002F6308">
        <w:rPr>
          <w:rFonts w:ascii="Arial" w:hAnsi="Arial" w:cs="Arial"/>
          <w:sz w:val="22"/>
          <w:szCs w:val="22"/>
        </w:rPr>
        <w:t xml:space="preserve"> specific change mechanisms. Unlike most other forms of psychological therapy CBT </w:t>
      </w:r>
      <w:r w:rsidR="0052151C">
        <w:rPr>
          <w:rFonts w:ascii="Arial" w:hAnsi="Arial" w:cs="Arial"/>
          <w:sz w:val="22"/>
          <w:szCs w:val="22"/>
        </w:rPr>
        <w:t>places an emphasis on patients actively engaging with treatment and between</w:t>
      </w:r>
      <w:r w:rsidR="00B2047B">
        <w:rPr>
          <w:rFonts w:ascii="Arial" w:hAnsi="Arial" w:cs="Arial"/>
          <w:sz w:val="22"/>
          <w:szCs w:val="22"/>
        </w:rPr>
        <w:t>-</w:t>
      </w:r>
      <w:r w:rsidR="0052151C">
        <w:rPr>
          <w:rFonts w:ascii="Arial" w:hAnsi="Arial" w:cs="Arial"/>
          <w:sz w:val="22"/>
          <w:szCs w:val="22"/>
        </w:rPr>
        <w:t>session practice of key skills and processes is routine</w:t>
      </w:r>
      <w:r w:rsidR="0089688D">
        <w:rPr>
          <w:rFonts w:ascii="Arial" w:hAnsi="Arial" w:cs="Arial"/>
          <w:sz w:val="22"/>
          <w:szCs w:val="22"/>
        </w:rPr>
        <w:t>ly encouraged.</w:t>
      </w:r>
      <w:r w:rsidR="00E87701">
        <w:rPr>
          <w:rFonts w:ascii="Arial" w:hAnsi="Arial" w:cs="Arial"/>
          <w:sz w:val="22"/>
          <w:szCs w:val="22"/>
        </w:rPr>
        <w:t xml:space="preserve"> Patients are </w:t>
      </w:r>
      <w:r w:rsidR="0089688D">
        <w:rPr>
          <w:rFonts w:ascii="Arial" w:hAnsi="Arial" w:cs="Arial"/>
          <w:sz w:val="22"/>
          <w:szCs w:val="22"/>
        </w:rPr>
        <w:t>supported</w:t>
      </w:r>
      <w:r w:rsidR="00E87701">
        <w:rPr>
          <w:rFonts w:ascii="Arial" w:hAnsi="Arial" w:cs="Arial"/>
          <w:sz w:val="22"/>
          <w:szCs w:val="22"/>
        </w:rPr>
        <w:t xml:space="preserve"> to </w:t>
      </w:r>
      <w:r w:rsidR="0089688D">
        <w:rPr>
          <w:rFonts w:ascii="Arial" w:hAnsi="Arial" w:cs="Arial"/>
          <w:sz w:val="22"/>
          <w:szCs w:val="22"/>
        </w:rPr>
        <w:t>elicit</w:t>
      </w:r>
      <w:r w:rsidR="002B64BB">
        <w:rPr>
          <w:rFonts w:ascii="Arial" w:hAnsi="Arial" w:cs="Arial"/>
          <w:sz w:val="22"/>
          <w:szCs w:val="22"/>
        </w:rPr>
        <w:t xml:space="preserve"> clear and measurable</w:t>
      </w:r>
      <w:r w:rsidR="000775C0">
        <w:rPr>
          <w:rFonts w:ascii="Arial" w:hAnsi="Arial" w:cs="Arial"/>
          <w:sz w:val="22"/>
          <w:szCs w:val="22"/>
        </w:rPr>
        <w:t>,</w:t>
      </w:r>
      <w:r w:rsidR="002B64BB">
        <w:rPr>
          <w:rFonts w:ascii="Arial" w:hAnsi="Arial" w:cs="Arial"/>
          <w:sz w:val="22"/>
          <w:szCs w:val="22"/>
        </w:rPr>
        <w:t xml:space="preserve"> behavioural</w:t>
      </w:r>
      <w:r w:rsidR="000775C0">
        <w:rPr>
          <w:rFonts w:ascii="Arial" w:hAnsi="Arial" w:cs="Arial"/>
          <w:sz w:val="22"/>
          <w:szCs w:val="22"/>
        </w:rPr>
        <w:t xml:space="preserve">, </w:t>
      </w:r>
      <w:r w:rsidR="002B64BB">
        <w:rPr>
          <w:rFonts w:ascii="Arial" w:hAnsi="Arial" w:cs="Arial"/>
          <w:sz w:val="22"/>
          <w:szCs w:val="22"/>
        </w:rPr>
        <w:t>goals</w:t>
      </w:r>
      <w:r w:rsidR="000775C0">
        <w:rPr>
          <w:rFonts w:ascii="Arial" w:hAnsi="Arial" w:cs="Arial"/>
          <w:sz w:val="22"/>
          <w:szCs w:val="22"/>
        </w:rPr>
        <w:t xml:space="preserve"> (Beck, 2011).</w:t>
      </w:r>
      <w:r w:rsidR="002B64BB">
        <w:rPr>
          <w:rFonts w:ascii="Arial" w:hAnsi="Arial" w:cs="Arial"/>
          <w:sz w:val="22"/>
          <w:szCs w:val="22"/>
        </w:rPr>
        <w:t xml:space="preserve"> </w:t>
      </w:r>
      <w:r w:rsidR="000775C0">
        <w:rPr>
          <w:rFonts w:ascii="Arial" w:hAnsi="Arial" w:cs="Arial"/>
          <w:sz w:val="22"/>
          <w:szCs w:val="22"/>
        </w:rPr>
        <w:t>P</w:t>
      </w:r>
      <w:r w:rsidR="002B64BB">
        <w:rPr>
          <w:rFonts w:ascii="Arial" w:hAnsi="Arial" w:cs="Arial"/>
          <w:sz w:val="22"/>
          <w:szCs w:val="22"/>
        </w:rPr>
        <w:t xml:space="preserve">rogress towards these goals </w:t>
      </w:r>
      <w:r w:rsidR="000775C0">
        <w:rPr>
          <w:rFonts w:ascii="Arial" w:hAnsi="Arial" w:cs="Arial"/>
          <w:sz w:val="22"/>
          <w:szCs w:val="22"/>
        </w:rPr>
        <w:t>is</w:t>
      </w:r>
      <w:r w:rsidR="002B64BB">
        <w:rPr>
          <w:rFonts w:ascii="Arial" w:hAnsi="Arial" w:cs="Arial"/>
          <w:sz w:val="22"/>
          <w:szCs w:val="22"/>
        </w:rPr>
        <w:t xml:space="preserve"> measured</w:t>
      </w:r>
      <w:r w:rsidR="00AC0A35">
        <w:rPr>
          <w:rFonts w:ascii="Arial" w:hAnsi="Arial" w:cs="Arial"/>
          <w:sz w:val="22"/>
          <w:szCs w:val="22"/>
        </w:rPr>
        <w:t xml:space="preserve"> at regular intervals through the use of</w:t>
      </w:r>
      <w:r w:rsidR="0023198A">
        <w:rPr>
          <w:rFonts w:ascii="Arial" w:hAnsi="Arial" w:cs="Arial"/>
          <w:sz w:val="22"/>
          <w:szCs w:val="22"/>
        </w:rPr>
        <w:t xml:space="preserve"> validated</w:t>
      </w:r>
      <w:r w:rsidR="00B2047B">
        <w:rPr>
          <w:rFonts w:ascii="Arial" w:hAnsi="Arial" w:cs="Arial"/>
          <w:sz w:val="22"/>
          <w:szCs w:val="22"/>
        </w:rPr>
        <w:t>,</w:t>
      </w:r>
      <w:r w:rsidR="0023198A">
        <w:rPr>
          <w:rFonts w:ascii="Arial" w:hAnsi="Arial" w:cs="Arial"/>
          <w:sz w:val="22"/>
          <w:szCs w:val="22"/>
        </w:rPr>
        <w:t xml:space="preserve"> self-administered </w:t>
      </w:r>
      <w:r w:rsidR="00657FF0">
        <w:rPr>
          <w:rFonts w:ascii="Arial" w:hAnsi="Arial" w:cs="Arial"/>
          <w:sz w:val="22"/>
          <w:szCs w:val="22"/>
        </w:rPr>
        <w:t>questionnaires and through regular conversational reviews of progress</w:t>
      </w:r>
      <w:r w:rsidR="00B7519D">
        <w:rPr>
          <w:rFonts w:ascii="Arial" w:hAnsi="Arial" w:cs="Arial"/>
          <w:sz w:val="22"/>
          <w:szCs w:val="22"/>
        </w:rPr>
        <w:t xml:space="preserve"> (Beck, 2011).</w:t>
      </w:r>
      <w:r w:rsidR="00606DD6">
        <w:rPr>
          <w:rFonts w:ascii="Arial" w:hAnsi="Arial" w:cs="Arial"/>
          <w:sz w:val="22"/>
          <w:szCs w:val="22"/>
        </w:rPr>
        <w:t xml:space="preserve"> The emphasis o</w:t>
      </w:r>
      <w:r w:rsidR="00033B55">
        <w:rPr>
          <w:rFonts w:ascii="Arial" w:hAnsi="Arial" w:cs="Arial"/>
          <w:sz w:val="22"/>
          <w:szCs w:val="22"/>
        </w:rPr>
        <w:t>n</w:t>
      </w:r>
      <w:r w:rsidR="00606DD6">
        <w:rPr>
          <w:rFonts w:ascii="Arial" w:hAnsi="Arial" w:cs="Arial"/>
          <w:sz w:val="22"/>
          <w:szCs w:val="22"/>
        </w:rPr>
        <w:t xml:space="preserve"> learning as </w:t>
      </w:r>
      <w:r w:rsidR="00033B55">
        <w:rPr>
          <w:rFonts w:ascii="Arial" w:hAnsi="Arial" w:cs="Arial"/>
          <w:sz w:val="22"/>
          <w:szCs w:val="22"/>
        </w:rPr>
        <w:t>a</w:t>
      </w:r>
      <w:r w:rsidR="00606DD6">
        <w:rPr>
          <w:rFonts w:ascii="Arial" w:hAnsi="Arial" w:cs="Arial"/>
          <w:sz w:val="22"/>
          <w:szCs w:val="22"/>
        </w:rPr>
        <w:t xml:space="preserve">n integral part of CBT cannot be overemphasised (Beck, 2011). </w:t>
      </w:r>
      <w:r w:rsidR="00C268D7">
        <w:rPr>
          <w:rFonts w:ascii="Arial" w:hAnsi="Arial" w:cs="Arial"/>
          <w:sz w:val="22"/>
          <w:szCs w:val="22"/>
        </w:rPr>
        <w:t>Patients who engage in CBT are not passive recipients</w:t>
      </w:r>
      <w:r w:rsidR="00452533">
        <w:rPr>
          <w:rFonts w:ascii="Arial" w:hAnsi="Arial" w:cs="Arial"/>
          <w:sz w:val="22"/>
          <w:szCs w:val="22"/>
        </w:rPr>
        <w:t xml:space="preserve"> of treatment but active participants who, with the support of their therapist</w:t>
      </w:r>
      <w:r w:rsidR="00B2047B">
        <w:rPr>
          <w:rFonts w:ascii="Arial" w:hAnsi="Arial" w:cs="Arial"/>
          <w:sz w:val="22"/>
          <w:szCs w:val="22"/>
        </w:rPr>
        <w:t>,</w:t>
      </w:r>
      <w:r w:rsidR="00452533">
        <w:rPr>
          <w:rFonts w:ascii="Arial" w:hAnsi="Arial" w:cs="Arial"/>
          <w:sz w:val="22"/>
          <w:szCs w:val="22"/>
        </w:rPr>
        <w:t xml:space="preserve"> learn</w:t>
      </w:r>
      <w:r w:rsidR="00061EAB">
        <w:rPr>
          <w:rFonts w:ascii="Arial" w:hAnsi="Arial" w:cs="Arial"/>
          <w:sz w:val="22"/>
          <w:szCs w:val="22"/>
        </w:rPr>
        <w:t xml:space="preserve"> techniques and strategies that can, if practised </w:t>
      </w:r>
      <w:r w:rsidR="007D2736">
        <w:rPr>
          <w:rFonts w:ascii="Arial" w:hAnsi="Arial" w:cs="Arial"/>
          <w:sz w:val="22"/>
          <w:szCs w:val="22"/>
        </w:rPr>
        <w:t xml:space="preserve">regularly, enable them to </w:t>
      </w:r>
      <w:r w:rsidR="006859BA">
        <w:rPr>
          <w:rFonts w:ascii="Arial" w:hAnsi="Arial" w:cs="Arial"/>
          <w:sz w:val="22"/>
          <w:szCs w:val="22"/>
        </w:rPr>
        <w:t>manage their symptoms and feel better</w:t>
      </w:r>
      <w:r w:rsidR="00D30D07">
        <w:rPr>
          <w:rFonts w:ascii="Arial" w:hAnsi="Arial" w:cs="Arial"/>
          <w:sz w:val="22"/>
          <w:szCs w:val="22"/>
        </w:rPr>
        <w:t xml:space="preserve"> (Beck, 2011). </w:t>
      </w:r>
      <w:r w:rsidR="00030708">
        <w:rPr>
          <w:rFonts w:ascii="Arial" w:hAnsi="Arial" w:cs="Arial"/>
          <w:sz w:val="22"/>
          <w:szCs w:val="22"/>
        </w:rPr>
        <w:t xml:space="preserve">That is not say that CBT is a panacea for all mental health conditions, and for all people, but it is currently the treatment of choice for most common health conditions (Layard and Clark, 2014) in England. </w:t>
      </w:r>
      <w:r w:rsidR="00D238AD">
        <w:rPr>
          <w:rFonts w:ascii="Arial" w:hAnsi="Arial" w:cs="Arial"/>
          <w:sz w:val="22"/>
          <w:szCs w:val="22"/>
        </w:rPr>
        <w:br/>
      </w:r>
    </w:p>
    <w:p w14:paraId="3987B8FB" w14:textId="2A1EFB97" w:rsidR="007F596B" w:rsidRDefault="007F596B" w:rsidP="007F596B">
      <w:pPr>
        <w:pStyle w:val="Heading3"/>
        <w:rPr>
          <w:rFonts w:cs="Arial"/>
          <w:b w:val="0"/>
          <w:color w:val="000000" w:themeColor="text1"/>
          <w:szCs w:val="22"/>
        </w:rPr>
      </w:pPr>
      <w:bookmarkStart w:id="29" w:name="_Toc46770709"/>
      <w:bookmarkStart w:id="30" w:name="_Toc79414120"/>
      <w:r w:rsidRPr="00556EA2">
        <w:rPr>
          <w:rFonts w:cs="Arial"/>
          <w:color w:val="000000" w:themeColor="text1"/>
          <w:szCs w:val="22"/>
        </w:rPr>
        <w:t>1.2.</w:t>
      </w:r>
      <w:r w:rsidR="00B83169">
        <w:rPr>
          <w:rFonts w:cs="Arial"/>
          <w:color w:val="000000" w:themeColor="text1"/>
          <w:szCs w:val="22"/>
        </w:rPr>
        <w:t>3</w:t>
      </w:r>
      <w:r w:rsidRPr="00556EA2">
        <w:rPr>
          <w:rFonts w:cs="Arial"/>
          <w:color w:val="000000" w:themeColor="text1"/>
          <w:szCs w:val="22"/>
        </w:rPr>
        <w:t xml:space="preserve"> Scientist practitioner stance</w:t>
      </w:r>
      <w:r>
        <w:rPr>
          <w:rFonts w:cs="Arial"/>
          <w:color w:val="000000" w:themeColor="text1"/>
          <w:szCs w:val="22"/>
        </w:rPr>
        <w:t>: epistemic and ontologic</w:t>
      </w:r>
      <w:r w:rsidR="00F64324">
        <w:rPr>
          <w:rFonts w:cs="Arial"/>
          <w:color w:val="000000" w:themeColor="text1"/>
          <w:szCs w:val="22"/>
        </w:rPr>
        <w:t>al</w:t>
      </w:r>
      <w:r>
        <w:rPr>
          <w:rFonts w:cs="Arial"/>
          <w:color w:val="000000" w:themeColor="text1"/>
          <w:szCs w:val="22"/>
        </w:rPr>
        <w:t xml:space="preserve"> beliefs</w:t>
      </w:r>
      <w:bookmarkEnd w:id="29"/>
      <w:bookmarkEnd w:id="30"/>
    </w:p>
    <w:p w14:paraId="26D03D57" w14:textId="77777777" w:rsidR="007F596B" w:rsidRPr="00556EA2" w:rsidRDefault="007F596B" w:rsidP="007F596B"/>
    <w:p w14:paraId="1DCE0960" w14:textId="6D31B6E3" w:rsidR="007F596B" w:rsidRPr="005E456C" w:rsidRDefault="00033B55" w:rsidP="007F596B">
      <w:pPr>
        <w:spacing w:line="480" w:lineRule="auto"/>
        <w:rPr>
          <w:rFonts w:ascii="Arial" w:hAnsi="Arial" w:cs="Arial"/>
          <w:sz w:val="22"/>
          <w:szCs w:val="22"/>
        </w:rPr>
      </w:pPr>
      <w:r>
        <w:rPr>
          <w:rFonts w:ascii="Arial" w:hAnsi="Arial" w:cs="Arial"/>
          <w:sz w:val="22"/>
          <w:szCs w:val="22"/>
        </w:rPr>
        <w:t>As I reported in 1.2.2 above, I</w:t>
      </w:r>
      <w:r w:rsidR="007F596B" w:rsidRPr="005E456C">
        <w:rPr>
          <w:rFonts w:ascii="Arial" w:hAnsi="Arial" w:cs="Arial"/>
          <w:sz w:val="22"/>
          <w:szCs w:val="22"/>
        </w:rPr>
        <w:t xml:space="preserve"> was attracted to CBT, rather than any other sort of psychological therapy</w:t>
      </w:r>
      <w:r w:rsidR="007F596B">
        <w:rPr>
          <w:rFonts w:ascii="Arial" w:hAnsi="Arial" w:cs="Arial"/>
          <w:sz w:val="22"/>
          <w:szCs w:val="22"/>
        </w:rPr>
        <w:t>,</w:t>
      </w:r>
      <w:r w:rsidR="007F596B" w:rsidRPr="005E456C">
        <w:rPr>
          <w:rFonts w:ascii="Arial" w:hAnsi="Arial" w:cs="Arial"/>
          <w:sz w:val="22"/>
          <w:szCs w:val="22"/>
        </w:rPr>
        <w:t xml:space="preserve"> because of its sound empirical evidence base.  As a clinician it has </w:t>
      </w:r>
      <w:r w:rsidR="007F596B" w:rsidRPr="005E456C">
        <w:rPr>
          <w:rFonts w:ascii="Arial" w:hAnsi="Arial" w:cs="Arial"/>
          <w:sz w:val="22"/>
          <w:szCs w:val="22"/>
        </w:rPr>
        <w:lastRenderedPageBreak/>
        <w:t>always been important to me to be guided by scientific principles. CBT is arguably the most evidenced based psychological therapy (Layard and Clark 2014) and its structure and theoretical framework appealed to me because I believed that these principles would give me the best chance of making a difference to patients’ lives. CBT training exposed me to robust principles of quantitative research. In my work with patients I learnt to develop and test hypotheses and to reflect on each patient I worked with in order to understand why some patients got better and others did not</w:t>
      </w:r>
      <w:r w:rsidR="007F596B" w:rsidRPr="00CF1079">
        <w:rPr>
          <w:rFonts w:ascii="Arial" w:hAnsi="Arial" w:cs="Arial"/>
          <w:sz w:val="22"/>
          <w:szCs w:val="22"/>
        </w:rPr>
        <w:t>. I sought to be a scientist practitioner, using quantitative data collection and empirical investigation (Barlow, Hayes and Nelson 1984, Milne and Paxton 1998,) to guide and drive my clinical practice.</w:t>
      </w:r>
      <w:r w:rsidR="007F596B" w:rsidRPr="005E456C">
        <w:rPr>
          <w:rFonts w:ascii="Arial" w:hAnsi="Arial" w:cs="Arial"/>
          <w:sz w:val="22"/>
          <w:szCs w:val="22"/>
        </w:rPr>
        <w:t xml:space="preserve"> The term Scientist Practitioner, as it appertains to psychological therapists, was first used in the early 1950s at a time when evidence based psychological therapies, such as behaviour therapy</w:t>
      </w:r>
      <w:r w:rsidR="00B2047B">
        <w:rPr>
          <w:rFonts w:ascii="Arial" w:hAnsi="Arial" w:cs="Arial"/>
          <w:sz w:val="22"/>
          <w:szCs w:val="22"/>
        </w:rPr>
        <w:t>,</w:t>
      </w:r>
      <w:r w:rsidR="007F596B" w:rsidRPr="005E456C">
        <w:rPr>
          <w:rFonts w:ascii="Arial" w:hAnsi="Arial" w:cs="Arial"/>
          <w:sz w:val="22"/>
          <w:szCs w:val="22"/>
        </w:rPr>
        <w:t xml:space="preserve"> were becoming more popular (R</w:t>
      </w:r>
      <w:r w:rsidR="00386980">
        <w:rPr>
          <w:rFonts w:ascii="Arial" w:hAnsi="Arial" w:cs="Arial"/>
          <w:sz w:val="22"/>
          <w:szCs w:val="22"/>
        </w:rPr>
        <w:t>ai</w:t>
      </w:r>
      <w:r w:rsidR="007F596B" w:rsidRPr="005E456C">
        <w:rPr>
          <w:rFonts w:ascii="Arial" w:hAnsi="Arial" w:cs="Arial"/>
          <w:sz w:val="22"/>
          <w:szCs w:val="22"/>
        </w:rPr>
        <w:t>my</w:t>
      </w:r>
      <w:r w:rsidR="00386980">
        <w:rPr>
          <w:rFonts w:ascii="Arial" w:hAnsi="Arial" w:cs="Arial"/>
          <w:sz w:val="22"/>
          <w:szCs w:val="22"/>
        </w:rPr>
        <w:t>,</w:t>
      </w:r>
      <w:r w:rsidR="007F596B" w:rsidRPr="005E456C">
        <w:rPr>
          <w:rFonts w:ascii="Arial" w:hAnsi="Arial" w:cs="Arial"/>
          <w:sz w:val="22"/>
          <w:szCs w:val="22"/>
        </w:rPr>
        <w:t>1950). The term describes a career-long process of empirical investigation using an “experimental approach to science and psychological interventions” (Milne and Paxton 1998 p.217). Scientist Practitioners lean towards epistemic beliefs that are nomothetic rather than idiographic, preferring scientific observation rather than intuition and a scientific approach rather than a humanistic approach (Conway</w:t>
      </w:r>
      <w:r w:rsidR="00B02F11">
        <w:rPr>
          <w:rFonts w:ascii="Arial" w:hAnsi="Arial" w:cs="Arial"/>
          <w:sz w:val="22"/>
          <w:szCs w:val="22"/>
        </w:rPr>
        <w:t>,</w:t>
      </w:r>
      <w:r w:rsidR="007F596B" w:rsidRPr="005E456C">
        <w:rPr>
          <w:rFonts w:ascii="Arial" w:hAnsi="Arial" w:cs="Arial"/>
          <w:sz w:val="22"/>
          <w:szCs w:val="22"/>
        </w:rPr>
        <w:t>1988). Ontologically, Scientist Practitioners lean towards realism believing that reality exists independent of the researcher. My training, experience and exposure to key opinion leaders in the field have led me to adopt this approach towards my own professional practice</w:t>
      </w:r>
      <w:r w:rsidR="00B2047B">
        <w:rPr>
          <w:rFonts w:ascii="Arial" w:hAnsi="Arial" w:cs="Arial"/>
          <w:sz w:val="22"/>
          <w:szCs w:val="22"/>
        </w:rPr>
        <w:t>,</w:t>
      </w:r>
      <w:r w:rsidR="007F596B" w:rsidRPr="005E456C">
        <w:rPr>
          <w:rFonts w:ascii="Arial" w:hAnsi="Arial" w:cs="Arial"/>
          <w:sz w:val="22"/>
          <w:szCs w:val="22"/>
        </w:rPr>
        <w:t xml:space="preserve"> and indeed this research. </w:t>
      </w:r>
      <w:r w:rsidR="00F354A5">
        <w:rPr>
          <w:rFonts w:ascii="Arial" w:hAnsi="Arial" w:cs="Arial"/>
          <w:sz w:val="22"/>
          <w:szCs w:val="22"/>
        </w:rPr>
        <w:t>CBT</w:t>
      </w:r>
      <w:r w:rsidR="00B2047B">
        <w:rPr>
          <w:rFonts w:ascii="Arial" w:hAnsi="Arial" w:cs="Arial"/>
          <w:sz w:val="22"/>
          <w:szCs w:val="22"/>
        </w:rPr>
        <w:t xml:space="preserve"> has been</w:t>
      </w:r>
      <w:r w:rsidR="00F354A5">
        <w:rPr>
          <w:rFonts w:ascii="Arial" w:hAnsi="Arial" w:cs="Arial"/>
          <w:sz w:val="22"/>
          <w:szCs w:val="22"/>
        </w:rPr>
        <w:t xml:space="preserve"> born out of scientist experimentation since the 1950s (McHugh and Barlow, 2012). Undoubtedly</w:t>
      </w:r>
      <w:r w:rsidR="00B2047B">
        <w:rPr>
          <w:rFonts w:ascii="Arial" w:hAnsi="Arial" w:cs="Arial"/>
          <w:sz w:val="22"/>
          <w:szCs w:val="22"/>
        </w:rPr>
        <w:t>,</w:t>
      </w:r>
      <w:r w:rsidR="00F354A5">
        <w:rPr>
          <w:rFonts w:ascii="Arial" w:hAnsi="Arial" w:cs="Arial"/>
          <w:sz w:val="22"/>
          <w:szCs w:val="22"/>
        </w:rPr>
        <w:t xml:space="preserve"> it is this tradition that has led to my preference </w:t>
      </w:r>
      <w:r w:rsidR="007F596B" w:rsidRPr="005E456C">
        <w:rPr>
          <w:rFonts w:ascii="Arial" w:hAnsi="Arial" w:cs="Arial"/>
          <w:sz w:val="22"/>
          <w:szCs w:val="22"/>
        </w:rPr>
        <w:t>to view my clinical work and research through a positivist lens</w:t>
      </w:r>
      <w:r w:rsidR="007F596B">
        <w:rPr>
          <w:rFonts w:ascii="Arial" w:hAnsi="Arial" w:cs="Arial"/>
          <w:sz w:val="22"/>
          <w:szCs w:val="22"/>
        </w:rPr>
        <w:t>.  Whilst embracing the principle</w:t>
      </w:r>
      <w:r w:rsidR="00487A0F">
        <w:rPr>
          <w:rFonts w:ascii="Arial" w:hAnsi="Arial" w:cs="Arial"/>
          <w:sz w:val="22"/>
          <w:szCs w:val="22"/>
        </w:rPr>
        <w:t>s</w:t>
      </w:r>
      <w:r w:rsidR="007F596B">
        <w:rPr>
          <w:rFonts w:ascii="Arial" w:hAnsi="Arial" w:cs="Arial"/>
          <w:sz w:val="22"/>
          <w:szCs w:val="22"/>
        </w:rPr>
        <w:t xml:space="preserve"> of a Scientist Practitioner I have become increasingly more determined to make a difference in a more significant way.  It is this</w:t>
      </w:r>
      <w:r w:rsidR="007F596B" w:rsidRPr="005E456C">
        <w:rPr>
          <w:rFonts w:ascii="Arial" w:hAnsi="Arial" w:cs="Arial"/>
          <w:sz w:val="22"/>
          <w:szCs w:val="22"/>
        </w:rPr>
        <w:t xml:space="preserve"> </w:t>
      </w:r>
      <w:r w:rsidR="007F596B">
        <w:rPr>
          <w:rFonts w:ascii="Arial" w:hAnsi="Arial" w:cs="Arial"/>
          <w:sz w:val="22"/>
          <w:szCs w:val="22"/>
        </w:rPr>
        <w:t xml:space="preserve">ardour that has driven me towards this research. </w:t>
      </w:r>
      <w:r w:rsidR="007F596B" w:rsidRPr="005E456C">
        <w:rPr>
          <w:rFonts w:ascii="Arial" w:hAnsi="Arial" w:cs="Arial"/>
          <w:sz w:val="22"/>
          <w:szCs w:val="22"/>
        </w:rPr>
        <w:t xml:space="preserve">Perhaps my own worst critic, I </w:t>
      </w:r>
      <w:r w:rsidR="007F596B">
        <w:rPr>
          <w:rFonts w:ascii="Arial" w:hAnsi="Arial" w:cs="Arial"/>
          <w:sz w:val="22"/>
          <w:szCs w:val="22"/>
        </w:rPr>
        <w:t xml:space="preserve">have </w:t>
      </w:r>
      <w:r w:rsidR="007F596B" w:rsidRPr="005E456C">
        <w:rPr>
          <w:rFonts w:ascii="Arial" w:hAnsi="Arial" w:cs="Arial"/>
          <w:sz w:val="22"/>
          <w:szCs w:val="22"/>
        </w:rPr>
        <w:t xml:space="preserve">never </w:t>
      </w:r>
      <w:r w:rsidR="007F596B">
        <w:rPr>
          <w:rFonts w:ascii="Arial" w:hAnsi="Arial" w:cs="Arial"/>
          <w:sz w:val="22"/>
          <w:szCs w:val="22"/>
        </w:rPr>
        <w:t xml:space="preserve">been </w:t>
      </w:r>
      <w:r w:rsidR="007F596B" w:rsidRPr="005E456C">
        <w:rPr>
          <w:rFonts w:ascii="Arial" w:hAnsi="Arial" w:cs="Arial"/>
          <w:sz w:val="22"/>
          <w:szCs w:val="22"/>
        </w:rPr>
        <w:t xml:space="preserve">content with what I </w:t>
      </w:r>
      <w:r w:rsidR="007F596B">
        <w:rPr>
          <w:rFonts w:ascii="Arial" w:hAnsi="Arial" w:cs="Arial"/>
          <w:sz w:val="22"/>
          <w:szCs w:val="22"/>
        </w:rPr>
        <w:t xml:space="preserve">have </w:t>
      </w:r>
      <w:r w:rsidR="007F596B" w:rsidRPr="005E456C">
        <w:rPr>
          <w:rFonts w:ascii="Arial" w:hAnsi="Arial" w:cs="Arial"/>
          <w:sz w:val="22"/>
          <w:szCs w:val="22"/>
        </w:rPr>
        <w:t>achieved, and</w:t>
      </w:r>
      <w:r w:rsidR="007F596B">
        <w:rPr>
          <w:rFonts w:ascii="Arial" w:hAnsi="Arial" w:cs="Arial"/>
          <w:sz w:val="22"/>
          <w:szCs w:val="22"/>
        </w:rPr>
        <w:t xml:space="preserve"> I have </w:t>
      </w:r>
      <w:r w:rsidR="007F596B" w:rsidRPr="005E456C">
        <w:rPr>
          <w:rFonts w:ascii="Arial" w:hAnsi="Arial" w:cs="Arial"/>
          <w:sz w:val="22"/>
          <w:szCs w:val="22"/>
        </w:rPr>
        <w:t xml:space="preserve">always endeavoured to do better. I focus on acquiring new skills and </w:t>
      </w:r>
      <w:r w:rsidR="007F596B">
        <w:rPr>
          <w:rFonts w:ascii="Arial" w:hAnsi="Arial" w:cs="Arial"/>
          <w:sz w:val="22"/>
          <w:szCs w:val="22"/>
        </w:rPr>
        <w:t xml:space="preserve">seek </w:t>
      </w:r>
      <w:r w:rsidR="007F596B" w:rsidRPr="005E456C">
        <w:rPr>
          <w:rFonts w:ascii="Arial" w:hAnsi="Arial" w:cs="Arial"/>
          <w:sz w:val="22"/>
          <w:szCs w:val="22"/>
        </w:rPr>
        <w:t xml:space="preserve">out the best teachers I </w:t>
      </w:r>
      <w:r w:rsidR="007F596B">
        <w:rPr>
          <w:rFonts w:ascii="Arial" w:hAnsi="Arial" w:cs="Arial"/>
          <w:sz w:val="22"/>
          <w:szCs w:val="22"/>
        </w:rPr>
        <w:t xml:space="preserve">can </w:t>
      </w:r>
      <w:r w:rsidR="007F596B" w:rsidRPr="005E456C">
        <w:rPr>
          <w:rFonts w:ascii="Arial" w:hAnsi="Arial" w:cs="Arial"/>
          <w:sz w:val="22"/>
          <w:szCs w:val="22"/>
        </w:rPr>
        <w:t xml:space="preserve">find in my efforts to be the best </w:t>
      </w:r>
      <w:r w:rsidR="007F596B">
        <w:rPr>
          <w:rFonts w:ascii="Arial" w:hAnsi="Arial" w:cs="Arial"/>
          <w:sz w:val="22"/>
          <w:szCs w:val="22"/>
        </w:rPr>
        <w:t xml:space="preserve">Scientist Practitioner I can </w:t>
      </w:r>
      <w:r w:rsidR="007F596B" w:rsidRPr="005E456C">
        <w:rPr>
          <w:rFonts w:ascii="Arial" w:hAnsi="Arial" w:cs="Arial"/>
          <w:sz w:val="22"/>
          <w:szCs w:val="22"/>
        </w:rPr>
        <w:t xml:space="preserve">be. It is perhaps not surprising that this </w:t>
      </w:r>
      <w:r w:rsidR="007F596B">
        <w:rPr>
          <w:rFonts w:ascii="Arial" w:hAnsi="Arial" w:cs="Arial"/>
          <w:sz w:val="22"/>
          <w:szCs w:val="22"/>
        </w:rPr>
        <w:t>is the approach I take to this research.</w:t>
      </w:r>
    </w:p>
    <w:p w14:paraId="359386DE" w14:textId="6C84BFFD" w:rsidR="007F596B" w:rsidRPr="00820E82" w:rsidRDefault="000D7DDA" w:rsidP="00820E82">
      <w:pPr>
        <w:pStyle w:val="Heading3"/>
      </w:pPr>
      <w:r>
        <w:br w:type="page"/>
      </w:r>
      <w:bookmarkStart w:id="31" w:name="_Toc46770710"/>
      <w:bookmarkStart w:id="32" w:name="_Toc79414121"/>
      <w:r w:rsidR="007F596B" w:rsidRPr="00556EA2">
        <w:lastRenderedPageBreak/>
        <w:t>1.2.</w:t>
      </w:r>
      <w:r w:rsidR="00B83169">
        <w:t>4</w:t>
      </w:r>
      <w:r w:rsidR="007F596B" w:rsidRPr="00556EA2">
        <w:t xml:space="preserve"> Current role and observations</w:t>
      </w:r>
      <w:bookmarkEnd w:id="31"/>
      <w:bookmarkEnd w:id="32"/>
    </w:p>
    <w:p w14:paraId="77A9B183" w14:textId="77777777" w:rsidR="007F596B" w:rsidRPr="00556EA2" w:rsidRDefault="007F596B" w:rsidP="007F596B"/>
    <w:p w14:paraId="440BD7A4" w14:textId="658A58B0" w:rsidR="007F596B" w:rsidRDefault="007F596B" w:rsidP="007F596B">
      <w:pPr>
        <w:spacing w:line="480" w:lineRule="auto"/>
        <w:rPr>
          <w:rFonts w:ascii="Arial" w:hAnsi="Arial" w:cs="Arial"/>
          <w:sz w:val="22"/>
          <w:szCs w:val="22"/>
        </w:rPr>
      </w:pPr>
      <w:r w:rsidRPr="00147844">
        <w:rPr>
          <w:rFonts w:ascii="Arial" w:hAnsi="Arial" w:cs="Arial"/>
          <w:sz w:val="22"/>
          <w:szCs w:val="22"/>
        </w:rPr>
        <w:t xml:space="preserve">I am the Chief Clinical Officer of an online Cognitive Behavioural Therapy (CBT) provider called Ieso Digital Health (see </w:t>
      </w:r>
      <w:hyperlink r:id="rId17" w:history="1">
        <w:r w:rsidRPr="00147844">
          <w:rPr>
            <w:rStyle w:val="Hyperlink"/>
            <w:rFonts w:ascii="Arial" w:hAnsi="Arial" w:cs="Arial"/>
            <w:sz w:val="22"/>
            <w:szCs w:val="22"/>
          </w:rPr>
          <w:t>www.iesohealth.com</w:t>
        </w:r>
      </w:hyperlink>
      <w:r w:rsidRPr="00147844">
        <w:rPr>
          <w:rFonts w:ascii="Arial" w:hAnsi="Arial" w:cs="Arial"/>
          <w:sz w:val="22"/>
          <w:szCs w:val="22"/>
        </w:rPr>
        <w:t>). The service provides CBT, via synchronous written (typed) communication to National Health Service (NHS) patients across England</w:t>
      </w:r>
      <w:r>
        <w:rPr>
          <w:rFonts w:ascii="Arial" w:hAnsi="Arial" w:cs="Arial"/>
          <w:sz w:val="22"/>
          <w:szCs w:val="22"/>
        </w:rPr>
        <w:t>, within the Improving Access to Psychological Therapy programme (IAPT)</w:t>
      </w:r>
      <w:r w:rsidRPr="00147844">
        <w:rPr>
          <w:rFonts w:ascii="Arial" w:hAnsi="Arial" w:cs="Arial"/>
          <w:sz w:val="22"/>
          <w:szCs w:val="22"/>
        </w:rPr>
        <w:t xml:space="preserve">. This method of delivering CBT is discussed in greater detail in </w:t>
      </w:r>
      <w:r w:rsidR="00B2047B">
        <w:rPr>
          <w:rFonts w:ascii="Arial" w:hAnsi="Arial" w:cs="Arial"/>
          <w:sz w:val="22"/>
          <w:szCs w:val="22"/>
        </w:rPr>
        <w:t>C</w:t>
      </w:r>
      <w:r w:rsidRPr="00147844">
        <w:rPr>
          <w:rFonts w:ascii="Arial" w:hAnsi="Arial" w:cs="Arial"/>
          <w:sz w:val="22"/>
          <w:szCs w:val="22"/>
        </w:rPr>
        <w:t xml:space="preserve">hapter </w:t>
      </w:r>
      <w:r w:rsidR="0079386F">
        <w:rPr>
          <w:rFonts w:ascii="Arial" w:hAnsi="Arial" w:cs="Arial"/>
          <w:sz w:val="22"/>
          <w:szCs w:val="22"/>
        </w:rPr>
        <w:t>3</w:t>
      </w:r>
      <w:r w:rsidRPr="00147844">
        <w:rPr>
          <w:rFonts w:ascii="Arial" w:hAnsi="Arial" w:cs="Arial"/>
          <w:sz w:val="22"/>
          <w:szCs w:val="22"/>
        </w:rPr>
        <w:t xml:space="preserve"> of this thesis. Ieso Digital Health</w:t>
      </w:r>
      <w:r w:rsidR="00AA2842">
        <w:rPr>
          <w:rFonts w:ascii="Arial" w:hAnsi="Arial" w:cs="Arial"/>
          <w:sz w:val="22"/>
          <w:szCs w:val="22"/>
        </w:rPr>
        <w:t xml:space="preserve"> is private company that is venture capital funded.  The company </w:t>
      </w:r>
      <w:r w:rsidR="00F03E62">
        <w:rPr>
          <w:rFonts w:ascii="Arial" w:hAnsi="Arial" w:cs="Arial"/>
          <w:sz w:val="22"/>
          <w:szCs w:val="22"/>
        </w:rPr>
        <w:t>are contracted by the National Health Service (NHS) to deliver CBT to patients</w:t>
      </w:r>
      <w:r w:rsidR="00BC63E5">
        <w:rPr>
          <w:rFonts w:ascii="Arial" w:hAnsi="Arial" w:cs="Arial"/>
          <w:sz w:val="22"/>
          <w:szCs w:val="22"/>
        </w:rPr>
        <w:t>, across England,</w:t>
      </w:r>
      <w:r w:rsidR="00F03E62">
        <w:rPr>
          <w:rFonts w:ascii="Arial" w:hAnsi="Arial" w:cs="Arial"/>
          <w:sz w:val="22"/>
          <w:szCs w:val="22"/>
        </w:rPr>
        <w:t xml:space="preserve"> </w:t>
      </w:r>
      <w:r w:rsidR="00BC63E5">
        <w:rPr>
          <w:rFonts w:ascii="Arial" w:hAnsi="Arial" w:cs="Arial"/>
          <w:sz w:val="22"/>
          <w:szCs w:val="22"/>
        </w:rPr>
        <w:t xml:space="preserve">as part of the IAPT programme. Ieso Digital Health </w:t>
      </w:r>
      <w:r w:rsidRPr="00147844">
        <w:rPr>
          <w:rFonts w:ascii="Arial" w:hAnsi="Arial" w:cs="Arial"/>
          <w:sz w:val="22"/>
          <w:szCs w:val="22"/>
        </w:rPr>
        <w:t>receive</w:t>
      </w:r>
      <w:r w:rsidR="00BC63E5">
        <w:rPr>
          <w:rFonts w:ascii="Arial" w:hAnsi="Arial" w:cs="Arial"/>
          <w:sz w:val="22"/>
          <w:szCs w:val="22"/>
        </w:rPr>
        <w:t>s</w:t>
      </w:r>
      <w:r w:rsidRPr="00147844">
        <w:rPr>
          <w:rFonts w:ascii="Arial" w:hAnsi="Arial" w:cs="Arial"/>
          <w:sz w:val="22"/>
          <w:szCs w:val="22"/>
        </w:rPr>
        <w:t xml:space="preserve"> approximately 2,500 referrals each month</w:t>
      </w:r>
      <w:r w:rsidR="00BC63E5">
        <w:rPr>
          <w:rFonts w:ascii="Arial" w:hAnsi="Arial" w:cs="Arial"/>
          <w:sz w:val="22"/>
          <w:szCs w:val="22"/>
        </w:rPr>
        <w:t xml:space="preserve"> and provides </w:t>
      </w:r>
      <w:r w:rsidR="00A24823">
        <w:rPr>
          <w:rFonts w:ascii="Arial" w:hAnsi="Arial" w:cs="Arial"/>
          <w:sz w:val="22"/>
          <w:szCs w:val="22"/>
        </w:rPr>
        <w:t>between 400 and 500 therapy appointments every day, 365 days a year</w:t>
      </w:r>
      <w:r w:rsidR="00DD38EE">
        <w:rPr>
          <w:rFonts w:ascii="ZWAdobeF" w:hAnsi="ZWAdobeF" w:cs="ZWAdobeF"/>
          <w:sz w:val="2"/>
          <w:szCs w:val="2"/>
        </w:rPr>
        <w:t>0F</w:t>
      </w:r>
      <w:r w:rsidR="00A24823">
        <w:rPr>
          <w:rStyle w:val="FootnoteReference"/>
          <w:rFonts w:ascii="Arial" w:hAnsi="Arial" w:cs="Arial"/>
          <w:sz w:val="22"/>
          <w:szCs w:val="22"/>
        </w:rPr>
        <w:footnoteReference w:id="2"/>
      </w:r>
      <w:r w:rsidR="00A24823">
        <w:rPr>
          <w:rFonts w:ascii="Arial" w:hAnsi="Arial" w:cs="Arial"/>
          <w:sz w:val="22"/>
          <w:szCs w:val="22"/>
        </w:rPr>
        <w:t>.</w:t>
      </w:r>
      <w:r w:rsidRPr="00147844">
        <w:rPr>
          <w:rFonts w:ascii="Arial" w:hAnsi="Arial" w:cs="Arial"/>
          <w:sz w:val="22"/>
          <w:szCs w:val="22"/>
        </w:rPr>
        <w:t xml:space="preserve"> These patients are treated by a team of 6</w:t>
      </w:r>
      <w:r w:rsidR="00A02886">
        <w:rPr>
          <w:rFonts w:ascii="Arial" w:hAnsi="Arial" w:cs="Arial"/>
          <w:sz w:val="22"/>
          <w:szCs w:val="22"/>
        </w:rPr>
        <w:t>60</w:t>
      </w:r>
      <w:r w:rsidRPr="00147844">
        <w:rPr>
          <w:rFonts w:ascii="Arial" w:hAnsi="Arial" w:cs="Arial"/>
          <w:sz w:val="22"/>
          <w:szCs w:val="22"/>
        </w:rPr>
        <w:t xml:space="preserve"> cognitive behavioural therapists who are managed and supervised by fourteen senior clinicians, clinical supervisors and clinical tutors.  I have overall responsibility for the quality of care that is delivered to patients, the training and supervision provided to therapists and for research and development activities as well as budgetary and line management responsibilities. I have worked with Ieso Digital Health for seven years and started when the company first began treating patients in the NHS. </w:t>
      </w:r>
      <w:r w:rsidR="00ED37EB">
        <w:rPr>
          <w:rFonts w:ascii="Arial" w:hAnsi="Arial" w:cs="Arial"/>
          <w:sz w:val="22"/>
          <w:szCs w:val="22"/>
        </w:rPr>
        <w:t>I was the first clinician to join the company and the clinical policies, procedures and methodology have been drive</w:t>
      </w:r>
      <w:r w:rsidR="00B2047B">
        <w:rPr>
          <w:rFonts w:ascii="Arial" w:hAnsi="Arial" w:cs="Arial"/>
          <w:sz w:val="22"/>
          <w:szCs w:val="22"/>
        </w:rPr>
        <w:t>n</w:t>
      </w:r>
      <w:r w:rsidR="00ED37EB">
        <w:rPr>
          <w:rFonts w:ascii="Arial" w:hAnsi="Arial" w:cs="Arial"/>
          <w:sz w:val="22"/>
          <w:szCs w:val="22"/>
        </w:rPr>
        <w:t xml:space="preserve"> by me. </w:t>
      </w:r>
      <w:r w:rsidRPr="00147844">
        <w:rPr>
          <w:rFonts w:ascii="Arial" w:hAnsi="Arial" w:cs="Arial"/>
          <w:sz w:val="22"/>
          <w:szCs w:val="22"/>
        </w:rPr>
        <w:t xml:space="preserve">Having worked in many mental health care settings; delivering CBT, managing services, providing clinical supervision and teaching the clinicians of the future at a number of universities, I </w:t>
      </w:r>
      <w:r w:rsidR="00F354A5">
        <w:rPr>
          <w:rFonts w:ascii="Arial" w:hAnsi="Arial" w:cs="Arial"/>
          <w:sz w:val="22"/>
          <w:szCs w:val="22"/>
        </w:rPr>
        <w:t xml:space="preserve">consider myself to be an experienced clinician and fully conversant </w:t>
      </w:r>
      <w:r w:rsidRPr="00147844">
        <w:rPr>
          <w:rFonts w:ascii="Arial" w:hAnsi="Arial" w:cs="Arial"/>
          <w:sz w:val="22"/>
          <w:szCs w:val="22"/>
        </w:rPr>
        <w:t>with the conceptual framework of CBT. This relates very much to the scientist practitioner stance discussed in section 1.2.2, above. The provision of CBT (particularly in the United Kingdom) involves using evidence-based treatment protocols and measuring patient progress using standardised validated outcome measures at every therapy appointment (Layard and Clark 2014).  In addition, therapists are encouraged to be reflective practitioners (Bennett-Lev</w:t>
      </w:r>
      <w:r w:rsidR="00E7223E">
        <w:rPr>
          <w:rFonts w:ascii="Arial" w:hAnsi="Arial" w:cs="Arial"/>
          <w:sz w:val="22"/>
          <w:szCs w:val="22"/>
        </w:rPr>
        <w:t>y, 2006, Bennett-Levy and Thwaites, 2007</w:t>
      </w:r>
      <w:r w:rsidRPr="00147844">
        <w:rPr>
          <w:rFonts w:ascii="Arial" w:hAnsi="Arial" w:cs="Arial"/>
          <w:sz w:val="22"/>
          <w:szCs w:val="22"/>
        </w:rPr>
        <w:t xml:space="preserve">) in order to </w:t>
      </w:r>
      <w:r w:rsidRPr="00147844">
        <w:rPr>
          <w:rFonts w:ascii="Arial" w:hAnsi="Arial" w:cs="Arial"/>
          <w:sz w:val="22"/>
          <w:szCs w:val="22"/>
        </w:rPr>
        <w:lastRenderedPageBreak/>
        <w:t xml:space="preserve">learn from every patient that they treat and </w:t>
      </w:r>
      <w:r w:rsidR="00B2047B">
        <w:rPr>
          <w:rFonts w:ascii="Arial" w:hAnsi="Arial" w:cs="Arial"/>
          <w:sz w:val="22"/>
          <w:szCs w:val="22"/>
        </w:rPr>
        <w:t xml:space="preserve">to </w:t>
      </w:r>
      <w:r w:rsidRPr="00147844">
        <w:rPr>
          <w:rFonts w:ascii="Arial" w:hAnsi="Arial" w:cs="Arial"/>
          <w:sz w:val="22"/>
          <w:szCs w:val="22"/>
        </w:rPr>
        <w:t xml:space="preserve">use this learning to inform their continuing professional development.  Cognitive behavioural therapists are required to identify skills or knowledge gaps and </w:t>
      </w:r>
      <w:r w:rsidR="00B2047B">
        <w:rPr>
          <w:rFonts w:ascii="Arial" w:hAnsi="Arial" w:cs="Arial"/>
          <w:sz w:val="22"/>
          <w:szCs w:val="22"/>
        </w:rPr>
        <w:t xml:space="preserve">to </w:t>
      </w:r>
      <w:r w:rsidRPr="00147844">
        <w:rPr>
          <w:rFonts w:ascii="Arial" w:hAnsi="Arial" w:cs="Arial"/>
          <w:sz w:val="22"/>
          <w:szCs w:val="22"/>
        </w:rPr>
        <w:t xml:space="preserve">seek guidance from more experienced clinicians in the form of clinical supervision, self-directed learning and further training (BABCP </w:t>
      </w:r>
      <w:r w:rsidR="000A57A1">
        <w:rPr>
          <w:rFonts w:ascii="Arial" w:hAnsi="Arial" w:cs="Arial"/>
          <w:sz w:val="22"/>
          <w:szCs w:val="22"/>
        </w:rPr>
        <w:t>2019</w:t>
      </w:r>
      <w:r w:rsidRPr="00147844">
        <w:rPr>
          <w:rFonts w:ascii="Arial" w:hAnsi="Arial" w:cs="Arial"/>
          <w:sz w:val="22"/>
          <w:szCs w:val="22"/>
        </w:rPr>
        <w:t xml:space="preserve">, NHS England 2018). Furthermore, cognitive behavioural therapists are encouraged to regularly record therapy sessions and present these recording to their clinical supervisor for feedback and guidance (BABCP </w:t>
      </w:r>
      <w:r w:rsidR="000A57A1">
        <w:rPr>
          <w:rFonts w:ascii="Arial" w:hAnsi="Arial" w:cs="Arial"/>
          <w:sz w:val="22"/>
          <w:szCs w:val="22"/>
        </w:rPr>
        <w:t>2019</w:t>
      </w:r>
      <w:r w:rsidRPr="00147844">
        <w:rPr>
          <w:rFonts w:ascii="Arial" w:hAnsi="Arial" w:cs="Arial"/>
          <w:sz w:val="22"/>
          <w:szCs w:val="22"/>
        </w:rPr>
        <w:t>).  These professional principles and guidelines serve the function of maintaining and improving clinical outcomes and are central to evidence-based psychological therapy (Layard and Clark 2014). Despite this significant focus on measuring outcomes, reflective practice and presenting live examples of clinical work to a clinical supervisor</w:t>
      </w:r>
      <w:r w:rsidR="00B2047B">
        <w:rPr>
          <w:rFonts w:ascii="Arial" w:hAnsi="Arial" w:cs="Arial"/>
          <w:sz w:val="22"/>
          <w:szCs w:val="22"/>
        </w:rPr>
        <w:t>,</w:t>
      </w:r>
      <w:r w:rsidRPr="00147844">
        <w:rPr>
          <w:rFonts w:ascii="Arial" w:hAnsi="Arial" w:cs="Arial"/>
          <w:sz w:val="22"/>
          <w:szCs w:val="22"/>
        </w:rPr>
        <w:t xml:space="preserve"> it is difficult to identify why some therapists get better outcomes than others.  For the first time in my career, my role at Ieso Digital Health has enabled me to </w:t>
      </w:r>
      <w:r w:rsidR="00F354A5">
        <w:rPr>
          <w:rFonts w:ascii="Arial" w:hAnsi="Arial" w:cs="Arial"/>
          <w:sz w:val="22"/>
          <w:szCs w:val="22"/>
        </w:rPr>
        <w:t>study</w:t>
      </w:r>
      <w:r w:rsidRPr="00147844">
        <w:rPr>
          <w:rFonts w:ascii="Arial" w:hAnsi="Arial" w:cs="Arial"/>
          <w:sz w:val="22"/>
          <w:szCs w:val="22"/>
        </w:rPr>
        <w:t xml:space="preserve"> why some therapists may be better than others. This is because the online written format of delivering CBT, developed by Ieso Digital Health, means that for the first time ever it is possible to have access to transcripts of every therapy session delivered by a therapist together with the outcome measures for that session.  Whilst a huge privilege, access to this amount of data </w:t>
      </w:r>
      <w:r w:rsidR="008B42F5">
        <w:rPr>
          <w:rFonts w:ascii="Arial" w:hAnsi="Arial" w:cs="Arial"/>
          <w:sz w:val="22"/>
          <w:szCs w:val="22"/>
        </w:rPr>
        <w:t xml:space="preserve">has </w:t>
      </w:r>
      <w:r w:rsidRPr="00147844">
        <w:rPr>
          <w:rFonts w:ascii="Arial" w:hAnsi="Arial" w:cs="Arial"/>
          <w:sz w:val="22"/>
          <w:szCs w:val="22"/>
        </w:rPr>
        <w:t xml:space="preserve">provided </w:t>
      </w:r>
      <w:r w:rsidR="00F03A6B">
        <w:rPr>
          <w:rFonts w:ascii="Arial" w:hAnsi="Arial" w:cs="Arial"/>
          <w:sz w:val="22"/>
          <w:szCs w:val="22"/>
        </w:rPr>
        <w:t xml:space="preserve">me with the </w:t>
      </w:r>
      <w:r w:rsidRPr="00147844">
        <w:rPr>
          <w:rFonts w:ascii="Arial" w:hAnsi="Arial" w:cs="Arial"/>
          <w:sz w:val="22"/>
          <w:szCs w:val="22"/>
        </w:rPr>
        <w:t xml:space="preserve">opportunity to </w:t>
      </w:r>
      <w:r w:rsidR="008B42F5">
        <w:rPr>
          <w:rFonts w:ascii="Arial" w:hAnsi="Arial" w:cs="Arial"/>
          <w:sz w:val="22"/>
          <w:szCs w:val="22"/>
        </w:rPr>
        <w:t>study therapist behaviour with the aim of improving outcomes for patients.</w:t>
      </w:r>
    </w:p>
    <w:p w14:paraId="503BC6A1" w14:textId="77777777" w:rsidR="00820E82" w:rsidRDefault="00820E82" w:rsidP="007F596B">
      <w:pPr>
        <w:spacing w:line="480" w:lineRule="auto"/>
        <w:rPr>
          <w:rFonts w:ascii="Arial" w:hAnsi="Arial" w:cs="Arial"/>
          <w:sz w:val="22"/>
          <w:szCs w:val="22"/>
        </w:rPr>
      </w:pPr>
    </w:p>
    <w:p w14:paraId="17FBD8CA" w14:textId="34CF8443" w:rsidR="007F596B" w:rsidRDefault="007F596B" w:rsidP="007F596B">
      <w:pPr>
        <w:pStyle w:val="Heading3"/>
        <w:rPr>
          <w:rFonts w:cs="Arial"/>
          <w:b w:val="0"/>
          <w:color w:val="000000" w:themeColor="text1"/>
          <w:szCs w:val="22"/>
        </w:rPr>
      </w:pPr>
      <w:bookmarkStart w:id="33" w:name="_Toc46770711"/>
      <w:bookmarkStart w:id="34" w:name="_Toc79414122"/>
      <w:r w:rsidRPr="002D0C90">
        <w:rPr>
          <w:rFonts w:cs="Arial"/>
          <w:color w:val="000000" w:themeColor="text1"/>
          <w:szCs w:val="22"/>
        </w:rPr>
        <w:t>1.2.</w:t>
      </w:r>
      <w:r w:rsidR="00B83169">
        <w:rPr>
          <w:rFonts w:cs="Arial"/>
          <w:color w:val="000000" w:themeColor="text1"/>
          <w:szCs w:val="22"/>
        </w:rPr>
        <w:t>5</w:t>
      </w:r>
      <w:r w:rsidRPr="002D0C90">
        <w:rPr>
          <w:rFonts w:cs="Arial"/>
          <w:color w:val="000000" w:themeColor="text1"/>
          <w:szCs w:val="22"/>
        </w:rPr>
        <w:t xml:space="preserve"> Rationale for this research</w:t>
      </w:r>
      <w:bookmarkEnd w:id="33"/>
      <w:bookmarkEnd w:id="34"/>
    </w:p>
    <w:p w14:paraId="33B882B1" w14:textId="77777777" w:rsidR="007F596B" w:rsidRPr="002D0C90" w:rsidRDefault="007F596B" w:rsidP="007F596B"/>
    <w:p w14:paraId="487A9AD0" w14:textId="77777777" w:rsidR="007F596B" w:rsidRDefault="007F596B" w:rsidP="007F596B">
      <w:pPr>
        <w:spacing w:line="480" w:lineRule="auto"/>
        <w:rPr>
          <w:rFonts w:ascii="Arial" w:hAnsi="Arial" w:cs="Arial"/>
          <w:sz w:val="22"/>
          <w:szCs w:val="22"/>
        </w:rPr>
      </w:pPr>
      <w:r>
        <w:rPr>
          <w:rFonts w:ascii="Arial" w:hAnsi="Arial" w:cs="Arial"/>
          <w:sz w:val="22"/>
          <w:szCs w:val="22"/>
        </w:rPr>
        <w:t>Sections 1.2.2 and 1.2.3 of this chapter have presented the professional context, theoretical framework and personal motivation for this research. The decision to focus on understanding the relationship between therapist variables and clinical outcome was driven primarily by three factors:</w:t>
      </w:r>
    </w:p>
    <w:p w14:paraId="22920797" w14:textId="69A997F3" w:rsidR="007F596B" w:rsidRDefault="007F596B" w:rsidP="00934842">
      <w:pPr>
        <w:pStyle w:val="ListParagraph"/>
        <w:numPr>
          <w:ilvl w:val="0"/>
          <w:numId w:val="20"/>
        </w:numPr>
        <w:spacing w:line="480" w:lineRule="auto"/>
        <w:rPr>
          <w:rFonts w:ascii="Arial" w:hAnsi="Arial" w:cs="Arial"/>
          <w:sz w:val="22"/>
          <w:szCs w:val="22"/>
        </w:rPr>
      </w:pPr>
      <w:r>
        <w:rPr>
          <w:rFonts w:ascii="Arial" w:hAnsi="Arial" w:cs="Arial"/>
          <w:sz w:val="22"/>
          <w:szCs w:val="22"/>
        </w:rPr>
        <w:t xml:space="preserve">My personal curiosity and drive to understand why some cognitive behavioural therapists are obtaining better </w:t>
      </w:r>
      <w:r w:rsidR="00EC5ACA">
        <w:rPr>
          <w:rFonts w:ascii="Arial" w:hAnsi="Arial" w:cs="Arial"/>
          <w:sz w:val="22"/>
          <w:szCs w:val="22"/>
        </w:rPr>
        <w:t>clinical outcomes</w:t>
      </w:r>
      <w:r>
        <w:rPr>
          <w:rFonts w:ascii="Arial" w:hAnsi="Arial" w:cs="Arial"/>
          <w:sz w:val="22"/>
          <w:szCs w:val="22"/>
        </w:rPr>
        <w:t xml:space="preserve"> than others</w:t>
      </w:r>
      <w:r w:rsidR="00EC5ACA">
        <w:rPr>
          <w:rFonts w:ascii="Arial" w:hAnsi="Arial" w:cs="Arial"/>
          <w:sz w:val="22"/>
          <w:szCs w:val="22"/>
        </w:rPr>
        <w:t>,</w:t>
      </w:r>
      <w:r>
        <w:rPr>
          <w:rFonts w:ascii="Arial" w:hAnsi="Arial" w:cs="Arial"/>
          <w:sz w:val="22"/>
          <w:szCs w:val="22"/>
        </w:rPr>
        <w:t xml:space="preserve"> despite the fact there is </w:t>
      </w:r>
      <w:r>
        <w:rPr>
          <w:rFonts w:ascii="Arial" w:hAnsi="Arial" w:cs="Arial"/>
          <w:sz w:val="22"/>
          <w:szCs w:val="22"/>
        </w:rPr>
        <w:lastRenderedPageBreak/>
        <w:t>an established national curricul</w:t>
      </w:r>
      <w:r w:rsidR="00A63BF0">
        <w:rPr>
          <w:rFonts w:ascii="Arial" w:hAnsi="Arial" w:cs="Arial"/>
          <w:sz w:val="22"/>
          <w:szCs w:val="22"/>
        </w:rPr>
        <w:t>um</w:t>
      </w:r>
      <w:r>
        <w:rPr>
          <w:rFonts w:ascii="Arial" w:hAnsi="Arial" w:cs="Arial"/>
          <w:sz w:val="22"/>
          <w:szCs w:val="22"/>
        </w:rPr>
        <w:t xml:space="preserve"> for </w:t>
      </w:r>
      <w:r w:rsidR="00A63BF0">
        <w:rPr>
          <w:rFonts w:ascii="Arial" w:hAnsi="Arial" w:cs="Arial"/>
          <w:sz w:val="22"/>
          <w:szCs w:val="22"/>
        </w:rPr>
        <w:t xml:space="preserve">training cognitive behavioural therapists </w:t>
      </w:r>
      <w:r>
        <w:rPr>
          <w:rFonts w:ascii="Arial" w:hAnsi="Arial" w:cs="Arial"/>
          <w:sz w:val="22"/>
          <w:szCs w:val="22"/>
        </w:rPr>
        <w:t>and minimum training standards for all accredited CBT therapists (NHS England 2018).</w:t>
      </w:r>
    </w:p>
    <w:p w14:paraId="5739E028" w14:textId="07794915" w:rsidR="007F596B" w:rsidRDefault="007F596B" w:rsidP="00934842">
      <w:pPr>
        <w:pStyle w:val="ListParagraph"/>
        <w:numPr>
          <w:ilvl w:val="0"/>
          <w:numId w:val="20"/>
        </w:numPr>
        <w:spacing w:line="480" w:lineRule="auto"/>
        <w:rPr>
          <w:rFonts w:ascii="Arial" w:hAnsi="Arial" w:cs="Arial"/>
          <w:sz w:val="22"/>
          <w:szCs w:val="22"/>
        </w:rPr>
      </w:pPr>
      <w:r>
        <w:rPr>
          <w:rFonts w:ascii="Arial" w:hAnsi="Arial" w:cs="Arial"/>
          <w:sz w:val="22"/>
          <w:szCs w:val="22"/>
        </w:rPr>
        <w:t xml:space="preserve">The unique availability of the transcripts derived from the cognitive behavioural treatment of over </w:t>
      </w:r>
      <w:r w:rsidR="00E7223E">
        <w:rPr>
          <w:rFonts w:ascii="Arial" w:hAnsi="Arial" w:cs="Arial"/>
          <w:sz w:val="22"/>
          <w:szCs w:val="22"/>
        </w:rPr>
        <w:t>4</w:t>
      </w:r>
      <w:r>
        <w:rPr>
          <w:rFonts w:ascii="Arial" w:hAnsi="Arial" w:cs="Arial"/>
          <w:sz w:val="22"/>
          <w:szCs w:val="22"/>
        </w:rPr>
        <w:t>0,000</w:t>
      </w:r>
      <w:r w:rsidR="00DD38EE">
        <w:rPr>
          <w:rFonts w:ascii="ZWAdobeF" w:hAnsi="ZWAdobeF" w:cs="ZWAdobeF"/>
          <w:sz w:val="2"/>
          <w:szCs w:val="2"/>
        </w:rPr>
        <w:t>1F</w:t>
      </w:r>
      <w:r w:rsidR="00F50DFE">
        <w:rPr>
          <w:rStyle w:val="FootnoteReference"/>
          <w:rFonts w:ascii="Arial" w:hAnsi="Arial" w:cs="Arial"/>
          <w:sz w:val="22"/>
          <w:szCs w:val="22"/>
        </w:rPr>
        <w:footnoteReference w:id="3"/>
      </w:r>
      <w:r>
        <w:rPr>
          <w:rFonts w:ascii="Arial" w:hAnsi="Arial" w:cs="Arial"/>
          <w:sz w:val="22"/>
          <w:szCs w:val="22"/>
        </w:rPr>
        <w:t xml:space="preserve"> patients.</w:t>
      </w:r>
    </w:p>
    <w:p w14:paraId="62593020" w14:textId="203FF119" w:rsidR="007F596B" w:rsidRDefault="007F596B" w:rsidP="00934842">
      <w:pPr>
        <w:pStyle w:val="ListParagraph"/>
        <w:numPr>
          <w:ilvl w:val="0"/>
          <w:numId w:val="20"/>
        </w:numPr>
        <w:spacing w:line="480" w:lineRule="auto"/>
        <w:rPr>
          <w:rFonts w:ascii="Arial" w:hAnsi="Arial" w:cs="Arial"/>
          <w:sz w:val="22"/>
          <w:szCs w:val="22"/>
        </w:rPr>
      </w:pPr>
      <w:r>
        <w:rPr>
          <w:rFonts w:ascii="Arial" w:hAnsi="Arial" w:cs="Arial"/>
          <w:sz w:val="22"/>
          <w:szCs w:val="22"/>
        </w:rPr>
        <w:t xml:space="preserve">The identification of a significant gap in the literature relating to </w:t>
      </w:r>
      <w:r w:rsidR="00BC5468">
        <w:rPr>
          <w:rFonts w:ascii="Arial" w:hAnsi="Arial" w:cs="Arial"/>
          <w:sz w:val="22"/>
          <w:szCs w:val="22"/>
        </w:rPr>
        <w:t>what is known about</w:t>
      </w:r>
      <w:r>
        <w:rPr>
          <w:rFonts w:ascii="Arial" w:hAnsi="Arial" w:cs="Arial"/>
          <w:sz w:val="22"/>
          <w:szCs w:val="22"/>
        </w:rPr>
        <w:t xml:space="preserve"> </w:t>
      </w:r>
      <w:r w:rsidR="00BC5468">
        <w:rPr>
          <w:rFonts w:ascii="Arial" w:hAnsi="Arial" w:cs="Arial"/>
          <w:sz w:val="22"/>
          <w:szCs w:val="22"/>
        </w:rPr>
        <w:t>which</w:t>
      </w:r>
      <w:r>
        <w:rPr>
          <w:rFonts w:ascii="Arial" w:hAnsi="Arial" w:cs="Arial"/>
          <w:sz w:val="22"/>
          <w:szCs w:val="22"/>
        </w:rPr>
        <w:t xml:space="preserve"> therapist variables are related to clinical outcomes in </w:t>
      </w:r>
      <w:r w:rsidR="00487A0F">
        <w:rPr>
          <w:rFonts w:ascii="Arial" w:hAnsi="Arial" w:cs="Arial"/>
          <w:sz w:val="22"/>
          <w:szCs w:val="22"/>
        </w:rPr>
        <w:t>England’s</w:t>
      </w:r>
      <w:r>
        <w:rPr>
          <w:rFonts w:ascii="Arial" w:hAnsi="Arial" w:cs="Arial"/>
          <w:sz w:val="22"/>
          <w:szCs w:val="22"/>
        </w:rPr>
        <w:t xml:space="preserve"> Improving Access to Psychological Therapy prog</w:t>
      </w:r>
      <w:r w:rsidR="00380415">
        <w:rPr>
          <w:rFonts w:ascii="Arial" w:hAnsi="Arial" w:cs="Arial"/>
          <w:sz w:val="22"/>
          <w:szCs w:val="22"/>
        </w:rPr>
        <w:t>r</w:t>
      </w:r>
      <w:r>
        <w:rPr>
          <w:rFonts w:ascii="Arial" w:hAnsi="Arial" w:cs="Arial"/>
          <w:sz w:val="22"/>
          <w:szCs w:val="22"/>
        </w:rPr>
        <w:t>amme (IAPT).</w:t>
      </w:r>
    </w:p>
    <w:p w14:paraId="5011010E" w14:textId="77777777" w:rsidR="00820E82" w:rsidRDefault="00820E82" w:rsidP="00820E82">
      <w:pPr>
        <w:pStyle w:val="ListParagraph"/>
        <w:spacing w:line="480" w:lineRule="auto"/>
        <w:rPr>
          <w:rFonts w:ascii="Arial" w:hAnsi="Arial" w:cs="Arial"/>
          <w:sz w:val="22"/>
          <w:szCs w:val="22"/>
        </w:rPr>
      </w:pPr>
    </w:p>
    <w:p w14:paraId="40FB995F" w14:textId="004E8680" w:rsidR="002F1C3F" w:rsidRDefault="002F1C3F" w:rsidP="002F1C3F">
      <w:pPr>
        <w:pStyle w:val="Heading3"/>
        <w:rPr>
          <w:rFonts w:cs="Arial"/>
          <w:color w:val="000000" w:themeColor="text1"/>
          <w:szCs w:val="22"/>
        </w:rPr>
      </w:pPr>
      <w:bookmarkStart w:id="35" w:name="_Toc46770712"/>
      <w:bookmarkStart w:id="36" w:name="_Toc79414123"/>
      <w:r w:rsidRPr="002F1C3F">
        <w:rPr>
          <w:rFonts w:cs="Arial"/>
          <w:color w:val="000000" w:themeColor="text1"/>
          <w:szCs w:val="22"/>
        </w:rPr>
        <w:t>1.2.</w:t>
      </w:r>
      <w:r w:rsidR="00B83169">
        <w:rPr>
          <w:rFonts w:cs="Arial"/>
          <w:color w:val="000000" w:themeColor="text1"/>
          <w:szCs w:val="22"/>
        </w:rPr>
        <w:t>6</w:t>
      </w:r>
      <w:r w:rsidRPr="002F1C3F">
        <w:rPr>
          <w:rFonts w:cs="Arial"/>
          <w:color w:val="000000" w:themeColor="text1"/>
          <w:szCs w:val="22"/>
        </w:rPr>
        <w:t xml:space="preserve"> Defining the term ‘therapist variables’</w:t>
      </w:r>
      <w:bookmarkEnd w:id="35"/>
      <w:bookmarkEnd w:id="36"/>
    </w:p>
    <w:p w14:paraId="143BE28A" w14:textId="586E7C5B" w:rsidR="002F1C3F" w:rsidRDefault="002F1C3F" w:rsidP="002F1C3F"/>
    <w:p w14:paraId="21A5A00D" w14:textId="35F18757" w:rsidR="002F1C3F" w:rsidRDefault="002F1C3F" w:rsidP="00380415">
      <w:pPr>
        <w:spacing w:line="480" w:lineRule="auto"/>
        <w:rPr>
          <w:rFonts w:ascii="Arial" w:hAnsi="Arial" w:cs="Arial"/>
          <w:sz w:val="22"/>
          <w:szCs w:val="22"/>
        </w:rPr>
      </w:pPr>
      <w:r>
        <w:rPr>
          <w:rFonts w:ascii="Arial" w:hAnsi="Arial" w:cs="Arial"/>
          <w:sz w:val="22"/>
          <w:szCs w:val="22"/>
        </w:rPr>
        <w:t>In this thesis I will use the</w:t>
      </w:r>
      <w:r w:rsidRPr="002F1C3F">
        <w:rPr>
          <w:rFonts w:ascii="Arial" w:hAnsi="Arial" w:cs="Arial"/>
          <w:sz w:val="22"/>
          <w:szCs w:val="22"/>
        </w:rPr>
        <w:t xml:space="preserve"> term </w:t>
      </w:r>
      <w:r>
        <w:rPr>
          <w:rFonts w:ascii="Arial" w:hAnsi="Arial" w:cs="Arial"/>
          <w:sz w:val="22"/>
          <w:szCs w:val="22"/>
        </w:rPr>
        <w:t>‘</w:t>
      </w:r>
      <w:r w:rsidRPr="002F1C3F">
        <w:rPr>
          <w:rFonts w:ascii="Arial" w:hAnsi="Arial" w:cs="Arial"/>
          <w:sz w:val="22"/>
          <w:szCs w:val="22"/>
        </w:rPr>
        <w:t>therapist variables</w:t>
      </w:r>
      <w:r>
        <w:rPr>
          <w:rFonts w:ascii="Arial" w:hAnsi="Arial" w:cs="Arial"/>
          <w:sz w:val="22"/>
          <w:szCs w:val="22"/>
        </w:rPr>
        <w:t>’ to mean</w:t>
      </w:r>
      <w:r w:rsidR="00380415">
        <w:rPr>
          <w:rFonts w:ascii="Arial" w:hAnsi="Arial" w:cs="Arial"/>
          <w:sz w:val="22"/>
          <w:szCs w:val="22"/>
        </w:rPr>
        <w:t xml:space="preserve"> the individual differences between therapists both in term</w:t>
      </w:r>
      <w:r w:rsidR="00E72EE8">
        <w:rPr>
          <w:rFonts w:ascii="Arial" w:hAnsi="Arial" w:cs="Arial"/>
          <w:sz w:val="22"/>
          <w:szCs w:val="22"/>
        </w:rPr>
        <w:t>s</w:t>
      </w:r>
      <w:r w:rsidR="00380415">
        <w:rPr>
          <w:rFonts w:ascii="Arial" w:hAnsi="Arial" w:cs="Arial"/>
          <w:sz w:val="22"/>
          <w:szCs w:val="22"/>
        </w:rPr>
        <w:t xml:space="preserve"> of the individual differences in their demographics (</w:t>
      </w:r>
      <w:r w:rsidR="00E72EE8">
        <w:rPr>
          <w:rFonts w:ascii="Arial" w:hAnsi="Arial" w:cs="Arial"/>
          <w:sz w:val="22"/>
          <w:szCs w:val="22"/>
        </w:rPr>
        <w:t xml:space="preserve">for example </w:t>
      </w:r>
      <w:r w:rsidR="00380415">
        <w:rPr>
          <w:rFonts w:ascii="Arial" w:hAnsi="Arial" w:cs="Arial"/>
          <w:sz w:val="22"/>
          <w:szCs w:val="22"/>
        </w:rPr>
        <w:t xml:space="preserve">age, gender, years of experience) and the differences in the way therapists conduct CBT with their patients.  These differences between therapists are one set of variables that can account for variance in clinical outcomes (Nissen-Lie, Monsen and Ronnestad, 2010). Therapist variables are independent of patient variables and service variables, both of which also impact on the variance in outcomes (Johns, Barkham, Kellett and Saxon, 2019). This focus of the research </w:t>
      </w:r>
      <w:r w:rsidR="00D47BAD">
        <w:rPr>
          <w:rFonts w:ascii="Arial" w:hAnsi="Arial" w:cs="Arial"/>
          <w:sz w:val="22"/>
          <w:szCs w:val="22"/>
        </w:rPr>
        <w:t xml:space="preserve">discussed </w:t>
      </w:r>
      <w:r w:rsidR="00380415">
        <w:rPr>
          <w:rFonts w:ascii="Arial" w:hAnsi="Arial" w:cs="Arial"/>
          <w:sz w:val="22"/>
          <w:szCs w:val="22"/>
        </w:rPr>
        <w:t>in this thesis is therapist variables</w:t>
      </w:r>
      <w:r w:rsidR="00820E82">
        <w:rPr>
          <w:rFonts w:ascii="Arial" w:hAnsi="Arial" w:cs="Arial"/>
          <w:sz w:val="22"/>
          <w:szCs w:val="22"/>
        </w:rPr>
        <w:t>.</w:t>
      </w:r>
    </w:p>
    <w:p w14:paraId="7AF84ED2" w14:textId="77777777" w:rsidR="00820E82" w:rsidRDefault="00820E82" w:rsidP="00380415">
      <w:pPr>
        <w:spacing w:line="480" w:lineRule="auto"/>
        <w:rPr>
          <w:rFonts w:ascii="Arial" w:hAnsi="Arial" w:cs="Arial"/>
          <w:sz w:val="22"/>
          <w:szCs w:val="22"/>
        </w:rPr>
      </w:pPr>
    </w:p>
    <w:p w14:paraId="58302AA8" w14:textId="1EEA4775" w:rsidR="007257E2" w:rsidRPr="00CF1079" w:rsidRDefault="007257E2" w:rsidP="00405CCB">
      <w:pPr>
        <w:pStyle w:val="Heading3"/>
        <w:rPr>
          <w:rFonts w:cs="Arial"/>
          <w:color w:val="000000" w:themeColor="text1"/>
          <w:szCs w:val="22"/>
        </w:rPr>
      </w:pPr>
      <w:bookmarkStart w:id="37" w:name="_Toc46770713"/>
      <w:bookmarkStart w:id="38" w:name="_Toc79414124"/>
      <w:r w:rsidRPr="00CF1079">
        <w:rPr>
          <w:rFonts w:cs="Arial"/>
          <w:color w:val="000000" w:themeColor="text1"/>
          <w:szCs w:val="22"/>
        </w:rPr>
        <w:t xml:space="preserve">1.2.7 Defining the term </w:t>
      </w:r>
      <w:r w:rsidR="00C96D70" w:rsidRPr="00CF1079">
        <w:rPr>
          <w:rFonts w:cs="Arial"/>
          <w:color w:val="000000" w:themeColor="text1"/>
          <w:szCs w:val="22"/>
        </w:rPr>
        <w:t>‘</w:t>
      </w:r>
      <w:r w:rsidRPr="00CF1079">
        <w:rPr>
          <w:rFonts w:cs="Arial"/>
          <w:color w:val="000000" w:themeColor="text1"/>
          <w:szCs w:val="22"/>
        </w:rPr>
        <w:t>therapist effects</w:t>
      </w:r>
      <w:r w:rsidR="00C96D70" w:rsidRPr="00CF1079">
        <w:rPr>
          <w:rFonts w:cs="Arial"/>
          <w:color w:val="000000" w:themeColor="text1"/>
          <w:szCs w:val="22"/>
        </w:rPr>
        <w:t>’</w:t>
      </w:r>
      <w:bookmarkEnd w:id="37"/>
      <w:bookmarkEnd w:id="38"/>
    </w:p>
    <w:p w14:paraId="1CC415BE" w14:textId="77777777" w:rsidR="00C96D70" w:rsidRPr="00CF1079" w:rsidRDefault="00C96D70" w:rsidP="00C96D70"/>
    <w:p w14:paraId="3849DEBA" w14:textId="359BEA9C" w:rsidR="00930F70" w:rsidRPr="002F1C3F" w:rsidRDefault="005B50C6" w:rsidP="00380415">
      <w:pPr>
        <w:spacing w:line="480" w:lineRule="auto"/>
        <w:rPr>
          <w:rFonts w:ascii="Arial" w:hAnsi="Arial" w:cs="Arial"/>
          <w:sz w:val="22"/>
          <w:szCs w:val="22"/>
        </w:rPr>
      </w:pPr>
      <w:r w:rsidRPr="00CF1079">
        <w:rPr>
          <w:rFonts w:ascii="Arial" w:hAnsi="Arial" w:cs="Arial"/>
          <w:sz w:val="22"/>
          <w:szCs w:val="22"/>
        </w:rPr>
        <w:t>The</w:t>
      </w:r>
      <w:r w:rsidR="0039655C" w:rsidRPr="00CF1079">
        <w:rPr>
          <w:rFonts w:ascii="Arial" w:hAnsi="Arial" w:cs="Arial"/>
          <w:sz w:val="22"/>
          <w:szCs w:val="22"/>
        </w:rPr>
        <w:t xml:space="preserve"> term </w:t>
      </w:r>
      <w:r w:rsidR="002D2853" w:rsidRPr="00CF1079">
        <w:rPr>
          <w:rFonts w:ascii="Arial" w:hAnsi="Arial" w:cs="Arial"/>
          <w:sz w:val="22"/>
          <w:szCs w:val="22"/>
        </w:rPr>
        <w:t xml:space="preserve">‘therapist effects’ </w:t>
      </w:r>
      <w:r w:rsidR="00473330" w:rsidRPr="00CF1079">
        <w:rPr>
          <w:rFonts w:ascii="Arial" w:hAnsi="Arial" w:cs="Arial"/>
          <w:sz w:val="22"/>
          <w:szCs w:val="22"/>
        </w:rPr>
        <w:t>is</w:t>
      </w:r>
      <w:r w:rsidR="002D2853" w:rsidRPr="00CF1079">
        <w:rPr>
          <w:rFonts w:ascii="Arial" w:hAnsi="Arial" w:cs="Arial"/>
          <w:sz w:val="22"/>
          <w:szCs w:val="22"/>
        </w:rPr>
        <w:t xml:space="preserve"> used to describe </w:t>
      </w:r>
      <w:r w:rsidR="00723A1B" w:rsidRPr="00CF1079">
        <w:rPr>
          <w:rFonts w:ascii="Arial" w:hAnsi="Arial" w:cs="Arial"/>
          <w:sz w:val="22"/>
          <w:szCs w:val="22"/>
        </w:rPr>
        <w:t xml:space="preserve">how therapists </w:t>
      </w:r>
      <w:r w:rsidR="00FF21EB" w:rsidRPr="00CF1079">
        <w:rPr>
          <w:rFonts w:ascii="Arial" w:hAnsi="Arial" w:cs="Arial"/>
          <w:sz w:val="22"/>
          <w:szCs w:val="22"/>
        </w:rPr>
        <w:t>influence</w:t>
      </w:r>
      <w:r w:rsidR="00723A1B" w:rsidRPr="00CF1079">
        <w:rPr>
          <w:rFonts w:ascii="Arial" w:hAnsi="Arial" w:cs="Arial"/>
          <w:sz w:val="22"/>
          <w:szCs w:val="22"/>
        </w:rPr>
        <w:t xml:space="preserve"> patient outcomes </w:t>
      </w:r>
      <w:r w:rsidR="00B6714E" w:rsidRPr="00CF1079">
        <w:rPr>
          <w:rFonts w:ascii="Arial" w:hAnsi="Arial" w:cs="Arial"/>
          <w:sz w:val="22"/>
          <w:szCs w:val="22"/>
        </w:rPr>
        <w:t>(Saxon and Barkham, 2012)</w:t>
      </w:r>
      <w:r w:rsidR="00A25956" w:rsidRPr="00CF1079">
        <w:rPr>
          <w:rFonts w:ascii="Arial" w:hAnsi="Arial" w:cs="Arial"/>
          <w:sz w:val="22"/>
          <w:szCs w:val="22"/>
        </w:rPr>
        <w:t>.</w:t>
      </w:r>
      <w:r w:rsidR="00185384" w:rsidRPr="00CF1079">
        <w:rPr>
          <w:rFonts w:ascii="Arial" w:hAnsi="Arial" w:cs="Arial"/>
          <w:sz w:val="22"/>
          <w:szCs w:val="22"/>
        </w:rPr>
        <w:t xml:space="preserve"> </w:t>
      </w:r>
      <w:r w:rsidR="00B54709" w:rsidRPr="00CF1079">
        <w:rPr>
          <w:rFonts w:ascii="Arial" w:hAnsi="Arial" w:cs="Arial"/>
          <w:sz w:val="22"/>
          <w:szCs w:val="22"/>
        </w:rPr>
        <w:t>The study of therapist effects has</w:t>
      </w:r>
      <w:r w:rsidR="00185384" w:rsidRPr="00CF1079">
        <w:rPr>
          <w:rFonts w:ascii="Arial" w:hAnsi="Arial" w:cs="Arial"/>
          <w:sz w:val="22"/>
          <w:szCs w:val="22"/>
        </w:rPr>
        <w:t>,</w:t>
      </w:r>
      <w:r w:rsidR="002F22D6" w:rsidRPr="00CF1079">
        <w:rPr>
          <w:rFonts w:ascii="Arial" w:hAnsi="Arial" w:cs="Arial"/>
          <w:sz w:val="22"/>
          <w:szCs w:val="22"/>
        </w:rPr>
        <w:t xml:space="preserve"> more recently</w:t>
      </w:r>
      <w:r w:rsidR="00185384" w:rsidRPr="00CF1079">
        <w:rPr>
          <w:rFonts w:ascii="Arial" w:hAnsi="Arial" w:cs="Arial"/>
          <w:sz w:val="22"/>
          <w:szCs w:val="22"/>
        </w:rPr>
        <w:t>,</w:t>
      </w:r>
      <w:r w:rsidR="002F22D6" w:rsidRPr="00CF1079">
        <w:rPr>
          <w:rFonts w:ascii="Arial" w:hAnsi="Arial" w:cs="Arial"/>
          <w:sz w:val="22"/>
          <w:szCs w:val="22"/>
        </w:rPr>
        <w:t xml:space="preserve"> focussed on the statistical analysis of large data sets</w:t>
      </w:r>
      <w:r w:rsidR="00473D88" w:rsidRPr="00CF1079">
        <w:rPr>
          <w:rFonts w:ascii="Arial" w:hAnsi="Arial" w:cs="Arial"/>
          <w:sz w:val="22"/>
          <w:szCs w:val="22"/>
        </w:rPr>
        <w:t xml:space="preserve"> using </w:t>
      </w:r>
      <w:r w:rsidR="002F00DC" w:rsidRPr="00CF1079">
        <w:rPr>
          <w:rFonts w:ascii="Arial" w:hAnsi="Arial" w:cs="Arial"/>
          <w:sz w:val="22"/>
          <w:szCs w:val="22"/>
        </w:rPr>
        <w:t>multilevel modelling.</w:t>
      </w:r>
      <w:r w:rsidR="00F129DA" w:rsidRPr="00CF1079">
        <w:rPr>
          <w:rFonts w:ascii="Arial" w:hAnsi="Arial" w:cs="Arial"/>
          <w:sz w:val="22"/>
          <w:szCs w:val="22"/>
        </w:rPr>
        <w:t xml:space="preserve"> The</w:t>
      </w:r>
      <w:r w:rsidR="00C678D2" w:rsidRPr="00CF1079">
        <w:rPr>
          <w:rFonts w:ascii="Arial" w:hAnsi="Arial" w:cs="Arial"/>
          <w:sz w:val="22"/>
          <w:szCs w:val="22"/>
        </w:rPr>
        <w:t xml:space="preserve"> therapist effect is quantified as the</w:t>
      </w:r>
      <w:r w:rsidR="00EF124A" w:rsidRPr="00CF1079">
        <w:rPr>
          <w:rFonts w:ascii="Arial" w:hAnsi="Arial" w:cs="Arial"/>
          <w:sz w:val="22"/>
          <w:szCs w:val="22"/>
        </w:rPr>
        <w:t xml:space="preserve"> </w:t>
      </w:r>
      <w:r w:rsidR="001B5DCD" w:rsidRPr="00CF1079">
        <w:rPr>
          <w:rFonts w:ascii="Arial" w:hAnsi="Arial" w:cs="Arial"/>
          <w:sz w:val="22"/>
          <w:szCs w:val="22"/>
        </w:rPr>
        <w:t>proportion</w:t>
      </w:r>
      <w:r w:rsidR="003F5E00" w:rsidRPr="00CF1079">
        <w:rPr>
          <w:rFonts w:ascii="Arial" w:hAnsi="Arial" w:cs="Arial"/>
          <w:sz w:val="22"/>
          <w:szCs w:val="22"/>
        </w:rPr>
        <w:t xml:space="preserve"> of which the</w:t>
      </w:r>
      <w:r w:rsidR="001B5DCD" w:rsidRPr="00CF1079">
        <w:rPr>
          <w:rFonts w:ascii="Arial" w:hAnsi="Arial" w:cs="Arial"/>
          <w:sz w:val="22"/>
          <w:szCs w:val="22"/>
        </w:rPr>
        <w:t xml:space="preserve"> variance in outcome is attributed to the</w:t>
      </w:r>
      <w:r w:rsidR="003F5E00" w:rsidRPr="00CF1079">
        <w:rPr>
          <w:rFonts w:ascii="Arial" w:hAnsi="Arial" w:cs="Arial"/>
          <w:sz w:val="22"/>
          <w:szCs w:val="22"/>
        </w:rPr>
        <w:t xml:space="preserve"> therapist </w:t>
      </w:r>
      <w:r w:rsidR="00284F6C" w:rsidRPr="00CF1079">
        <w:rPr>
          <w:rFonts w:ascii="Arial" w:hAnsi="Arial" w:cs="Arial"/>
          <w:sz w:val="22"/>
          <w:szCs w:val="22"/>
        </w:rPr>
        <w:t>(Saxon and Barkham, 2012).</w:t>
      </w:r>
      <w:r w:rsidR="00CF2A50" w:rsidRPr="00CF1079">
        <w:rPr>
          <w:rFonts w:ascii="Arial" w:hAnsi="Arial" w:cs="Arial"/>
          <w:sz w:val="22"/>
          <w:szCs w:val="22"/>
        </w:rPr>
        <w:t xml:space="preserve"> </w:t>
      </w:r>
      <w:r w:rsidR="002F00DC" w:rsidRPr="00CF1079">
        <w:rPr>
          <w:rFonts w:ascii="Arial" w:hAnsi="Arial" w:cs="Arial"/>
          <w:sz w:val="22"/>
          <w:szCs w:val="22"/>
        </w:rPr>
        <w:t xml:space="preserve">This statistical </w:t>
      </w:r>
      <w:r w:rsidR="00BC1FAD" w:rsidRPr="00CF1079">
        <w:rPr>
          <w:rFonts w:ascii="Arial" w:hAnsi="Arial" w:cs="Arial"/>
          <w:sz w:val="22"/>
          <w:szCs w:val="22"/>
        </w:rPr>
        <w:t xml:space="preserve">method </w:t>
      </w:r>
      <w:r w:rsidR="002F00DC" w:rsidRPr="00CF1079">
        <w:rPr>
          <w:rFonts w:ascii="Arial" w:hAnsi="Arial" w:cs="Arial"/>
          <w:sz w:val="22"/>
          <w:szCs w:val="22"/>
        </w:rPr>
        <w:t>model</w:t>
      </w:r>
      <w:r w:rsidR="00BC1FAD" w:rsidRPr="00CF1079">
        <w:rPr>
          <w:rFonts w:ascii="Arial" w:hAnsi="Arial" w:cs="Arial"/>
          <w:sz w:val="22"/>
          <w:szCs w:val="22"/>
        </w:rPr>
        <w:t>s the nested structure of the data, whereby</w:t>
      </w:r>
      <w:r w:rsidR="00AB2EF6" w:rsidRPr="00CF1079">
        <w:rPr>
          <w:rFonts w:ascii="Arial" w:hAnsi="Arial" w:cs="Arial"/>
          <w:sz w:val="22"/>
          <w:szCs w:val="22"/>
        </w:rPr>
        <w:t xml:space="preserve"> patients are nested within therapists and therapist are nested in services.</w:t>
      </w:r>
      <w:r w:rsidR="002F22D6" w:rsidRPr="00CF1079">
        <w:rPr>
          <w:rFonts w:ascii="Arial" w:hAnsi="Arial" w:cs="Arial"/>
          <w:sz w:val="22"/>
          <w:szCs w:val="22"/>
        </w:rPr>
        <w:t xml:space="preserve"> </w:t>
      </w:r>
      <w:r w:rsidR="00A25956" w:rsidRPr="00CF1079">
        <w:rPr>
          <w:rFonts w:ascii="Arial" w:hAnsi="Arial" w:cs="Arial"/>
          <w:sz w:val="22"/>
          <w:szCs w:val="22"/>
        </w:rPr>
        <w:t xml:space="preserve"> </w:t>
      </w:r>
      <w:r w:rsidR="00930F70" w:rsidRPr="00CF1079">
        <w:rPr>
          <w:rFonts w:ascii="Arial" w:hAnsi="Arial" w:cs="Arial"/>
          <w:sz w:val="22"/>
          <w:szCs w:val="22"/>
        </w:rPr>
        <w:t xml:space="preserve">In this </w:t>
      </w:r>
      <w:r w:rsidR="00930F70" w:rsidRPr="00CF1079">
        <w:rPr>
          <w:rFonts w:ascii="Arial" w:hAnsi="Arial" w:cs="Arial"/>
          <w:sz w:val="22"/>
          <w:szCs w:val="22"/>
        </w:rPr>
        <w:lastRenderedPageBreak/>
        <w:t xml:space="preserve">thesis I </w:t>
      </w:r>
      <w:r w:rsidR="00BB13C7" w:rsidRPr="00CF1079">
        <w:rPr>
          <w:rFonts w:ascii="Arial" w:hAnsi="Arial" w:cs="Arial"/>
          <w:sz w:val="22"/>
          <w:szCs w:val="22"/>
        </w:rPr>
        <w:t xml:space="preserve">refer to the </w:t>
      </w:r>
      <w:r w:rsidR="005D64A4" w:rsidRPr="00CF1079">
        <w:rPr>
          <w:rFonts w:ascii="Arial" w:hAnsi="Arial" w:cs="Arial"/>
          <w:sz w:val="22"/>
          <w:szCs w:val="22"/>
        </w:rPr>
        <w:t xml:space="preserve">body of </w:t>
      </w:r>
      <w:r w:rsidR="00B12AC8" w:rsidRPr="00CF1079">
        <w:rPr>
          <w:rFonts w:ascii="Arial" w:hAnsi="Arial" w:cs="Arial"/>
          <w:sz w:val="22"/>
          <w:szCs w:val="22"/>
        </w:rPr>
        <w:t>‘</w:t>
      </w:r>
      <w:r w:rsidR="00BB13C7" w:rsidRPr="00CF1079">
        <w:rPr>
          <w:rFonts w:ascii="Arial" w:hAnsi="Arial" w:cs="Arial"/>
          <w:sz w:val="22"/>
          <w:szCs w:val="22"/>
        </w:rPr>
        <w:t>therapist effects</w:t>
      </w:r>
      <w:r w:rsidR="00B12AC8" w:rsidRPr="00CF1079">
        <w:rPr>
          <w:rFonts w:ascii="Arial" w:hAnsi="Arial" w:cs="Arial"/>
          <w:sz w:val="22"/>
          <w:szCs w:val="22"/>
        </w:rPr>
        <w:t>’</w:t>
      </w:r>
      <w:r w:rsidR="00494F1D" w:rsidRPr="00CF1079">
        <w:rPr>
          <w:rFonts w:ascii="Arial" w:hAnsi="Arial" w:cs="Arial"/>
          <w:sz w:val="22"/>
          <w:szCs w:val="22"/>
        </w:rPr>
        <w:t xml:space="preserve"> literatur</w:t>
      </w:r>
      <w:r w:rsidR="001232F4" w:rsidRPr="00CF1079">
        <w:rPr>
          <w:rFonts w:ascii="Arial" w:hAnsi="Arial" w:cs="Arial"/>
          <w:sz w:val="22"/>
          <w:szCs w:val="22"/>
        </w:rPr>
        <w:t>e</w:t>
      </w:r>
      <w:r w:rsidR="00161457" w:rsidRPr="00CF1079">
        <w:rPr>
          <w:rFonts w:ascii="Arial" w:hAnsi="Arial" w:cs="Arial"/>
          <w:sz w:val="22"/>
          <w:szCs w:val="22"/>
        </w:rPr>
        <w:t xml:space="preserve"> in order to illustrate how other researchers have explored variance in outcome</w:t>
      </w:r>
      <w:r w:rsidR="00CF2A50" w:rsidRPr="00CF1079">
        <w:rPr>
          <w:rFonts w:ascii="Arial" w:hAnsi="Arial" w:cs="Arial"/>
          <w:sz w:val="22"/>
          <w:szCs w:val="22"/>
        </w:rPr>
        <w:t>s</w:t>
      </w:r>
      <w:r w:rsidR="009C3875" w:rsidRPr="00CF1079">
        <w:rPr>
          <w:rFonts w:ascii="Arial" w:hAnsi="Arial" w:cs="Arial"/>
          <w:sz w:val="22"/>
          <w:szCs w:val="22"/>
        </w:rPr>
        <w:t xml:space="preserve"> particularly</w:t>
      </w:r>
      <w:r w:rsidR="00CF2A50" w:rsidRPr="00CF1079">
        <w:rPr>
          <w:rFonts w:ascii="Arial" w:hAnsi="Arial" w:cs="Arial"/>
          <w:sz w:val="22"/>
          <w:szCs w:val="22"/>
        </w:rPr>
        <w:t xml:space="preserve"> within the Improving Access to Psychological Therapy (IAPT) programme.</w:t>
      </w:r>
      <w:r w:rsidR="00E84265">
        <w:rPr>
          <w:rFonts w:ascii="Arial" w:hAnsi="Arial" w:cs="Arial"/>
          <w:sz w:val="22"/>
          <w:szCs w:val="22"/>
        </w:rPr>
        <w:t xml:space="preserve"> </w:t>
      </w:r>
    </w:p>
    <w:p w14:paraId="1298346A" w14:textId="77777777" w:rsidR="007F596B" w:rsidRPr="002F1C3F" w:rsidRDefault="007F596B" w:rsidP="007F596B">
      <w:pPr>
        <w:spacing w:line="480" w:lineRule="auto"/>
        <w:rPr>
          <w:rFonts w:ascii="Arial" w:hAnsi="Arial" w:cs="Arial"/>
          <w:sz w:val="22"/>
          <w:szCs w:val="22"/>
        </w:rPr>
      </w:pPr>
    </w:p>
    <w:p w14:paraId="75781726" w14:textId="3F1F172A" w:rsidR="007F596B" w:rsidRPr="005E456C" w:rsidRDefault="007F596B" w:rsidP="007F596B">
      <w:pPr>
        <w:pStyle w:val="Heading2"/>
        <w:rPr>
          <w:rFonts w:ascii="Arial" w:hAnsi="Arial" w:cs="Arial"/>
          <w:b w:val="0"/>
          <w:color w:val="000000" w:themeColor="text1"/>
          <w:sz w:val="22"/>
          <w:szCs w:val="22"/>
        </w:rPr>
      </w:pPr>
      <w:bookmarkStart w:id="39" w:name="_Toc46770714"/>
      <w:bookmarkStart w:id="40" w:name="_Toc79414125"/>
      <w:r w:rsidRPr="005E456C">
        <w:rPr>
          <w:rFonts w:ascii="Arial" w:hAnsi="Arial" w:cs="Arial"/>
          <w:color w:val="000000" w:themeColor="text1"/>
          <w:sz w:val="22"/>
          <w:szCs w:val="22"/>
        </w:rPr>
        <w:t>1.3 OVERVIEW OF THIS THESIS</w:t>
      </w:r>
      <w:bookmarkEnd w:id="39"/>
      <w:bookmarkEnd w:id="40"/>
    </w:p>
    <w:p w14:paraId="1B1D02D2" w14:textId="26C87C0D" w:rsidR="007F596B" w:rsidRDefault="00D238AD" w:rsidP="007F596B">
      <w:pPr>
        <w:spacing w:line="480" w:lineRule="auto"/>
        <w:rPr>
          <w:rFonts w:ascii="Arial" w:hAnsi="Arial" w:cs="Arial"/>
          <w:sz w:val="22"/>
          <w:szCs w:val="22"/>
        </w:rPr>
      </w:pPr>
      <w:r>
        <w:rPr>
          <w:rFonts w:ascii="Arial" w:hAnsi="Arial" w:cs="Arial"/>
          <w:sz w:val="22"/>
          <w:szCs w:val="22"/>
        </w:rPr>
        <w:br/>
      </w:r>
      <w:r w:rsidR="007F596B" w:rsidRPr="005E456C">
        <w:rPr>
          <w:rFonts w:ascii="Arial" w:hAnsi="Arial" w:cs="Arial"/>
          <w:sz w:val="22"/>
          <w:szCs w:val="22"/>
        </w:rPr>
        <w:t>The structure of this thesis provides a sequential progression through the research. The order and content of each chapter is summarised below.</w:t>
      </w:r>
    </w:p>
    <w:p w14:paraId="3F034E5E" w14:textId="77777777" w:rsidR="000D7DDA" w:rsidRPr="005E456C" w:rsidRDefault="000D7DDA" w:rsidP="007F596B">
      <w:pPr>
        <w:spacing w:line="480" w:lineRule="auto"/>
        <w:rPr>
          <w:rFonts w:ascii="Arial" w:hAnsi="Arial" w:cs="Arial"/>
          <w:sz w:val="22"/>
          <w:szCs w:val="22"/>
        </w:rPr>
      </w:pPr>
    </w:p>
    <w:p w14:paraId="34C7270E" w14:textId="5732057F" w:rsidR="007F0301" w:rsidRDefault="007F596B" w:rsidP="007F596B">
      <w:pPr>
        <w:spacing w:line="480" w:lineRule="auto"/>
        <w:rPr>
          <w:rFonts w:ascii="Arial" w:hAnsi="Arial" w:cs="Arial"/>
          <w:sz w:val="22"/>
          <w:szCs w:val="22"/>
        </w:rPr>
      </w:pPr>
      <w:r w:rsidRPr="00147844">
        <w:rPr>
          <w:rFonts w:ascii="Arial" w:hAnsi="Arial" w:cs="Arial"/>
          <w:b/>
          <w:sz w:val="22"/>
          <w:szCs w:val="22"/>
        </w:rPr>
        <w:t>Chapter 1</w:t>
      </w:r>
      <w:r w:rsidRPr="00147844">
        <w:rPr>
          <w:rFonts w:ascii="Arial" w:hAnsi="Arial" w:cs="Arial"/>
          <w:sz w:val="22"/>
          <w:szCs w:val="22"/>
        </w:rPr>
        <w:t xml:space="preserve">: Introduction to the professional context and rationale for this research </w:t>
      </w:r>
    </w:p>
    <w:p w14:paraId="72BC7132" w14:textId="1EADAE01" w:rsidR="002F1C3F" w:rsidRDefault="007F596B" w:rsidP="007F596B">
      <w:pPr>
        <w:spacing w:line="480" w:lineRule="auto"/>
        <w:rPr>
          <w:rFonts w:ascii="Arial" w:hAnsi="Arial" w:cs="Arial"/>
          <w:sz w:val="22"/>
          <w:szCs w:val="22"/>
        </w:rPr>
      </w:pPr>
      <w:r w:rsidRPr="00147844">
        <w:rPr>
          <w:rFonts w:ascii="Arial" w:hAnsi="Arial" w:cs="Arial"/>
          <w:sz w:val="22"/>
          <w:szCs w:val="22"/>
        </w:rPr>
        <w:t>This chapter presents a personal reflection of the researcher’s rationale for conducting this research in the context of her professional background and current role.</w:t>
      </w:r>
      <w:r w:rsidR="00A63BF0">
        <w:rPr>
          <w:rFonts w:ascii="Arial" w:hAnsi="Arial" w:cs="Arial"/>
          <w:sz w:val="22"/>
          <w:szCs w:val="22"/>
        </w:rPr>
        <w:t xml:space="preserve"> Chapter </w:t>
      </w:r>
      <w:r w:rsidR="00B25C08">
        <w:rPr>
          <w:rFonts w:ascii="Arial" w:hAnsi="Arial" w:cs="Arial"/>
          <w:sz w:val="22"/>
          <w:szCs w:val="22"/>
        </w:rPr>
        <w:t>1</w:t>
      </w:r>
      <w:r w:rsidR="00A53975">
        <w:rPr>
          <w:rFonts w:ascii="Arial" w:hAnsi="Arial" w:cs="Arial"/>
          <w:sz w:val="22"/>
          <w:szCs w:val="22"/>
        </w:rPr>
        <w:t xml:space="preserve"> </w:t>
      </w:r>
      <w:r w:rsidR="002F1C3F">
        <w:rPr>
          <w:rFonts w:ascii="Arial" w:hAnsi="Arial" w:cs="Arial"/>
          <w:sz w:val="22"/>
          <w:szCs w:val="22"/>
        </w:rPr>
        <w:t xml:space="preserve">introduces the researcher in her role as Chief Clinical Officer at the company Ieso Digital Health. The researcher describes her experience and her theoretical position that informed the work discussed in this thesis. The term Scientist Practitioner is defined both as it relates to the literature and to cognitive behaviour therapy. The researcher describes how the Scientist Practitioner stance has informed her work and how </w:t>
      </w:r>
      <w:r w:rsidR="00E72EE8">
        <w:rPr>
          <w:rFonts w:ascii="Arial" w:hAnsi="Arial" w:cs="Arial"/>
          <w:sz w:val="22"/>
          <w:szCs w:val="22"/>
        </w:rPr>
        <w:t xml:space="preserve">the </w:t>
      </w:r>
      <w:r w:rsidR="002F1C3F">
        <w:rPr>
          <w:rFonts w:ascii="Arial" w:hAnsi="Arial" w:cs="Arial"/>
          <w:sz w:val="22"/>
          <w:szCs w:val="22"/>
        </w:rPr>
        <w:t>overarching aims and objective</w:t>
      </w:r>
      <w:r w:rsidR="00E72EE8">
        <w:rPr>
          <w:rFonts w:ascii="Arial" w:hAnsi="Arial" w:cs="Arial"/>
          <w:sz w:val="22"/>
          <w:szCs w:val="22"/>
        </w:rPr>
        <w:t>s</w:t>
      </w:r>
      <w:r w:rsidR="002F1C3F">
        <w:rPr>
          <w:rFonts w:ascii="Arial" w:hAnsi="Arial" w:cs="Arial"/>
          <w:sz w:val="22"/>
          <w:szCs w:val="22"/>
        </w:rPr>
        <w:t xml:space="preserve"> of this study came about. The </w:t>
      </w:r>
      <w:r w:rsidR="004A2980">
        <w:rPr>
          <w:rFonts w:ascii="Arial" w:hAnsi="Arial" w:cs="Arial"/>
          <w:sz w:val="22"/>
          <w:szCs w:val="22"/>
        </w:rPr>
        <w:t>problem that</w:t>
      </w:r>
      <w:r w:rsidR="009534EE">
        <w:rPr>
          <w:rFonts w:ascii="Arial" w:hAnsi="Arial" w:cs="Arial"/>
          <w:sz w:val="22"/>
          <w:szCs w:val="22"/>
        </w:rPr>
        <w:t xml:space="preserve"> </w:t>
      </w:r>
      <w:r w:rsidR="002F1C3F">
        <w:rPr>
          <w:rFonts w:ascii="Arial" w:hAnsi="Arial" w:cs="Arial"/>
          <w:sz w:val="22"/>
          <w:szCs w:val="22"/>
        </w:rPr>
        <w:t>there is significant variance in clinical outcome</w:t>
      </w:r>
      <w:r w:rsidR="009534EE">
        <w:rPr>
          <w:rFonts w:ascii="Arial" w:hAnsi="Arial" w:cs="Arial"/>
          <w:sz w:val="22"/>
          <w:szCs w:val="22"/>
        </w:rPr>
        <w:t>s</w:t>
      </w:r>
      <w:r w:rsidR="00443726">
        <w:rPr>
          <w:rFonts w:ascii="Arial" w:hAnsi="Arial" w:cs="Arial"/>
          <w:sz w:val="22"/>
          <w:szCs w:val="22"/>
        </w:rPr>
        <w:t xml:space="preserve"> between IAPT services and between therapists</w:t>
      </w:r>
      <w:r w:rsidR="009534EE">
        <w:rPr>
          <w:rFonts w:ascii="Arial" w:hAnsi="Arial" w:cs="Arial"/>
          <w:sz w:val="22"/>
          <w:szCs w:val="22"/>
        </w:rPr>
        <w:t xml:space="preserve"> </w:t>
      </w:r>
      <w:r w:rsidR="002F1C3F">
        <w:rPr>
          <w:rFonts w:ascii="Arial" w:hAnsi="Arial" w:cs="Arial"/>
          <w:sz w:val="22"/>
          <w:szCs w:val="22"/>
        </w:rPr>
        <w:t xml:space="preserve">is </w:t>
      </w:r>
      <w:r w:rsidR="004A2980">
        <w:rPr>
          <w:rFonts w:ascii="Arial" w:hAnsi="Arial" w:cs="Arial"/>
          <w:sz w:val="22"/>
          <w:szCs w:val="22"/>
        </w:rPr>
        <w:t>identified</w:t>
      </w:r>
      <w:r w:rsidR="002F1C3F">
        <w:rPr>
          <w:rFonts w:ascii="Arial" w:hAnsi="Arial" w:cs="Arial"/>
          <w:sz w:val="22"/>
          <w:szCs w:val="22"/>
        </w:rPr>
        <w:t xml:space="preserve">.  The researcher outlines her interest in therapist variables and the term ‘therapist variable’ is defined. The concept of using a unique data set, consisting of the therapy transcripts of </w:t>
      </w:r>
      <w:r w:rsidR="007E1AD2">
        <w:rPr>
          <w:rFonts w:ascii="Arial" w:hAnsi="Arial" w:cs="Arial"/>
          <w:sz w:val="22"/>
          <w:szCs w:val="22"/>
        </w:rPr>
        <w:t>40</w:t>
      </w:r>
      <w:r w:rsidR="002F1C3F">
        <w:rPr>
          <w:rFonts w:ascii="Arial" w:hAnsi="Arial" w:cs="Arial"/>
          <w:sz w:val="22"/>
          <w:szCs w:val="22"/>
        </w:rPr>
        <w:t xml:space="preserve">,000 patients, is </w:t>
      </w:r>
      <w:r w:rsidR="002F1C3F" w:rsidRPr="005144E4">
        <w:rPr>
          <w:rFonts w:ascii="Arial" w:hAnsi="Arial" w:cs="Arial"/>
          <w:sz w:val="22"/>
          <w:szCs w:val="22"/>
        </w:rPr>
        <w:t>introduced as a new method for studying the variance between therapists.</w:t>
      </w:r>
      <w:r w:rsidR="002F1C3F">
        <w:rPr>
          <w:rFonts w:ascii="Arial" w:hAnsi="Arial" w:cs="Arial"/>
          <w:sz w:val="22"/>
          <w:szCs w:val="22"/>
        </w:rPr>
        <w:t xml:space="preserve"> </w:t>
      </w:r>
    </w:p>
    <w:p w14:paraId="4301E910" w14:textId="705E7507" w:rsidR="007F596B" w:rsidRDefault="002F1C3F" w:rsidP="007F596B">
      <w:pPr>
        <w:spacing w:line="480" w:lineRule="auto"/>
        <w:rPr>
          <w:rFonts w:ascii="Arial" w:hAnsi="Arial" w:cs="Arial"/>
          <w:sz w:val="22"/>
          <w:szCs w:val="22"/>
        </w:rPr>
      </w:pPr>
      <w:r>
        <w:rPr>
          <w:rFonts w:ascii="Arial" w:hAnsi="Arial" w:cs="Arial"/>
          <w:sz w:val="22"/>
          <w:szCs w:val="22"/>
        </w:rPr>
        <w:t>The chapter concludes by providing</w:t>
      </w:r>
      <w:r w:rsidR="00A53975">
        <w:rPr>
          <w:rFonts w:ascii="Arial" w:hAnsi="Arial" w:cs="Arial"/>
          <w:sz w:val="22"/>
          <w:szCs w:val="22"/>
        </w:rPr>
        <w:t xml:space="preserve"> an overview of this thesis.</w:t>
      </w:r>
    </w:p>
    <w:p w14:paraId="48E2ECE3" w14:textId="77777777" w:rsidR="00A63BF0" w:rsidRPr="00147844" w:rsidRDefault="00A63BF0" w:rsidP="007F596B">
      <w:pPr>
        <w:spacing w:line="480" w:lineRule="auto"/>
        <w:rPr>
          <w:rFonts w:ascii="Arial" w:hAnsi="Arial" w:cs="Arial"/>
          <w:sz w:val="22"/>
          <w:szCs w:val="22"/>
        </w:rPr>
      </w:pPr>
    </w:p>
    <w:p w14:paraId="2240A42C" w14:textId="77777777" w:rsidR="007E1AD2" w:rsidRDefault="007F596B" w:rsidP="007F596B">
      <w:pPr>
        <w:spacing w:line="480" w:lineRule="auto"/>
        <w:rPr>
          <w:rFonts w:ascii="Arial" w:hAnsi="Arial" w:cs="Arial"/>
          <w:sz w:val="22"/>
          <w:szCs w:val="22"/>
        </w:rPr>
      </w:pPr>
      <w:r w:rsidRPr="00147844">
        <w:rPr>
          <w:rFonts w:ascii="Arial" w:hAnsi="Arial" w:cs="Arial"/>
          <w:b/>
          <w:sz w:val="22"/>
          <w:szCs w:val="22"/>
        </w:rPr>
        <w:t>Chapter 2</w:t>
      </w:r>
      <w:r w:rsidRPr="00147844">
        <w:rPr>
          <w:rFonts w:ascii="Arial" w:hAnsi="Arial" w:cs="Arial"/>
          <w:sz w:val="22"/>
          <w:szCs w:val="22"/>
        </w:rPr>
        <w:t xml:space="preserve">: The improving access to psychological therapy programme (IAPT): </w:t>
      </w:r>
    </w:p>
    <w:p w14:paraId="0E49DAF5" w14:textId="632A67A9" w:rsidR="007F596B" w:rsidRPr="00147844" w:rsidRDefault="007F596B" w:rsidP="007F596B">
      <w:pPr>
        <w:spacing w:line="480" w:lineRule="auto"/>
        <w:rPr>
          <w:rFonts w:ascii="Arial" w:hAnsi="Arial" w:cs="Arial"/>
          <w:sz w:val="22"/>
          <w:szCs w:val="22"/>
        </w:rPr>
      </w:pPr>
      <w:r w:rsidRPr="00147844">
        <w:rPr>
          <w:rFonts w:ascii="Arial" w:hAnsi="Arial" w:cs="Arial"/>
          <w:sz w:val="22"/>
          <w:szCs w:val="22"/>
        </w:rPr>
        <w:t xml:space="preserve">Chapter </w:t>
      </w:r>
      <w:r w:rsidR="0079386F">
        <w:rPr>
          <w:rFonts w:ascii="Arial" w:hAnsi="Arial" w:cs="Arial"/>
          <w:sz w:val="22"/>
          <w:szCs w:val="22"/>
        </w:rPr>
        <w:t>2</w:t>
      </w:r>
      <w:r w:rsidRPr="00147844">
        <w:rPr>
          <w:rFonts w:ascii="Arial" w:hAnsi="Arial" w:cs="Arial"/>
          <w:sz w:val="22"/>
          <w:szCs w:val="22"/>
        </w:rPr>
        <w:t xml:space="preserve"> presents an overview of the United Kingdom’s Improving Access to Psychological Therapy programme (IAPT).  The chapter discusses how and why IAPT was developed and presents the key guiding principles and processes that are employed within the programme.</w:t>
      </w:r>
      <w:r w:rsidR="00A63BF0">
        <w:rPr>
          <w:rFonts w:ascii="Arial" w:hAnsi="Arial" w:cs="Arial"/>
          <w:sz w:val="22"/>
          <w:szCs w:val="22"/>
        </w:rPr>
        <w:t xml:space="preserve"> </w:t>
      </w:r>
      <w:r w:rsidR="00A63BF0">
        <w:rPr>
          <w:rFonts w:ascii="Arial" w:hAnsi="Arial" w:cs="Arial"/>
          <w:sz w:val="22"/>
          <w:szCs w:val="22"/>
        </w:rPr>
        <w:lastRenderedPageBreak/>
        <w:t xml:space="preserve">Chapter </w:t>
      </w:r>
      <w:r w:rsidR="0079386F">
        <w:rPr>
          <w:rFonts w:ascii="Arial" w:hAnsi="Arial" w:cs="Arial"/>
          <w:sz w:val="22"/>
          <w:szCs w:val="22"/>
        </w:rPr>
        <w:t>2</w:t>
      </w:r>
      <w:r w:rsidR="00A63BF0">
        <w:rPr>
          <w:rFonts w:ascii="Arial" w:hAnsi="Arial" w:cs="Arial"/>
          <w:sz w:val="22"/>
          <w:szCs w:val="22"/>
        </w:rPr>
        <w:t xml:space="preserve"> presents how health policy has driven the adoption of digital methods of delivering CBT, focussing on</w:t>
      </w:r>
      <w:r w:rsidR="00A53975">
        <w:rPr>
          <w:rFonts w:ascii="Arial" w:hAnsi="Arial" w:cs="Arial"/>
          <w:sz w:val="22"/>
          <w:szCs w:val="22"/>
        </w:rPr>
        <w:t xml:space="preserve"> the delivery of CBT using</w:t>
      </w:r>
      <w:r w:rsidR="00A63BF0">
        <w:rPr>
          <w:rFonts w:ascii="Arial" w:hAnsi="Arial" w:cs="Arial"/>
          <w:sz w:val="22"/>
          <w:szCs w:val="22"/>
        </w:rPr>
        <w:t xml:space="preserve"> online written (typed) communication</w:t>
      </w:r>
      <w:r w:rsidR="00A53975">
        <w:rPr>
          <w:rFonts w:ascii="Arial" w:hAnsi="Arial" w:cs="Arial"/>
          <w:sz w:val="22"/>
          <w:szCs w:val="22"/>
        </w:rPr>
        <w:t>. This method is used widely in IAPT and is called Internet Enabled CBT (</w:t>
      </w:r>
      <w:r w:rsidR="00A63BF0">
        <w:rPr>
          <w:rFonts w:ascii="Arial" w:hAnsi="Arial" w:cs="Arial"/>
          <w:sz w:val="22"/>
          <w:szCs w:val="22"/>
        </w:rPr>
        <w:t>IECBT</w:t>
      </w:r>
      <w:r w:rsidR="00A53975">
        <w:rPr>
          <w:rFonts w:ascii="Arial" w:hAnsi="Arial" w:cs="Arial"/>
          <w:sz w:val="22"/>
          <w:szCs w:val="22"/>
        </w:rPr>
        <w:t xml:space="preserve">).  </w:t>
      </w:r>
      <w:r w:rsidR="00A63BF0">
        <w:rPr>
          <w:rFonts w:ascii="Arial" w:hAnsi="Arial" w:cs="Arial"/>
          <w:sz w:val="22"/>
          <w:szCs w:val="22"/>
        </w:rPr>
        <w:t xml:space="preserve"> </w:t>
      </w:r>
      <w:r w:rsidR="00A53975">
        <w:rPr>
          <w:rFonts w:ascii="Arial" w:hAnsi="Arial" w:cs="Arial"/>
          <w:sz w:val="22"/>
          <w:szCs w:val="22"/>
        </w:rPr>
        <w:t xml:space="preserve">The delivery of CBT via IECBT </w:t>
      </w:r>
      <w:r w:rsidR="00A63BF0">
        <w:rPr>
          <w:rFonts w:ascii="Arial" w:hAnsi="Arial" w:cs="Arial"/>
          <w:sz w:val="22"/>
          <w:szCs w:val="22"/>
        </w:rPr>
        <w:t>is central to this research in that it provides Clinical Supervisors and senior clinicians with access to therapy transcripts</w:t>
      </w:r>
      <w:r w:rsidR="00A53975">
        <w:rPr>
          <w:rFonts w:ascii="Arial" w:hAnsi="Arial" w:cs="Arial"/>
          <w:sz w:val="22"/>
          <w:szCs w:val="22"/>
        </w:rPr>
        <w:t xml:space="preserve">. </w:t>
      </w:r>
      <w:r w:rsidR="00210037">
        <w:rPr>
          <w:rFonts w:ascii="Arial" w:hAnsi="Arial" w:cs="Arial"/>
          <w:sz w:val="22"/>
          <w:szCs w:val="22"/>
        </w:rPr>
        <w:t>The transcripts are used</w:t>
      </w:r>
      <w:r w:rsidR="00A53975">
        <w:rPr>
          <w:rFonts w:ascii="Arial" w:hAnsi="Arial" w:cs="Arial"/>
          <w:sz w:val="22"/>
          <w:szCs w:val="22"/>
        </w:rPr>
        <w:t xml:space="preserve"> </w:t>
      </w:r>
      <w:r w:rsidR="00210037">
        <w:rPr>
          <w:rFonts w:ascii="Arial" w:hAnsi="Arial" w:cs="Arial"/>
          <w:sz w:val="22"/>
          <w:szCs w:val="22"/>
        </w:rPr>
        <w:t>to</w:t>
      </w:r>
      <w:r w:rsidR="00A53975">
        <w:rPr>
          <w:rFonts w:ascii="Arial" w:hAnsi="Arial" w:cs="Arial"/>
          <w:sz w:val="22"/>
          <w:szCs w:val="22"/>
        </w:rPr>
        <w:t xml:space="preserve"> assess therapist competence with the aim of enabling therapists to reflect on and learn from their practice. </w:t>
      </w:r>
      <w:r w:rsidR="00210037">
        <w:rPr>
          <w:rFonts w:ascii="Arial" w:hAnsi="Arial" w:cs="Arial"/>
          <w:sz w:val="22"/>
          <w:szCs w:val="22"/>
        </w:rPr>
        <w:t xml:space="preserve">Chapter </w:t>
      </w:r>
      <w:r w:rsidR="0079386F">
        <w:rPr>
          <w:rFonts w:ascii="Arial" w:hAnsi="Arial" w:cs="Arial"/>
          <w:sz w:val="22"/>
          <w:szCs w:val="22"/>
        </w:rPr>
        <w:t>2</w:t>
      </w:r>
      <w:r w:rsidR="00210037">
        <w:rPr>
          <w:rFonts w:ascii="Arial" w:hAnsi="Arial" w:cs="Arial"/>
          <w:sz w:val="22"/>
          <w:szCs w:val="22"/>
        </w:rPr>
        <w:t xml:space="preserve"> concludes by presenting the outcome data that is reported to NHS England from IAPT. This chapter identifies that there is a significant variance in outcomes between services</w:t>
      </w:r>
      <w:r w:rsidR="005263BD">
        <w:rPr>
          <w:rFonts w:ascii="Arial" w:hAnsi="Arial" w:cs="Arial"/>
          <w:sz w:val="22"/>
          <w:szCs w:val="22"/>
        </w:rPr>
        <w:t xml:space="preserve"> and between therapists. </w:t>
      </w:r>
      <w:r w:rsidR="00210037">
        <w:rPr>
          <w:rFonts w:ascii="Arial" w:hAnsi="Arial" w:cs="Arial"/>
          <w:sz w:val="22"/>
          <w:szCs w:val="22"/>
        </w:rPr>
        <w:t>The problem of variance in clinical outcomes is used to inform the questions that are used in the literature review.</w:t>
      </w:r>
    </w:p>
    <w:p w14:paraId="7816BF2E" w14:textId="77777777" w:rsidR="007F596B" w:rsidRPr="00147844" w:rsidRDefault="007F596B" w:rsidP="007F596B">
      <w:pPr>
        <w:spacing w:line="480" w:lineRule="auto"/>
        <w:rPr>
          <w:rFonts w:ascii="Arial" w:hAnsi="Arial" w:cs="Arial"/>
          <w:sz w:val="22"/>
          <w:szCs w:val="22"/>
        </w:rPr>
      </w:pPr>
    </w:p>
    <w:p w14:paraId="4778D814" w14:textId="6F7AC0D6" w:rsidR="00BB626C" w:rsidRDefault="007F596B" w:rsidP="007F596B">
      <w:pPr>
        <w:spacing w:line="480" w:lineRule="auto"/>
        <w:rPr>
          <w:rFonts w:ascii="Arial" w:hAnsi="Arial" w:cs="Arial"/>
          <w:sz w:val="22"/>
          <w:szCs w:val="22"/>
        </w:rPr>
      </w:pPr>
      <w:r w:rsidRPr="00147844">
        <w:rPr>
          <w:rFonts w:ascii="Arial" w:hAnsi="Arial" w:cs="Arial"/>
          <w:b/>
          <w:sz w:val="22"/>
          <w:szCs w:val="22"/>
        </w:rPr>
        <w:t xml:space="preserve">Chapter </w:t>
      </w:r>
      <w:r w:rsidR="005263BD">
        <w:rPr>
          <w:rFonts w:ascii="Arial" w:hAnsi="Arial" w:cs="Arial"/>
          <w:b/>
          <w:sz w:val="22"/>
          <w:szCs w:val="22"/>
        </w:rPr>
        <w:t>3</w:t>
      </w:r>
      <w:r w:rsidRPr="00147844">
        <w:rPr>
          <w:rFonts w:ascii="Arial" w:hAnsi="Arial" w:cs="Arial"/>
          <w:sz w:val="22"/>
          <w:szCs w:val="22"/>
        </w:rPr>
        <w:t xml:space="preserve">: Literature Review: </w:t>
      </w:r>
    </w:p>
    <w:p w14:paraId="793523CB" w14:textId="4622FCFE" w:rsidR="007F596B" w:rsidRPr="00147844" w:rsidRDefault="007F596B" w:rsidP="007F596B">
      <w:pPr>
        <w:spacing w:line="480" w:lineRule="auto"/>
        <w:rPr>
          <w:rFonts w:ascii="Arial" w:hAnsi="Arial" w:cs="Arial"/>
          <w:sz w:val="22"/>
          <w:szCs w:val="22"/>
        </w:rPr>
      </w:pPr>
      <w:r w:rsidRPr="00147844">
        <w:rPr>
          <w:rFonts w:ascii="Arial" w:hAnsi="Arial" w:cs="Arial"/>
          <w:sz w:val="22"/>
          <w:szCs w:val="22"/>
        </w:rPr>
        <w:t xml:space="preserve">Chapter </w:t>
      </w:r>
      <w:r w:rsidR="00285B5B" w:rsidRPr="00C13124">
        <w:rPr>
          <w:rFonts w:ascii="Arial" w:hAnsi="Arial" w:cs="Arial"/>
          <w:sz w:val="22"/>
          <w:szCs w:val="22"/>
          <w:highlight w:val="yellow"/>
        </w:rPr>
        <w:t>3</w:t>
      </w:r>
      <w:r w:rsidRPr="00147844">
        <w:rPr>
          <w:rFonts w:ascii="Arial" w:hAnsi="Arial" w:cs="Arial"/>
          <w:sz w:val="22"/>
          <w:szCs w:val="22"/>
        </w:rPr>
        <w:t xml:space="preserve"> </w:t>
      </w:r>
      <w:r w:rsidR="005263BD">
        <w:rPr>
          <w:rFonts w:ascii="Arial" w:hAnsi="Arial" w:cs="Arial"/>
          <w:sz w:val="22"/>
          <w:szCs w:val="22"/>
        </w:rPr>
        <w:t xml:space="preserve">commences with a </w:t>
      </w:r>
      <w:r w:rsidR="00BB626C">
        <w:rPr>
          <w:rFonts w:ascii="Arial" w:hAnsi="Arial" w:cs="Arial"/>
          <w:sz w:val="22"/>
          <w:szCs w:val="22"/>
        </w:rPr>
        <w:t xml:space="preserve">preliminary </w:t>
      </w:r>
      <w:r w:rsidR="00F354A5">
        <w:rPr>
          <w:rFonts w:ascii="Arial" w:hAnsi="Arial" w:cs="Arial"/>
          <w:sz w:val="22"/>
          <w:szCs w:val="22"/>
        </w:rPr>
        <w:t>scoping</w:t>
      </w:r>
      <w:r w:rsidR="005263BD">
        <w:rPr>
          <w:rFonts w:ascii="Arial" w:hAnsi="Arial" w:cs="Arial"/>
          <w:sz w:val="22"/>
          <w:szCs w:val="22"/>
        </w:rPr>
        <w:t xml:space="preserve"> review of the wider literature relating to the therapist variables that might be associated with clinical outcomes. This includes the historical context of research in this area and the literature from other psychological therapy models</w:t>
      </w:r>
      <w:r w:rsidR="00653EC3">
        <w:rPr>
          <w:rFonts w:ascii="Arial" w:hAnsi="Arial" w:cs="Arial"/>
          <w:sz w:val="22"/>
          <w:szCs w:val="22"/>
        </w:rPr>
        <w:t>,</w:t>
      </w:r>
      <w:r w:rsidR="005263BD">
        <w:rPr>
          <w:rFonts w:ascii="Arial" w:hAnsi="Arial" w:cs="Arial"/>
          <w:sz w:val="22"/>
          <w:szCs w:val="22"/>
        </w:rPr>
        <w:t xml:space="preserve"> including English speaking countries other than the United Kingdom. This is followed by a systematic review of the literature relating to peer reviewed papers which examine the relationship between </w:t>
      </w:r>
      <w:r w:rsidRPr="00147844">
        <w:rPr>
          <w:rFonts w:ascii="Arial" w:hAnsi="Arial" w:cs="Arial"/>
          <w:sz w:val="22"/>
          <w:szCs w:val="22"/>
        </w:rPr>
        <w:t xml:space="preserve">therapist variables </w:t>
      </w:r>
      <w:r w:rsidR="005263BD">
        <w:rPr>
          <w:rFonts w:ascii="Arial" w:hAnsi="Arial" w:cs="Arial"/>
          <w:sz w:val="22"/>
          <w:szCs w:val="22"/>
        </w:rPr>
        <w:t xml:space="preserve">and </w:t>
      </w:r>
      <w:r w:rsidRPr="00147844">
        <w:rPr>
          <w:rFonts w:ascii="Arial" w:hAnsi="Arial" w:cs="Arial"/>
          <w:sz w:val="22"/>
          <w:szCs w:val="22"/>
        </w:rPr>
        <w:t xml:space="preserve">clinical outcome in the United Kingdom’s IAPT programme. </w:t>
      </w:r>
      <w:r w:rsidR="005263BD">
        <w:rPr>
          <w:rFonts w:ascii="Arial" w:hAnsi="Arial" w:cs="Arial"/>
          <w:sz w:val="22"/>
          <w:szCs w:val="22"/>
        </w:rPr>
        <w:t xml:space="preserve">The systematic review identifies a small number of papers which primarily focus on therapist effects </w:t>
      </w:r>
      <w:r w:rsidR="00B93FD9">
        <w:rPr>
          <w:rFonts w:ascii="Arial" w:hAnsi="Arial" w:cs="Arial"/>
          <w:sz w:val="22"/>
          <w:szCs w:val="22"/>
        </w:rPr>
        <w:t xml:space="preserve">in IAPT </w:t>
      </w:r>
      <w:r w:rsidR="005263BD">
        <w:rPr>
          <w:rFonts w:ascii="Arial" w:hAnsi="Arial" w:cs="Arial"/>
          <w:sz w:val="22"/>
          <w:szCs w:val="22"/>
        </w:rPr>
        <w:t xml:space="preserve">using Multi-Level Modelling.  It is clearly established that between 3 and 8% of variance in outcome is due to therapist effects in IAPT. However, </w:t>
      </w:r>
      <w:r w:rsidR="00B93FD9">
        <w:rPr>
          <w:rFonts w:ascii="Arial" w:hAnsi="Arial" w:cs="Arial"/>
          <w:sz w:val="22"/>
          <w:szCs w:val="22"/>
        </w:rPr>
        <w:t xml:space="preserve">a significant limitation of all the papers reviewed is that most of the studies </w:t>
      </w:r>
      <w:r w:rsidR="00F354A5">
        <w:rPr>
          <w:rFonts w:ascii="Arial" w:hAnsi="Arial" w:cs="Arial"/>
          <w:sz w:val="22"/>
          <w:szCs w:val="22"/>
        </w:rPr>
        <w:t>were unable</w:t>
      </w:r>
      <w:r w:rsidR="00B93FD9">
        <w:rPr>
          <w:rFonts w:ascii="Arial" w:hAnsi="Arial" w:cs="Arial"/>
          <w:sz w:val="22"/>
          <w:szCs w:val="22"/>
        </w:rPr>
        <w:t xml:space="preserve"> access to recordings of therapy sessions or therapy transcripts and</w:t>
      </w:r>
      <w:r w:rsidR="00653EC3">
        <w:rPr>
          <w:rFonts w:ascii="Arial" w:hAnsi="Arial" w:cs="Arial"/>
          <w:sz w:val="22"/>
          <w:szCs w:val="22"/>
        </w:rPr>
        <w:t>,</w:t>
      </w:r>
      <w:r w:rsidR="00B93FD9">
        <w:rPr>
          <w:rFonts w:ascii="Arial" w:hAnsi="Arial" w:cs="Arial"/>
          <w:sz w:val="22"/>
          <w:szCs w:val="22"/>
        </w:rPr>
        <w:t xml:space="preserve"> of those that did</w:t>
      </w:r>
      <w:r w:rsidR="00653EC3">
        <w:rPr>
          <w:rFonts w:ascii="Arial" w:hAnsi="Arial" w:cs="Arial"/>
          <w:sz w:val="22"/>
          <w:szCs w:val="22"/>
        </w:rPr>
        <w:t>,</w:t>
      </w:r>
      <w:r w:rsidR="00B93FD9">
        <w:rPr>
          <w:rFonts w:ascii="Arial" w:hAnsi="Arial" w:cs="Arial"/>
          <w:sz w:val="22"/>
          <w:szCs w:val="22"/>
        </w:rPr>
        <w:t xml:space="preserve"> access was </w:t>
      </w:r>
      <w:r w:rsidR="00F354A5">
        <w:rPr>
          <w:rFonts w:ascii="Arial" w:hAnsi="Arial" w:cs="Arial"/>
          <w:sz w:val="22"/>
          <w:szCs w:val="22"/>
        </w:rPr>
        <w:t xml:space="preserve">significantly </w:t>
      </w:r>
      <w:r w:rsidR="00B93FD9">
        <w:rPr>
          <w:rFonts w:ascii="Arial" w:hAnsi="Arial" w:cs="Arial"/>
          <w:sz w:val="22"/>
          <w:szCs w:val="22"/>
        </w:rPr>
        <w:t xml:space="preserve">limited.  </w:t>
      </w:r>
      <w:r w:rsidR="00BF4227">
        <w:rPr>
          <w:rFonts w:ascii="Arial" w:hAnsi="Arial" w:cs="Arial"/>
          <w:sz w:val="22"/>
          <w:szCs w:val="22"/>
        </w:rPr>
        <w:t>T</w:t>
      </w:r>
      <w:r w:rsidR="00B93FD9">
        <w:rPr>
          <w:rFonts w:ascii="Arial" w:hAnsi="Arial" w:cs="Arial"/>
          <w:sz w:val="22"/>
          <w:szCs w:val="22"/>
        </w:rPr>
        <w:t>his chapter argues that whilst variance in outcome</w:t>
      </w:r>
      <w:r w:rsidR="00BF4227">
        <w:rPr>
          <w:rFonts w:ascii="Arial" w:hAnsi="Arial" w:cs="Arial"/>
          <w:sz w:val="22"/>
          <w:szCs w:val="22"/>
        </w:rPr>
        <w:t>,</w:t>
      </w:r>
      <w:r w:rsidR="00B93FD9">
        <w:rPr>
          <w:rFonts w:ascii="Arial" w:hAnsi="Arial" w:cs="Arial"/>
          <w:sz w:val="22"/>
          <w:szCs w:val="22"/>
        </w:rPr>
        <w:t xml:space="preserve"> due to therapist effects</w:t>
      </w:r>
      <w:r w:rsidR="00BF4227">
        <w:rPr>
          <w:rFonts w:ascii="Arial" w:hAnsi="Arial" w:cs="Arial"/>
          <w:sz w:val="22"/>
          <w:szCs w:val="22"/>
        </w:rPr>
        <w:t>,</w:t>
      </w:r>
      <w:r w:rsidR="00B93FD9">
        <w:rPr>
          <w:rFonts w:ascii="Arial" w:hAnsi="Arial" w:cs="Arial"/>
          <w:sz w:val="22"/>
          <w:szCs w:val="22"/>
        </w:rPr>
        <w:t xml:space="preserve"> is being established</w:t>
      </w:r>
      <w:r w:rsidR="00653EC3">
        <w:rPr>
          <w:rFonts w:ascii="Arial" w:hAnsi="Arial" w:cs="Arial"/>
          <w:sz w:val="22"/>
          <w:szCs w:val="22"/>
        </w:rPr>
        <w:t>,</w:t>
      </w:r>
      <w:r w:rsidR="00B93FD9">
        <w:rPr>
          <w:rFonts w:ascii="Arial" w:hAnsi="Arial" w:cs="Arial"/>
          <w:sz w:val="22"/>
          <w:szCs w:val="22"/>
        </w:rPr>
        <w:t xml:space="preserve"> very little is known about how therapists vary</w:t>
      </w:r>
      <w:r w:rsidR="00864DBE">
        <w:rPr>
          <w:rFonts w:ascii="Arial" w:hAnsi="Arial" w:cs="Arial"/>
          <w:sz w:val="22"/>
          <w:szCs w:val="22"/>
        </w:rPr>
        <w:t>. It is identified that, up until now,</w:t>
      </w:r>
      <w:r w:rsidR="00F354A5">
        <w:rPr>
          <w:rFonts w:ascii="Arial" w:hAnsi="Arial" w:cs="Arial"/>
          <w:sz w:val="22"/>
          <w:szCs w:val="22"/>
        </w:rPr>
        <w:t xml:space="preserve"> i</w:t>
      </w:r>
      <w:r w:rsidR="00B93FD9">
        <w:rPr>
          <w:rFonts w:ascii="Arial" w:hAnsi="Arial" w:cs="Arial"/>
          <w:sz w:val="22"/>
          <w:szCs w:val="22"/>
        </w:rPr>
        <w:t>t has not been possible to understand what therapists are doing with their patients</w:t>
      </w:r>
      <w:r w:rsidR="00F354A5">
        <w:rPr>
          <w:rFonts w:ascii="Arial" w:hAnsi="Arial" w:cs="Arial"/>
          <w:sz w:val="22"/>
          <w:szCs w:val="22"/>
        </w:rPr>
        <w:t xml:space="preserve"> and how </w:t>
      </w:r>
      <w:r w:rsidR="00B93FD9">
        <w:rPr>
          <w:rFonts w:ascii="Arial" w:hAnsi="Arial" w:cs="Arial"/>
          <w:sz w:val="22"/>
          <w:szCs w:val="22"/>
        </w:rPr>
        <w:t xml:space="preserve">that might relate to outcome. </w:t>
      </w:r>
      <w:r w:rsidRPr="00147844">
        <w:rPr>
          <w:rFonts w:ascii="Arial" w:hAnsi="Arial" w:cs="Arial"/>
          <w:sz w:val="22"/>
          <w:szCs w:val="22"/>
        </w:rPr>
        <w:t xml:space="preserve">This chapter </w:t>
      </w:r>
      <w:r w:rsidR="00B93FD9">
        <w:rPr>
          <w:rFonts w:ascii="Arial" w:hAnsi="Arial" w:cs="Arial"/>
          <w:sz w:val="22"/>
          <w:szCs w:val="22"/>
        </w:rPr>
        <w:lastRenderedPageBreak/>
        <w:t>identifies</w:t>
      </w:r>
      <w:r w:rsidRPr="00147844">
        <w:rPr>
          <w:rFonts w:ascii="Arial" w:hAnsi="Arial" w:cs="Arial"/>
          <w:sz w:val="22"/>
          <w:szCs w:val="22"/>
        </w:rPr>
        <w:t xml:space="preserve"> a significant gap in knowledge relating to what is known about therapist variables and their relationship with outcome.  </w:t>
      </w:r>
    </w:p>
    <w:p w14:paraId="0DD50168" w14:textId="0DE1ED19" w:rsidR="000D7DDA" w:rsidRDefault="000D7DDA">
      <w:pPr>
        <w:rPr>
          <w:rFonts w:ascii="Arial" w:hAnsi="Arial" w:cs="Arial"/>
          <w:b/>
          <w:sz w:val="22"/>
          <w:szCs w:val="22"/>
        </w:rPr>
      </w:pPr>
    </w:p>
    <w:p w14:paraId="17787AA4" w14:textId="7CE239EC" w:rsidR="00324530" w:rsidRDefault="007F596B" w:rsidP="007F596B">
      <w:pPr>
        <w:spacing w:line="480" w:lineRule="auto"/>
        <w:rPr>
          <w:rFonts w:ascii="Arial" w:hAnsi="Arial" w:cs="Arial"/>
          <w:sz w:val="22"/>
          <w:szCs w:val="22"/>
        </w:rPr>
      </w:pPr>
      <w:r w:rsidRPr="00147844">
        <w:rPr>
          <w:rFonts w:ascii="Arial" w:hAnsi="Arial" w:cs="Arial"/>
          <w:b/>
          <w:sz w:val="22"/>
          <w:szCs w:val="22"/>
        </w:rPr>
        <w:t xml:space="preserve">Chapter </w:t>
      </w:r>
      <w:r w:rsidR="005A0ADB">
        <w:rPr>
          <w:rFonts w:ascii="Arial" w:hAnsi="Arial" w:cs="Arial"/>
          <w:b/>
          <w:sz w:val="22"/>
          <w:szCs w:val="22"/>
        </w:rPr>
        <w:t>4</w:t>
      </w:r>
      <w:r w:rsidRPr="00147844">
        <w:rPr>
          <w:rFonts w:ascii="Arial" w:hAnsi="Arial" w:cs="Arial"/>
          <w:sz w:val="22"/>
          <w:szCs w:val="22"/>
        </w:rPr>
        <w:t xml:space="preserve">: Methodology: </w:t>
      </w:r>
    </w:p>
    <w:p w14:paraId="77C44E53" w14:textId="2216BA6E" w:rsidR="002F1C3F" w:rsidRPr="00147844" w:rsidRDefault="007F596B" w:rsidP="007F596B">
      <w:pPr>
        <w:spacing w:line="480" w:lineRule="auto"/>
        <w:rPr>
          <w:rFonts w:ascii="Arial" w:hAnsi="Arial" w:cs="Arial"/>
          <w:sz w:val="22"/>
          <w:szCs w:val="22"/>
        </w:rPr>
      </w:pPr>
      <w:r w:rsidRPr="00147844">
        <w:rPr>
          <w:rFonts w:ascii="Arial" w:hAnsi="Arial" w:cs="Arial"/>
          <w:sz w:val="22"/>
          <w:szCs w:val="22"/>
        </w:rPr>
        <w:t>This chapter establishe</w:t>
      </w:r>
      <w:r w:rsidR="00D76118">
        <w:rPr>
          <w:rFonts w:ascii="Arial" w:hAnsi="Arial" w:cs="Arial"/>
          <w:sz w:val="22"/>
          <w:szCs w:val="22"/>
        </w:rPr>
        <w:t>s</w:t>
      </w:r>
      <w:r w:rsidRPr="00147844">
        <w:rPr>
          <w:rFonts w:ascii="Arial" w:hAnsi="Arial" w:cs="Arial"/>
          <w:sz w:val="22"/>
          <w:szCs w:val="22"/>
        </w:rPr>
        <w:t xml:space="preserve"> the research design and methods used for this research and provides a justification for this approach in the context of the findings from the literature review and the ontological and epistemological positions that are presented in this thesis.</w:t>
      </w:r>
      <w:r w:rsidR="00D76118">
        <w:rPr>
          <w:rFonts w:ascii="Arial" w:hAnsi="Arial" w:cs="Arial"/>
          <w:sz w:val="22"/>
          <w:szCs w:val="22"/>
        </w:rPr>
        <w:t xml:space="preserve"> </w:t>
      </w:r>
      <w:r w:rsidR="00F354A5">
        <w:rPr>
          <w:rFonts w:ascii="Arial" w:hAnsi="Arial" w:cs="Arial"/>
          <w:sz w:val="22"/>
          <w:szCs w:val="22"/>
        </w:rPr>
        <w:t xml:space="preserve">Chapter 4 defines how the data for this naturalistic observational study was collected as part of normal routine care in the delivery of CBT by the service Ieso Digital Health. </w:t>
      </w:r>
      <w:r w:rsidR="002F1C3F">
        <w:rPr>
          <w:rFonts w:ascii="Arial" w:hAnsi="Arial" w:cs="Arial"/>
          <w:sz w:val="22"/>
          <w:szCs w:val="22"/>
        </w:rPr>
        <w:t xml:space="preserve">The storage and protection of the data, including ethics and data security are defined. </w:t>
      </w:r>
      <w:r w:rsidR="00F354A5">
        <w:rPr>
          <w:rFonts w:ascii="Arial" w:hAnsi="Arial" w:cs="Arial"/>
          <w:sz w:val="22"/>
          <w:szCs w:val="22"/>
        </w:rPr>
        <w:t xml:space="preserve">The chapter describes how therapists who had delivered CBT to more than 10 patients were invited to allow the researcher to use their data for the purposes of this research. </w:t>
      </w:r>
      <w:r w:rsidR="002F1C3F">
        <w:rPr>
          <w:rFonts w:ascii="Arial" w:hAnsi="Arial" w:cs="Arial"/>
          <w:sz w:val="22"/>
          <w:szCs w:val="22"/>
        </w:rPr>
        <w:t>This is followed by a detailed description of the therapist data including therapist</w:t>
      </w:r>
      <w:r w:rsidR="00F354A5">
        <w:rPr>
          <w:rFonts w:ascii="Arial" w:hAnsi="Arial" w:cs="Arial"/>
          <w:sz w:val="22"/>
          <w:szCs w:val="22"/>
        </w:rPr>
        <w:t xml:space="preserve"> </w:t>
      </w:r>
      <w:r w:rsidR="002F1C3F">
        <w:rPr>
          <w:rFonts w:ascii="Arial" w:hAnsi="Arial" w:cs="Arial"/>
          <w:sz w:val="22"/>
          <w:szCs w:val="22"/>
        </w:rPr>
        <w:t xml:space="preserve">demographics and an analysis of each therapist’s ability to deliver CBT with fidelity to the model and adherence to the evidence base. The terms ‘F score’ and ‘A score’ are introduced relating to fidelity the CBT model and adherence to the evidence base respectively. Detailed descriptions of the processes that were involved in assessing therapists’ F scores and A scores including the process of inter-rater reliability training for each of the senior clinicians who rated the therapists’ work. Chapter four concludes by </w:t>
      </w:r>
      <w:r w:rsidR="00324530">
        <w:rPr>
          <w:rFonts w:ascii="Arial" w:hAnsi="Arial" w:cs="Arial"/>
          <w:sz w:val="22"/>
          <w:szCs w:val="22"/>
        </w:rPr>
        <w:t>outlining</w:t>
      </w:r>
      <w:r w:rsidR="002F1C3F">
        <w:rPr>
          <w:rFonts w:ascii="Arial" w:hAnsi="Arial" w:cs="Arial"/>
          <w:sz w:val="22"/>
          <w:szCs w:val="22"/>
        </w:rPr>
        <w:t xml:space="preserve"> the statistical analyses plan for the data collected.</w:t>
      </w:r>
    </w:p>
    <w:p w14:paraId="6AB6E0A5" w14:textId="77777777" w:rsidR="007F596B" w:rsidRPr="00147844" w:rsidRDefault="007F596B" w:rsidP="007F596B">
      <w:pPr>
        <w:spacing w:line="480" w:lineRule="auto"/>
        <w:rPr>
          <w:rFonts w:ascii="Arial" w:hAnsi="Arial" w:cs="Arial"/>
          <w:sz w:val="22"/>
          <w:szCs w:val="22"/>
        </w:rPr>
      </w:pPr>
    </w:p>
    <w:p w14:paraId="1AB0994D" w14:textId="77777777" w:rsidR="00324530" w:rsidRDefault="007F596B" w:rsidP="008F11B3">
      <w:pPr>
        <w:spacing w:line="480" w:lineRule="auto"/>
        <w:rPr>
          <w:rFonts w:ascii="Arial" w:hAnsi="Arial" w:cs="Arial"/>
          <w:sz w:val="22"/>
          <w:szCs w:val="22"/>
        </w:rPr>
      </w:pPr>
      <w:r w:rsidRPr="00147844">
        <w:rPr>
          <w:rFonts w:ascii="Arial" w:hAnsi="Arial" w:cs="Arial"/>
          <w:b/>
          <w:sz w:val="22"/>
          <w:szCs w:val="22"/>
        </w:rPr>
        <w:t xml:space="preserve">Chapter </w:t>
      </w:r>
      <w:r w:rsidR="005A0ADB">
        <w:rPr>
          <w:rFonts w:ascii="Arial" w:hAnsi="Arial" w:cs="Arial"/>
          <w:b/>
          <w:sz w:val="22"/>
          <w:szCs w:val="22"/>
        </w:rPr>
        <w:t>5</w:t>
      </w:r>
      <w:r w:rsidRPr="00147844">
        <w:rPr>
          <w:rFonts w:ascii="Arial" w:hAnsi="Arial" w:cs="Arial"/>
          <w:sz w:val="22"/>
          <w:szCs w:val="22"/>
        </w:rPr>
        <w:t xml:space="preserve">: Findings: </w:t>
      </w:r>
    </w:p>
    <w:p w14:paraId="747867B3" w14:textId="5FCC0839" w:rsidR="008F11B3" w:rsidRPr="00147844" w:rsidRDefault="007F596B" w:rsidP="008F11B3">
      <w:pPr>
        <w:spacing w:line="480" w:lineRule="auto"/>
        <w:rPr>
          <w:rFonts w:ascii="Arial" w:hAnsi="Arial" w:cs="Arial"/>
          <w:sz w:val="22"/>
          <w:szCs w:val="22"/>
        </w:rPr>
      </w:pPr>
      <w:r w:rsidRPr="00147844">
        <w:rPr>
          <w:rFonts w:ascii="Arial" w:hAnsi="Arial" w:cs="Arial"/>
          <w:sz w:val="22"/>
          <w:szCs w:val="22"/>
        </w:rPr>
        <w:t xml:space="preserve">Chapter </w:t>
      </w:r>
      <w:r w:rsidR="002F1C3F">
        <w:rPr>
          <w:rFonts w:ascii="Arial" w:hAnsi="Arial" w:cs="Arial"/>
          <w:sz w:val="22"/>
          <w:szCs w:val="22"/>
        </w:rPr>
        <w:t>5</w:t>
      </w:r>
      <w:r w:rsidRPr="00147844">
        <w:rPr>
          <w:rFonts w:ascii="Arial" w:hAnsi="Arial" w:cs="Arial"/>
          <w:sz w:val="22"/>
          <w:szCs w:val="22"/>
        </w:rPr>
        <w:t xml:space="preserve"> presents the data produced from </w:t>
      </w:r>
      <w:r w:rsidR="008F11B3">
        <w:rPr>
          <w:rFonts w:ascii="Arial" w:hAnsi="Arial" w:cs="Arial"/>
          <w:sz w:val="22"/>
          <w:szCs w:val="22"/>
        </w:rPr>
        <w:t xml:space="preserve">the </w:t>
      </w:r>
      <w:r w:rsidR="0002181A">
        <w:rPr>
          <w:rFonts w:ascii="Arial" w:hAnsi="Arial" w:cs="Arial"/>
          <w:sz w:val="22"/>
          <w:szCs w:val="22"/>
        </w:rPr>
        <w:t>rating</w:t>
      </w:r>
      <w:r w:rsidRPr="00147844">
        <w:rPr>
          <w:rFonts w:ascii="Arial" w:hAnsi="Arial" w:cs="Arial"/>
          <w:sz w:val="22"/>
          <w:szCs w:val="22"/>
        </w:rPr>
        <w:t xml:space="preserve"> of therapists’ </w:t>
      </w:r>
      <w:r w:rsidR="0002181A">
        <w:rPr>
          <w:rFonts w:ascii="Arial" w:hAnsi="Arial" w:cs="Arial"/>
          <w:sz w:val="22"/>
          <w:szCs w:val="22"/>
        </w:rPr>
        <w:t>transcripts, therapist demographics</w:t>
      </w:r>
      <w:r w:rsidRPr="00147844">
        <w:rPr>
          <w:rFonts w:ascii="Arial" w:hAnsi="Arial" w:cs="Arial"/>
          <w:sz w:val="22"/>
          <w:szCs w:val="22"/>
        </w:rPr>
        <w:t xml:space="preserve"> and the associated outcome data.  </w:t>
      </w:r>
      <w:r w:rsidR="008F11B3">
        <w:rPr>
          <w:rFonts w:ascii="Arial" w:hAnsi="Arial" w:cs="Arial"/>
          <w:sz w:val="22"/>
          <w:szCs w:val="22"/>
        </w:rPr>
        <w:t xml:space="preserve">The chapter commences with </w:t>
      </w:r>
      <w:r w:rsidR="0002181A">
        <w:rPr>
          <w:rFonts w:ascii="Arial" w:hAnsi="Arial" w:cs="Arial"/>
          <w:sz w:val="22"/>
          <w:szCs w:val="22"/>
        </w:rPr>
        <w:t xml:space="preserve">a </w:t>
      </w:r>
      <w:r w:rsidR="008F11B3">
        <w:rPr>
          <w:rFonts w:ascii="Arial" w:hAnsi="Arial" w:cs="Arial"/>
          <w:sz w:val="22"/>
          <w:szCs w:val="22"/>
        </w:rPr>
        <w:t>description of the dependent and independent variables and establishes normal distribution. This is followed by simple correlations and linear regression used to understand the relationship between each of the independent variables and the dependent variable</w:t>
      </w:r>
      <w:r w:rsidR="00653EC3">
        <w:rPr>
          <w:rFonts w:ascii="Arial" w:hAnsi="Arial" w:cs="Arial"/>
          <w:sz w:val="22"/>
          <w:szCs w:val="22"/>
        </w:rPr>
        <w:t>;</w:t>
      </w:r>
      <w:r w:rsidR="008F11B3">
        <w:rPr>
          <w:rFonts w:ascii="Arial" w:hAnsi="Arial" w:cs="Arial"/>
          <w:sz w:val="22"/>
          <w:szCs w:val="22"/>
        </w:rPr>
        <w:t xml:space="preserve"> clinical outcome.  It is established that there is no significant relationship between therapist </w:t>
      </w:r>
      <w:r w:rsidR="008F11B3">
        <w:rPr>
          <w:rFonts w:ascii="Arial" w:hAnsi="Arial" w:cs="Arial"/>
          <w:sz w:val="22"/>
          <w:szCs w:val="22"/>
        </w:rPr>
        <w:lastRenderedPageBreak/>
        <w:t>demographics and clinical outcome. This confirms the findings from other studies. However, therapist competence (as rated by the CTS-R) and therapist adherence are significantly related to clinical outcome at the &lt;0.05 level.  To further test the strength of this relationship, in the context of all the other variables, a hierarchical linear regression model was used resulting in similar findings in that competence and adherence remain statistically significant.  A final analysis included patient variables into a Log-Linear Analysis model in order to understand whether therapist competence and adherence remain significant when patient variables are added to the model.  The findings from this final analysis confirm the previous results in that both competence and adherence remain significant, but that adherence only had a relationship with clinical outcome through competence.  This would suggest that therapist competence (as measured by the CTS-R) might be the vehicle from which the evidence-based protocol is delivered. That is to say if a therapist is unable to deliver CBT with fidelity to the model then it follows that they will be less likely to be able to adhere to a protocol</w:t>
      </w:r>
      <w:r w:rsidR="00653EC3">
        <w:rPr>
          <w:rFonts w:ascii="Arial" w:hAnsi="Arial" w:cs="Arial"/>
          <w:sz w:val="22"/>
          <w:szCs w:val="22"/>
        </w:rPr>
        <w:t xml:space="preserve"> and</w:t>
      </w:r>
      <w:r w:rsidR="008F11B3">
        <w:rPr>
          <w:rFonts w:ascii="Arial" w:hAnsi="Arial" w:cs="Arial"/>
          <w:sz w:val="22"/>
          <w:szCs w:val="22"/>
        </w:rPr>
        <w:t>, without competence</w:t>
      </w:r>
      <w:r w:rsidR="00653EC3">
        <w:rPr>
          <w:rFonts w:ascii="Arial" w:hAnsi="Arial" w:cs="Arial"/>
          <w:sz w:val="22"/>
          <w:szCs w:val="22"/>
        </w:rPr>
        <w:t>,</w:t>
      </w:r>
      <w:r w:rsidR="008F11B3">
        <w:rPr>
          <w:rFonts w:ascii="Arial" w:hAnsi="Arial" w:cs="Arial"/>
          <w:sz w:val="22"/>
          <w:szCs w:val="22"/>
        </w:rPr>
        <w:t xml:space="preserve"> the outcome is likely to be poor.</w:t>
      </w:r>
    </w:p>
    <w:p w14:paraId="7C95836A" w14:textId="77777777" w:rsidR="007F596B" w:rsidRPr="00147844" w:rsidRDefault="007F596B" w:rsidP="007F596B">
      <w:pPr>
        <w:spacing w:line="480" w:lineRule="auto"/>
        <w:rPr>
          <w:rFonts w:ascii="Arial" w:hAnsi="Arial" w:cs="Arial"/>
          <w:sz w:val="22"/>
          <w:szCs w:val="22"/>
        </w:rPr>
      </w:pPr>
    </w:p>
    <w:p w14:paraId="17789A61" w14:textId="77777777" w:rsidR="00DD007B" w:rsidRDefault="007F596B" w:rsidP="007F596B">
      <w:pPr>
        <w:spacing w:line="480" w:lineRule="auto"/>
        <w:rPr>
          <w:rFonts w:ascii="Arial" w:hAnsi="Arial" w:cs="Arial"/>
          <w:sz w:val="22"/>
          <w:szCs w:val="22"/>
        </w:rPr>
      </w:pPr>
      <w:r w:rsidRPr="00147844">
        <w:rPr>
          <w:rFonts w:ascii="Arial" w:hAnsi="Arial" w:cs="Arial"/>
          <w:b/>
          <w:sz w:val="22"/>
          <w:szCs w:val="22"/>
        </w:rPr>
        <w:t xml:space="preserve">Chapter </w:t>
      </w:r>
      <w:r w:rsidR="005A0ADB">
        <w:rPr>
          <w:rFonts w:ascii="Arial" w:hAnsi="Arial" w:cs="Arial"/>
          <w:b/>
          <w:sz w:val="22"/>
          <w:szCs w:val="22"/>
        </w:rPr>
        <w:t>6</w:t>
      </w:r>
      <w:r w:rsidRPr="00147844">
        <w:rPr>
          <w:rFonts w:ascii="Arial" w:hAnsi="Arial" w:cs="Arial"/>
          <w:sz w:val="22"/>
          <w:szCs w:val="22"/>
        </w:rPr>
        <w:t xml:space="preserve">: Discussion: </w:t>
      </w:r>
    </w:p>
    <w:p w14:paraId="5707F07A" w14:textId="4E47B826" w:rsidR="00CE66FF" w:rsidRPr="00147844" w:rsidRDefault="007F596B" w:rsidP="00CE66FF">
      <w:pPr>
        <w:spacing w:line="480" w:lineRule="auto"/>
        <w:rPr>
          <w:rFonts w:ascii="Arial" w:hAnsi="Arial" w:cs="Arial"/>
          <w:sz w:val="22"/>
          <w:szCs w:val="22"/>
        </w:rPr>
      </w:pPr>
      <w:r w:rsidRPr="00147844">
        <w:rPr>
          <w:rFonts w:ascii="Arial" w:hAnsi="Arial" w:cs="Arial"/>
          <w:sz w:val="22"/>
          <w:szCs w:val="22"/>
        </w:rPr>
        <w:t xml:space="preserve">This chapter presents the main findings produced by the research and discusses why the results and findings may have occurred and how these relate to what is already known. </w:t>
      </w:r>
      <w:r w:rsidR="0002181A">
        <w:rPr>
          <w:rFonts w:ascii="Arial" w:hAnsi="Arial" w:cs="Arial"/>
          <w:sz w:val="22"/>
          <w:szCs w:val="22"/>
        </w:rPr>
        <w:t>The chapter defines whether each research question was affirmed and discusses how the findings relate to the existing literature. This chapter argues that the findings from this research confirm the cited hypotheses in the literature that fidelity to the CBT model (therapist competence) and therapist adherence relate to clinical outcomes.  It is also argued that the findings f</w:t>
      </w:r>
      <w:r w:rsidR="00830626">
        <w:rPr>
          <w:rFonts w:ascii="Arial" w:hAnsi="Arial" w:cs="Arial"/>
          <w:sz w:val="22"/>
          <w:szCs w:val="22"/>
        </w:rPr>
        <w:t>ro</w:t>
      </w:r>
      <w:r w:rsidR="0002181A">
        <w:rPr>
          <w:rFonts w:ascii="Arial" w:hAnsi="Arial" w:cs="Arial"/>
          <w:sz w:val="22"/>
          <w:szCs w:val="22"/>
        </w:rPr>
        <w:t xml:space="preserve">m this research </w:t>
      </w:r>
      <w:r w:rsidR="009D6765">
        <w:rPr>
          <w:rFonts w:ascii="Arial" w:hAnsi="Arial" w:cs="Arial"/>
          <w:sz w:val="22"/>
          <w:szCs w:val="22"/>
        </w:rPr>
        <w:t>confirm that therapist drift is a commonly occurring phenome</w:t>
      </w:r>
      <w:r w:rsidR="00747667">
        <w:rPr>
          <w:rFonts w:ascii="Arial" w:hAnsi="Arial" w:cs="Arial"/>
          <w:sz w:val="22"/>
          <w:szCs w:val="22"/>
        </w:rPr>
        <w:t>n</w:t>
      </w:r>
      <w:r w:rsidR="003960FB">
        <w:rPr>
          <w:rFonts w:ascii="Arial" w:hAnsi="Arial" w:cs="Arial"/>
          <w:sz w:val="22"/>
          <w:szCs w:val="22"/>
        </w:rPr>
        <w:t>a</w:t>
      </w:r>
      <w:r w:rsidR="0002181A">
        <w:rPr>
          <w:rFonts w:ascii="Arial" w:hAnsi="Arial" w:cs="Arial"/>
          <w:sz w:val="22"/>
          <w:szCs w:val="22"/>
        </w:rPr>
        <w:t xml:space="preserve">. </w:t>
      </w:r>
      <w:r w:rsidR="00747667">
        <w:rPr>
          <w:rFonts w:ascii="Arial" w:hAnsi="Arial" w:cs="Arial"/>
          <w:sz w:val="22"/>
          <w:szCs w:val="22"/>
        </w:rPr>
        <w:t>Previously</w:t>
      </w:r>
      <w:r w:rsidR="00A14024">
        <w:rPr>
          <w:rFonts w:ascii="Arial" w:hAnsi="Arial" w:cs="Arial"/>
          <w:sz w:val="22"/>
          <w:szCs w:val="22"/>
        </w:rPr>
        <w:t xml:space="preserve"> researchers had only been able to hypothesise that therapists may</w:t>
      </w:r>
      <w:r w:rsidR="003D408C">
        <w:rPr>
          <w:rFonts w:ascii="Arial" w:hAnsi="Arial" w:cs="Arial"/>
          <w:sz w:val="22"/>
          <w:szCs w:val="22"/>
        </w:rPr>
        <w:t xml:space="preserve"> drift away from delivering CBT with their patients. It is argued that this finding </w:t>
      </w:r>
      <w:r w:rsidR="00886FAA">
        <w:rPr>
          <w:rFonts w:ascii="Arial" w:hAnsi="Arial" w:cs="Arial"/>
          <w:sz w:val="22"/>
          <w:szCs w:val="22"/>
        </w:rPr>
        <w:t>has an impact</w:t>
      </w:r>
      <w:r w:rsidR="0002181A">
        <w:rPr>
          <w:rFonts w:ascii="Arial" w:hAnsi="Arial" w:cs="Arial"/>
          <w:sz w:val="22"/>
          <w:szCs w:val="22"/>
        </w:rPr>
        <w:t xml:space="preserve"> </w:t>
      </w:r>
      <w:r w:rsidR="00886FAA">
        <w:rPr>
          <w:rFonts w:ascii="Arial" w:hAnsi="Arial" w:cs="Arial"/>
          <w:sz w:val="22"/>
          <w:szCs w:val="22"/>
        </w:rPr>
        <w:t xml:space="preserve">on qualified IAPT therapists </w:t>
      </w:r>
      <w:r w:rsidR="00EE584F">
        <w:rPr>
          <w:rFonts w:ascii="Arial" w:hAnsi="Arial" w:cs="Arial"/>
          <w:sz w:val="22"/>
          <w:szCs w:val="22"/>
        </w:rPr>
        <w:t xml:space="preserve">and for the </w:t>
      </w:r>
      <w:r w:rsidR="0002181A">
        <w:rPr>
          <w:rFonts w:ascii="Arial" w:hAnsi="Arial" w:cs="Arial"/>
          <w:sz w:val="22"/>
          <w:szCs w:val="22"/>
        </w:rPr>
        <w:t xml:space="preserve">training and assessment </w:t>
      </w:r>
      <w:r w:rsidR="00EE584F">
        <w:rPr>
          <w:rFonts w:ascii="Arial" w:hAnsi="Arial" w:cs="Arial"/>
          <w:sz w:val="22"/>
          <w:szCs w:val="22"/>
        </w:rPr>
        <w:t>of trainee therapists</w:t>
      </w:r>
      <w:r w:rsidR="0002181A">
        <w:rPr>
          <w:rFonts w:ascii="Arial" w:hAnsi="Arial" w:cs="Arial"/>
          <w:sz w:val="22"/>
          <w:szCs w:val="22"/>
        </w:rPr>
        <w:t xml:space="preserve">. </w:t>
      </w:r>
      <w:r w:rsidR="005A0ADB">
        <w:rPr>
          <w:rFonts w:ascii="Arial" w:hAnsi="Arial" w:cs="Arial"/>
          <w:sz w:val="22"/>
          <w:szCs w:val="22"/>
        </w:rPr>
        <w:t xml:space="preserve">This chapter includes a discussion about the limitations of this research including </w:t>
      </w:r>
      <w:r w:rsidR="0002181A">
        <w:rPr>
          <w:rFonts w:ascii="Arial" w:hAnsi="Arial" w:cs="Arial"/>
          <w:sz w:val="22"/>
          <w:szCs w:val="22"/>
        </w:rPr>
        <w:t>a broader discussion of whether the findings from this research can be generalised to traditional face-</w:t>
      </w:r>
      <w:r w:rsidR="0002181A">
        <w:rPr>
          <w:rFonts w:ascii="Arial" w:hAnsi="Arial" w:cs="Arial"/>
          <w:sz w:val="22"/>
          <w:szCs w:val="22"/>
        </w:rPr>
        <w:lastRenderedPageBreak/>
        <w:t xml:space="preserve">to-face CBT. </w:t>
      </w:r>
      <w:r w:rsidR="005A0ADB">
        <w:rPr>
          <w:rFonts w:ascii="Arial" w:hAnsi="Arial" w:cs="Arial"/>
          <w:sz w:val="22"/>
          <w:szCs w:val="22"/>
        </w:rPr>
        <w:t>Chapter 6 also explores that whilst competence and adherence a significantly related to outcome at the &lt; 0.05 level</w:t>
      </w:r>
      <w:r w:rsidR="00DA4F8E">
        <w:rPr>
          <w:rFonts w:ascii="Arial" w:hAnsi="Arial" w:cs="Arial"/>
          <w:sz w:val="22"/>
          <w:szCs w:val="22"/>
        </w:rPr>
        <w:t>,</w:t>
      </w:r>
      <w:r w:rsidR="005A0ADB">
        <w:rPr>
          <w:rFonts w:ascii="Arial" w:hAnsi="Arial" w:cs="Arial"/>
          <w:sz w:val="22"/>
          <w:szCs w:val="22"/>
        </w:rPr>
        <w:t xml:space="preserve"> </w:t>
      </w:r>
      <w:r w:rsidR="00DA4F8E">
        <w:rPr>
          <w:rFonts w:ascii="Arial" w:hAnsi="Arial" w:cs="Arial"/>
          <w:sz w:val="22"/>
          <w:szCs w:val="22"/>
        </w:rPr>
        <w:t>f</w:t>
      </w:r>
      <w:r w:rsidR="005A0ADB">
        <w:rPr>
          <w:rFonts w:ascii="Arial" w:hAnsi="Arial" w:cs="Arial"/>
          <w:sz w:val="22"/>
          <w:szCs w:val="22"/>
        </w:rPr>
        <w:t>urther research is required to understand what other factors</w:t>
      </w:r>
      <w:r w:rsidR="00C841BE">
        <w:rPr>
          <w:rFonts w:ascii="Arial" w:hAnsi="Arial" w:cs="Arial"/>
          <w:sz w:val="22"/>
          <w:szCs w:val="22"/>
        </w:rPr>
        <w:t xml:space="preserve"> may be related to outcome and this may require new methods of assessing competence or redefining what competence actually means. </w:t>
      </w:r>
      <w:r w:rsidR="0002181A">
        <w:rPr>
          <w:rFonts w:ascii="Arial" w:hAnsi="Arial" w:cs="Arial"/>
          <w:sz w:val="22"/>
          <w:szCs w:val="22"/>
        </w:rPr>
        <w:t xml:space="preserve"> </w:t>
      </w:r>
      <w:r w:rsidR="005A0ADB">
        <w:rPr>
          <w:rFonts w:ascii="Arial" w:hAnsi="Arial" w:cs="Arial"/>
          <w:sz w:val="22"/>
          <w:szCs w:val="22"/>
        </w:rPr>
        <w:t>Whilst it is acknowledged that further research is required, this</w:t>
      </w:r>
      <w:r w:rsidRPr="00147844">
        <w:rPr>
          <w:rFonts w:ascii="Arial" w:hAnsi="Arial" w:cs="Arial"/>
          <w:sz w:val="22"/>
          <w:szCs w:val="22"/>
        </w:rPr>
        <w:t xml:space="preserve"> chapter concludes </w:t>
      </w:r>
      <w:r w:rsidR="005A0ADB">
        <w:rPr>
          <w:rFonts w:ascii="Arial" w:hAnsi="Arial" w:cs="Arial"/>
          <w:sz w:val="22"/>
          <w:szCs w:val="22"/>
        </w:rPr>
        <w:t xml:space="preserve">by asserting that the </w:t>
      </w:r>
      <w:r w:rsidRPr="00147844">
        <w:rPr>
          <w:rFonts w:ascii="Arial" w:hAnsi="Arial" w:cs="Arial"/>
          <w:sz w:val="22"/>
          <w:szCs w:val="22"/>
        </w:rPr>
        <w:t xml:space="preserve">findings from this research have </w:t>
      </w:r>
      <w:r w:rsidR="005A0ADB">
        <w:rPr>
          <w:rFonts w:ascii="Arial" w:hAnsi="Arial" w:cs="Arial"/>
          <w:sz w:val="22"/>
          <w:szCs w:val="22"/>
        </w:rPr>
        <w:t xml:space="preserve">significantly </w:t>
      </w:r>
      <w:r w:rsidRPr="00147844">
        <w:rPr>
          <w:rFonts w:ascii="Arial" w:hAnsi="Arial" w:cs="Arial"/>
          <w:sz w:val="22"/>
          <w:szCs w:val="22"/>
        </w:rPr>
        <w:t>contributed to the knowledge in the field</w:t>
      </w:r>
      <w:r w:rsidR="00320A82">
        <w:rPr>
          <w:rFonts w:ascii="Arial" w:hAnsi="Arial" w:cs="Arial"/>
          <w:sz w:val="22"/>
          <w:szCs w:val="22"/>
        </w:rPr>
        <w:t>.</w:t>
      </w:r>
      <w:r w:rsidR="006A735A">
        <w:rPr>
          <w:rFonts w:ascii="Arial" w:hAnsi="Arial" w:cs="Arial"/>
          <w:sz w:val="22"/>
          <w:szCs w:val="22"/>
        </w:rPr>
        <w:t xml:space="preserve"> </w:t>
      </w:r>
      <w:r w:rsidR="00B55048">
        <w:rPr>
          <w:rFonts w:ascii="Arial" w:hAnsi="Arial" w:cs="Arial"/>
          <w:sz w:val="22"/>
          <w:szCs w:val="22"/>
        </w:rPr>
        <w:t>It is argued that t</w:t>
      </w:r>
      <w:r w:rsidR="004F55BC">
        <w:rPr>
          <w:rFonts w:ascii="Arial" w:hAnsi="Arial" w:cs="Arial"/>
          <w:sz w:val="22"/>
          <w:szCs w:val="22"/>
        </w:rPr>
        <w:t xml:space="preserve">he research presented in this thesis uses </w:t>
      </w:r>
      <w:r w:rsidR="004F55BC" w:rsidRPr="005144E4">
        <w:rPr>
          <w:rFonts w:ascii="Arial" w:hAnsi="Arial" w:cs="Arial"/>
          <w:sz w:val="22"/>
          <w:szCs w:val="22"/>
        </w:rPr>
        <w:t xml:space="preserve">a new </w:t>
      </w:r>
      <w:r w:rsidR="008932A8" w:rsidRPr="005144E4">
        <w:rPr>
          <w:rFonts w:ascii="Arial" w:hAnsi="Arial" w:cs="Arial"/>
          <w:sz w:val="22"/>
          <w:szCs w:val="22"/>
        </w:rPr>
        <w:t>method of conducting</w:t>
      </w:r>
      <w:r w:rsidR="004F55BC" w:rsidRPr="005144E4">
        <w:rPr>
          <w:rFonts w:ascii="Arial" w:hAnsi="Arial" w:cs="Arial"/>
          <w:sz w:val="22"/>
          <w:szCs w:val="22"/>
        </w:rPr>
        <w:t xml:space="preserve"> psychological therapy research</w:t>
      </w:r>
      <w:r w:rsidR="006A3544" w:rsidRPr="005144E4">
        <w:rPr>
          <w:rFonts w:ascii="Arial" w:hAnsi="Arial" w:cs="Arial"/>
          <w:sz w:val="22"/>
          <w:szCs w:val="22"/>
        </w:rPr>
        <w:t>.</w:t>
      </w:r>
      <w:r w:rsidR="006A3544">
        <w:rPr>
          <w:rFonts w:ascii="Arial" w:hAnsi="Arial" w:cs="Arial"/>
          <w:sz w:val="22"/>
          <w:szCs w:val="22"/>
        </w:rPr>
        <w:t xml:space="preserve"> </w:t>
      </w:r>
      <w:r w:rsidR="005A0ADB">
        <w:rPr>
          <w:rFonts w:ascii="Arial" w:hAnsi="Arial" w:cs="Arial"/>
          <w:sz w:val="22"/>
          <w:szCs w:val="22"/>
        </w:rPr>
        <w:t xml:space="preserve"> </w:t>
      </w:r>
      <w:r w:rsidR="00434948">
        <w:rPr>
          <w:rFonts w:ascii="Arial" w:hAnsi="Arial" w:cs="Arial"/>
          <w:sz w:val="22"/>
          <w:szCs w:val="22"/>
        </w:rPr>
        <w:t xml:space="preserve">The ability to study therapy transcripts in volume provides a new and innovative way </w:t>
      </w:r>
      <w:r w:rsidR="00030708">
        <w:rPr>
          <w:rFonts w:ascii="Arial" w:hAnsi="Arial" w:cs="Arial"/>
          <w:sz w:val="22"/>
          <w:szCs w:val="22"/>
        </w:rPr>
        <w:t>to</w:t>
      </w:r>
      <w:r w:rsidR="00434948">
        <w:rPr>
          <w:rFonts w:ascii="Arial" w:hAnsi="Arial" w:cs="Arial"/>
          <w:sz w:val="22"/>
          <w:szCs w:val="22"/>
        </w:rPr>
        <w:t xml:space="preserve"> study </w:t>
      </w:r>
      <w:r w:rsidR="000004ED">
        <w:rPr>
          <w:rFonts w:ascii="Arial" w:hAnsi="Arial" w:cs="Arial"/>
          <w:sz w:val="22"/>
          <w:szCs w:val="22"/>
        </w:rPr>
        <w:t>what therapists do with their patients.</w:t>
      </w:r>
      <w:r w:rsidR="005A0ADB">
        <w:rPr>
          <w:rFonts w:ascii="Arial" w:hAnsi="Arial" w:cs="Arial"/>
          <w:sz w:val="22"/>
          <w:szCs w:val="22"/>
        </w:rPr>
        <w:t xml:space="preserve"> </w:t>
      </w:r>
      <w:r w:rsidR="00CE66FF" w:rsidRPr="00147844">
        <w:rPr>
          <w:rFonts w:ascii="Arial" w:hAnsi="Arial" w:cs="Arial"/>
          <w:sz w:val="22"/>
          <w:szCs w:val="22"/>
        </w:rPr>
        <w:t xml:space="preserve">Chapter </w:t>
      </w:r>
      <w:r w:rsidR="00CE66FF">
        <w:rPr>
          <w:rFonts w:ascii="Arial" w:hAnsi="Arial" w:cs="Arial"/>
          <w:sz w:val="22"/>
          <w:szCs w:val="22"/>
        </w:rPr>
        <w:t>6</w:t>
      </w:r>
      <w:r w:rsidR="00CE66FF" w:rsidRPr="00147844">
        <w:rPr>
          <w:rFonts w:ascii="Arial" w:hAnsi="Arial" w:cs="Arial"/>
          <w:sz w:val="22"/>
          <w:szCs w:val="22"/>
        </w:rPr>
        <w:t xml:space="preserve"> discusses how the findings from this research may be used by cognitive behavioural therapists, clinical supervisors, clinical services, higher education settings and policy makers.</w:t>
      </w:r>
      <w:r w:rsidR="00CE66FF">
        <w:rPr>
          <w:rFonts w:ascii="Arial" w:hAnsi="Arial" w:cs="Arial"/>
          <w:sz w:val="22"/>
          <w:szCs w:val="22"/>
        </w:rPr>
        <w:t xml:space="preserve"> This chapter argues that, whilst the findings from this research suggest that competence and adherence are important factors for both qualified clinicians and those in training, the greatest impact, in the first instance, might come from implementing changes in the researcher’s own service. It is argued that, in the last seven decades, psychological therapy research has predominantly focussed on demonstrating that one psychological therapy is superior to another. Despite the large numbers of published randomised controlled trials very little is known about the active ingredients of CBT and how it works. This chapter argues that the research reported </w:t>
      </w:r>
      <w:r w:rsidR="00CE66FF" w:rsidRPr="005144E4">
        <w:rPr>
          <w:rFonts w:ascii="Arial" w:hAnsi="Arial" w:cs="Arial"/>
          <w:sz w:val="22"/>
          <w:szCs w:val="22"/>
        </w:rPr>
        <w:t>in this thesis represent</w:t>
      </w:r>
      <w:r w:rsidR="00B85064" w:rsidRPr="005144E4">
        <w:rPr>
          <w:rFonts w:ascii="Arial" w:hAnsi="Arial" w:cs="Arial"/>
          <w:sz w:val="22"/>
          <w:szCs w:val="22"/>
        </w:rPr>
        <w:t>s a new way to conduct psychological therapy research</w:t>
      </w:r>
      <w:r w:rsidR="00CE66FF">
        <w:rPr>
          <w:rFonts w:ascii="Arial" w:hAnsi="Arial" w:cs="Arial"/>
          <w:sz w:val="22"/>
          <w:szCs w:val="22"/>
        </w:rPr>
        <w:t xml:space="preserve"> in the form of </w:t>
      </w:r>
      <w:r w:rsidR="00AB54A1">
        <w:rPr>
          <w:rFonts w:ascii="Arial" w:hAnsi="Arial" w:cs="Arial"/>
          <w:sz w:val="22"/>
          <w:szCs w:val="22"/>
        </w:rPr>
        <w:t>digitally delivered</w:t>
      </w:r>
      <w:r w:rsidR="00CE66FF">
        <w:rPr>
          <w:rFonts w:ascii="Arial" w:hAnsi="Arial" w:cs="Arial"/>
          <w:sz w:val="22"/>
          <w:szCs w:val="22"/>
        </w:rPr>
        <w:t xml:space="preserve"> therapy data collected</w:t>
      </w:r>
      <w:r w:rsidR="000708FC">
        <w:rPr>
          <w:rFonts w:ascii="Arial" w:hAnsi="Arial" w:cs="Arial"/>
          <w:sz w:val="22"/>
          <w:szCs w:val="22"/>
        </w:rPr>
        <w:t xml:space="preserve"> and analysed</w:t>
      </w:r>
      <w:r w:rsidR="00CE66FF">
        <w:rPr>
          <w:rFonts w:ascii="Arial" w:hAnsi="Arial" w:cs="Arial"/>
          <w:sz w:val="22"/>
          <w:szCs w:val="22"/>
        </w:rPr>
        <w:t xml:space="preserve"> via the Ieso Digital Health platform. This data may be studied by clinicians, clinical scientists and Artificial Intelligence Scientists in order to understand the mediators and moderators of CBT as well as understanding what works for whom.  The chapter concludes with an outline and rationale for the research and development projects and consequential service developments that have been implemented as a result of this research described in this thesis.</w:t>
      </w:r>
    </w:p>
    <w:p w14:paraId="0EDF7418" w14:textId="3FA3B132" w:rsidR="007F596B" w:rsidRDefault="005A0ADB" w:rsidP="007F596B">
      <w:pPr>
        <w:spacing w:line="480" w:lineRule="auto"/>
        <w:rPr>
          <w:rFonts w:ascii="Arial" w:hAnsi="Arial" w:cs="Arial"/>
          <w:sz w:val="22"/>
          <w:szCs w:val="22"/>
        </w:rPr>
      </w:pPr>
      <w:r>
        <w:rPr>
          <w:rFonts w:ascii="Arial" w:hAnsi="Arial" w:cs="Arial"/>
          <w:sz w:val="22"/>
          <w:szCs w:val="22"/>
        </w:rPr>
        <w:t xml:space="preserve">This </w:t>
      </w:r>
      <w:r w:rsidR="006A3544">
        <w:rPr>
          <w:rFonts w:ascii="Arial" w:hAnsi="Arial" w:cs="Arial"/>
          <w:sz w:val="22"/>
          <w:szCs w:val="22"/>
        </w:rPr>
        <w:t xml:space="preserve">chapter </w:t>
      </w:r>
      <w:r w:rsidR="000004ED">
        <w:rPr>
          <w:rFonts w:ascii="Arial" w:hAnsi="Arial" w:cs="Arial"/>
          <w:sz w:val="22"/>
          <w:szCs w:val="22"/>
        </w:rPr>
        <w:t>concludes</w:t>
      </w:r>
      <w:r w:rsidR="006A3544">
        <w:rPr>
          <w:rFonts w:ascii="Arial" w:hAnsi="Arial" w:cs="Arial"/>
          <w:sz w:val="22"/>
          <w:szCs w:val="22"/>
        </w:rPr>
        <w:t xml:space="preserve"> that this </w:t>
      </w:r>
      <w:r>
        <w:rPr>
          <w:rFonts w:ascii="Arial" w:hAnsi="Arial" w:cs="Arial"/>
          <w:sz w:val="22"/>
          <w:szCs w:val="22"/>
        </w:rPr>
        <w:t>research has extended the work of others and confirmed the previously surmised supposition that fidelity to the CBT model and adherence to an evidenced protocol are significantly related to outcome in IAPT.</w:t>
      </w:r>
    </w:p>
    <w:p w14:paraId="19474CF3" w14:textId="4750894B" w:rsidR="007F596B" w:rsidRPr="00EC5A4F" w:rsidRDefault="000D7DDA" w:rsidP="00EC5A4F">
      <w:pPr>
        <w:rPr>
          <w:rFonts w:ascii="Arial" w:hAnsi="Arial" w:cs="Arial"/>
          <w:b/>
          <w:sz w:val="22"/>
          <w:szCs w:val="22"/>
          <w:highlight w:val="yellow"/>
        </w:rPr>
      </w:pPr>
      <w:r>
        <w:rPr>
          <w:rFonts w:ascii="Arial" w:hAnsi="Arial" w:cs="Arial"/>
          <w:b/>
          <w:sz w:val="22"/>
          <w:szCs w:val="22"/>
          <w:highlight w:val="yellow"/>
        </w:rPr>
        <w:br w:type="page"/>
      </w:r>
      <w:r w:rsidR="007F596B" w:rsidRPr="005144E4">
        <w:rPr>
          <w:rFonts w:ascii="Arial" w:hAnsi="Arial" w:cs="Arial"/>
          <w:b/>
          <w:sz w:val="22"/>
          <w:szCs w:val="22"/>
        </w:rPr>
        <w:lastRenderedPageBreak/>
        <w:t xml:space="preserve">Chapter </w:t>
      </w:r>
      <w:r w:rsidR="005A0ADB" w:rsidRPr="005144E4">
        <w:rPr>
          <w:rFonts w:ascii="Arial" w:hAnsi="Arial" w:cs="Arial"/>
          <w:b/>
          <w:sz w:val="22"/>
          <w:szCs w:val="22"/>
        </w:rPr>
        <w:t>7</w:t>
      </w:r>
      <w:r w:rsidR="007F596B" w:rsidRPr="005144E4">
        <w:rPr>
          <w:rFonts w:ascii="Arial" w:hAnsi="Arial" w:cs="Arial"/>
          <w:sz w:val="22"/>
          <w:szCs w:val="22"/>
        </w:rPr>
        <w:t xml:space="preserve">: </w:t>
      </w:r>
      <w:r w:rsidR="000C76B7" w:rsidRPr="005144E4">
        <w:rPr>
          <w:rFonts w:ascii="Arial" w:hAnsi="Arial" w:cs="Arial"/>
          <w:sz w:val="22"/>
          <w:szCs w:val="22"/>
        </w:rPr>
        <w:t>A personal reflection on the implications</w:t>
      </w:r>
      <w:r w:rsidR="00542E81" w:rsidRPr="005144E4">
        <w:rPr>
          <w:rFonts w:ascii="Arial" w:hAnsi="Arial" w:cs="Arial"/>
          <w:sz w:val="22"/>
          <w:szCs w:val="22"/>
        </w:rPr>
        <w:t xml:space="preserve"> of this research</w:t>
      </w:r>
      <w:r w:rsidR="007F596B" w:rsidRPr="00147844">
        <w:rPr>
          <w:rFonts w:ascii="Arial" w:hAnsi="Arial" w:cs="Arial"/>
          <w:sz w:val="22"/>
          <w:szCs w:val="22"/>
        </w:rPr>
        <w:t xml:space="preserve">  </w:t>
      </w:r>
    </w:p>
    <w:p w14:paraId="795FB083" w14:textId="738E6A8E" w:rsidR="007F596B" w:rsidRDefault="007F596B" w:rsidP="007F596B">
      <w:pPr>
        <w:spacing w:line="480" w:lineRule="auto"/>
        <w:rPr>
          <w:rFonts w:ascii="Arial" w:hAnsi="Arial" w:cs="Arial"/>
          <w:sz w:val="22"/>
          <w:szCs w:val="22"/>
        </w:rPr>
      </w:pPr>
      <w:r w:rsidRPr="00147844">
        <w:rPr>
          <w:rFonts w:ascii="Arial" w:hAnsi="Arial" w:cs="Arial"/>
          <w:sz w:val="22"/>
          <w:szCs w:val="22"/>
        </w:rPr>
        <w:t xml:space="preserve">This final chapter presents the researcher’s personal reflections on undertaking this research. </w:t>
      </w:r>
      <w:r w:rsidR="00EC5ACA">
        <w:rPr>
          <w:rFonts w:ascii="Arial" w:hAnsi="Arial" w:cs="Arial"/>
          <w:sz w:val="22"/>
          <w:szCs w:val="22"/>
        </w:rPr>
        <w:t>This includes a discussion about real</w:t>
      </w:r>
      <w:r w:rsidR="0023735D">
        <w:rPr>
          <w:rFonts w:ascii="Arial" w:hAnsi="Arial" w:cs="Arial"/>
          <w:sz w:val="22"/>
          <w:szCs w:val="22"/>
        </w:rPr>
        <w:t>-</w:t>
      </w:r>
      <w:r w:rsidR="00EC5ACA">
        <w:rPr>
          <w:rFonts w:ascii="Arial" w:hAnsi="Arial" w:cs="Arial"/>
          <w:sz w:val="22"/>
          <w:szCs w:val="22"/>
        </w:rPr>
        <w:t>world research and the tensions related to</w:t>
      </w:r>
      <w:r w:rsidR="00A821BB">
        <w:rPr>
          <w:rFonts w:ascii="Arial" w:hAnsi="Arial" w:cs="Arial"/>
          <w:sz w:val="22"/>
          <w:szCs w:val="22"/>
        </w:rPr>
        <w:t xml:space="preserve"> </w:t>
      </w:r>
      <w:r w:rsidR="00EC5ACA">
        <w:rPr>
          <w:rFonts w:ascii="Arial" w:hAnsi="Arial" w:cs="Arial"/>
          <w:sz w:val="22"/>
          <w:szCs w:val="22"/>
        </w:rPr>
        <w:t xml:space="preserve">being an ‘insider researcher.’  </w:t>
      </w:r>
      <w:r w:rsidR="002F1C3F" w:rsidRPr="005144E4">
        <w:rPr>
          <w:rFonts w:ascii="Arial" w:hAnsi="Arial" w:cs="Arial"/>
          <w:sz w:val="22"/>
          <w:szCs w:val="22"/>
        </w:rPr>
        <w:t xml:space="preserve">Chapter </w:t>
      </w:r>
      <w:r w:rsidR="00542E81" w:rsidRPr="005144E4">
        <w:rPr>
          <w:rFonts w:ascii="Arial" w:hAnsi="Arial" w:cs="Arial"/>
          <w:sz w:val="22"/>
          <w:szCs w:val="22"/>
        </w:rPr>
        <w:t>7</w:t>
      </w:r>
      <w:r w:rsidRPr="00147844">
        <w:rPr>
          <w:rFonts w:ascii="Arial" w:hAnsi="Arial" w:cs="Arial"/>
          <w:sz w:val="22"/>
          <w:szCs w:val="22"/>
        </w:rPr>
        <w:t xml:space="preserve"> </w:t>
      </w:r>
      <w:r w:rsidR="002F1C3F">
        <w:rPr>
          <w:rFonts w:ascii="Arial" w:hAnsi="Arial" w:cs="Arial"/>
          <w:sz w:val="22"/>
          <w:szCs w:val="22"/>
        </w:rPr>
        <w:t>includes</w:t>
      </w:r>
      <w:r w:rsidRPr="00147844">
        <w:rPr>
          <w:rFonts w:ascii="Arial" w:hAnsi="Arial" w:cs="Arial"/>
          <w:sz w:val="22"/>
          <w:szCs w:val="22"/>
        </w:rPr>
        <w:t xml:space="preserve"> a reflection on how the findings have impacted on the researcher’s own professional practice</w:t>
      </w:r>
      <w:r w:rsidR="002F1C3F">
        <w:rPr>
          <w:rFonts w:ascii="Arial" w:hAnsi="Arial" w:cs="Arial"/>
          <w:sz w:val="22"/>
          <w:szCs w:val="22"/>
        </w:rPr>
        <w:t xml:space="preserve"> with a particular focus on the revelation that despite the fact that the researcher has significant experience in the field of CBT, as a clinician, teacher and senior leader, it has become clear that there is so much more to learn. The chapter concludes by defining the research questions that have developed since the research described in this thesis has concluded. These include investigating whether it is possible to teach a consistently poorly performing therapist to become a better performing therapist, investigating whether automated versions of the CTS-R might provide more effective ways of measuring therapist competence and exploring the effectiveness of clinical decision support tools.</w:t>
      </w:r>
    </w:p>
    <w:p w14:paraId="187BD035" w14:textId="77777777" w:rsidR="00496F33" w:rsidRPr="003969D2" w:rsidRDefault="00496F33" w:rsidP="007F596B">
      <w:pPr>
        <w:spacing w:line="480" w:lineRule="auto"/>
        <w:rPr>
          <w:rFonts w:ascii="Arial" w:hAnsi="Arial" w:cs="Arial"/>
          <w:sz w:val="22"/>
          <w:szCs w:val="22"/>
        </w:rPr>
      </w:pPr>
    </w:p>
    <w:p w14:paraId="67037F6F" w14:textId="77777777" w:rsidR="007F596B" w:rsidRPr="003451A6" w:rsidRDefault="007F596B" w:rsidP="007F596B">
      <w:pPr>
        <w:pStyle w:val="Heading2"/>
        <w:spacing w:line="480" w:lineRule="auto"/>
        <w:rPr>
          <w:rFonts w:ascii="Arial" w:hAnsi="Arial" w:cs="Arial"/>
          <w:b w:val="0"/>
          <w:color w:val="000000" w:themeColor="text1"/>
          <w:sz w:val="22"/>
          <w:szCs w:val="22"/>
        </w:rPr>
      </w:pPr>
      <w:bookmarkStart w:id="41" w:name="_Toc46770715"/>
      <w:bookmarkStart w:id="42" w:name="_Toc79414126"/>
      <w:r w:rsidRPr="003451A6">
        <w:rPr>
          <w:rFonts w:ascii="Arial" w:hAnsi="Arial" w:cs="Arial"/>
          <w:color w:val="000000" w:themeColor="text1"/>
          <w:sz w:val="22"/>
          <w:szCs w:val="22"/>
        </w:rPr>
        <w:t>1.4 CONCLUSION</w:t>
      </w:r>
      <w:bookmarkEnd w:id="41"/>
      <w:bookmarkEnd w:id="42"/>
    </w:p>
    <w:p w14:paraId="0C3CAA42" w14:textId="345981EC" w:rsidR="007F596B" w:rsidRDefault="007F596B" w:rsidP="007F596B">
      <w:pPr>
        <w:spacing w:line="480" w:lineRule="auto"/>
        <w:rPr>
          <w:rFonts w:ascii="Arial" w:hAnsi="Arial" w:cs="Arial"/>
          <w:sz w:val="22"/>
          <w:szCs w:val="22"/>
        </w:rPr>
      </w:pPr>
      <w:r w:rsidRPr="00147844">
        <w:rPr>
          <w:rFonts w:ascii="Arial" w:hAnsi="Arial" w:cs="Arial"/>
          <w:sz w:val="22"/>
          <w:szCs w:val="22"/>
        </w:rPr>
        <w:t xml:space="preserve">The aim of this chapter was to provide a rationale for this research in the context of my professional role as Chief Clinical Officer of the online Cognitive Behavioural Therapy </w:t>
      </w:r>
      <w:r>
        <w:rPr>
          <w:rFonts w:ascii="Arial" w:hAnsi="Arial" w:cs="Arial"/>
          <w:sz w:val="22"/>
          <w:szCs w:val="22"/>
        </w:rPr>
        <w:t>service,</w:t>
      </w:r>
      <w:r w:rsidRPr="00147844">
        <w:rPr>
          <w:rFonts w:ascii="Arial" w:hAnsi="Arial" w:cs="Arial"/>
          <w:sz w:val="22"/>
          <w:szCs w:val="22"/>
        </w:rPr>
        <w:t xml:space="preserve"> Ieso Digital Health</w:t>
      </w:r>
      <w:r>
        <w:rPr>
          <w:rFonts w:ascii="Arial" w:hAnsi="Arial" w:cs="Arial"/>
          <w:sz w:val="22"/>
          <w:szCs w:val="22"/>
        </w:rPr>
        <w:t>, which is delivering CBT to patients across England as part of IAPT programme</w:t>
      </w:r>
      <w:r w:rsidRPr="00147844">
        <w:rPr>
          <w:rFonts w:ascii="Arial" w:hAnsi="Arial" w:cs="Arial"/>
          <w:sz w:val="22"/>
          <w:szCs w:val="22"/>
        </w:rPr>
        <w:t>. The chapter ha</w:t>
      </w:r>
      <w:r>
        <w:rPr>
          <w:rFonts w:ascii="Arial" w:hAnsi="Arial" w:cs="Arial"/>
          <w:sz w:val="22"/>
          <w:szCs w:val="22"/>
        </w:rPr>
        <w:t>s established the focus for this research and has presented some of the personal and professional beliefs and values h</w:t>
      </w:r>
      <w:r w:rsidR="00E322F2">
        <w:rPr>
          <w:rFonts w:ascii="Arial" w:hAnsi="Arial" w:cs="Arial"/>
          <w:sz w:val="22"/>
          <w:szCs w:val="22"/>
        </w:rPr>
        <w:t>ave</w:t>
      </w:r>
      <w:r>
        <w:rPr>
          <w:rFonts w:ascii="Arial" w:hAnsi="Arial" w:cs="Arial"/>
          <w:sz w:val="22"/>
          <w:szCs w:val="22"/>
        </w:rPr>
        <w:t xml:space="preserve"> led to </w:t>
      </w:r>
      <w:r w:rsidR="00E322F2">
        <w:rPr>
          <w:rFonts w:ascii="Arial" w:hAnsi="Arial" w:cs="Arial"/>
          <w:sz w:val="22"/>
          <w:szCs w:val="22"/>
        </w:rPr>
        <w:t>an</w:t>
      </w:r>
      <w:r>
        <w:rPr>
          <w:rFonts w:ascii="Arial" w:hAnsi="Arial" w:cs="Arial"/>
          <w:sz w:val="22"/>
          <w:szCs w:val="22"/>
        </w:rPr>
        <w:t xml:space="preserve"> interest in </w:t>
      </w:r>
      <w:r w:rsidR="00E322F2">
        <w:rPr>
          <w:rFonts w:ascii="Arial" w:hAnsi="Arial" w:cs="Arial"/>
          <w:sz w:val="22"/>
          <w:szCs w:val="22"/>
        </w:rPr>
        <w:t xml:space="preserve">understanding </w:t>
      </w:r>
      <w:r w:rsidR="003969D2">
        <w:rPr>
          <w:rFonts w:ascii="Arial" w:hAnsi="Arial" w:cs="Arial"/>
          <w:sz w:val="22"/>
          <w:szCs w:val="22"/>
        </w:rPr>
        <w:t>what CBT therapists are doing with their patients and how this may account for the variance in outcomes between therapists</w:t>
      </w:r>
      <w:r>
        <w:rPr>
          <w:rFonts w:ascii="Arial" w:hAnsi="Arial" w:cs="Arial"/>
          <w:sz w:val="22"/>
          <w:szCs w:val="22"/>
        </w:rPr>
        <w:t>. The following chapter presents an overview of the IAPT programme.</w:t>
      </w:r>
    </w:p>
    <w:p w14:paraId="11CC7CA7" w14:textId="6CD6C099" w:rsidR="00477630" w:rsidRDefault="00477630" w:rsidP="007F596B">
      <w:pPr>
        <w:spacing w:line="480" w:lineRule="auto"/>
        <w:rPr>
          <w:rFonts w:ascii="Arial" w:hAnsi="Arial" w:cs="Arial"/>
          <w:sz w:val="22"/>
          <w:szCs w:val="22"/>
        </w:rPr>
      </w:pPr>
    </w:p>
    <w:p w14:paraId="05A794B0" w14:textId="08FFD505" w:rsidR="00477630" w:rsidRDefault="00477630" w:rsidP="007F596B">
      <w:pPr>
        <w:spacing w:line="480" w:lineRule="auto"/>
        <w:rPr>
          <w:rFonts w:ascii="Arial" w:hAnsi="Arial" w:cs="Arial"/>
          <w:sz w:val="22"/>
          <w:szCs w:val="22"/>
        </w:rPr>
      </w:pPr>
    </w:p>
    <w:p w14:paraId="1F0E1C6C" w14:textId="77777777" w:rsidR="0060766B" w:rsidRDefault="0060766B">
      <w:pPr>
        <w:rPr>
          <w:rFonts w:ascii="Arial" w:eastAsiaTheme="majorEastAsia" w:hAnsi="Arial" w:cs="Arial"/>
          <w:b/>
          <w:bCs/>
          <w:color w:val="000000" w:themeColor="text1"/>
          <w:sz w:val="22"/>
          <w:szCs w:val="22"/>
        </w:rPr>
      </w:pPr>
      <w:r>
        <w:rPr>
          <w:rFonts w:ascii="Arial" w:hAnsi="Arial" w:cs="Arial"/>
          <w:color w:val="000000" w:themeColor="text1"/>
          <w:sz w:val="22"/>
          <w:szCs w:val="22"/>
        </w:rPr>
        <w:br w:type="page"/>
      </w:r>
    </w:p>
    <w:p w14:paraId="73C9160C" w14:textId="77777777" w:rsidR="0060766B" w:rsidRDefault="0060766B">
      <w:pPr>
        <w:rPr>
          <w:rFonts w:ascii="Arial" w:eastAsiaTheme="majorEastAsia" w:hAnsi="Arial" w:cs="Arial"/>
          <w:b/>
          <w:bCs/>
          <w:color w:val="000000" w:themeColor="text1"/>
          <w:sz w:val="22"/>
          <w:szCs w:val="22"/>
        </w:rPr>
      </w:pPr>
      <w:r>
        <w:rPr>
          <w:rFonts w:ascii="Arial" w:hAnsi="Arial" w:cs="Arial"/>
          <w:color w:val="000000" w:themeColor="text1"/>
          <w:sz w:val="22"/>
          <w:szCs w:val="22"/>
        </w:rPr>
        <w:lastRenderedPageBreak/>
        <w:br w:type="page"/>
      </w:r>
    </w:p>
    <w:p w14:paraId="4FE53660" w14:textId="7B652F00" w:rsidR="00477630" w:rsidRDefault="00477630" w:rsidP="00525B47">
      <w:pPr>
        <w:pStyle w:val="Heading1"/>
        <w:spacing w:line="480" w:lineRule="auto"/>
        <w:rPr>
          <w:rFonts w:cs="Arial"/>
          <w:color w:val="000000" w:themeColor="text1"/>
          <w:szCs w:val="22"/>
        </w:rPr>
      </w:pPr>
      <w:bookmarkStart w:id="43" w:name="_Toc46770716"/>
      <w:bookmarkStart w:id="44" w:name="_Toc79414127"/>
      <w:r w:rsidRPr="00AE6D88">
        <w:rPr>
          <w:rFonts w:cs="Arial"/>
          <w:color w:val="000000" w:themeColor="text1"/>
          <w:szCs w:val="22"/>
        </w:rPr>
        <w:lastRenderedPageBreak/>
        <w:t xml:space="preserve">CHAPTER </w:t>
      </w:r>
      <w:bookmarkStart w:id="45" w:name="_Toc329781354"/>
      <w:bookmarkStart w:id="46" w:name="_Toc329781395"/>
      <w:r w:rsidRPr="00AE6D88">
        <w:rPr>
          <w:rFonts w:cs="Arial"/>
          <w:color w:val="000000" w:themeColor="text1"/>
          <w:szCs w:val="22"/>
        </w:rPr>
        <w:t xml:space="preserve">TWO: </w:t>
      </w:r>
      <w:bookmarkEnd w:id="45"/>
      <w:bookmarkEnd w:id="46"/>
      <w:r w:rsidR="00525B47">
        <w:rPr>
          <w:rFonts w:cs="Arial"/>
          <w:color w:val="000000" w:themeColor="text1"/>
          <w:szCs w:val="22"/>
        </w:rPr>
        <w:t>THE IMPROVING ACCESS TO PSYCHOLOGICAL THERAPIES (IAPT) PROGRAMME</w:t>
      </w:r>
      <w:bookmarkEnd w:id="43"/>
      <w:bookmarkEnd w:id="44"/>
    </w:p>
    <w:p w14:paraId="2763DBB1" w14:textId="77777777" w:rsidR="00477630" w:rsidRDefault="00477630" w:rsidP="00477630"/>
    <w:p w14:paraId="56D0C223" w14:textId="68DA0B21" w:rsidR="00477630" w:rsidRPr="00487A0F" w:rsidRDefault="00477630" w:rsidP="00477630">
      <w:pPr>
        <w:spacing w:line="480" w:lineRule="auto"/>
        <w:rPr>
          <w:rFonts w:ascii="Arial" w:hAnsi="Arial" w:cs="Arial"/>
          <w:sz w:val="22"/>
          <w:szCs w:val="22"/>
        </w:rPr>
      </w:pPr>
      <w:r w:rsidRPr="00AE6D88">
        <w:rPr>
          <w:rFonts w:ascii="Arial" w:hAnsi="Arial" w:cs="Arial"/>
          <w:sz w:val="22"/>
          <w:szCs w:val="22"/>
        </w:rPr>
        <w:t xml:space="preserve">Chapter </w:t>
      </w:r>
      <w:r w:rsidR="00653EC3">
        <w:rPr>
          <w:rFonts w:ascii="Arial" w:hAnsi="Arial" w:cs="Arial"/>
          <w:sz w:val="22"/>
          <w:szCs w:val="22"/>
        </w:rPr>
        <w:t>O</w:t>
      </w:r>
      <w:r w:rsidRPr="00AE6D88">
        <w:rPr>
          <w:rFonts w:ascii="Arial" w:hAnsi="Arial" w:cs="Arial"/>
          <w:sz w:val="22"/>
          <w:szCs w:val="22"/>
        </w:rPr>
        <w:t xml:space="preserve">ne of this thesis presented the personal professional context of this research including an overview of this thesis. This chapter will consider </w:t>
      </w:r>
      <w:r w:rsidR="00626A2F">
        <w:rPr>
          <w:rFonts w:ascii="Arial" w:hAnsi="Arial" w:cs="Arial"/>
          <w:sz w:val="22"/>
          <w:szCs w:val="22"/>
        </w:rPr>
        <w:t xml:space="preserve">England’s </w:t>
      </w:r>
      <w:r w:rsidRPr="00AE6D88">
        <w:rPr>
          <w:rFonts w:ascii="Arial" w:hAnsi="Arial" w:cs="Arial"/>
          <w:sz w:val="22"/>
          <w:szCs w:val="22"/>
        </w:rPr>
        <w:t xml:space="preserve">Improving Access to Psychological Therapy (IAPT) programme which is the </w:t>
      </w:r>
      <w:r w:rsidR="00D71A0D">
        <w:rPr>
          <w:rFonts w:ascii="Arial" w:hAnsi="Arial" w:cs="Arial"/>
          <w:sz w:val="22"/>
          <w:szCs w:val="22"/>
        </w:rPr>
        <w:t xml:space="preserve">context </w:t>
      </w:r>
      <w:r w:rsidRPr="00AE6D88">
        <w:rPr>
          <w:rFonts w:ascii="Arial" w:hAnsi="Arial" w:cs="Arial"/>
          <w:sz w:val="22"/>
          <w:szCs w:val="22"/>
        </w:rPr>
        <w:t>for this research. A brief history of the development of IAPT will be presented, followed by an overview of the guiding principles and processes adopted by IAPT</w:t>
      </w:r>
      <w:r w:rsidR="005E2281">
        <w:rPr>
          <w:rFonts w:ascii="Arial" w:hAnsi="Arial" w:cs="Arial"/>
          <w:sz w:val="22"/>
          <w:szCs w:val="22"/>
        </w:rPr>
        <w:t xml:space="preserve">, including </w:t>
      </w:r>
      <w:r w:rsidR="003410FE">
        <w:rPr>
          <w:rFonts w:ascii="Arial" w:hAnsi="Arial" w:cs="Arial"/>
          <w:sz w:val="22"/>
          <w:szCs w:val="22"/>
        </w:rPr>
        <w:t xml:space="preserve">how health policy is driving the use of digital </w:t>
      </w:r>
      <w:r w:rsidR="00DA2554">
        <w:rPr>
          <w:rFonts w:ascii="Arial" w:hAnsi="Arial" w:cs="Arial"/>
          <w:sz w:val="22"/>
          <w:szCs w:val="22"/>
        </w:rPr>
        <w:t xml:space="preserve">and online </w:t>
      </w:r>
      <w:r w:rsidR="003410FE">
        <w:rPr>
          <w:rFonts w:ascii="Arial" w:hAnsi="Arial" w:cs="Arial"/>
          <w:sz w:val="22"/>
          <w:szCs w:val="22"/>
        </w:rPr>
        <w:t>methods</w:t>
      </w:r>
      <w:r w:rsidR="00DA2554">
        <w:rPr>
          <w:rFonts w:ascii="Arial" w:hAnsi="Arial" w:cs="Arial"/>
          <w:sz w:val="22"/>
          <w:szCs w:val="22"/>
        </w:rPr>
        <w:t xml:space="preserve"> of delivering therapy in order</w:t>
      </w:r>
      <w:r w:rsidR="003410FE">
        <w:rPr>
          <w:rFonts w:ascii="Arial" w:hAnsi="Arial" w:cs="Arial"/>
          <w:sz w:val="22"/>
          <w:szCs w:val="22"/>
        </w:rPr>
        <w:t xml:space="preserve"> to increase access</w:t>
      </w:r>
      <w:r w:rsidR="00DA2554">
        <w:rPr>
          <w:rFonts w:ascii="Arial" w:hAnsi="Arial" w:cs="Arial"/>
          <w:sz w:val="22"/>
          <w:szCs w:val="22"/>
        </w:rPr>
        <w:t xml:space="preserve"> to IAPT services. </w:t>
      </w:r>
      <w:r w:rsidR="00CE409F">
        <w:rPr>
          <w:rFonts w:ascii="Arial" w:hAnsi="Arial" w:cs="Arial"/>
          <w:sz w:val="22"/>
          <w:szCs w:val="22"/>
        </w:rPr>
        <w:t>The use of digital methods of delivery will be explained with a particular focus on the Internet Enabled</w:t>
      </w:r>
      <w:r w:rsidR="007B4823">
        <w:rPr>
          <w:rFonts w:ascii="Arial" w:hAnsi="Arial" w:cs="Arial"/>
          <w:sz w:val="22"/>
          <w:szCs w:val="22"/>
        </w:rPr>
        <w:t xml:space="preserve"> </w:t>
      </w:r>
      <w:r w:rsidR="00662B66">
        <w:rPr>
          <w:rFonts w:ascii="Arial" w:hAnsi="Arial" w:cs="Arial"/>
          <w:sz w:val="22"/>
          <w:szCs w:val="22"/>
        </w:rPr>
        <w:t xml:space="preserve">CBT (IECBT) method which is the research setting for this research. </w:t>
      </w:r>
      <w:r w:rsidR="00770CD0">
        <w:rPr>
          <w:rFonts w:ascii="Arial" w:hAnsi="Arial" w:cs="Arial"/>
          <w:sz w:val="22"/>
          <w:szCs w:val="22"/>
        </w:rPr>
        <w:t xml:space="preserve">This chapter will highlight both the success of IAPT in increasing access to therapy </w:t>
      </w:r>
      <w:r w:rsidR="00305416">
        <w:rPr>
          <w:rFonts w:ascii="Arial" w:hAnsi="Arial" w:cs="Arial"/>
          <w:sz w:val="22"/>
          <w:szCs w:val="22"/>
        </w:rPr>
        <w:t xml:space="preserve">and the emerging problems of training a large workforce to deliver </w:t>
      </w:r>
      <w:r w:rsidR="00011042">
        <w:rPr>
          <w:rFonts w:ascii="Arial" w:hAnsi="Arial" w:cs="Arial"/>
          <w:sz w:val="22"/>
          <w:szCs w:val="22"/>
        </w:rPr>
        <w:t>CBT according to a set of</w:t>
      </w:r>
      <w:r w:rsidR="008F543E">
        <w:rPr>
          <w:rFonts w:ascii="Arial" w:hAnsi="Arial" w:cs="Arial"/>
          <w:sz w:val="22"/>
          <w:szCs w:val="22"/>
        </w:rPr>
        <w:t xml:space="preserve"> evidence-based</w:t>
      </w:r>
      <w:r w:rsidR="00011042">
        <w:rPr>
          <w:rFonts w:ascii="Arial" w:hAnsi="Arial" w:cs="Arial"/>
          <w:sz w:val="22"/>
          <w:szCs w:val="22"/>
        </w:rPr>
        <w:t xml:space="preserve"> guidelines.  It will be argued that </w:t>
      </w:r>
      <w:r w:rsidR="008F543E">
        <w:rPr>
          <w:rFonts w:ascii="Arial" w:hAnsi="Arial" w:cs="Arial"/>
          <w:sz w:val="22"/>
          <w:szCs w:val="22"/>
        </w:rPr>
        <w:t>one of the major problems of IAPT is the variance in outcomes between</w:t>
      </w:r>
      <w:r w:rsidR="00D71A0D">
        <w:rPr>
          <w:rFonts w:ascii="Arial" w:hAnsi="Arial" w:cs="Arial"/>
          <w:sz w:val="22"/>
          <w:szCs w:val="22"/>
        </w:rPr>
        <w:t xml:space="preserve"> services and between therapists.</w:t>
      </w:r>
    </w:p>
    <w:p w14:paraId="21B48BD0" w14:textId="77777777" w:rsidR="00477630" w:rsidRDefault="00477630" w:rsidP="00477630">
      <w:pPr>
        <w:spacing w:line="480" w:lineRule="auto"/>
        <w:rPr>
          <w:rFonts w:ascii="Arial" w:hAnsi="Arial"/>
          <w:b/>
        </w:rPr>
      </w:pPr>
    </w:p>
    <w:p w14:paraId="26646EE6" w14:textId="77777777" w:rsidR="00477630" w:rsidRPr="00DE0C15" w:rsidRDefault="00477630" w:rsidP="00477630">
      <w:pPr>
        <w:pStyle w:val="Heading2"/>
        <w:rPr>
          <w:rFonts w:ascii="Arial" w:hAnsi="Arial" w:cs="Arial"/>
          <w:color w:val="000000" w:themeColor="text1"/>
          <w:sz w:val="22"/>
          <w:szCs w:val="22"/>
        </w:rPr>
      </w:pPr>
      <w:bookmarkStart w:id="47" w:name="_Toc46770717"/>
      <w:bookmarkStart w:id="48" w:name="_Toc79414128"/>
      <w:r w:rsidRPr="00DE0C15">
        <w:rPr>
          <w:rFonts w:ascii="Arial" w:hAnsi="Arial" w:cs="Arial"/>
          <w:color w:val="000000" w:themeColor="text1"/>
          <w:sz w:val="22"/>
          <w:szCs w:val="22"/>
        </w:rPr>
        <w:t>2.1 INTRODUCTION</w:t>
      </w:r>
      <w:bookmarkEnd w:id="47"/>
      <w:bookmarkEnd w:id="48"/>
    </w:p>
    <w:p w14:paraId="75FF3A34" w14:textId="77777777" w:rsidR="00477630" w:rsidRPr="0042365E" w:rsidRDefault="00477630" w:rsidP="00477630"/>
    <w:p w14:paraId="5B68D620" w14:textId="7C1C00EB" w:rsidR="00477630" w:rsidRPr="00380A7F" w:rsidRDefault="00477630" w:rsidP="00477630">
      <w:pPr>
        <w:spacing w:line="480" w:lineRule="auto"/>
        <w:rPr>
          <w:rFonts w:ascii="Arial" w:hAnsi="Arial"/>
          <w:sz w:val="22"/>
          <w:szCs w:val="22"/>
        </w:rPr>
      </w:pPr>
      <w:r w:rsidRPr="00380A7F">
        <w:rPr>
          <w:rFonts w:ascii="Arial" w:hAnsi="Arial"/>
          <w:sz w:val="22"/>
          <w:szCs w:val="22"/>
        </w:rPr>
        <w:t>Common mental health disorders</w:t>
      </w:r>
      <w:r w:rsidR="00653EC3">
        <w:rPr>
          <w:rFonts w:ascii="Arial" w:hAnsi="Arial"/>
          <w:sz w:val="22"/>
          <w:szCs w:val="22"/>
        </w:rPr>
        <w:t>,</w:t>
      </w:r>
      <w:r w:rsidRPr="00380A7F">
        <w:rPr>
          <w:rFonts w:ascii="Arial" w:hAnsi="Arial"/>
          <w:sz w:val="22"/>
          <w:szCs w:val="22"/>
        </w:rPr>
        <w:t xml:space="preserve"> such as anxiety and depression</w:t>
      </w:r>
      <w:r w:rsidR="00653EC3">
        <w:rPr>
          <w:rFonts w:ascii="Arial" w:hAnsi="Arial"/>
          <w:sz w:val="22"/>
          <w:szCs w:val="22"/>
        </w:rPr>
        <w:t>,</w:t>
      </w:r>
      <w:r w:rsidRPr="00380A7F">
        <w:rPr>
          <w:rFonts w:ascii="Arial" w:hAnsi="Arial"/>
          <w:sz w:val="22"/>
          <w:szCs w:val="22"/>
        </w:rPr>
        <w:t xml:space="preserve"> account for 38% of the disease burden in Western Europe (World Health Organisation</w:t>
      </w:r>
      <w:r w:rsidR="00386980">
        <w:rPr>
          <w:rFonts w:ascii="Arial" w:hAnsi="Arial"/>
          <w:sz w:val="22"/>
          <w:szCs w:val="22"/>
        </w:rPr>
        <w:t>,</w:t>
      </w:r>
      <w:r w:rsidRPr="00380A7F">
        <w:rPr>
          <w:rFonts w:ascii="Arial" w:hAnsi="Arial"/>
          <w:sz w:val="22"/>
          <w:szCs w:val="22"/>
        </w:rPr>
        <w:t xml:space="preserve"> 2008).  That is more than cardiovascular disease, cancer and diabetes combined. At least one in four people experience a mental health problem in any year (Layard Report 2012).</w:t>
      </w:r>
      <w:r w:rsidR="000A57A1">
        <w:rPr>
          <w:rFonts w:ascii="Arial" w:hAnsi="Arial"/>
          <w:sz w:val="22"/>
          <w:szCs w:val="22"/>
        </w:rPr>
        <w:t>The last Adult Psychiatric Morbidity Survey published in 20</w:t>
      </w:r>
      <w:r w:rsidR="00C4726A">
        <w:rPr>
          <w:rFonts w:ascii="Arial" w:hAnsi="Arial"/>
          <w:sz w:val="22"/>
          <w:szCs w:val="22"/>
        </w:rPr>
        <w:t xml:space="preserve">16 estimated that 5.9% of the UK population suffered from Generalised Anxiety Disorder and 3.3% suffered from depression (NHS Digital 2018a) </w:t>
      </w:r>
      <w:r w:rsidRPr="00380A7F">
        <w:rPr>
          <w:rFonts w:ascii="Arial" w:hAnsi="Arial"/>
          <w:sz w:val="22"/>
          <w:szCs w:val="22"/>
        </w:rPr>
        <w:t xml:space="preserve"> It is estimated that common mental health disorders, such as anxiety and depression</w:t>
      </w:r>
      <w:r w:rsidR="00653EC3">
        <w:rPr>
          <w:rFonts w:ascii="Arial" w:hAnsi="Arial"/>
          <w:sz w:val="22"/>
          <w:szCs w:val="22"/>
        </w:rPr>
        <w:t>,</w:t>
      </w:r>
      <w:r w:rsidRPr="00380A7F">
        <w:rPr>
          <w:rFonts w:ascii="Arial" w:hAnsi="Arial"/>
          <w:sz w:val="22"/>
          <w:szCs w:val="22"/>
        </w:rPr>
        <w:t xml:space="preserve"> cost the United Kingdom (UK) approximately £105 billion a year (No Health Without Mental Health 2011). The World Health Organisation (2001) estimated that, by the year 2020, depression will be the second most common illness requiring treatment and </w:t>
      </w:r>
      <w:r w:rsidRPr="00380A7F">
        <w:rPr>
          <w:rFonts w:ascii="Arial" w:hAnsi="Arial"/>
          <w:sz w:val="22"/>
          <w:szCs w:val="22"/>
        </w:rPr>
        <w:lastRenderedPageBreak/>
        <w:t>intervention. Disorders such as depression and anxiety cause significant suffering and distress and are often disabling, affecting a person’s ability to undertake activities of daily living or work (Layard</w:t>
      </w:r>
      <w:r w:rsidR="007C3BC8">
        <w:rPr>
          <w:rFonts w:ascii="Arial" w:hAnsi="Arial"/>
          <w:sz w:val="22"/>
          <w:szCs w:val="22"/>
        </w:rPr>
        <w:t>,</w:t>
      </w:r>
      <w:r w:rsidRPr="00380A7F">
        <w:rPr>
          <w:rFonts w:ascii="Arial" w:hAnsi="Arial"/>
          <w:sz w:val="22"/>
          <w:szCs w:val="22"/>
        </w:rPr>
        <w:t xml:space="preserve"> 2017).  The consequential financial burden to UK government results from absenteeism from employment, reduced productivity in the workplace, frequent attendance in primary and secondary healthcare settings and reliance on disability benefits. The Organisation for Economic Co-operation and Development (OECD</w:t>
      </w:r>
      <w:r w:rsidR="007C3BC8">
        <w:rPr>
          <w:rFonts w:ascii="Arial" w:hAnsi="Arial"/>
          <w:sz w:val="22"/>
          <w:szCs w:val="22"/>
        </w:rPr>
        <w:t>,</w:t>
      </w:r>
      <w:r w:rsidRPr="00380A7F">
        <w:rPr>
          <w:rFonts w:ascii="Arial" w:hAnsi="Arial"/>
          <w:sz w:val="22"/>
          <w:szCs w:val="22"/>
        </w:rPr>
        <w:t xml:space="preserve"> 2012) report that over one third of all disability benefits in the UK are paid to claimants whose primary disorder is anxiety or depression.  Layard (2017)</w:t>
      </w:r>
      <w:r w:rsidR="00330A9A">
        <w:rPr>
          <w:rFonts w:ascii="Arial" w:hAnsi="Arial"/>
          <w:sz w:val="22"/>
          <w:szCs w:val="22"/>
        </w:rPr>
        <w:t>, an economist,</w:t>
      </w:r>
      <w:r w:rsidRPr="00380A7F">
        <w:rPr>
          <w:rFonts w:ascii="Arial" w:hAnsi="Arial"/>
          <w:sz w:val="22"/>
          <w:szCs w:val="22"/>
        </w:rPr>
        <w:t xml:space="preserve"> estimates that the total cost to the UK is to reduce the country’s gross national product (GDP) by 7%. This is more than the UK spent on education in 2017 which equated to 4.4% of the GDP (OECD 2018). Layard (2017) argues that</w:t>
      </w:r>
      <w:r w:rsidR="00242D3B">
        <w:rPr>
          <w:rFonts w:ascii="Arial" w:hAnsi="Arial"/>
          <w:sz w:val="22"/>
          <w:szCs w:val="22"/>
        </w:rPr>
        <w:t>,</w:t>
      </w:r>
      <w:r w:rsidRPr="00380A7F">
        <w:rPr>
          <w:rFonts w:ascii="Arial" w:hAnsi="Arial"/>
          <w:sz w:val="22"/>
          <w:szCs w:val="22"/>
        </w:rPr>
        <w:t xml:space="preserve"> despite the overwhelming evidence of the prevalence of anxiety and depression and the cost to the country</w:t>
      </w:r>
      <w:r w:rsidR="00242D3B">
        <w:rPr>
          <w:rFonts w:ascii="Arial" w:hAnsi="Arial"/>
          <w:sz w:val="22"/>
          <w:szCs w:val="22"/>
        </w:rPr>
        <w:t>,</w:t>
      </w:r>
      <w:r w:rsidRPr="00380A7F">
        <w:rPr>
          <w:rFonts w:ascii="Arial" w:hAnsi="Arial"/>
          <w:sz w:val="22"/>
          <w:szCs w:val="22"/>
        </w:rPr>
        <w:t xml:space="preserve"> the UK government spends only 1% of GDP on the provision of health care for all mental health disorders. He argues that providing effective treatments for people who present with anxiety and depression would increase the GDP by 4%. This argument was the motivating factor that led to </w:t>
      </w:r>
      <w:r w:rsidR="00155C23">
        <w:rPr>
          <w:rFonts w:ascii="Arial" w:hAnsi="Arial"/>
          <w:sz w:val="22"/>
          <w:szCs w:val="22"/>
        </w:rPr>
        <w:t>Layard and Clark</w:t>
      </w:r>
      <w:r w:rsidRPr="00380A7F">
        <w:rPr>
          <w:rFonts w:ascii="Arial" w:hAnsi="Arial"/>
          <w:sz w:val="22"/>
          <w:szCs w:val="22"/>
        </w:rPr>
        <w:t xml:space="preserve"> (</w:t>
      </w:r>
      <w:r w:rsidR="00155C23">
        <w:rPr>
          <w:rFonts w:ascii="Arial" w:hAnsi="Arial"/>
          <w:sz w:val="22"/>
          <w:szCs w:val="22"/>
        </w:rPr>
        <w:t>2014</w:t>
      </w:r>
      <w:r w:rsidRPr="00380A7F">
        <w:rPr>
          <w:rFonts w:ascii="Arial" w:hAnsi="Arial"/>
          <w:sz w:val="22"/>
          <w:szCs w:val="22"/>
        </w:rPr>
        <w:t>) lobbying the UK government to increase access to effective treatments for patients with common mental health disorders.</w:t>
      </w:r>
      <w:r w:rsidR="00330A9A">
        <w:rPr>
          <w:rFonts w:ascii="Arial" w:hAnsi="Arial"/>
          <w:sz w:val="22"/>
          <w:szCs w:val="22"/>
        </w:rPr>
        <w:t xml:space="preserve"> IAPT was clearly driven by an economic argument in the backdrop of a Brown/Blair, New Labour government. Layard’s argument that mental health had traditionally been underserved, within an NHS that valued parity and equality of access, was arguably well</w:t>
      </w:r>
      <w:r w:rsidR="00242D3B">
        <w:rPr>
          <w:rFonts w:ascii="Arial" w:hAnsi="Arial"/>
          <w:sz w:val="22"/>
          <w:szCs w:val="22"/>
        </w:rPr>
        <w:t>-</w:t>
      </w:r>
      <w:r w:rsidR="00330A9A">
        <w:rPr>
          <w:rFonts w:ascii="Arial" w:hAnsi="Arial"/>
          <w:sz w:val="22"/>
          <w:szCs w:val="22"/>
        </w:rPr>
        <w:t xml:space="preserve">timed (Campling, 2019). </w:t>
      </w:r>
    </w:p>
    <w:p w14:paraId="108FFDFF" w14:textId="77777777" w:rsidR="00477630" w:rsidRDefault="00477630" w:rsidP="00477630">
      <w:pPr>
        <w:rPr>
          <w:rFonts w:ascii="Arial" w:hAnsi="Arial"/>
          <w:b/>
        </w:rPr>
      </w:pPr>
    </w:p>
    <w:p w14:paraId="7F0FDA61" w14:textId="77777777" w:rsidR="00477630" w:rsidRPr="00AE6D88" w:rsidRDefault="00477630" w:rsidP="00477630">
      <w:pPr>
        <w:pStyle w:val="Heading2"/>
        <w:rPr>
          <w:rFonts w:ascii="Arial" w:hAnsi="Arial" w:cs="Arial"/>
          <w:sz w:val="22"/>
          <w:szCs w:val="22"/>
        </w:rPr>
      </w:pPr>
      <w:bookmarkStart w:id="49" w:name="_Toc46770718"/>
      <w:bookmarkStart w:id="50" w:name="_Toc79414129"/>
      <w:r w:rsidRPr="00AE6D88">
        <w:rPr>
          <w:rFonts w:ascii="Arial" w:hAnsi="Arial" w:cs="Arial"/>
          <w:color w:val="000000" w:themeColor="text1"/>
          <w:sz w:val="22"/>
          <w:szCs w:val="22"/>
        </w:rPr>
        <w:t>2.2 THE DEVELOPMENT OF THE IAPT PROGRAMME</w:t>
      </w:r>
      <w:bookmarkEnd w:id="49"/>
      <w:bookmarkEnd w:id="50"/>
      <w:r w:rsidRPr="00AE6D88">
        <w:rPr>
          <w:rFonts w:ascii="Arial" w:hAnsi="Arial" w:cs="Arial"/>
          <w:color w:val="000000" w:themeColor="text1"/>
          <w:sz w:val="22"/>
          <w:szCs w:val="22"/>
        </w:rPr>
        <w:t xml:space="preserve"> </w:t>
      </w:r>
    </w:p>
    <w:p w14:paraId="1E39A4AA" w14:textId="77777777" w:rsidR="00477630" w:rsidRDefault="00477630" w:rsidP="00477630">
      <w:pPr>
        <w:rPr>
          <w:rFonts w:ascii="Arial" w:hAnsi="Arial"/>
        </w:rPr>
      </w:pPr>
    </w:p>
    <w:p w14:paraId="5588590E" w14:textId="7060E57F" w:rsidR="00477630" w:rsidRDefault="00477630" w:rsidP="00477630">
      <w:pPr>
        <w:spacing w:line="480" w:lineRule="auto"/>
        <w:rPr>
          <w:rFonts w:ascii="Arial" w:hAnsi="Arial"/>
          <w:sz w:val="22"/>
          <w:szCs w:val="22"/>
        </w:rPr>
      </w:pPr>
      <w:r w:rsidRPr="00380A7F">
        <w:rPr>
          <w:rFonts w:ascii="Arial" w:hAnsi="Arial"/>
          <w:sz w:val="22"/>
          <w:szCs w:val="22"/>
        </w:rPr>
        <w:t>Clark and Layard (2014) describe how they lobbied the UK government with their compelling argument that increasing the expenditure on treatments for common mental health disorders would not only be cost</w:t>
      </w:r>
      <w:r w:rsidR="00242D3B">
        <w:rPr>
          <w:rFonts w:ascii="Arial" w:hAnsi="Arial"/>
          <w:sz w:val="22"/>
          <w:szCs w:val="22"/>
        </w:rPr>
        <w:t>-</w:t>
      </w:r>
      <w:r w:rsidRPr="00380A7F">
        <w:rPr>
          <w:rFonts w:ascii="Arial" w:hAnsi="Arial"/>
          <w:sz w:val="22"/>
          <w:szCs w:val="22"/>
        </w:rPr>
        <w:t xml:space="preserve">neutral but had the potential to make the UK more profitable overall. Clark, a </w:t>
      </w:r>
      <w:r w:rsidR="00487A0F">
        <w:rPr>
          <w:rFonts w:ascii="Arial" w:hAnsi="Arial"/>
          <w:sz w:val="22"/>
          <w:szCs w:val="22"/>
        </w:rPr>
        <w:t>Clinical P</w:t>
      </w:r>
      <w:r w:rsidRPr="00380A7F">
        <w:rPr>
          <w:rFonts w:ascii="Arial" w:hAnsi="Arial"/>
          <w:sz w:val="22"/>
          <w:szCs w:val="22"/>
        </w:rPr>
        <w:t>sychologist and Layard, an economist</w:t>
      </w:r>
      <w:r w:rsidR="00242D3B">
        <w:rPr>
          <w:rFonts w:ascii="Arial" w:hAnsi="Arial"/>
          <w:sz w:val="22"/>
          <w:szCs w:val="22"/>
        </w:rPr>
        <w:t>,</w:t>
      </w:r>
      <w:r w:rsidRPr="00380A7F">
        <w:rPr>
          <w:rFonts w:ascii="Arial" w:hAnsi="Arial"/>
          <w:sz w:val="22"/>
          <w:szCs w:val="22"/>
        </w:rPr>
        <w:t xml:space="preserve"> argued that a new type of nationwide provision for the effective treatment of anxiety and depression was required. Clark believed that the new service should draw on the effectiveness of Cognitive </w:t>
      </w:r>
      <w:r w:rsidRPr="00380A7F">
        <w:rPr>
          <w:rFonts w:ascii="Arial" w:hAnsi="Arial"/>
          <w:sz w:val="22"/>
          <w:szCs w:val="22"/>
        </w:rPr>
        <w:lastRenderedPageBreak/>
        <w:t>Behavioural Therapy (CBT). Using evidence drawn from the Cochrane Collaboration (</w:t>
      </w:r>
      <w:r>
        <w:rPr>
          <w:rFonts w:ascii="Arial" w:hAnsi="Arial"/>
          <w:sz w:val="22"/>
          <w:szCs w:val="22"/>
        </w:rPr>
        <w:t>Clark, 2018</w:t>
      </w:r>
      <w:r w:rsidRPr="00380A7F">
        <w:rPr>
          <w:rFonts w:ascii="Arial" w:hAnsi="Arial"/>
          <w:sz w:val="22"/>
          <w:szCs w:val="22"/>
        </w:rPr>
        <w:t>) and the National Institute of Health and Care Excellence (NICE</w:t>
      </w:r>
      <w:r>
        <w:rPr>
          <w:rFonts w:ascii="Arial" w:hAnsi="Arial"/>
          <w:sz w:val="22"/>
          <w:szCs w:val="22"/>
        </w:rPr>
        <w:t>, 2004a, 2004b, 2005a, 2005b, 2006, 2009a, 2009b, 2011</w:t>
      </w:r>
      <w:r w:rsidRPr="00380A7F">
        <w:rPr>
          <w:rFonts w:ascii="Arial" w:hAnsi="Arial"/>
          <w:sz w:val="22"/>
          <w:szCs w:val="22"/>
        </w:rPr>
        <w:t xml:space="preserve">) </w:t>
      </w:r>
      <w:r>
        <w:rPr>
          <w:rFonts w:ascii="Arial" w:hAnsi="Arial"/>
          <w:sz w:val="22"/>
          <w:szCs w:val="22"/>
        </w:rPr>
        <w:t>it was</w:t>
      </w:r>
      <w:r w:rsidRPr="00380A7F">
        <w:rPr>
          <w:rFonts w:ascii="Arial" w:hAnsi="Arial"/>
          <w:sz w:val="22"/>
          <w:szCs w:val="22"/>
        </w:rPr>
        <w:t xml:space="preserve"> argued that CBT held the widest evidence base for the treatment of anxiety and depression. </w:t>
      </w:r>
      <w:r w:rsidR="004E236B">
        <w:rPr>
          <w:rFonts w:ascii="Arial" w:hAnsi="Arial"/>
          <w:sz w:val="22"/>
          <w:szCs w:val="22"/>
        </w:rPr>
        <w:t>This focus on evidenced-based interventions such as CBT has arguably led to</w:t>
      </w:r>
      <w:r w:rsidR="00B76C78">
        <w:rPr>
          <w:rFonts w:ascii="Arial" w:hAnsi="Arial"/>
          <w:sz w:val="22"/>
          <w:szCs w:val="22"/>
        </w:rPr>
        <w:t xml:space="preserve"> a disinvestment in other forms of psychotherapy, such a counselling and psychodynamic psychotherapy (Guy, Loewenthal, Thomas and Stephenson, 2011). </w:t>
      </w:r>
      <w:r w:rsidR="007A690C">
        <w:rPr>
          <w:rFonts w:ascii="Arial" w:hAnsi="Arial"/>
          <w:sz w:val="22"/>
          <w:szCs w:val="22"/>
        </w:rPr>
        <w:t xml:space="preserve">This </w:t>
      </w:r>
      <w:r w:rsidR="00A811CD">
        <w:rPr>
          <w:rFonts w:ascii="Arial" w:hAnsi="Arial"/>
          <w:sz w:val="22"/>
          <w:szCs w:val="22"/>
        </w:rPr>
        <w:t>is</w:t>
      </w:r>
      <w:r w:rsidR="00B76C78">
        <w:rPr>
          <w:rFonts w:ascii="Arial" w:hAnsi="Arial"/>
          <w:sz w:val="22"/>
          <w:szCs w:val="22"/>
        </w:rPr>
        <w:t xml:space="preserve"> the antithesis of the United Kingdom government’s promise (Department for Health and Social Care</w:t>
      </w:r>
      <w:r w:rsidR="007C3BC8">
        <w:rPr>
          <w:rFonts w:ascii="Arial" w:hAnsi="Arial"/>
          <w:sz w:val="22"/>
          <w:szCs w:val="22"/>
        </w:rPr>
        <w:t>,</w:t>
      </w:r>
      <w:r w:rsidR="00B76C78">
        <w:rPr>
          <w:rFonts w:ascii="Arial" w:hAnsi="Arial"/>
          <w:sz w:val="22"/>
          <w:szCs w:val="22"/>
        </w:rPr>
        <w:t xml:space="preserve"> 2011) that people should have a choice </w:t>
      </w:r>
      <w:r w:rsidR="003C3654">
        <w:rPr>
          <w:rFonts w:ascii="Arial" w:hAnsi="Arial"/>
          <w:sz w:val="22"/>
          <w:szCs w:val="22"/>
        </w:rPr>
        <w:t>in relation to what mental health treatment they have. Furthermore, there is somewhat of a paradigm war between evidenced-based psychological therapies</w:t>
      </w:r>
      <w:r w:rsidR="00242D3B">
        <w:rPr>
          <w:rFonts w:ascii="Arial" w:hAnsi="Arial"/>
          <w:sz w:val="22"/>
          <w:szCs w:val="22"/>
        </w:rPr>
        <w:t>,</w:t>
      </w:r>
      <w:r w:rsidR="003C3654">
        <w:rPr>
          <w:rFonts w:ascii="Arial" w:hAnsi="Arial"/>
          <w:sz w:val="22"/>
          <w:szCs w:val="22"/>
        </w:rPr>
        <w:t xml:space="preserve"> and counselling and psychodynamic psychotherapy whereby the former favour ‘gold standard’ randomised controlled trials and outcomes-based frameworks and the latter</w:t>
      </w:r>
      <w:r w:rsidR="00B76C78">
        <w:rPr>
          <w:rFonts w:ascii="Arial" w:hAnsi="Arial"/>
          <w:sz w:val="22"/>
          <w:szCs w:val="22"/>
        </w:rPr>
        <w:t xml:space="preserve"> </w:t>
      </w:r>
      <w:r w:rsidR="003C3654">
        <w:rPr>
          <w:rFonts w:ascii="Arial" w:hAnsi="Arial"/>
          <w:sz w:val="22"/>
          <w:szCs w:val="22"/>
        </w:rPr>
        <w:t>prefer qualitative research and are less likely to use standardised validated instruments (</w:t>
      </w:r>
      <w:r w:rsidR="009E42E7">
        <w:rPr>
          <w:rFonts w:ascii="Arial" w:hAnsi="Arial"/>
          <w:sz w:val="22"/>
          <w:szCs w:val="22"/>
        </w:rPr>
        <w:t>Mollon, 2010</w:t>
      </w:r>
      <w:r w:rsidR="003C3654">
        <w:rPr>
          <w:rFonts w:ascii="Arial" w:hAnsi="Arial"/>
          <w:sz w:val="22"/>
          <w:szCs w:val="22"/>
        </w:rPr>
        <w:t xml:space="preserve">).  </w:t>
      </w:r>
      <w:r w:rsidR="00330A9A">
        <w:rPr>
          <w:rFonts w:ascii="Arial" w:hAnsi="Arial"/>
          <w:sz w:val="22"/>
          <w:szCs w:val="22"/>
        </w:rPr>
        <w:t>Furthermore, t</w:t>
      </w:r>
      <w:r w:rsidR="003C3654">
        <w:rPr>
          <w:rFonts w:ascii="Arial" w:hAnsi="Arial"/>
          <w:sz w:val="22"/>
          <w:szCs w:val="22"/>
        </w:rPr>
        <w:t>he National Institute of Health and Social Care Excellence</w:t>
      </w:r>
      <w:r w:rsidR="007C3BC8">
        <w:rPr>
          <w:rFonts w:ascii="Arial" w:hAnsi="Arial"/>
          <w:sz w:val="22"/>
          <w:szCs w:val="22"/>
        </w:rPr>
        <w:t xml:space="preserve"> (NICE)</w:t>
      </w:r>
      <w:r w:rsidR="003C3654">
        <w:rPr>
          <w:rFonts w:ascii="Arial" w:hAnsi="Arial"/>
          <w:sz w:val="22"/>
          <w:szCs w:val="22"/>
        </w:rPr>
        <w:t xml:space="preserve"> </w:t>
      </w:r>
      <w:r w:rsidR="009E42E7">
        <w:rPr>
          <w:rFonts w:ascii="Arial" w:hAnsi="Arial"/>
          <w:sz w:val="22"/>
          <w:szCs w:val="22"/>
        </w:rPr>
        <w:t>favour a biomedical approach to research supporting outcomes</w:t>
      </w:r>
      <w:r w:rsidR="00242D3B">
        <w:rPr>
          <w:rFonts w:ascii="Arial" w:hAnsi="Arial"/>
          <w:sz w:val="22"/>
          <w:szCs w:val="22"/>
        </w:rPr>
        <w:t>-</w:t>
      </w:r>
      <w:r w:rsidR="009E42E7">
        <w:rPr>
          <w:rFonts w:ascii="Arial" w:hAnsi="Arial"/>
          <w:sz w:val="22"/>
          <w:szCs w:val="22"/>
        </w:rPr>
        <w:t>based frameworks, randomised trials and experimental designs (NICE, 2017)</w:t>
      </w:r>
      <w:r w:rsidR="00242D3B">
        <w:rPr>
          <w:rFonts w:ascii="Arial" w:hAnsi="Arial"/>
          <w:sz w:val="22"/>
          <w:szCs w:val="22"/>
        </w:rPr>
        <w:t xml:space="preserve"> and,</w:t>
      </w:r>
      <w:r w:rsidR="009E42E7">
        <w:rPr>
          <w:rFonts w:ascii="Arial" w:hAnsi="Arial"/>
          <w:sz w:val="22"/>
          <w:szCs w:val="22"/>
        </w:rPr>
        <w:t xml:space="preserve"> therefore, psychological therapy models that do not share these paradigmatic beliefs are unlikely to become NICE approved (Guy, Loewenthal, Thomas and Stephenson, 2011, Mollon, 2010).</w:t>
      </w:r>
      <w:r w:rsidR="003674E9">
        <w:rPr>
          <w:rFonts w:ascii="Arial" w:hAnsi="Arial"/>
          <w:sz w:val="22"/>
          <w:szCs w:val="22"/>
        </w:rPr>
        <w:t xml:space="preserve"> </w:t>
      </w:r>
      <w:r w:rsidR="00B76C78">
        <w:rPr>
          <w:rFonts w:ascii="Arial" w:hAnsi="Arial"/>
          <w:sz w:val="22"/>
          <w:szCs w:val="22"/>
        </w:rPr>
        <w:t xml:space="preserve"> </w:t>
      </w:r>
      <w:r w:rsidR="00473B25">
        <w:rPr>
          <w:rFonts w:ascii="Arial" w:hAnsi="Arial"/>
          <w:sz w:val="22"/>
          <w:szCs w:val="22"/>
        </w:rPr>
        <w:t>Despite the counter arguments</w:t>
      </w:r>
      <w:r w:rsidR="003674E9">
        <w:rPr>
          <w:rFonts w:ascii="Arial" w:hAnsi="Arial"/>
          <w:sz w:val="22"/>
          <w:szCs w:val="22"/>
        </w:rPr>
        <w:t xml:space="preserve"> that alternative paradigms are useful in understanding what works for whom,</w:t>
      </w:r>
      <w:r w:rsidR="00473B25">
        <w:rPr>
          <w:rFonts w:ascii="Arial" w:hAnsi="Arial"/>
          <w:sz w:val="22"/>
          <w:szCs w:val="22"/>
        </w:rPr>
        <w:t xml:space="preserve"> t</w:t>
      </w:r>
      <w:r>
        <w:rPr>
          <w:rFonts w:ascii="Arial" w:hAnsi="Arial"/>
          <w:sz w:val="22"/>
          <w:szCs w:val="22"/>
        </w:rPr>
        <w:t xml:space="preserve">he National Institute of Health and Care Excellence (NICE) </w:t>
      </w:r>
      <w:r w:rsidR="003674E9">
        <w:rPr>
          <w:rFonts w:ascii="Arial" w:hAnsi="Arial"/>
          <w:sz w:val="22"/>
          <w:szCs w:val="22"/>
        </w:rPr>
        <w:t>reviews</w:t>
      </w:r>
      <w:r>
        <w:rPr>
          <w:rFonts w:ascii="Arial" w:hAnsi="Arial"/>
          <w:sz w:val="22"/>
          <w:szCs w:val="22"/>
        </w:rPr>
        <w:t xml:space="preserve"> the evidence for effectiveness, for common mental health disorders such as anxiety and depression. Their review</w:t>
      </w:r>
      <w:r w:rsidR="003674E9">
        <w:rPr>
          <w:rFonts w:ascii="Arial" w:hAnsi="Arial"/>
          <w:sz w:val="22"/>
          <w:szCs w:val="22"/>
        </w:rPr>
        <w:t>s</w:t>
      </w:r>
      <w:r>
        <w:rPr>
          <w:rFonts w:ascii="Arial" w:hAnsi="Arial"/>
          <w:sz w:val="22"/>
          <w:szCs w:val="22"/>
        </w:rPr>
        <w:t xml:space="preserve"> lead to the recommendations of particular disorder</w:t>
      </w:r>
      <w:r w:rsidR="00242D3B">
        <w:rPr>
          <w:rFonts w:ascii="Arial" w:hAnsi="Arial"/>
          <w:sz w:val="22"/>
          <w:szCs w:val="22"/>
        </w:rPr>
        <w:t>-</w:t>
      </w:r>
      <w:r>
        <w:rPr>
          <w:rFonts w:ascii="Arial" w:hAnsi="Arial"/>
          <w:sz w:val="22"/>
          <w:szCs w:val="22"/>
        </w:rPr>
        <w:t xml:space="preserve">specific treatment protocols using a cognitive behavioural framework, as well as some recommendations for other types of therapy, including counselling, </w:t>
      </w:r>
      <w:r w:rsidR="003674E9">
        <w:rPr>
          <w:rFonts w:ascii="Arial" w:hAnsi="Arial"/>
          <w:sz w:val="22"/>
          <w:szCs w:val="22"/>
        </w:rPr>
        <w:t xml:space="preserve">but </w:t>
      </w:r>
      <w:r>
        <w:rPr>
          <w:rFonts w:ascii="Arial" w:hAnsi="Arial"/>
          <w:sz w:val="22"/>
          <w:szCs w:val="22"/>
        </w:rPr>
        <w:t xml:space="preserve">for depression only. The recommendations were based on the recovery rates reported in large scale randomised controlled trials (Clark ,2018). </w:t>
      </w:r>
      <w:r w:rsidRPr="00380A7F">
        <w:rPr>
          <w:rFonts w:ascii="Arial" w:hAnsi="Arial"/>
          <w:sz w:val="22"/>
          <w:szCs w:val="22"/>
        </w:rPr>
        <w:t>Layard, Clark, Knapp and Mayraz (2007 p.7) argued that the “new programme would pay for itself within five years” resulting from recovery rates of 50%, reduced prescribing, reduced absenteeism and increased productivity</w:t>
      </w:r>
      <w:r w:rsidR="00021777">
        <w:rPr>
          <w:rFonts w:ascii="Arial" w:hAnsi="Arial"/>
          <w:sz w:val="22"/>
          <w:szCs w:val="22"/>
        </w:rPr>
        <w:t xml:space="preserve">. </w:t>
      </w:r>
      <w:r w:rsidR="00021777" w:rsidRPr="005144E4">
        <w:rPr>
          <w:rFonts w:ascii="Arial" w:hAnsi="Arial"/>
          <w:sz w:val="22"/>
          <w:szCs w:val="22"/>
        </w:rPr>
        <w:t xml:space="preserve">The </w:t>
      </w:r>
      <w:r w:rsidR="00B43CE1" w:rsidRPr="005144E4">
        <w:rPr>
          <w:rFonts w:ascii="Arial" w:hAnsi="Arial"/>
          <w:sz w:val="22"/>
          <w:szCs w:val="22"/>
        </w:rPr>
        <w:t>dominance of</w:t>
      </w:r>
      <w:r w:rsidR="00021777">
        <w:rPr>
          <w:rFonts w:ascii="Arial" w:hAnsi="Arial"/>
          <w:sz w:val="22"/>
          <w:szCs w:val="22"/>
        </w:rPr>
        <w:t xml:space="preserve"> evidenced</w:t>
      </w:r>
      <w:r w:rsidR="00B43CE1">
        <w:rPr>
          <w:rFonts w:ascii="Arial" w:hAnsi="Arial"/>
          <w:sz w:val="22"/>
          <w:szCs w:val="22"/>
        </w:rPr>
        <w:t>-</w:t>
      </w:r>
      <w:r w:rsidR="00021777">
        <w:rPr>
          <w:rFonts w:ascii="Arial" w:hAnsi="Arial"/>
          <w:sz w:val="22"/>
          <w:szCs w:val="22"/>
        </w:rPr>
        <w:t xml:space="preserve">based psychological interventions, particularly CBT, might be questionable </w:t>
      </w:r>
      <w:r w:rsidR="00021777">
        <w:rPr>
          <w:rFonts w:ascii="Arial" w:hAnsi="Arial"/>
          <w:sz w:val="22"/>
          <w:szCs w:val="22"/>
        </w:rPr>
        <w:lastRenderedPageBreak/>
        <w:t>(</w:t>
      </w:r>
      <w:r w:rsidR="00C56AC2">
        <w:rPr>
          <w:rFonts w:ascii="Arial" w:hAnsi="Arial"/>
          <w:sz w:val="22"/>
          <w:szCs w:val="22"/>
        </w:rPr>
        <w:t xml:space="preserve">Gaudiano, </w:t>
      </w:r>
      <w:r w:rsidR="00A9453E">
        <w:rPr>
          <w:rFonts w:ascii="Arial" w:hAnsi="Arial"/>
          <w:sz w:val="22"/>
          <w:szCs w:val="22"/>
        </w:rPr>
        <w:t>2008</w:t>
      </w:r>
      <w:r w:rsidR="00021777">
        <w:rPr>
          <w:rFonts w:ascii="Arial" w:hAnsi="Arial"/>
          <w:sz w:val="22"/>
          <w:szCs w:val="22"/>
        </w:rPr>
        <w:t>). Although CBT is arguably the most evidence</w:t>
      </w:r>
      <w:r w:rsidR="00242D3B">
        <w:rPr>
          <w:rFonts w:ascii="Arial" w:hAnsi="Arial"/>
          <w:sz w:val="22"/>
          <w:szCs w:val="22"/>
        </w:rPr>
        <w:t>-</w:t>
      </w:r>
      <w:r w:rsidR="00021777">
        <w:rPr>
          <w:rFonts w:ascii="Arial" w:hAnsi="Arial"/>
          <w:sz w:val="22"/>
          <w:szCs w:val="22"/>
        </w:rPr>
        <w:t>based psychological intervention</w:t>
      </w:r>
      <w:r w:rsidR="00242D3B">
        <w:rPr>
          <w:rFonts w:ascii="Arial" w:hAnsi="Arial"/>
          <w:sz w:val="22"/>
          <w:szCs w:val="22"/>
        </w:rPr>
        <w:t>,</w:t>
      </w:r>
      <w:r w:rsidR="00021777">
        <w:rPr>
          <w:rFonts w:ascii="Arial" w:hAnsi="Arial"/>
          <w:sz w:val="22"/>
          <w:szCs w:val="22"/>
        </w:rPr>
        <w:t xml:space="preserve"> it does not follow that it is the most effective or that it is equally effective for every patient (</w:t>
      </w:r>
      <w:r w:rsidR="003674E9">
        <w:rPr>
          <w:rFonts w:ascii="Arial" w:hAnsi="Arial"/>
          <w:sz w:val="22"/>
          <w:szCs w:val="22"/>
        </w:rPr>
        <w:t>McPherson, Evans, Richardson, 2009</w:t>
      </w:r>
      <w:r w:rsidR="00021777">
        <w:rPr>
          <w:rFonts w:ascii="Arial" w:hAnsi="Arial"/>
          <w:sz w:val="22"/>
          <w:szCs w:val="22"/>
        </w:rPr>
        <w:t xml:space="preserve">). </w:t>
      </w:r>
      <w:r w:rsidR="00135F7D">
        <w:rPr>
          <w:rFonts w:ascii="Arial" w:hAnsi="Arial"/>
          <w:sz w:val="22"/>
          <w:szCs w:val="22"/>
        </w:rPr>
        <w:t>Clinicians from other psychotherapeutic modalities</w:t>
      </w:r>
      <w:r w:rsidR="00242D3B">
        <w:rPr>
          <w:rFonts w:ascii="Arial" w:hAnsi="Arial"/>
          <w:sz w:val="22"/>
          <w:szCs w:val="22"/>
        </w:rPr>
        <w:t>,</w:t>
      </w:r>
      <w:r w:rsidR="00135F7D">
        <w:rPr>
          <w:rFonts w:ascii="Arial" w:hAnsi="Arial"/>
          <w:sz w:val="22"/>
          <w:szCs w:val="22"/>
        </w:rPr>
        <w:t xml:space="preserve"> such as counselling or psychodynamic psychotherapy</w:t>
      </w:r>
      <w:r w:rsidR="00242D3B">
        <w:rPr>
          <w:rFonts w:ascii="Arial" w:hAnsi="Arial"/>
          <w:sz w:val="22"/>
          <w:szCs w:val="22"/>
        </w:rPr>
        <w:t>,</w:t>
      </w:r>
      <w:r w:rsidR="00135F7D">
        <w:rPr>
          <w:rFonts w:ascii="Arial" w:hAnsi="Arial"/>
          <w:sz w:val="22"/>
          <w:szCs w:val="22"/>
        </w:rPr>
        <w:t xml:space="preserve"> argue that the validated outcome measures used to quantify clinical outcomes are not fit for purpose and that there </w:t>
      </w:r>
      <w:r w:rsidR="00C819A1">
        <w:rPr>
          <w:rFonts w:ascii="Arial" w:hAnsi="Arial"/>
          <w:sz w:val="22"/>
          <w:szCs w:val="22"/>
        </w:rPr>
        <w:t>are</w:t>
      </w:r>
      <w:r w:rsidR="00135F7D">
        <w:rPr>
          <w:rFonts w:ascii="Arial" w:hAnsi="Arial"/>
          <w:sz w:val="22"/>
          <w:szCs w:val="22"/>
        </w:rPr>
        <w:t xml:space="preserve"> </w:t>
      </w:r>
      <w:r w:rsidR="00DB3AA5">
        <w:rPr>
          <w:rFonts w:ascii="Arial" w:hAnsi="Arial"/>
          <w:sz w:val="22"/>
          <w:szCs w:val="22"/>
        </w:rPr>
        <w:t>more appropriate ways of measuring success such as asking patients whether they have achieved what they wanted to achieve (</w:t>
      </w:r>
      <w:r w:rsidR="008953A1">
        <w:rPr>
          <w:rFonts w:ascii="Arial" w:hAnsi="Arial"/>
          <w:sz w:val="22"/>
          <w:szCs w:val="22"/>
        </w:rPr>
        <w:t>Friedi and Stearn, 2015</w:t>
      </w:r>
      <w:r w:rsidR="00DB3AA5">
        <w:rPr>
          <w:rFonts w:ascii="Arial" w:hAnsi="Arial"/>
          <w:sz w:val="22"/>
          <w:szCs w:val="22"/>
        </w:rPr>
        <w:t xml:space="preserve">). </w:t>
      </w:r>
      <w:r w:rsidR="00330A9A">
        <w:rPr>
          <w:rFonts w:ascii="Arial" w:hAnsi="Arial"/>
          <w:sz w:val="22"/>
          <w:szCs w:val="22"/>
        </w:rPr>
        <w:t>Furthermore, it might be argued that the evidence base for CBT has been over</w:t>
      </w:r>
      <w:r w:rsidR="00C819A1">
        <w:rPr>
          <w:rFonts w:ascii="Arial" w:hAnsi="Arial"/>
          <w:sz w:val="22"/>
          <w:szCs w:val="22"/>
        </w:rPr>
        <w:t>-</w:t>
      </w:r>
      <w:r w:rsidR="00330A9A">
        <w:rPr>
          <w:rFonts w:ascii="Arial" w:hAnsi="Arial"/>
          <w:sz w:val="22"/>
          <w:szCs w:val="22"/>
        </w:rPr>
        <w:t>represented (Wampold, Fluckiger, Del re, Yulish, Frost, Pace, et al., (2017)</w:t>
      </w:r>
      <w:r w:rsidR="00171D91">
        <w:rPr>
          <w:rFonts w:ascii="Arial" w:hAnsi="Arial"/>
          <w:sz w:val="22"/>
          <w:szCs w:val="22"/>
        </w:rPr>
        <w:t xml:space="preserve">. </w:t>
      </w:r>
      <w:r w:rsidR="0046226F">
        <w:rPr>
          <w:rFonts w:ascii="Arial" w:hAnsi="Arial"/>
          <w:sz w:val="22"/>
          <w:szCs w:val="22"/>
        </w:rPr>
        <w:t>D</w:t>
      </w:r>
      <w:r w:rsidR="00DB3AA5">
        <w:rPr>
          <w:rFonts w:ascii="Arial" w:hAnsi="Arial"/>
          <w:sz w:val="22"/>
          <w:szCs w:val="22"/>
        </w:rPr>
        <w:t xml:space="preserve">espite the </w:t>
      </w:r>
      <w:r w:rsidR="0048550A" w:rsidRPr="0048550A">
        <w:rPr>
          <w:rFonts w:ascii="Arial" w:hAnsi="Arial"/>
          <w:sz w:val="22"/>
          <w:szCs w:val="22"/>
          <w:highlight w:val="yellow"/>
        </w:rPr>
        <w:t>i</w:t>
      </w:r>
      <w:r w:rsidR="0048550A" w:rsidRPr="005144E4">
        <w:rPr>
          <w:rFonts w:ascii="Arial" w:hAnsi="Arial"/>
          <w:sz w:val="22"/>
          <w:szCs w:val="22"/>
        </w:rPr>
        <w:t xml:space="preserve">mpotent </w:t>
      </w:r>
      <w:r w:rsidR="00DB3AA5">
        <w:rPr>
          <w:rFonts w:ascii="Arial" w:hAnsi="Arial"/>
          <w:sz w:val="22"/>
          <w:szCs w:val="22"/>
        </w:rPr>
        <w:t>counter arguments</w:t>
      </w:r>
      <w:r w:rsidRPr="00380A7F">
        <w:rPr>
          <w:rFonts w:ascii="Arial" w:hAnsi="Arial"/>
          <w:sz w:val="22"/>
          <w:szCs w:val="22"/>
        </w:rPr>
        <w:t xml:space="preserve"> </w:t>
      </w:r>
      <w:r w:rsidR="00330A9A">
        <w:rPr>
          <w:rFonts w:ascii="Arial" w:hAnsi="Arial"/>
          <w:sz w:val="22"/>
          <w:szCs w:val="22"/>
        </w:rPr>
        <w:t>against CBT</w:t>
      </w:r>
      <w:r w:rsidR="0054218F">
        <w:rPr>
          <w:rFonts w:ascii="Arial" w:hAnsi="Arial"/>
          <w:sz w:val="22"/>
          <w:szCs w:val="22"/>
        </w:rPr>
        <w:t xml:space="preserve"> </w:t>
      </w:r>
      <w:r w:rsidR="0054218F" w:rsidRPr="005144E4">
        <w:rPr>
          <w:rFonts w:ascii="Arial" w:hAnsi="Arial"/>
          <w:sz w:val="22"/>
          <w:szCs w:val="22"/>
        </w:rPr>
        <w:t>(Campling, 2019)</w:t>
      </w:r>
      <w:r w:rsidR="009F00D6" w:rsidRPr="005144E4">
        <w:rPr>
          <w:rFonts w:ascii="Arial" w:hAnsi="Arial"/>
          <w:sz w:val="22"/>
          <w:szCs w:val="22"/>
        </w:rPr>
        <w:t>,</w:t>
      </w:r>
      <w:r w:rsidR="00330A9A">
        <w:rPr>
          <w:rFonts w:ascii="Arial" w:hAnsi="Arial"/>
          <w:sz w:val="22"/>
          <w:szCs w:val="22"/>
        </w:rPr>
        <w:t xml:space="preserve"> </w:t>
      </w:r>
      <w:r w:rsidRPr="00380A7F">
        <w:rPr>
          <w:rFonts w:ascii="Arial" w:hAnsi="Arial"/>
          <w:sz w:val="22"/>
          <w:szCs w:val="22"/>
        </w:rPr>
        <w:t>Clark and Layard</w:t>
      </w:r>
      <w:r w:rsidR="00330A9A">
        <w:rPr>
          <w:rFonts w:ascii="Arial" w:hAnsi="Arial"/>
          <w:sz w:val="22"/>
          <w:szCs w:val="22"/>
        </w:rPr>
        <w:t xml:space="preserve"> </w:t>
      </w:r>
      <w:r w:rsidR="0046226F">
        <w:rPr>
          <w:rFonts w:ascii="Arial" w:hAnsi="Arial"/>
          <w:sz w:val="22"/>
          <w:szCs w:val="22"/>
        </w:rPr>
        <w:t>were successful in</w:t>
      </w:r>
      <w:r w:rsidRPr="00380A7F">
        <w:rPr>
          <w:rFonts w:ascii="Arial" w:hAnsi="Arial"/>
          <w:sz w:val="22"/>
          <w:szCs w:val="22"/>
        </w:rPr>
        <w:t xml:space="preserve"> lobb</w:t>
      </w:r>
      <w:r w:rsidR="0046226F">
        <w:rPr>
          <w:rFonts w:ascii="Arial" w:hAnsi="Arial"/>
          <w:sz w:val="22"/>
          <w:szCs w:val="22"/>
        </w:rPr>
        <w:t>ying</w:t>
      </w:r>
      <w:r w:rsidRPr="00380A7F">
        <w:rPr>
          <w:rFonts w:ascii="Arial" w:hAnsi="Arial"/>
          <w:sz w:val="22"/>
          <w:szCs w:val="22"/>
        </w:rPr>
        <w:t xml:space="preserve"> </w:t>
      </w:r>
      <w:r w:rsidR="0054218F">
        <w:rPr>
          <w:rFonts w:ascii="Arial" w:hAnsi="Arial"/>
          <w:sz w:val="22"/>
          <w:szCs w:val="22"/>
        </w:rPr>
        <w:t xml:space="preserve"> the government</w:t>
      </w:r>
      <w:r w:rsidR="00881809">
        <w:rPr>
          <w:rFonts w:ascii="Arial" w:hAnsi="Arial"/>
          <w:sz w:val="22"/>
          <w:szCs w:val="22"/>
        </w:rPr>
        <w:t xml:space="preserve">, </w:t>
      </w:r>
      <w:r w:rsidRPr="00380A7F">
        <w:rPr>
          <w:rFonts w:ascii="Arial" w:hAnsi="Arial"/>
          <w:sz w:val="22"/>
          <w:szCs w:val="22"/>
        </w:rPr>
        <w:t>le</w:t>
      </w:r>
      <w:r w:rsidR="00BB0080">
        <w:rPr>
          <w:rFonts w:ascii="Arial" w:hAnsi="Arial"/>
          <w:sz w:val="22"/>
          <w:szCs w:val="22"/>
        </w:rPr>
        <w:t>ading</w:t>
      </w:r>
      <w:r w:rsidRPr="00380A7F">
        <w:rPr>
          <w:rFonts w:ascii="Arial" w:hAnsi="Arial"/>
          <w:sz w:val="22"/>
          <w:szCs w:val="22"/>
        </w:rPr>
        <w:t xml:space="preserve"> to the development of the Improving Access to Psychological Therapy (IAPT) programme. </w:t>
      </w:r>
      <w:r>
        <w:rPr>
          <w:rFonts w:ascii="Arial" w:hAnsi="Arial"/>
          <w:sz w:val="22"/>
          <w:szCs w:val="22"/>
        </w:rPr>
        <w:t>The programme was designed to be a large-scale psychological therapy service, providing evidence</w:t>
      </w:r>
      <w:r w:rsidR="00242D3B">
        <w:rPr>
          <w:rFonts w:ascii="Arial" w:hAnsi="Arial"/>
          <w:sz w:val="22"/>
          <w:szCs w:val="22"/>
        </w:rPr>
        <w:t>-</w:t>
      </w:r>
      <w:r>
        <w:rPr>
          <w:rFonts w:ascii="Arial" w:hAnsi="Arial"/>
          <w:sz w:val="22"/>
          <w:szCs w:val="22"/>
        </w:rPr>
        <w:t>based interventions for people with anxiety and depression (Clark</w:t>
      </w:r>
      <w:r w:rsidR="007642EF">
        <w:rPr>
          <w:rFonts w:ascii="Arial" w:hAnsi="Arial"/>
          <w:sz w:val="22"/>
          <w:szCs w:val="22"/>
        </w:rPr>
        <w:t>,</w:t>
      </w:r>
      <w:r>
        <w:rPr>
          <w:rFonts w:ascii="Arial" w:hAnsi="Arial"/>
          <w:sz w:val="22"/>
          <w:szCs w:val="22"/>
        </w:rPr>
        <w:t xml:space="preserve"> 2018). </w:t>
      </w:r>
      <w:r w:rsidRPr="00380A7F">
        <w:rPr>
          <w:rFonts w:ascii="Arial" w:hAnsi="Arial"/>
          <w:sz w:val="22"/>
          <w:szCs w:val="22"/>
        </w:rPr>
        <w:t>Services were rolled out across England between 2008 and 2011 and were overseen by the Department of Health (Clark</w:t>
      </w:r>
      <w:r w:rsidR="007642EF">
        <w:rPr>
          <w:rFonts w:ascii="Arial" w:hAnsi="Arial"/>
          <w:sz w:val="22"/>
          <w:szCs w:val="22"/>
        </w:rPr>
        <w:t>,</w:t>
      </w:r>
      <w:r w:rsidRPr="00380A7F">
        <w:rPr>
          <w:rFonts w:ascii="Arial" w:hAnsi="Arial"/>
          <w:sz w:val="22"/>
          <w:szCs w:val="22"/>
        </w:rPr>
        <w:t xml:space="preserve"> 2012).  From 2011 each area of </w:t>
      </w:r>
      <w:r>
        <w:rPr>
          <w:rFonts w:ascii="Arial" w:hAnsi="Arial"/>
          <w:sz w:val="22"/>
          <w:szCs w:val="22"/>
        </w:rPr>
        <w:t xml:space="preserve">England </w:t>
      </w:r>
      <w:r w:rsidRPr="00380A7F">
        <w:rPr>
          <w:rFonts w:ascii="Arial" w:hAnsi="Arial"/>
          <w:sz w:val="22"/>
          <w:szCs w:val="22"/>
        </w:rPr>
        <w:t>was required to have developed an IAPT service. Consequently, every General Practitioner in England could access evidenced based psychological treatments, such as cognitive behavioural therapy, for their patients.  Since 2013</w:t>
      </w:r>
      <w:r w:rsidR="00242D3B">
        <w:rPr>
          <w:rFonts w:ascii="Arial" w:hAnsi="Arial"/>
          <w:sz w:val="22"/>
          <w:szCs w:val="22"/>
        </w:rPr>
        <w:t>,</w:t>
      </w:r>
      <w:r w:rsidRPr="00380A7F">
        <w:rPr>
          <w:rFonts w:ascii="Arial" w:hAnsi="Arial"/>
          <w:sz w:val="22"/>
          <w:szCs w:val="22"/>
        </w:rPr>
        <w:t xml:space="preserve"> responsibility for IAPT services was devolved to NHS England with a focus on parity of esteem with physical health care provision (Health and Social Care Information Centre</w:t>
      </w:r>
      <w:r w:rsidR="00C4726A">
        <w:rPr>
          <w:rFonts w:ascii="Arial" w:hAnsi="Arial"/>
          <w:sz w:val="22"/>
          <w:szCs w:val="22"/>
        </w:rPr>
        <w:t>,</w:t>
      </w:r>
      <w:r w:rsidRPr="00380A7F">
        <w:rPr>
          <w:rFonts w:ascii="Arial" w:hAnsi="Arial"/>
          <w:sz w:val="22"/>
          <w:szCs w:val="22"/>
        </w:rPr>
        <w:t xml:space="preserve"> 2013).  This new focus was heavily influenced by the Health and Social Care Act (2012) which put legislation in place to ensure that mental health service provision was on a par with physical health care provision.</w:t>
      </w:r>
      <w:r w:rsidR="00473B25">
        <w:rPr>
          <w:rFonts w:ascii="Arial" w:hAnsi="Arial"/>
          <w:sz w:val="22"/>
          <w:szCs w:val="22"/>
        </w:rPr>
        <w:t xml:space="preserve"> </w:t>
      </w:r>
      <w:r w:rsidR="00330A9A">
        <w:rPr>
          <w:rFonts w:ascii="Arial" w:hAnsi="Arial"/>
          <w:sz w:val="22"/>
          <w:szCs w:val="22"/>
        </w:rPr>
        <w:t>However, i</w:t>
      </w:r>
      <w:r w:rsidR="00380415">
        <w:rPr>
          <w:rFonts w:ascii="Arial" w:hAnsi="Arial"/>
          <w:sz w:val="22"/>
          <w:szCs w:val="22"/>
        </w:rPr>
        <w:t>t is important to note that</w:t>
      </w:r>
      <w:r w:rsidR="00473B25">
        <w:rPr>
          <w:rFonts w:ascii="Arial" w:hAnsi="Arial"/>
          <w:sz w:val="22"/>
          <w:szCs w:val="22"/>
        </w:rPr>
        <w:t>, at its inception, IAPT aimed to treat just 15% of those people who presented with an anxiety disorder or depression (Clark, 2011) and that was only recently increased to a target of treating 25% of prevalence (Clark, 2018). Therefore, despite the change in policy relating to parity of esteem IAPT has failed to achieve this</w:t>
      </w:r>
      <w:r w:rsidR="00021777">
        <w:rPr>
          <w:rFonts w:ascii="Arial" w:hAnsi="Arial"/>
          <w:sz w:val="22"/>
          <w:szCs w:val="22"/>
        </w:rPr>
        <w:t xml:space="preserve"> (</w:t>
      </w:r>
      <w:r w:rsidR="000036BE">
        <w:rPr>
          <w:rFonts w:ascii="Arial" w:hAnsi="Arial"/>
          <w:sz w:val="22"/>
          <w:szCs w:val="22"/>
        </w:rPr>
        <w:t xml:space="preserve">The </w:t>
      </w:r>
      <w:r w:rsidR="00021777">
        <w:rPr>
          <w:rFonts w:ascii="Arial" w:hAnsi="Arial"/>
          <w:sz w:val="22"/>
          <w:szCs w:val="22"/>
        </w:rPr>
        <w:t>Guardian, 2014)</w:t>
      </w:r>
      <w:r w:rsidR="00473B25">
        <w:rPr>
          <w:rFonts w:ascii="Arial" w:hAnsi="Arial"/>
          <w:sz w:val="22"/>
          <w:szCs w:val="22"/>
        </w:rPr>
        <w:t>. It is questionable whether the general public would tolerate a health service that treated only 25% of people who ha</w:t>
      </w:r>
      <w:r w:rsidR="00242D3B">
        <w:rPr>
          <w:rFonts w:ascii="Arial" w:hAnsi="Arial"/>
          <w:sz w:val="22"/>
          <w:szCs w:val="22"/>
        </w:rPr>
        <w:t>ve</w:t>
      </w:r>
      <w:r w:rsidR="00473B25">
        <w:rPr>
          <w:rFonts w:ascii="Arial" w:hAnsi="Arial"/>
          <w:sz w:val="22"/>
          <w:szCs w:val="22"/>
        </w:rPr>
        <w:t xml:space="preserve"> coronary heart disease, or diabetes and </w:t>
      </w:r>
      <w:r w:rsidR="00473B25">
        <w:rPr>
          <w:rFonts w:ascii="Arial" w:hAnsi="Arial"/>
          <w:sz w:val="22"/>
          <w:szCs w:val="22"/>
        </w:rPr>
        <w:lastRenderedPageBreak/>
        <w:t xml:space="preserve">yet IAPT celebrates (Clark, 2018) the fact that </w:t>
      </w:r>
      <w:r w:rsidR="00021777">
        <w:rPr>
          <w:rFonts w:ascii="Arial" w:hAnsi="Arial"/>
          <w:sz w:val="22"/>
          <w:szCs w:val="22"/>
        </w:rPr>
        <w:t xml:space="preserve">it </w:t>
      </w:r>
      <w:r w:rsidR="00473B25">
        <w:rPr>
          <w:rFonts w:ascii="Arial" w:hAnsi="Arial"/>
          <w:sz w:val="22"/>
          <w:szCs w:val="22"/>
        </w:rPr>
        <w:t>is treating as many people as it is. Nevertheless,</w:t>
      </w:r>
      <w:r w:rsidRPr="00380A7F">
        <w:rPr>
          <w:rFonts w:ascii="Arial" w:hAnsi="Arial"/>
          <w:sz w:val="22"/>
          <w:szCs w:val="22"/>
        </w:rPr>
        <w:t xml:space="preserve"> IAPT was designed to ensure, regardless of location, equal access to evidenced based interventions within a primary health care setting.</w:t>
      </w:r>
      <w:r w:rsidR="00473B25">
        <w:rPr>
          <w:rFonts w:ascii="Arial" w:hAnsi="Arial"/>
          <w:sz w:val="22"/>
          <w:szCs w:val="22"/>
        </w:rPr>
        <w:t xml:space="preserve"> </w:t>
      </w:r>
      <w:r w:rsidRPr="00380A7F">
        <w:rPr>
          <w:rFonts w:ascii="Arial" w:hAnsi="Arial"/>
          <w:sz w:val="22"/>
          <w:szCs w:val="22"/>
        </w:rPr>
        <w:t>Prior to IAPT access to evidence</w:t>
      </w:r>
      <w:r w:rsidR="00242D3B">
        <w:rPr>
          <w:rFonts w:ascii="Arial" w:hAnsi="Arial"/>
          <w:sz w:val="22"/>
          <w:szCs w:val="22"/>
        </w:rPr>
        <w:t>-</w:t>
      </w:r>
      <w:r w:rsidRPr="00380A7F">
        <w:rPr>
          <w:rFonts w:ascii="Arial" w:hAnsi="Arial"/>
          <w:sz w:val="22"/>
          <w:szCs w:val="22"/>
        </w:rPr>
        <w:t>based interventions was scant and availability varied across the country (Clark</w:t>
      </w:r>
      <w:r w:rsidR="007642EF">
        <w:rPr>
          <w:rFonts w:ascii="Arial" w:hAnsi="Arial"/>
          <w:sz w:val="22"/>
          <w:szCs w:val="22"/>
        </w:rPr>
        <w:t>,</w:t>
      </w:r>
      <w:r w:rsidRPr="00380A7F">
        <w:rPr>
          <w:rFonts w:ascii="Arial" w:hAnsi="Arial"/>
          <w:sz w:val="22"/>
          <w:szCs w:val="22"/>
        </w:rPr>
        <w:t xml:space="preserve"> 2012). </w:t>
      </w:r>
      <w:r w:rsidR="00DB3AA5">
        <w:rPr>
          <w:rFonts w:ascii="Arial" w:hAnsi="Arial"/>
          <w:sz w:val="22"/>
          <w:szCs w:val="22"/>
        </w:rPr>
        <w:t>Undoubtedly IAPT was commissioned by the government in order to make economic savings.  Norman Lamb (at that time Minister of State for Care) argued that 45,000 people had come off state benefits because of the treatment they received via IAPT (NHS England, 2014). This focus on cost savings, to the United Kingdom’s Treasury, may be a double</w:t>
      </w:r>
      <w:r w:rsidR="00242D3B">
        <w:rPr>
          <w:rFonts w:ascii="Arial" w:hAnsi="Arial"/>
          <w:sz w:val="22"/>
          <w:szCs w:val="22"/>
        </w:rPr>
        <w:t>-</w:t>
      </w:r>
      <w:r w:rsidR="00DB3AA5">
        <w:rPr>
          <w:rFonts w:ascii="Arial" w:hAnsi="Arial"/>
          <w:sz w:val="22"/>
          <w:szCs w:val="22"/>
        </w:rPr>
        <w:t>edged sword in that</w:t>
      </w:r>
      <w:r w:rsidR="00242D3B">
        <w:rPr>
          <w:rFonts w:ascii="Arial" w:hAnsi="Arial"/>
          <w:sz w:val="22"/>
          <w:szCs w:val="22"/>
        </w:rPr>
        <w:t>,</w:t>
      </w:r>
      <w:r w:rsidR="00DB3AA5">
        <w:rPr>
          <w:rFonts w:ascii="Arial" w:hAnsi="Arial"/>
          <w:sz w:val="22"/>
          <w:szCs w:val="22"/>
        </w:rPr>
        <w:t xml:space="preserve"> whils</w:t>
      </w:r>
      <w:r w:rsidR="004E236B">
        <w:rPr>
          <w:rFonts w:ascii="Arial" w:hAnsi="Arial"/>
          <w:sz w:val="22"/>
          <w:szCs w:val="22"/>
        </w:rPr>
        <w:t>t depression and anxiety can interfere with a person’s ability to work or seek work (Mental Health Foundation, 2012)</w:t>
      </w:r>
      <w:r w:rsidR="00242D3B">
        <w:rPr>
          <w:rFonts w:ascii="Arial" w:hAnsi="Arial"/>
          <w:sz w:val="22"/>
          <w:szCs w:val="22"/>
        </w:rPr>
        <w:t>,</w:t>
      </w:r>
      <w:r w:rsidR="004E236B">
        <w:rPr>
          <w:rFonts w:ascii="Arial" w:hAnsi="Arial"/>
          <w:sz w:val="22"/>
          <w:szCs w:val="22"/>
        </w:rPr>
        <w:t xml:space="preserve"> some of the socio</w:t>
      </w:r>
      <w:r w:rsidR="00242D3B">
        <w:rPr>
          <w:rFonts w:ascii="Arial" w:hAnsi="Arial"/>
          <w:sz w:val="22"/>
          <w:szCs w:val="22"/>
        </w:rPr>
        <w:t>-</w:t>
      </w:r>
      <w:r w:rsidR="004E236B">
        <w:rPr>
          <w:rFonts w:ascii="Arial" w:hAnsi="Arial"/>
          <w:sz w:val="22"/>
          <w:szCs w:val="22"/>
        </w:rPr>
        <w:t>economic factors associated with anxiety and depression are less amenable to psychological therapy.</w:t>
      </w:r>
      <w:r w:rsidR="003674E9">
        <w:rPr>
          <w:rFonts w:ascii="Arial" w:hAnsi="Arial"/>
          <w:sz w:val="22"/>
          <w:szCs w:val="22"/>
        </w:rPr>
        <w:t xml:space="preserve"> The Department for Work and Pensions (DWP)</w:t>
      </w:r>
      <w:r w:rsidR="00242D3B">
        <w:rPr>
          <w:rFonts w:ascii="Arial" w:hAnsi="Arial"/>
          <w:sz w:val="22"/>
          <w:szCs w:val="22"/>
        </w:rPr>
        <w:t>,</w:t>
      </w:r>
      <w:r w:rsidR="003674E9">
        <w:rPr>
          <w:rFonts w:ascii="Arial" w:hAnsi="Arial"/>
          <w:sz w:val="22"/>
          <w:szCs w:val="22"/>
        </w:rPr>
        <w:t xml:space="preserve"> in association with IAPT</w:t>
      </w:r>
      <w:r w:rsidR="00242D3B">
        <w:rPr>
          <w:rFonts w:ascii="Arial" w:hAnsi="Arial"/>
          <w:sz w:val="22"/>
          <w:szCs w:val="22"/>
        </w:rPr>
        <w:t>,</w:t>
      </w:r>
      <w:r w:rsidR="003674E9">
        <w:rPr>
          <w:rFonts w:ascii="Arial" w:hAnsi="Arial"/>
          <w:sz w:val="22"/>
          <w:szCs w:val="22"/>
        </w:rPr>
        <w:t xml:space="preserve"> </w:t>
      </w:r>
      <w:r w:rsidR="00EA0E34">
        <w:rPr>
          <w:rFonts w:ascii="Arial" w:hAnsi="Arial"/>
          <w:sz w:val="22"/>
          <w:szCs w:val="22"/>
        </w:rPr>
        <w:t>sought</w:t>
      </w:r>
      <w:r w:rsidR="003674E9">
        <w:rPr>
          <w:rFonts w:ascii="Arial" w:hAnsi="Arial"/>
          <w:sz w:val="22"/>
          <w:szCs w:val="22"/>
        </w:rPr>
        <w:t xml:space="preserve"> to further the pursuance of </w:t>
      </w:r>
      <w:r w:rsidR="0023683C">
        <w:rPr>
          <w:rFonts w:ascii="Arial" w:hAnsi="Arial"/>
          <w:sz w:val="22"/>
          <w:szCs w:val="22"/>
        </w:rPr>
        <w:t>reducing the economic burden of unemployment due to common mental health disorders such as anxiety and depression (</w:t>
      </w:r>
      <w:r w:rsidR="0063259F">
        <w:rPr>
          <w:rFonts w:ascii="Arial" w:hAnsi="Arial"/>
          <w:sz w:val="22"/>
          <w:szCs w:val="22"/>
        </w:rPr>
        <w:t>van Stolk, Hofman, Hafner and Janta, 2014</w:t>
      </w:r>
      <w:r w:rsidR="0023683C">
        <w:rPr>
          <w:rFonts w:ascii="Arial" w:hAnsi="Arial"/>
          <w:sz w:val="22"/>
          <w:szCs w:val="22"/>
        </w:rPr>
        <w:t>).  The suggestion that claimants with a diagnosis of anxiety or depression should be offered CBT is also a double-edged sword. On the one hand</w:t>
      </w:r>
      <w:r w:rsidR="00EA0E34">
        <w:rPr>
          <w:rFonts w:ascii="Arial" w:hAnsi="Arial"/>
          <w:sz w:val="22"/>
          <w:szCs w:val="22"/>
        </w:rPr>
        <w:t>,</w:t>
      </w:r>
      <w:r w:rsidR="0023683C">
        <w:rPr>
          <w:rFonts w:ascii="Arial" w:hAnsi="Arial"/>
          <w:sz w:val="22"/>
          <w:szCs w:val="22"/>
        </w:rPr>
        <w:t xml:space="preserve"> who could argue that treatments should </w:t>
      </w:r>
      <w:r w:rsidR="00242D3B">
        <w:rPr>
          <w:rFonts w:ascii="Arial" w:hAnsi="Arial"/>
          <w:sz w:val="22"/>
          <w:szCs w:val="22"/>
        </w:rPr>
        <w:t xml:space="preserve">not </w:t>
      </w:r>
      <w:r w:rsidR="0023683C">
        <w:rPr>
          <w:rFonts w:ascii="Arial" w:hAnsi="Arial"/>
          <w:sz w:val="22"/>
          <w:szCs w:val="22"/>
        </w:rPr>
        <w:t>be offered to people who need them</w:t>
      </w:r>
      <w:r w:rsidR="00EA0E34">
        <w:rPr>
          <w:rFonts w:ascii="Arial" w:hAnsi="Arial"/>
          <w:sz w:val="22"/>
          <w:szCs w:val="22"/>
        </w:rPr>
        <w:t xml:space="preserve"> but </w:t>
      </w:r>
      <w:r w:rsidR="00242D3B">
        <w:rPr>
          <w:rFonts w:ascii="Arial" w:hAnsi="Arial"/>
          <w:sz w:val="22"/>
          <w:szCs w:val="22"/>
        </w:rPr>
        <w:t>,</w:t>
      </w:r>
      <w:r w:rsidR="0023683C">
        <w:rPr>
          <w:rFonts w:ascii="Arial" w:hAnsi="Arial"/>
          <w:sz w:val="22"/>
          <w:szCs w:val="22"/>
        </w:rPr>
        <w:t>on the other hand, defining employment as a health outcome might be more problematic (</w:t>
      </w:r>
      <w:r w:rsidR="00FA036C">
        <w:rPr>
          <w:rFonts w:ascii="Arial" w:hAnsi="Arial"/>
          <w:sz w:val="22"/>
          <w:szCs w:val="22"/>
        </w:rPr>
        <w:t>Elliott</w:t>
      </w:r>
      <w:r w:rsidR="00EA0E34">
        <w:rPr>
          <w:rFonts w:ascii="Arial" w:hAnsi="Arial"/>
          <w:sz w:val="22"/>
          <w:szCs w:val="22"/>
        </w:rPr>
        <w:t>, 2018</w:t>
      </w:r>
      <w:r w:rsidR="00C56AC2">
        <w:rPr>
          <w:rFonts w:ascii="Arial" w:hAnsi="Arial"/>
          <w:sz w:val="22"/>
          <w:szCs w:val="22"/>
        </w:rPr>
        <w:t>, Friedi and Stearn, 2015</w:t>
      </w:r>
      <w:r w:rsidR="00EA0E34">
        <w:rPr>
          <w:rFonts w:ascii="Arial" w:hAnsi="Arial"/>
          <w:sz w:val="22"/>
          <w:szCs w:val="22"/>
        </w:rPr>
        <w:t>). If employment is a health care outcome</w:t>
      </w:r>
      <w:r w:rsidR="00B9352D">
        <w:rPr>
          <w:rFonts w:ascii="Arial" w:hAnsi="Arial"/>
          <w:sz w:val="22"/>
          <w:szCs w:val="22"/>
        </w:rPr>
        <w:t>,</w:t>
      </w:r>
      <w:r w:rsidR="00EA0E34">
        <w:rPr>
          <w:rFonts w:ascii="Arial" w:hAnsi="Arial"/>
          <w:sz w:val="22"/>
          <w:szCs w:val="22"/>
        </w:rPr>
        <w:t xml:space="preserve"> then it might be argued that therapists feel disempowered to enable people to achieve that aim. Additionally, if people are aware that the returning to work or obtaining a job is a desired outcome of therapy then they may feel disinclined to attend therapy (</w:t>
      </w:r>
      <w:r w:rsidR="00330A9A">
        <w:rPr>
          <w:rFonts w:ascii="Arial" w:hAnsi="Arial"/>
          <w:sz w:val="22"/>
          <w:szCs w:val="22"/>
        </w:rPr>
        <w:t>Campling, 2019</w:t>
      </w:r>
      <w:r w:rsidR="00242D3B">
        <w:rPr>
          <w:rFonts w:ascii="Arial" w:hAnsi="Arial"/>
          <w:sz w:val="22"/>
          <w:szCs w:val="22"/>
        </w:rPr>
        <w:t>;</w:t>
      </w:r>
      <w:r w:rsidR="00330A9A">
        <w:rPr>
          <w:rFonts w:ascii="Arial" w:hAnsi="Arial"/>
          <w:sz w:val="22"/>
          <w:szCs w:val="22"/>
        </w:rPr>
        <w:t xml:space="preserve"> </w:t>
      </w:r>
      <w:r w:rsidR="00FA036C">
        <w:rPr>
          <w:rFonts w:ascii="Arial" w:hAnsi="Arial"/>
          <w:sz w:val="22"/>
          <w:szCs w:val="22"/>
        </w:rPr>
        <w:t>The Guardian</w:t>
      </w:r>
      <w:r w:rsidR="0063259F">
        <w:rPr>
          <w:rFonts w:ascii="Arial" w:hAnsi="Arial"/>
          <w:sz w:val="22"/>
          <w:szCs w:val="22"/>
        </w:rPr>
        <w:t>, 2015</w:t>
      </w:r>
      <w:r w:rsidR="00EA0E34">
        <w:rPr>
          <w:rFonts w:ascii="Arial" w:hAnsi="Arial"/>
          <w:sz w:val="22"/>
          <w:szCs w:val="22"/>
        </w:rPr>
        <w:t xml:space="preserve">).  Whilst the overarching aims and objectives of IAPT are </w:t>
      </w:r>
      <w:r w:rsidR="00B9352D">
        <w:rPr>
          <w:rFonts w:ascii="Arial" w:hAnsi="Arial"/>
          <w:sz w:val="22"/>
          <w:szCs w:val="22"/>
        </w:rPr>
        <w:t>undoubtedly positive,</w:t>
      </w:r>
      <w:r w:rsidR="00EA0E34">
        <w:rPr>
          <w:rFonts w:ascii="Arial" w:hAnsi="Arial"/>
          <w:sz w:val="22"/>
          <w:szCs w:val="22"/>
        </w:rPr>
        <w:t xml:space="preserve"> it is </w:t>
      </w:r>
      <w:r w:rsidR="00380415">
        <w:rPr>
          <w:rFonts w:ascii="Arial" w:hAnsi="Arial"/>
          <w:sz w:val="22"/>
          <w:szCs w:val="22"/>
        </w:rPr>
        <w:t>important</w:t>
      </w:r>
      <w:r w:rsidR="00EA0E34">
        <w:rPr>
          <w:rFonts w:ascii="Arial" w:hAnsi="Arial"/>
          <w:sz w:val="22"/>
          <w:szCs w:val="22"/>
        </w:rPr>
        <w:t xml:space="preserve"> to note the tensions that arise when a service is established on the basis of cost savings. The </w:t>
      </w:r>
      <w:r w:rsidRPr="00380A7F">
        <w:rPr>
          <w:rFonts w:ascii="Arial" w:hAnsi="Arial"/>
          <w:sz w:val="22"/>
          <w:szCs w:val="22"/>
        </w:rPr>
        <w:t xml:space="preserve">development of IAPT reflected the clinical policies already established by the National Institute for Clinical Excellence (NICE) </w:t>
      </w:r>
      <w:r w:rsidR="00EA0E34">
        <w:rPr>
          <w:rFonts w:ascii="Arial" w:hAnsi="Arial"/>
          <w:sz w:val="22"/>
          <w:szCs w:val="22"/>
        </w:rPr>
        <w:t xml:space="preserve">and </w:t>
      </w:r>
      <w:r w:rsidRPr="00380A7F">
        <w:rPr>
          <w:rFonts w:ascii="Arial" w:hAnsi="Arial"/>
          <w:sz w:val="22"/>
          <w:szCs w:val="22"/>
        </w:rPr>
        <w:t>a series of guidelines</w:t>
      </w:r>
      <w:r w:rsidR="00EA0E34">
        <w:rPr>
          <w:rFonts w:ascii="Arial" w:hAnsi="Arial"/>
          <w:sz w:val="22"/>
          <w:szCs w:val="22"/>
        </w:rPr>
        <w:t xml:space="preserve">, </w:t>
      </w:r>
      <w:r w:rsidRPr="00380A7F">
        <w:rPr>
          <w:rFonts w:ascii="Arial" w:hAnsi="Arial"/>
          <w:sz w:val="22"/>
          <w:szCs w:val="22"/>
        </w:rPr>
        <w:t>advocating the use of disorder specific, evidenced based, psychological therapy protocols (NICE 2004a, 2004b, 2005a, 2005b, 2006, 2009a, 2009b, 2011)</w:t>
      </w:r>
      <w:r w:rsidR="00EA0E34">
        <w:rPr>
          <w:rFonts w:ascii="Arial" w:hAnsi="Arial"/>
          <w:sz w:val="22"/>
          <w:szCs w:val="22"/>
        </w:rPr>
        <w:t xml:space="preserve"> were</w:t>
      </w:r>
      <w:r w:rsidR="00B9352D">
        <w:rPr>
          <w:rFonts w:ascii="Arial" w:hAnsi="Arial"/>
          <w:sz w:val="22"/>
          <w:szCs w:val="22"/>
        </w:rPr>
        <w:t xml:space="preserve"> published. It</w:t>
      </w:r>
      <w:r w:rsidR="00380415">
        <w:rPr>
          <w:rFonts w:ascii="Arial" w:hAnsi="Arial"/>
          <w:sz w:val="22"/>
          <w:szCs w:val="22"/>
        </w:rPr>
        <w:t xml:space="preserve"> is important </w:t>
      </w:r>
      <w:r w:rsidR="00B9352D">
        <w:rPr>
          <w:rFonts w:ascii="Arial" w:hAnsi="Arial"/>
          <w:sz w:val="22"/>
          <w:szCs w:val="22"/>
        </w:rPr>
        <w:t>to note that</w:t>
      </w:r>
      <w:r w:rsidR="00242D3B">
        <w:rPr>
          <w:rFonts w:ascii="Arial" w:hAnsi="Arial"/>
          <w:sz w:val="22"/>
          <w:szCs w:val="22"/>
        </w:rPr>
        <w:t>,</w:t>
      </w:r>
      <w:r w:rsidR="00B9352D">
        <w:rPr>
          <w:rFonts w:ascii="Arial" w:hAnsi="Arial"/>
          <w:sz w:val="22"/>
          <w:szCs w:val="22"/>
        </w:rPr>
        <w:t xml:space="preserve"> before IAPT</w:t>
      </w:r>
      <w:r w:rsidR="00242D3B">
        <w:rPr>
          <w:rFonts w:ascii="Arial" w:hAnsi="Arial"/>
          <w:sz w:val="22"/>
          <w:szCs w:val="22"/>
        </w:rPr>
        <w:t>,</w:t>
      </w:r>
      <w:r w:rsidR="00B9352D">
        <w:rPr>
          <w:rFonts w:ascii="Arial" w:hAnsi="Arial"/>
          <w:sz w:val="22"/>
          <w:szCs w:val="22"/>
        </w:rPr>
        <w:t xml:space="preserve"> these </w:t>
      </w:r>
      <w:r w:rsidR="00B9352D">
        <w:rPr>
          <w:rFonts w:ascii="Arial" w:hAnsi="Arial"/>
          <w:sz w:val="22"/>
          <w:szCs w:val="22"/>
        </w:rPr>
        <w:lastRenderedPageBreak/>
        <w:t>protocols were not routinely used in NHS services and</w:t>
      </w:r>
      <w:r w:rsidR="00242D3B">
        <w:rPr>
          <w:rFonts w:ascii="Arial" w:hAnsi="Arial"/>
          <w:sz w:val="22"/>
          <w:szCs w:val="22"/>
        </w:rPr>
        <w:t>,</w:t>
      </w:r>
      <w:r w:rsidR="00B9352D">
        <w:rPr>
          <w:rFonts w:ascii="Arial" w:hAnsi="Arial"/>
          <w:sz w:val="22"/>
          <w:szCs w:val="22"/>
        </w:rPr>
        <w:t xml:space="preserve"> other than the randomised controlled trials</w:t>
      </w:r>
      <w:r w:rsidR="00242D3B">
        <w:rPr>
          <w:rFonts w:ascii="Arial" w:hAnsi="Arial"/>
          <w:sz w:val="22"/>
          <w:szCs w:val="22"/>
        </w:rPr>
        <w:t>,</w:t>
      </w:r>
      <w:r w:rsidR="00B9352D">
        <w:rPr>
          <w:rFonts w:ascii="Arial" w:hAnsi="Arial"/>
          <w:sz w:val="22"/>
          <w:szCs w:val="22"/>
        </w:rPr>
        <w:t xml:space="preserve"> there was very little real-world evidence that they would be effective</w:t>
      </w:r>
      <w:r w:rsidR="00242D3B">
        <w:rPr>
          <w:rFonts w:ascii="Arial" w:hAnsi="Arial"/>
          <w:sz w:val="22"/>
          <w:szCs w:val="22"/>
        </w:rPr>
        <w:t>,</w:t>
      </w:r>
      <w:r w:rsidR="00B9352D">
        <w:rPr>
          <w:rFonts w:ascii="Arial" w:hAnsi="Arial"/>
          <w:sz w:val="22"/>
          <w:szCs w:val="22"/>
        </w:rPr>
        <w:t xml:space="preserve"> at scale</w:t>
      </w:r>
      <w:r w:rsidR="00242D3B">
        <w:rPr>
          <w:rFonts w:ascii="Arial" w:hAnsi="Arial"/>
          <w:sz w:val="22"/>
          <w:szCs w:val="22"/>
        </w:rPr>
        <w:t>,</w:t>
      </w:r>
      <w:r w:rsidR="00B9352D">
        <w:rPr>
          <w:rFonts w:ascii="Arial" w:hAnsi="Arial"/>
          <w:sz w:val="22"/>
          <w:szCs w:val="22"/>
        </w:rPr>
        <w:t xml:space="preserve"> in clinical practice (</w:t>
      </w:r>
      <w:r w:rsidR="00201CE4">
        <w:rPr>
          <w:rFonts w:ascii="Arial" w:hAnsi="Arial"/>
          <w:sz w:val="22"/>
          <w:szCs w:val="22"/>
        </w:rPr>
        <w:t>Gyani, Pumphrey, Parker, Shafran and Rose, 2012).</w:t>
      </w:r>
      <w:r w:rsidR="00B9352D">
        <w:rPr>
          <w:rFonts w:ascii="Arial" w:hAnsi="Arial"/>
          <w:sz w:val="22"/>
          <w:szCs w:val="22"/>
        </w:rPr>
        <w:t xml:space="preserve">  Despite this, IAPT defined that therapists should be trained to use them and that this would lead to 50% of patients recovering (Layard and Clark, 2015). </w:t>
      </w:r>
      <w:r w:rsidRPr="00380A7F">
        <w:rPr>
          <w:rFonts w:ascii="Arial" w:hAnsi="Arial"/>
          <w:sz w:val="22"/>
          <w:szCs w:val="22"/>
        </w:rPr>
        <w:t xml:space="preserve"> </w:t>
      </w:r>
      <w:r w:rsidR="00D8086C">
        <w:rPr>
          <w:rFonts w:ascii="Arial" w:hAnsi="Arial"/>
          <w:sz w:val="22"/>
          <w:szCs w:val="22"/>
        </w:rPr>
        <w:t>Under Clark’s leadership</w:t>
      </w:r>
      <w:r w:rsidR="006E7961">
        <w:rPr>
          <w:rFonts w:ascii="Arial" w:hAnsi="Arial"/>
          <w:sz w:val="22"/>
          <w:szCs w:val="22"/>
        </w:rPr>
        <w:t xml:space="preserve"> IAPT set out</w:t>
      </w:r>
      <w:r w:rsidRPr="00380A7F">
        <w:rPr>
          <w:rFonts w:ascii="Arial" w:hAnsi="Arial"/>
          <w:sz w:val="22"/>
          <w:szCs w:val="22"/>
        </w:rPr>
        <w:t xml:space="preserve"> reduce the financial burden of common mental illness by enabling people to return to work, reduce the prescribing of psychotropic medication and improving the nations wellbeing (Clark</w:t>
      </w:r>
      <w:r w:rsidR="007642EF">
        <w:rPr>
          <w:rFonts w:ascii="Arial" w:hAnsi="Arial"/>
          <w:sz w:val="22"/>
          <w:szCs w:val="22"/>
        </w:rPr>
        <w:t>,</w:t>
      </w:r>
      <w:r w:rsidRPr="00380A7F">
        <w:rPr>
          <w:rFonts w:ascii="Arial" w:hAnsi="Arial"/>
          <w:sz w:val="22"/>
          <w:szCs w:val="22"/>
        </w:rPr>
        <w:t xml:space="preserve"> 2012). The IAPT programme has three guiding principles (NHS England</w:t>
      </w:r>
      <w:r w:rsidR="007642EF">
        <w:rPr>
          <w:rFonts w:ascii="Arial" w:hAnsi="Arial"/>
          <w:sz w:val="22"/>
          <w:szCs w:val="22"/>
        </w:rPr>
        <w:t>,</w:t>
      </w:r>
      <w:r w:rsidRPr="00380A7F">
        <w:rPr>
          <w:rFonts w:ascii="Arial" w:hAnsi="Arial"/>
          <w:sz w:val="22"/>
          <w:szCs w:val="22"/>
        </w:rPr>
        <w:t xml:space="preserve"> 2017):</w:t>
      </w:r>
    </w:p>
    <w:p w14:paraId="5EE119FF" w14:textId="77777777" w:rsidR="0063259F" w:rsidRPr="00380A7F" w:rsidRDefault="0063259F" w:rsidP="00477630">
      <w:pPr>
        <w:spacing w:line="480" w:lineRule="auto"/>
        <w:rPr>
          <w:rFonts w:ascii="Arial" w:hAnsi="Arial"/>
          <w:sz w:val="22"/>
          <w:szCs w:val="22"/>
        </w:rPr>
      </w:pPr>
    </w:p>
    <w:p w14:paraId="267647BB" w14:textId="537ED027" w:rsidR="00B9352D" w:rsidRPr="006E7961" w:rsidRDefault="00477630" w:rsidP="006E7961">
      <w:pPr>
        <w:pStyle w:val="ListParagraph"/>
        <w:numPr>
          <w:ilvl w:val="0"/>
          <w:numId w:val="6"/>
        </w:numPr>
        <w:spacing w:line="480" w:lineRule="auto"/>
        <w:rPr>
          <w:rFonts w:ascii="Arial" w:hAnsi="Arial"/>
          <w:sz w:val="22"/>
          <w:szCs w:val="22"/>
        </w:rPr>
      </w:pPr>
      <w:r w:rsidRPr="00380A7F">
        <w:rPr>
          <w:rFonts w:ascii="Arial" w:hAnsi="Arial"/>
          <w:b/>
          <w:sz w:val="22"/>
          <w:szCs w:val="22"/>
        </w:rPr>
        <w:t>The provision of a stepped care model</w:t>
      </w:r>
      <w:r w:rsidRPr="00380A7F">
        <w:rPr>
          <w:rFonts w:ascii="Arial" w:hAnsi="Arial"/>
          <w:sz w:val="22"/>
          <w:szCs w:val="22"/>
        </w:rPr>
        <w:t>. Evidence</w:t>
      </w:r>
      <w:r w:rsidR="00242D3B">
        <w:rPr>
          <w:rFonts w:ascii="Arial" w:hAnsi="Arial"/>
          <w:sz w:val="22"/>
          <w:szCs w:val="22"/>
        </w:rPr>
        <w:t>-</w:t>
      </w:r>
      <w:r w:rsidRPr="00380A7F">
        <w:rPr>
          <w:rFonts w:ascii="Arial" w:hAnsi="Arial"/>
          <w:sz w:val="22"/>
          <w:szCs w:val="22"/>
        </w:rPr>
        <w:t>based psychological therapies are delivered by qualified and accredited clinicians using the most effective, but least burdensome (to the patient), treatment protocol.</w:t>
      </w:r>
    </w:p>
    <w:p w14:paraId="6374DC6D" w14:textId="77777777" w:rsidR="00477630" w:rsidRPr="00380A7F" w:rsidRDefault="00477630" w:rsidP="00934842">
      <w:pPr>
        <w:pStyle w:val="ListParagraph"/>
        <w:numPr>
          <w:ilvl w:val="0"/>
          <w:numId w:val="6"/>
        </w:numPr>
        <w:spacing w:line="480" w:lineRule="auto"/>
        <w:rPr>
          <w:rFonts w:ascii="Arial" w:hAnsi="Arial"/>
          <w:sz w:val="22"/>
          <w:szCs w:val="22"/>
        </w:rPr>
      </w:pPr>
      <w:r w:rsidRPr="00380A7F">
        <w:rPr>
          <w:rFonts w:ascii="Arial" w:hAnsi="Arial"/>
          <w:b/>
          <w:sz w:val="22"/>
          <w:szCs w:val="22"/>
        </w:rPr>
        <w:t>The use of routine clinical outcome monitoring</w:t>
      </w:r>
      <w:r w:rsidRPr="00380A7F">
        <w:rPr>
          <w:rFonts w:ascii="Arial" w:hAnsi="Arial"/>
          <w:sz w:val="22"/>
          <w:szCs w:val="22"/>
        </w:rPr>
        <w:t>. Validated and reliable outcome measures are used to monitor each individual patient’s progress.  This data is collected at every appointment and reported, anonymously, to NHS England.</w:t>
      </w:r>
    </w:p>
    <w:p w14:paraId="15393A4F" w14:textId="36116366" w:rsidR="00477630" w:rsidRDefault="00477630" w:rsidP="00934842">
      <w:pPr>
        <w:pStyle w:val="ListParagraph"/>
        <w:numPr>
          <w:ilvl w:val="0"/>
          <w:numId w:val="6"/>
        </w:numPr>
        <w:spacing w:line="480" w:lineRule="auto"/>
        <w:rPr>
          <w:rFonts w:ascii="Arial" w:hAnsi="Arial"/>
          <w:sz w:val="22"/>
          <w:szCs w:val="22"/>
        </w:rPr>
      </w:pPr>
      <w:r w:rsidRPr="00380A7F">
        <w:rPr>
          <w:rFonts w:ascii="Arial" w:hAnsi="Arial"/>
          <w:b/>
          <w:sz w:val="22"/>
          <w:szCs w:val="22"/>
        </w:rPr>
        <w:t>The mandatory use of outcomes focussed clinical supervision</w:t>
      </w:r>
      <w:r w:rsidRPr="00380A7F">
        <w:rPr>
          <w:rFonts w:ascii="Arial" w:hAnsi="Arial"/>
          <w:sz w:val="22"/>
          <w:szCs w:val="22"/>
        </w:rPr>
        <w:t xml:space="preserve">. Clinical supervision is provided, on a weekly basis, by more experienced clinicians and supports therapists to continuously enhance and improve their clinical practice. </w:t>
      </w:r>
    </w:p>
    <w:p w14:paraId="5EF9ED89" w14:textId="77777777" w:rsidR="00BD69AF" w:rsidRDefault="00BD69AF" w:rsidP="00BD69AF">
      <w:pPr>
        <w:spacing w:line="480" w:lineRule="auto"/>
        <w:rPr>
          <w:rFonts w:ascii="Arial" w:hAnsi="Arial"/>
          <w:sz w:val="22"/>
          <w:szCs w:val="22"/>
        </w:rPr>
      </w:pPr>
    </w:p>
    <w:p w14:paraId="4F7EB414" w14:textId="77777777" w:rsidR="00477630" w:rsidRPr="00AE6D88" w:rsidRDefault="00477630" w:rsidP="00477630">
      <w:pPr>
        <w:pStyle w:val="Heading3"/>
        <w:rPr>
          <w:rFonts w:cs="Arial"/>
          <w:szCs w:val="22"/>
        </w:rPr>
      </w:pPr>
      <w:bookmarkStart w:id="51" w:name="_Toc46770719"/>
      <w:bookmarkStart w:id="52" w:name="_Toc79414130"/>
      <w:r w:rsidRPr="00AE6D88">
        <w:rPr>
          <w:rFonts w:cs="Arial"/>
          <w:color w:val="000000" w:themeColor="text1"/>
          <w:szCs w:val="22"/>
        </w:rPr>
        <w:t>2.2.1 The Stepped Care Model</w:t>
      </w:r>
      <w:bookmarkEnd w:id="51"/>
      <w:bookmarkEnd w:id="52"/>
      <w:r w:rsidRPr="00AE6D88">
        <w:rPr>
          <w:rFonts w:cs="Arial"/>
          <w:color w:val="000000" w:themeColor="text1"/>
          <w:szCs w:val="22"/>
        </w:rPr>
        <w:t xml:space="preserve"> </w:t>
      </w:r>
    </w:p>
    <w:p w14:paraId="4ACF32C4" w14:textId="77777777" w:rsidR="00477630" w:rsidRDefault="00477630" w:rsidP="00477630"/>
    <w:p w14:paraId="2A1676E3" w14:textId="4DE508A8" w:rsidR="002137D7" w:rsidRDefault="00477630" w:rsidP="002A55E0">
      <w:pPr>
        <w:spacing w:line="480" w:lineRule="auto"/>
        <w:rPr>
          <w:rFonts w:ascii="Arial" w:hAnsi="Arial"/>
          <w:sz w:val="22"/>
          <w:szCs w:val="22"/>
        </w:rPr>
      </w:pPr>
      <w:r w:rsidRPr="00380A7F">
        <w:rPr>
          <w:rFonts w:ascii="Arial" w:hAnsi="Arial"/>
          <w:sz w:val="22"/>
          <w:szCs w:val="22"/>
        </w:rPr>
        <w:t>The stepped care model (see figure 2.1</w:t>
      </w:r>
      <w:r>
        <w:rPr>
          <w:rFonts w:ascii="Arial" w:hAnsi="Arial"/>
          <w:sz w:val="22"/>
          <w:szCs w:val="22"/>
        </w:rPr>
        <w:t>)</w:t>
      </w:r>
      <w:r w:rsidRPr="00380A7F">
        <w:rPr>
          <w:rFonts w:ascii="Arial" w:hAnsi="Arial"/>
          <w:sz w:val="22"/>
          <w:szCs w:val="22"/>
        </w:rPr>
        <w:t xml:space="preserve"> was introduced by NICE in 2004 as a recommended policy for the treatment of anxiety and depression (</w:t>
      </w:r>
      <w:r>
        <w:rPr>
          <w:rFonts w:ascii="Arial" w:hAnsi="Arial"/>
          <w:sz w:val="22"/>
          <w:szCs w:val="22"/>
        </w:rPr>
        <w:t>Clark, 2011</w:t>
      </w:r>
      <w:r w:rsidRPr="00380A7F">
        <w:rPr>
          <w:rFonts w:ascii="Arial" w:hAnsi="Arial"/>
          <w:sz w:val="22"/>
          <w:szCs w:val="22"/>
        </w:rPr>
        <w:t xml:space="preserve">). </w:t>
      </w:r>
      <w:r w:rsidR="0052017A" w:rsidRPr="005144E4">
        <w:rPr>
          <w:rFonts w:ascii="Arial" w:hAnsi="Arial"/>
          <w:sz w:val="22"/>
          <w:szCs w:val="22"/>
        </w:rPr>
        <w:t xml:space="preserve">The model shows how patients are </w:t>
      </w:r>
      <w:r w:rsidR="00727E72" w:rsidRPr="005144E4">
        <w:rPr>
          <w:rFonts w:ascii="Arial" w:hAnsi="Arial"/>
          <w:sz w:val="22"/>
          <w:szCs w:val="22"/>
        </w:rPr>
        <w:t>stratified into one o</w:t>
      </w:r>
      <w:r w:rsidR="00306C2E" w:rsidRPr="005144E4">
        <w:rPr>
          <w:rFonts w:ascii="Arial" w:hAnsi="Arial"/>
          <w:sz w:val="22"/>
          <w:szCs w:val="22"/>
        </w:rPr>
        <w:t>f five steps according to the severity of their symptoms and the</w:t>
      </w:r>
      <w:r w:rsidR="00754F89" w:rsidRPr="005144E4">
        <w:rPr>
          <w:rFonts w:ascii="Arial" w:hAnsi="Arial"/>
          <w:sz w:val="22"/>
          <w:szCs w:val="22"/>
        </w:rPr>
        <w:t>ir clinical needs.</w:t>
      </w:r>
      <w:r w:rsidRPr="00380A7F">
        <w:rPr>
          <w:rFonts w:ascii="Arial" w:hAnsi="Arial"/>
          <w:sz w:val="22"/>
          <w:szCs w:val="22"/>
        </w:rPr>
        <w:t xml:space="preserve"> As such</w:t>
      </w:r>
      <w:r w:rsidR="002137D7">
        <w:rPr>
          <w:rFonts w:ascii="Arial" w:hAnsi="Arial"/>
          <w:sz w:val="22"/>
          <w:szCs w:val="22"/>
        </w:rPr>
        <w:t>,</w:t>
      </w:r>
      <w:r w:rsidR="00754F89">
        <w:rPr>
          <w:rFonts w:ascii="Arial" w:hAnsi="Arial"/>
          <w:sz w:val="22"/>
          <w:szCs w:val="22"/>
        </w:rPr>
        <w:t xml:space="preserve"> the stepped care model</w:t>
      </w:r>
      <w:r w:rsidRPr="00380A7F">
        <w:rPr>
          <w:rFonts w:ascii="Arial" w:hAnsi="Arial"/>
          <w:sz w:val="22"/>
          <w:szCs w:val="22"/>
        </w:rPr>
        <w:t xml:space="preserve"> was firmly adopted and adhered to in the development of the IAPT programme in 2008.  All IAPT services use the stepped care model to treat patients at steps two and three. The stepped care model places a focus on ensuring that patients are offered an evidenced based intervention that is not </w:t>
      </w:r>
      <w:r w:rsidRPr="00380A7F">
        <w:rPr>
          <w:rFonts w:ascii="Arial" w:hAnsi="Arial"/>
          <w:sz w:val="22"/>
          <w:szCs w:val="22"/>
        </w:rPr>
        <w:lastRenderedPageBreak/>
        <w:t>more intensive than required (Seekles, Straten, Beekman, Marwijk and Cuijpers</w:t>
      </w:r>
      <w:r w:rsidR="007642EF">
        <w:rPr>
          <w:rFonts w:ascii="Arial" w:hAnsi="Arial"/>
          <w:sz w:val="22"/>
          <w:szCs w:val="22"/>
        </w:rPr>
        <w:t>,</w:t>
      </w:r>
      <w:r w:rsidRPr="00380A7F">
        <w:rPr>
          <w:rFonts w:ascii="Arial" w:hAnsi="Arial"/>
          <w:sz w:val="22"/>
          <w:szCs w:val="22"/>
        </w:rPr>
        <w:t xml:space="preserve"> 2011). Following this model</w:t>
      </w:r>
      <w:r w:rsidR="002137D7">
        <w:rPr>
          <w:rFonts w:ascii="Arial" w:hAnsi="Arial"/>
          <w:sz w:val="22"/>
          <w:szCs w:val="22"/>
        </w:rPr>
        <w:t>,</w:t>
      </w:r>
      <w:r w:rsidRPr="00380A7F">
        <w:rPr>
          <w:rFonts w:ascii="Arial" w:hAnsi="Arial"/>
          <w:sz w:val="22"/>
          <w:szCs w:val="22"/>
        </w:rPr>
        <w:t xml:space="preserve"> many IAPT services allocate patients to a low intensity (LI) intervention, at step 2, first. Low intensity interventions are provided by Psychological Wellbeing Practitioners and patients are generally not offered more than 6 sessions.  Low intensity interventions place an emphasis on providing patients with psycho-education about presenting symptoms followed by advice and guidance on how to manage symptoms more effectively (Seekles et al.,2011).  These interventions may be provided face-to-face, over the phone, in groups, via email or </w:t>
      </w:r>
      <w:r w:rsidR="002137D7">
        <w:rPr>
          <w:rFonts w:ascii="Arial" w:hAnsi="Arial"/>
          <w:sz w:val="22"/>
          <w:szCs w:val="22"/>
        </w:rPr>
        <w:t xml:space="preserve">through </w:t>
      </w:r>
      <w:r w:rsidRPr="00380A7F">
        <w:rPr>
          <w:rFonts w:ascii="Arial" w:hAnsi="Arial"/>
          <w:sz w:val="22"/>
          <w:szCs w:val="22"/>
        </w:rPr>
        <w:t>web-based self-help programmes.  Patients at step two are routinely monitored and if they fail to respond to treatment they are ‘stepped up’ to a more intensive treatment at step three (</w:t>
      </w:r>
      <w:r>
        <w:rPr>
          <w:rFonts w:ascii="Arial" w:hAnsi="Arial"/>
          <w:sz w:val="22"/>
          <w:szCs w:val="22"/>
        </w:rPr>
        <w:t>Clark, 2018)</w:t>
      </w:r>
      <w:r w:rsidRPr="00380A7F">
        <w:rPr>
          <w:rFonts w:ascii="Arial" w:hAnsi="Arial"/>
          <w:sz w:val="22"/>
          <w:szCs w:val="22"/>
        </w:rPr>
        <w:t>.  Step three interventions are delivered by qualified high intensity therapists using an evidence</w:t>
      </w:r>
      <w:r w:rsidR="002137D7">
        <w:rPr>
          <w:rFonts w:ascii="Arial" w:hAnsi="Arial"/>
          <w:sz w:val="22"/>
          <w:szCs w:val="22"/>
        </w:rPr>
        <w:t>-</w:t>
      </w:r>
      <w:r w:rsidRPr="00380A7F">
        <w:rPr>
          <w:rFonts w:ascii="Arial" w:hAnsi="Arial"/>
          <w:sz w:val="22"/>
          <w:szCs w:val="22"/>
        </w:rPr>
        <w:t xml:space="preserve">based intervention such as CBT or counselling for depression (NHS England 2016). </w:t>
      </w:r>
    </w:p>
    <w:p w14:paraId="1226AEAF" w14:textId="38DCB6DE" w:rsidR="002137D7" w:rsidRDefault="008A3DF3" w:rsidP="002A55E0">
      <w:pPr>
        <w:spacing w:line="480" w:lineRule="auto"/>
        <w:rPr>
          <w:rFonts w:ascii="Arial" w:hAnsi="Arial"/>
          <w:sz w:val="22"/>
          <w:szCs w:val="22"/>
        </w:rPr>
      </w:pPr>
      <w:r>
        <w:rPr>
          <w:rFonts w:ascii="Arial" w:hAnsi="Arial"/>
          <w:sz w:val="22"/>
          <w:szCs w:val="22"/>
        </w:rPr>
        <w:t>All</w:t>
      </w:r>
      <w:r w:rsidR="00D96C98">
        <w:rPr>
          <w:rFonts w:ascii="Arial" w:hAnsi="Arial"/>
          <w:sz w:val="22"/>
          <w:szCs w:val="22"/>
        </w:rPr>
        <w:t xml:space="preserve"> IAPT services use the stepped care model</w:t>
      </w:r>
      <w:r w:rsidR="002137D7">
        <w:rPr>
          <w:rFonts w:ascii="Arial" w:hAnsi="Arial"/>
          <w:sz w:val="22"/>
          <w:szCs w:val="22"/>
        </w:rPr>
        <w:t>,</w:t>
      </w:r>
      <w:r>
        <w:rPr>
          <w:rFonts w:ascii="Arial" w:hAnsi="Arial"/>
          <w:sz w:val="22"/>
          <w:szCs w:val="22"/>
        </w:rPr>
        <w:t xml:space="preserve"> but</w:t>
      </w:r>
      <w:r w:rsidR="00D96C98">
        <w:rPr>
          <w:rFonts w:ascii="Arial" w:hAnsi="Arial"/>
          <w:sz w:val="22"/>
          <w:szCs w:val="22"/>
        </w:rPr>
        <w:t xml:space="preserve"> it is </w:t>
      </w:r>
      <w:r>
        <w:rPr>
          <w:rFonts w:ascii="Arial" w:hAnsi="Arial"/>
          <w:sz w:val="22"/>
          <w:szCs w:val="22"/>
        </w:rPr>
        <w:t xml:space="preserve">often </w:t>
      </w:r>
      <w:r w:rsidR="00D96C98">
        <w:rPr>
          <w:rFonts w:ascii="Arial" w:hAnsi="Arial"/>
          <w:sz w:val="22"/>
          <w:szCs w:val="22"/>
        </w:rPr>
        <w:t>open to interpretation (Gellatly,</w:t>
      </w:r>
      <w:r w:rsidR="007642EF">
        <w:rPr>
          <w:rFonts w:ascii="Arial" w:hAnsi="Arial"/>
          <w:sz w:val="22"/>
          <w:szCs w:val="22"/>
        </w:rPr>
        <w:t xml:space="preserve"> </w:t>
      </w:r>
      <w:r w:rsidR="00D96C98">
        <w:rPr>
          <w:rFonts w:ascii="Arial" w:hAnsi="Arial"/>
          <w:sz w:val="22"/>
          <w:szCs w:val="22"/>
        </w:rPr>
        <w:t>2011)</w:t>
      </w:r>
      <w:r w:rsidR="00AA10B0">
        <w:rPr>
          <w:rFonts w:ascii="Arial" w:hAnsi="Arial"/>
          <w:sz w:val="22"/>
          <w:szCs w:val="22"/>
        </w:rPr>
        <w:t xml:space="preserve">. </w:t>
      </w:r>
      <w:r>
        <w:rPr>
          <w:rFonts w:ascii="Arial" w:hAnsi="Arial"/>
          <w:sz w:val="22"/>
          <w:szCs w:val="22"/>
        </w:rPr>
        <w:t>S</w:t>
      </w:r>
      <w:r w:rsidR="00AA10B0">
        <w:rPr>
          <w:rFonts w:ascii="Arial" w:hAnsi="Arial"/>
          <w:sz w:val="22"/>
          <w:szCs w:val="22"/>
        </w:rPr>
        <w:t xml:space="preserve">ome services use the stepped care model sequentially so that all patients start at step 2, others place patients on a step according to the severity of their condition.  Whilst the stepped care model has been demonstrated to be cost effective (Gellatly, 2011), and cost savings are implicit with the IAPT model, this might not always be to the patients benefit (Delgadillo, Gellatly and Stephenson-Bellwood, 2013). </w:t>
      </w:r>
    </w:p>
    <w:p w14:paraId="61DC0862" w14:textId="77777777" w:rsidR="002137D7" w:rsidRDefault="002137D7" w:rsidP="002A55E0">
      <w:pPr>
        <w:spacing w:line="480" w:lineRule="auto"/>
        <w:rPr>
          <w:rFonts w:ascii="Arial" w:hAnsi="Arial"/>
          <w:sz w:val="22"/>
          <w:szCs w:val="22"/>
        </w:rPr>
      </w:pPr>
    </w:p>
    <w:p w14:paraId="1539CCB9" w14:textId="626742AF" w:rsidR="006964E8" w:rsidRDefault="00AA10B0" w:rsidP="002A55E0">
      <w:pPr>
        <w:spacing w:line="480" w:lineRule="auto"/>
        <w:rPr>
          <w:rFonts w:ascii="Arial" w:hAnsi="Arial" w:cs="Arial"/>
          <w:sz w:val="22"/>
          <w:szCs w:val="22"/>
        </w:rPr>
      </w:pPr>
      <w:r>
        <w:rPr>
          <w:rFonts w:ascii="Arial" w:hAnsi="Arial"/>
          <w:sz w:val="22"/>
          <w:szCs w:val="22"/>
        </w:rPr>
        <w:t xml:space="preserve">The stepped care model relies on service policy and practice and individual therapist decision making.  Either may be flawed, with services placing all patients at step two (the cheapest option) and individual therapists failing to step a patient up when it is clear that they </w:t>
      </w:r>
      <w:r w:rsidRPr="005144E4">
        <w:rPr>
          <w:rFonts w:ascii="Arial" w:hAnsi="Arial"/>
          <w:sz w:val="22"/>
          <w:szCs w:val="22"/>
        </w:rPr>
        <w:t>are not benefiting from treatment at step 2 (De</w:t>
      </w:r>
      <w:r w:rsidR="00403306" w:rsidRPr="005144E4">
        <w:rPr>
          <w:rFonts w:ascii="Arial" w:hAnsi="Arial"/>
          <w:sz w:val="22"/>
          <w:szCs w:val="22"/>
        </w:rPr>
        <w:t>l</w:t>
      </w:r>
      <w:r w:rsidRPr="005144E4">
        <w:rPr>
          <w:rFonts w:ascii="Arial" w:hAnsi="Arial"/>
          <w:sz w:val="22"/>
          <w:szCs w:val="22"/>
        </w:rPr>
        <w:t>gadillo et al</w:t>
      </w:r>
      <w:r w:rsidR="00403306" w:rsidRPr="005144E4">
        <w:rPr>
          <w:rFonts w:ascii="Arial" w:hAnsi="Arial"/>
          <w:sz w:val="22"/>
          <w:szCs w:val="22"/>
        </w:rPr>
        <w:t>.</w:t>
      </w:r>
      <w:r w:rsidRPr="005144E4">
        <w:rPr>
          <w:rFonts w:ascii="Arial" w:hAnsi="Arial"/>
          <w:sz w:val="22"/>
          <w:szCs w:val="22"/>
        </w:rPr>
        <w:t>, 2013)</w:t>
      </w:r>
      <w:r w:rsidRPr="00896EBB">
        <w:rPr>
          <w:rFonts w:ascii="Arial" w:hAnsi="Arial"/>
          <w:sz w:val="22"/>
          <w:szCs w:val="22"/>
          <w:highlight w:val="yellow"/>
        </w:rPr>
        <w:t>.</w:t>
      </w:r>
      <w:r>
        <w:rPr>
          <w:rFonts w:ascii="Arial" w:hAnsi="Arial"/>
          <w:sz w:val="22"/>
          <w:szCs w:val="22"/>
        </w:rPr>
        <w:t xml:space="preserve"> In either case patients fail to access an intervention that is most likely to help them, and this is the antithesis of the aims of the stepped care model </w:t>
      </w:r>
      <w:r w:rsidR="009B055E">
        <w:rPr>
          <w:rFonts w:ascii="Arial" w:hAnsi="Arial"/>
          <w:sz w:val="22"/>
          <w:szCs w:val="22"/>
        </w:rPr>
        <w:t xml:space="preserve">(Clark, 2011) </w:t>
      </w:r>
      <w:r>
        <w:rPr>
          <w:rFonts w:ascii="Arial" w:hAnsi="Arial"/>
          <w:sz w:val="22"/>
          <w:szCs w:val="22"/>
        </w:rPr>
        <w:t>which</w:t>
      </w:r>
      <w:r w:rsidR="009B055E">
        <w:rPr>
          <w:rFonts w:ascii="Arial" w:hAnsi="Arial"/>
          <w:sz w:val="22"/>
          <w:szCs w:val="22"/>
        </w:rPr>
        <w:t xml:space="preserve"> ensures services</w:t>
      </w:r>
      <w:r w:rsidR="00914A48">
        <w:rPr>
          <w:rFonts w:ascii="Arial" w:hAnsi="Arial"/>
          <w:sz w:val="22"/>
          <w:szCs w:val="22"/>
        </w:rPr>
        <w:t xml:space="preserve"> </w:t>
      </w:r>
      <w:r w:rsidR="00914A48">
        <w:rPr>
          <w:rFonts w:ascii="Arial" w:hAnsi="Arial" w:cs="Arial"/>
          <w:sz w:val="22"/>
          <w:szCs w:val="22"/>
        </w:rPr>
        <w:t>p</w:t>
      </w:r>
      <w:r w:rsidR="00477630" w:rsidRPr="00914A48">
        <w:rPr>
          <w:rFonts w:ascii="Arial" w:hAnsi="Arial" w:cs="Arial"/>
          <w:sz w:val="22"/>
          <w:szCs w:val="22"/>
        </w:rPr>
        <w:t>rovide the least intrusive, most effective intervention first</w:t>
      </w:r>
      <w:r w:rsidR="002A55E0">
        <w:rPr>
          <w:rFonts w:ascii="Arial" w:hAnsi="Arial"/>
          <w:sz w:val="22"/>
          <w:szCs w:val="22"/>
        </w:rPr>
        <w:t xml:space="preserve">, </w:t>
      </w:r>
      <w:r w:rsidR="002A55E0">
        <w:rPr>
          <w:rFonts w:ascii="Arial" w:hAnsi="Arial" w:cs="Arial"/>
          <w:sz w:val="22"/>
          <w:szCs w:val="22"/>
        </w:rPr>
        <w:t>d</w:t>
      </w:r>
      <w:r w:rsidR="00477630" w:rsidRPr="002A55E0">
        <w:rPr>
          <w:rFonts w:ascii="Arial" w:hAnsi="Arial" w:cs="Arial"/>
          <w:sz w:val="22"/>
          <w:szCs w:val="22"/>
        </w:rPr>
        <w:t>o not use single criteria (such as symptom severity) to determine movement between steps</w:t>
      </w:r>
      <w:r w:rsidR="002137D7">
        <w:rPr>
          <w:rFonts w:ascii="Arial" w:hAnsi="Arial" w:cs="Arial"/>
          <w:sz w:val="22"/>
          <w:szCs w:val="22"/>
        </w:rPr>
        <w:t>,</w:t>
      </w:r>
      <w:r w:rsidR="002A55E0">
        <w:rPr>
          <w:rFonts w:ascii="Arial" w:hAnsi="Arial"/>
          <w:sz w:val="22"/>
          <w:szCs w:val="22"/>
        </w:rPr>
        <w:t xml:space="preserve"> and </w:t>
      </w:r>
      <w:r w:rsidR="002A55E0">
        <w:rPr>
          <w:rFonts w:ascii="Arial" w:hAnsi="Arial" w:cs="Arial"/>
          <w:sz w:val="22"/>
          <w:szCs w:val="22"/>
        </w:rPr>
        <w:t>m</w:t>
      </w:r>
      <w:r w:rsidR="00477630" w:rsidRPr="002A55E0">
        <w:rPr>
          <w:rFonts w:ascii="Arial" w:hAnsi="Arial" w:cs="Arial"/>
          <w:sz w:val="22"/>
          <w:szCs w:val="22"/>
        </w:rPr>
        <w:t xml:space="preserve">onitors progress and </w:t>
      </w:r>
      <w:r w:rsidR="00477630" w:rsidRPr="002A55E0">
        <w:rPr>
          <w:rFonts w:ascii="Arial" w:hAnsi="Arial" w:cs="Arial"/>
          <w:sz w:val="22"/>
          <w:szCs w:val="22"/>
        </w:rPr>
        <w:lastRenderedPageBreak/>
        <w:t>outcomes to ensure the most effective interventions are delivered and the person moves to a higher step if needed</w:t>
      </w:r>
      <w:r w:rsidR="002A55E0">
        <w:rPr>
          <w:rFonts w:ascii="Arial" w:hAnsi="Arial" w:cs="Arial"/>
          <w:sz w:val="22"/>
          <w:szCs w:val="22"/>
        </w:rPr>
        <w:t>.</w:t>
      </w:r>
    </w:p>
    <w:p w14:paraId="2E761D60" w14:textId="77777777" w:rsidR="00905239" w:rsidRPr="002A55E0" w:rsidRDefault="00905239" w:rsidP="002A55E0">
      <w:pPr>
        <w:spacing w:line="480" w:lineRule="auto"/>
        <w:rPr>
          <w:rFonts w:ascii="Arial" w:hAnsi="Arial"/>
          <w:sz w:val="22"/>
          <w:szCs w:val="22"/>
        </w:rPr>
      </w:pPr>
    </w:p>
    <w:p w14:paraId="15D75DDA" w14:textId="5B56FA7E" w:rsidR="00712A7C" w:rsidRDefault="00712A7C">
      <w:pPr>
        <w:rPr>
          <w:rFonts w:ascii="Arial" w:hAnsi="Arial" w:cs="Arial"/>
          <w:b/>
          <w:sz w:val="22"/>
          <w:szCs w:val="22"/>
        </w:rPr>
      </w:pPr>
    </w:p>
    <w:p w14:paraId="2572E387" w14:textId="77777777" w:rsidR="00477630" w:rsidRDefault="00477630" w:rsidP="00477630"/>
    <w:p w14:paraId="438F81C4" w14:textId="22353AD6" w:rsidR="00477630" w:rsidRPr="009F0973" w:rsidRDefault="00712A7C" w:rsidP="00477630">
      <w:r>
        <w:rPr>
          <w:noProof/>
        </w:rPr>
        <w:lastRenderedPageBreak/>
        <mc:AlternateContent>
          <mc:Choice Requires="wps">
            <w:drawing>
              <wp:inline distT="0" distB="0" distL="0" distR="0" wp14:anchorId="6185F244" wp14:editId="62C4FDDD">
                <wp:extent cx="5286375" cy="457200"/>
                <wp:effectExtent l="0" t="0" r="9525" b="0"/>
                <wp:docPr id="44" name="Text Box 44" descr="P526TB1#y1"/>
                <wp:cNvGraphicFramePr/>
                <a:graphic xmlns:a="http://schemas.openxmlformats.org/drawingml/2006/main">
                  <a:graphicData uri="http://schemas.microsoft.com/office/word/2010/wordprocessingShape">
                    <wps:wsp>
                      <wps:cNvSpPr txBox="1"/>
                      <wps:spPr>
                        <a:xfrm>
                          <a:off x="0" y="0"/>
                          <a:ext cx="5286375" cy="457200"/>
                        </a:xfrm>
                        <a:prstGeom prst="rect">
                          <a:avLst/>
                        </a:prstGeom>
                        <a:solidFill>
                          <a:prstClr val="white"/>
                        </a:solidFill>
                        <a:ln>
                          <a:noFill/>
                        </a:ln>
                      </wps:spPr>
                      <wps:txbx>
                        <w:txbxContent>
                          <w:p w14:paraId="1763EBDD" w14:textId="36AC2F8D" w:rsidR="008815D7" w:rsidRPr="00B93E14" w:rsidRDefault="008815D7" w:rsidP="00255C8F">
                            <w:pPr>
                              <w:pStyle w:val="Figures"/>
                              <w:rPr>
                                <w:rFonts w:ascii="Verdana" w:hAnsi="Verdana"/>
                                <w:b w:val="0"/>
                                <w:bCs/>
                                <w:noProof/>
                                <w:sz w:val="24"/>
                                <w:szCs w:val="24"/>
                                <w:lang w:val="en-US"/>
                              </w:rPr>
                            </w:pPr>
                            <w:bookmarkStart w:id="53" w:name="_Toc28338363"/>
                            <w:bookmarkStart w:id="54" w:name="_Toc28339116"/>
                            <w:bookmarkStart w:id="55" w:name="_Hlk28339269"/>
                            <w:bookmarkStart w:id="56" w:name="_Hlk28339270"/>
                            <w:bookmarkStart w:id="57" w:name="_Toc28339957"/>
                            <w:bookmarkStart w:id="58" w:name="_Toc28340041"/>
                            <w:bookmarkStart w:id="59" w:name="_Toc46770930"/>
                            <w:r w:rsidRPr="0061002B">
                              <w:t>Figure 2.1</w:t>
                            </w:r>
                            <w:r w:rsidRPr="008272E2">
                              <w:t xml:space="preserve"> </w:t>
                            </w:r>
                            <w:r w:rsidRPr="00255C8F">
                              <w:rPr>
                                <w:b w:val="0"/>
                              </w:rPr>
                              <w:t>The Stepped Care Model (NICE, 2011)</w:t>
                            </w:r>
                            <w:bookmarkEnd w:id="53"/>
                            <w:bookmarkEnd w:id="54"/>
                            <w:bookmarkEnd w:id="55"/>
                            <w:bookmarkEnd w:id="56"/>
                            <w:bookmarkEnd w:id="57"/>
                            <w:bookmarkEnd w:id="58"/>
                            <w:r>
                              <w:rPr>
                                <w:b w:val="0"/>
                              </w:rPr>
                              <w:t xml:space="preserve"> </w:t>
                            </w:r>
                            <w:r w:rsidRPr="005144E4">
                              <w:rPr>
                                <w:b w:val="0"/>
                                <w:bCs/>
                              </w:rPr>
                              <w:t>showing how patients are classified according to severity/complexity of their presentation</w:t>
                            </w:r>
                            <w:bookmarkEnd w:id="5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type w14:anchorId="6185F244" id="_x0000_t202" coordsize="21600,21600" o:spt="202" path="m,l,21600r21600,l21600,xe">
                <v:stroke joinstyle="miter"/>
                <v:path gradientshapeok="t" o:connecttype="rect"/>
              </v:shapetype>
              <v:shape id="Text Box 44" o:spid="_x0000_s1026" type="#_x0000_t202" alt="P526TB1#y1" style="width:416.25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" stroked="f">
                <v:textbox inset="0,0,0,0">
                  <w:txbxContent>
                    <w:p w14:paraId="1763EBDD" w14:textId="36AC2F8D" w:rsidR="008815D7" w:rsidRPr="00B93E14" w:rsidRDefault="008815D7" w:rsidP="00255C8F">
                      <w:pPr>
                        <w:pStyle w:val="Figures"/>
                        <w:rPr>
                          <w:rFonts w:ascii="Verdana" w:hAnsi="Verdana"/>
                          <w:b w:val="0"/>
                          <w:bCs/>
                          <w:noProof/>
                          <w:sz w:val="24"/>
                          <w:szCs w:val="24"/>
                          <w:lang w:val="en-US"/>
                        </w:rPr>
                      </w:pPr>
                      <w:bookmarkStart w:id="60" w:name="_Toc28338363"/>
                      <w:bookmarkStart w:id="61" w:name="_Toc28339116"/>
                      <w:bookmarkStart w:id="62" w:name="_Hlk28339269"/>
                      <w:bookmarkStart w:id="63" w:name="_Hlk28339270"/>
                      <w:bookmarkStart w:id="64" w:name="_Toc28339957"/>
                      <w:bookmarkStart w:id="65" w:name="_Toc28340041"/>
                      <w:bookmarkStart w:id="66" w:name="_Toc46770930"/>
                      <w:r w:rsidRPr="0061002B">
                        <w:t>Figure 2.1</w:t>
                      </w:r>
                      <w:r w:rsidRPr="008272E2">
                        <w:t xml:space="preserve"> </w:t>
                      </w:r>
                      <w:r w:rsidRPr="00255C8F">
                        <w:rPr>
                          <w:b w:val="0"/>
                        </w:rPr>
                        <w:t>The Stepped Care Model (NICE, 2011)</w:t>
                      </w:r>
                      <w:bookmarkEnd w:id="60"/>
                      <w:bookmarkEnd w:id="61"/>
                      <w:bookmarkEnd w:id="62"/>
                      <w:bookmarkEnd w:id="63"/>
                      <w:bookmarkEnd w:id="64"/>
                      <w:bookmarkEnd w:id="65"/>
                      <w:r>
                        <w:rPr>
                          <w:b w:val="0"/>
                        </w:rPr>
                        <w:t xml:space="preserve"> </w:t>
                      </w:r>
                      <w:r w:rsidRPr="005144E4">
                        <w:rPr>
                          <w:b w:val="0"/>
                          <w:bCs/>
                        </w:rPr>
                        <w:t>showing how patients are classified according to severity/complexity of their presentation</w:t>
                      </w:r>
                      <w:bookmarkEnd w:id="66"/>
                    </w:p>
                  </w:txbxContent>
                </v:textbox>
                <w10:anchorlock/>
              </v:shape>
            </w:pict>
          </mc:Fallback>
        </mc:AlternateContent>
      </w:r>
      <w:r w:rsidR="0063259F" w:rsidRPr="003F4571">
        <w:rPr>
          <w:rFonts w:ascii="Verdana" w:hAnsi="Verdana"/>
          <w:noProof/>
          <w:lang w:val="en-US"/>
        </w:rPr>
        <w:drawing>
          <wp:inline distT="0" distB="0" distL="0" distR="0" wp14:anchorId="53B668EC" wp14:editId="62274DB9">
            <wp:extent cx="5286375" cy="7587615"/>
            <wp:effectExtent l="0" t="0" r="9525" b="0"/>
            <wp:docPr id="9" name="Picture 9" descr="P52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P526#yIS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86375" cy="7587615"/>
                    </a:xfrm>
                    <a:prstGeom prst="rect">
                      <a:avLst/>
                    </a:prstGeom>
                  </pic:spPr>
                </pic:pic>
              </a:graphicData>
            </a:graphic>
          </wp:inline>
        </w:drawing>
      </w:r>
    </w:p>
    <w:p w14:paraId="7372203B" w14:textId="11987E62" w:rsidR="00477630" w:rsidRPr="0096064F" w:rsidRDefault="00477630" w:rsidP="00477630">
      <w:pPr>
        <w:autoSpaceDE w:val="0"/>
        <w:autoSpaceDN w:val="0"/>
        <w:adjustRightInd w:val="0"/>
        <w:spacing w:line="276" w:lineRule="auto"/>
        <w:jc w:val="both"/>
        <w:rPr>
          <w:rFonts w:ascii="Verdana" w:hAnsi="Verdana" w:cs="Arial"/>
        </w:rPr>
      </w:pPr>
    </w:p>
    <w:p w14:paraId="7C4B6414" w14:textId="1F063222" w:rsidR="00477630" w:rsidRDefault="00477630" w:rsidP="00477630">
      <w:pPr>
        <w:autoSpaceDE w:val="0"/>
        <w:autoSpaceDN w:val="0"/>
        <w:adjustRightInd w:val="0"/>
        <w:spacing w:line="276" w:lineRule="auto"/>
        <w:jc w:val="both"/>
        <w:rPr>
          <w:rFonts w:ascii="Arial" w:hAnsi="Arial" w:cs="Arial"/>
        </w:rPr>
      </w:pPr>
    </w:p>
    <w:p w14:paraId="734B3BCA" w14:textId="1A65E7FA" w:rsidR="00477630" w:rsidRDefault="00477630" w:rsidP="00477630">
      <w:pPr>
        <w:autoSpaceDE w:val="0"/>
        <w:autoSpaceDN w:val="0"/>
        <w:adjustRightInd w:val="0"/>
        <w:spacing w:line="276" w:lineRule="auto"/>
        <w:jc w:val="both"/>
        <w:rPr>
          <w:rFonts w:ascii="Arial" w:hAnsi="Arial" w:cs="Arial"/>
        </w:rPr>
      </w:pPr>
    </w:p>
    <w:p w14:paraId="28419D36" w14:textId="67699A94" w:rsidR="00477630" w:rsidRDefault="00477630" w:rsidP="00477630">
      <w:pPr>
        <w:autoSpaceDE w:val="0"/>
        <w:autoSpaceDN w:val="0"/>
        <w:adjustRightInd w:val="0"/>
        <w:spacing w:line="276" w:lineRule="auto"/>
        <w:jc w:val="both"/>
        <w:rPr>
          <w:rFonts w:ascii="Verdana" w:hAnsi="Verdana" w:cs="Arial"/>
        </w:rPr>
      </w:pPr>
    </w:p>
    <w:p w14:paraId="7838D896" w14:textId="07DA97D2" w:rsidR="00477630" w:rsidRDefault="00477630" w:rsidP="00477630">
      <w:pPr>
        <w:autoSpaceDE w:val="0"/>
        <w:autoSpaceDN w:val="0"/>
        <w:adjustRightInd w:val="0"/>
        <w:spacing w:line="276" w:lineRule="auto"/>
        <w:jc w:val="both"/>
        <w:rPr>
          <w:rFonts w:ascii="Verdana" w:hAnsi="Verdana" w:cs="Arial"/>
        </w:rPr>
      </w:pPr>
    </w:p>
    <w:p w14:paraId="37D9E6A2" w14:textId="4255F175" w:rsidR="00477630" w:rsidRDefault="00477630" w:rsidP="00477630">
      <w:pPr>
        <w:autoSpaceDE w:val="0"/>
        <w:autoSpaceDN w:val="0"/>
        <w:adjustRightInd w:val="0"/>
        <w:spacing w:line="276" w:lineRule="auto"/>
        <w:jc w:val="both"/>
        <w:rPr>
          <w:rFonts w:ascii="Verdana" w:hAnsi="Verdana" w:cs="Arial"/>
        </w:rPr>
      </w:pPr>
    </w:p>
    <w:p w14:paraId="10C206B1" w14:textId="77777777" w:rsidR="00712A7C" w:rsidRDefault="00712A7C">
      <w:pPr>
        <w:rPr>
          <w:rFonts w:ascii="Arial" w:eastAsiaTheme="majorEastAsia" w:hAnsi="Arial" w:cs="Arial"/>
          <w:b/>
          <w:bCs/>
          <w:color w:val="000000" w:themeColor="text1"/>
          <w:sz w:val="22"/>
          <w:szCs w:val="22"/>
        </w:rPr>
      </w:pPr>
      <w:r>
        <w:rPr>
          <w:rFonts w:ascii="Arial" w:hAnsi="Arial" w:cs="Arial"/>
          <w:color w:val="000000" w:themeColor="text1"/>
          <w:sz w:val="22"/>
          <w:szCs w:val="22"/>
        </w:rPr>
        <w:br w:type="page"/>
      </w:r>
    </w:p>
    <w:p w14:paraId="4C6869A3" w14:textId="321CAA67" w:rsidR="006964E8" w:rsidRDefault="00477630" w:rsidP="00477630">
      <w:pPr>
        <w:pStyle w:val="Heading3"/>
        <w:rPr>
          <w:rFonts w:cs="Arial"/>
          <w:color w:val="000000" w:themeColor="text1"/>
          <w:szCs w:val="22"/>
        </w:rPr>
      </w:pPr>
      <w:bookmarkStart w:id="67" w:name="_Toc46770720"/>
      <w:bookmarkStart w:id="68" w:name="_Toc79414131"/>
      <w:r w:rsidRPr="00380A7F">
        <w:rPr>
          <w:rFonts w:cs="Arial"/>
          <w:color w:val="000000" w:themeColor="text1"/>
          <w:szCs w:val="22"/>
        </w:rPr>
        <w:lastRenderedPageBreak/>
        <w:t xml:space="preserve">2.2.2 The Use of </w:t>
      </w:r>
      <w:r w:rsidR="002A55E0">
        <w:rPr>
          <w:rFonts w:cs="Arial"/>
          <w:color w:val="000000" w:themeColor="text1"/>
          <w:szCs w:val="22"/>
        </w:rPr>
        <w:t>Routine Clinical Outcome Monitoring</w:t>
      </w:r>
      <w:bookmarkEnd w:id="67"/>
      <w:bookmarkEnd w:id="68"/>
    </w:p>
    <w:p w14:paraId="30D1D52F" w14:textId="77777777" w:rsidR="00477630" w:rsidRPr="000B265D" w:rsidRDefault="00477630" w:rsidP="00477630"/>
    <w:p w14:paraId="7CEC3760" w14:textId="4B9DEEDD" w:rsidR="00477630" w:rsidRPr="00DC14C9" w:rsidRDefault="00477630" w:rsidP="00477630">
      <w:pPr>
        <w:spacing w:line="480" w:lineRule="auto"/>
        <w:rPr>
          <w:rFonts w:ascii="Arial" w:hAnsi="Arial" w:cs="Arial"/>
          <w:sz w:val="22"/>
          <w:szCs w:val="22"/>
        </w:rPr>
      </w:pPr>
      <w:r w:rsidRPr="00DC14C9">
        <w:rPr>
          <w:rFonts w:ascii="Arial" w:hAnsi="Arial"/>
          <w:sz w:val="22"/>
          <w:szCs w:val="22"/>
        </w:rPr>
        <w:t>The routine use of validated outcome measures at every therapy appointment is integral to the IAPT model (NHS Digital</w:t>
      </w:r>
      <w:r w:rsidR="002B7450">
        <w:rPr>
          <w:rFonts w:ascii="Arial" w:hAnsi="Arial"/>
          <w:sz w:val="22"/>
          <w:szCs w:val="22"/>
        </w:rPr>
        <w:t>,</w:t>
      </w:r>
      <w:r w:rsidRPr="00DC14C9">
        <w:rPr>
          <w:rFonts w:ascii="Arial" w:hAnsi="Arial"/>
          <w:sz w:val="22"/>
          <w:szCs w:val="22"/>
        </w:rPr>
        <w:t xml:space="preserve"> 2016).  Measures are </w:t>
      </w:r>
      <w:r w:rsidR="00330A9A">
        <w:rPr>
          <w:rFonts w:ascii="Arial" w:hAnsi="Arial"/>
          <w:sz w:val="22"/>
          <w:szCs w:val="22"/>
        </w:rPr>
        <w:t xml:space="preserve">used to </w:t>
      </w:r>
      <w:r w:rsidRPr="00DC14C9">
        <w:rPr>
          <w:rFonts w:ascii="Arial" w:hAnsi="Arial"/>
          <w:sz w:val="22"/>
          <w:szCs w:val="22"/>
        </w:rPr>
        <w:t xml:space="preserve">confirm or disconfirm a patient’s diagnosis </w:t>
      </w:r>
      <w:r w:rsidR="00330A9A">
        <w:rPr>
          <w:rFonts w:ascii="Arial" w:hAnsi="Arial"/>
          <w:sz w:val="22"/>
          <w:szCs w:val="22"/>
        </w:rPr>
        <w:t>and are also used as a</w:t>
      </w:r>
      <w:r w:rsidRPr="00DC14C9">
        <w:rPr>
          <w:rFonts w:ascii="Arial" w:hAnsi="Arial"/>
          <w:sz w:val="22"/>
          <w:szCs w:val="22"/>
        </w:rPr>
        <w:t xml:space="preserve"> measur</w:t>
      </w:r>
      <w:r w:rsidR="00330A9A">
        <w:rPr>
          <w:rFonts w:ascii="Arial" w:hAnsi="Arial"/>
          <w:sz w:val="22"/>
          <w:szCs w:val="22"/>
        </w:rPr>
        <w:t>e of</w:t>
      </w:r>
      <w:r w:rsidRPr="00DC14C9">
        <w:rPr>
          <w:rFonts w:ascii="Arial" w:hAnsi="Arial"/>
          <w:sz w:val="22"/>
          <w:szCs w:val="22"/>
        </w:rPr>
        <w:t xml:space="preserve"> clinical improvement. </w:t>
      </w:r>
      <w:r w:rsidRPr="00DC14C9">
        <w:rPr>
          <w:rFonts w:ascii="Arial" w:hAnsi="Arial" w:cs="Arial"/>
          <w:sz w:val="22"/>
          <w:szCs w:val="22"/>
        </w:rPr>
        <w:t>Pre and post</w:t>
      </w:r>
      <w:r w:rsidR="002137D7">
        <w:rPr>
          <w:rFonts w:ascii="Arial" w:hAnsi="Arial" w:cs="Arial"/>
          <w:sz w:val="22"/>
          <w:szCs w:val="22"/>
        </w:rPr>
        <w:t>-</w:t>
      </w:r>
      <w:r w:rsidRPr="00DC14C9">
        <w:rPr>
          <w:rFonts w:ascii="Arial" w:hAnsi="Arial" w:cs="Arial"/>
          <w:sz w:val="22"/>
          <w:szCs w:val="22"/>
        </w:rPr>
        <w:t>intervention outcome measures of patients are</w:t>
      </w:r>
      <w:r w:rsidRPr="00F55674">
        <w:rPr>
          <w:rFonts w:ascii="Arial" w:hAnsi="Arial" w:cs="Arial"/>
        </w:rPr>
        <w:t xml:space="preserve"> </w:t>
      </w:r>
      <w:r w:rsidRPr="00DC14C9">
        <w:rPr>
          <w:rFonts w:ascii="Arial" w:hAnsi="Arial" w:cs="Arial"/>
          <w:sz w:val="22"/>
          <w:szCs w:val="22"/>
        </w:rPr>
        <w:t>used to calculate recovery or clinically significant improvement</w:t>
      </w:r>
      <w:r>
        <w:rPr>
          <w:rFonts w:ascii="Arial" w:hAnsi="Arial" w:cs="Arial"/>
          <w:sz w:val="22"/>
          <w:szCs w:val="22"/>
        </w:rPr>
        <w:t xml:space="preserve"> (the terms recovery and reliable improvement are discussed in more detail in chapter four)</w:t>
      </w:r>
      <w:r w:rsidRPr="00DC14C9">
        <w:rPr>
          <w:rFonts w:ascii="Arial" w:hAnsi="Arial" w:cs="Arial"/>
          <w:sz w:val="22"/>
          <w:szCs w:val="22"/>
        </w:rPr>
        <w:t>. The Patient Health Questionnaire (PHQ-9) and Generalised Anxiety Disorder Questionnaire (GAD-7) form part of the mandatory minimum data set and are routinely used at every appointment (NHS Digital</w:t>
      </w:r>
      <w:r w:rsidR="000036BE">
        <w:rPr>
          <w:rFonts w:ascii="Arial" w:hAnsi="Arial" w:cs="Arial"/>
          <w:sz w:val="22"/>
          <w:szCs w:val="22"/>
        </w:rPr>
        <w:t>,</w:t>
      </w:r>
      <w:r w:rsidRPr="00DC14C9">
        <w:rPr>
          <w:rFonts w:ascii="Arial" w:hAnsi="Arial" w:cs="Arial"/>
          <w:sz w:val="22"/>
          <w:szCs w:val="22"/>
        </w:rPr>
        <w:t xml:space="preserve"> 2016). In addition, a therapist may select further, </w:t>
      </w:r>
      <w:r w:rsidR="000036BE">
        <w:rPr>
          <w:rFonts w:ascii="Arial" w:hAnsi="Arial" w:cs="Arial"/>
          <w:sz w:val="22"/>
          <w:szCs w:val="22"/>
        </w:rPr>
        <w:t xml:space="preserve">anxiety </w:t>
      </w:r>
      <w:r w:rsidRPr="00DC14C9">
        <w:rPr>
          <w:rFonts w:ascii="Arial" w:hAnsi="Arial" w:cs="Arial"/>
          <w:sz w:val="22"/>
          <w:szCs w:val="22"/>
        </w:rPr>
        <w:t xml:space="preserve">disorder specific measures (ADSM), if the PHQ-9 and GAD-7 fail to be sensitive to the patient’s presenting problem. </w:t>
      </w:r>
    </w:p>
    <w:p w14:paraId="0D154CC6" w14:textId="77777777" w:rsidR="00477630" w:rsidRPr="00DC14C9" w:rsidRDefault="00477630" w:rsidP="00477630">
      <w:pPr>
        <w:spacing w:line="480" w:lineRule="auto"/>
        <w:rPr>
          <w:rFonts w:ascii="Arial" w:hAnsi="Arial" w:cs="Arial"/>
          <w:sz w:val="22"/>
          <w:szCs w:val="22"/>
        </w:rPr>
      </w:pPr>
      <w:r w:rsidRPr="00DC14C9">
        <w:rPr>
          <w:rFonts w:ascii="Arial" w:hAnsi="Arial" w:cs="Arial"/>
          <w:sz w:val="22"/>
          <w:szCs w:val="22"/>
        </w:rPr>
        <w:t xml:space="preserve"> </w:t>
      </w:r>
    </w:p>
    <w:p w14:paraId="052EF4D1" w14:textId="77777777" w:rsidR="00477630" w:rsidRPr="00DC14C9" w:rsidRDefault="00477630" w:rsidP="00477630">
      <w:pPr>
        <w:spacing w:line="480" w:lineRule="auto"/>
        <w:rPr>
          <w:rFonts w:ascii="Arial" w:hAnsi="Arial" w:cs="Arial"/>
          <w:sz w:val="22"/>
          <w:szCs w:val="22"/>
          <w:u w:val="single"/>
        </w:rPr>
      </w:pPr>
      <w:r w:rsidRPr="00DC14C9">
        <w:rPr>
          <w:rFonts w:ascii="Arial" w:hAnsi="Arial" w:cs="Arial"/>
          <w:sz w:val="22"/>
          <w:szCs w:val="22"/>
          <w:u w:val="single"/>
        </w:rPr>
        <w:t>GAD-7</w:t>
      </w:r>
    </w:p>
    <w:p w14:paraId="7572A1D5" w14:textId="77777777" w:rsidR="00477630" w:rsidRPr="00DC14C9" w:rsidRDefault="00477630" w:rsidP="00477630">
      <w:pPr>
        <w:spacing w:line="480" w:lineRule="auto"/>
        <w:rPr>
          <w:rFonts w:ascii="Arial" w:hAnsi="Arial"/>
          <w:sz w:val="22"/>
          <w:szCs w:val="22"/>
        </w:rPr>
      </w:pPr>
      <w:r w:rsidRPr="00DC14C9">
        <w:rPr>
          <w:rFonts w:ascii="Arial" w:hAnsi="Arial" w:cs="Arial"/>
          <w:sz w:val="22"/>
          <w:szCs w:val="22"/>
        </w:rPr>
        <w:t xml:space="preserve">The </w:t>
      </w:r>
      <w:r w:rsidRPr="00DC14C9">
        <w:rPr>
          <w:rFonts w:ascii="Arial" w:hAnsi="Arial"/>
          <w:sz w:val="22"/>
          <w:szCs w:val="22"/>
        </w:rPr>
        <w:t xml:space="preserve">GAD-7 (Spitzer et al., 2006) is a seven-item measure for anxiety using a 4-point Likert scale (0-3, where 0 indicates the absence of a symptom and 3 indicates greater severity). A cut off point of ≥ eight indicates greatest sensitivity and a clinical case in a primary care population. A cut of ≥ 15 indicates severe symptoms. </w:t>
      </w:r>
    </w:p>
    <w:p w14:paraId="49B75327" w14:textId="77777777" w:rsidR="00477630" w:rsidRPr="00DC14C9" w:rsidRDefault="00477630" w:rsidP="00477630">
      <w:pPr>
        <w:spacing w:line="480" w:lineRule="auto"/>
        <w:rPr>
          <w:rFonts w:ascii="Arial" w:hAnsi="Arial"/>
          <w:sz w:val="22"/>
          <w:szCs w:val="22"/>
          <w:u w:val="single"/>
        </w:rPr>
      </w:pPr>
    </w:p>
    <w:p w14:paraId="18FDD2DE" w14:textId="77777777" w:rsidR="00477630" w:rsidRPr="00DC14C9" w:rsidRDefault="00477630" w:rsidP="00477630">
      <w:pPr>
        <w:spacing w:line="480" w:lineRule="auto"/>
        <w:rPr>
          <w:rFonts w:ascii="Arial" w:hAnsi="Arial"/>
          <w:sz w:val="22"/>
          <w:szCs w:val="22"/>
          <w:u w:val="single"/>
        </w:rPr>
      </w:pPr>
      <w:r w:rsidRPr="00DC14C9">
        <w:rPr>
          <w:rFonts w:ascii="Arial" w:hAnsi="Arial"/>
          <w:sz w:val="22"/>
          <w:szCs w:val="22"/>
          <w:u w:val="single"/>
        </w:rPr>
        <w:t>PHQ-9</w:t>
      </w:r>
    </w:p>
    <w:p w14:paraId="5C8F3E00" w14:textId="77777777" w:rsidR="00477630" w:rsidRPr="00DC14C9" w:rsidRDefault="00477630" w:rsidP="00477630">
      <w:pPr>
        <w:spacing w:line="480" w:lineRule="auto"/>
        <w:rPr>
          <w:rFonts w:ascii="Arial" w:hAnsi="Arial"/>
          <w:sz w:val="22"/>
          <w:szCs w:val="22"/>
        </w:rPr>
      </w:pPr>
      <w:r w:rsidRPr="00DC14C9">
        <w:rPr>
          <w:rFonts w:ascii="Arial" w:hAnsi="Arial"/>
          <w:sz w:val="22"/>
          <w:szCs w:val="22"/>
        </w:rPr>
        <w:t xml:space="preserve">The PHQ-9 (Kroenke et al., 2001) is a nine-item measure for depression using a 4-point Likert scale (0-3, where 0 indicates the absence of a symptom and 3 indicates greater severity). A cut off point of ≥ ten is used to indicate a diagnosis of depression in a primary care population.  </w:t>
      </w:r>
    </w:p>
    <w:p w14:paraId="7E4A7E68" w14:textId="77777777" w:rsidR="00477630" w:rsidRPr="00DC14C9" w:rsidRDefault="00477630" w:rsidP="00477630">
      <w:pPr>
        <w:spacing w:line="480" w:lineRule="auto"/>
        <w:rPr>
          <w:rFonts w:ascii="Arial" w:hAnsi="Arial"/>
          <w:sz w:val="22"/>
          <w:szCs w:val="22"/>
        </w:rPr>
      </w:pPr>
    </w:p>
    <w:p w14:paraId="0AE05804" w14:textId="77777777" w:rsidR="00477630" w:rsidRPr="00DC14C9" w:rsidRDefault="00477630" w:rsidP="00477630">
      <w:pPr>
        <w:spacing w:line="480" w:lineRule="auto"/>
        <w:rPr>
          <w:rFonts w:ascii="Arial" w:hAnsi="Arial"/>
          <w:sz w:val="22"/>
          <w:szCs w:val="22"/>
        </w:rPr>
      </w:pPr>
      <w:r w:rsidRPr="00DC14C9">
        <w:rPr>
          <w:rFonts w:ascii="Arial" w:hAnsi="Arial"/>
          <w:sz w:val="22"/>
          <w:szCs w:val="22"/>
        </w:rPr>
        <w:t>The IAPT outcome-based framework is discussed in further detail in chapter 4 of this thesis.</w:t>
      </w:r>
    </w:p>
    <w:p w14:paraId="5B9D4B39" w14:textId="77777777" w:rsidR="00477630" w:rsidRPr="00DC14C9" w:rsidRDefault="00477630" w:rsidP="00477630">
      <w:pPr>
        <w:spacing w:line="480" w:lineRule="auto"/>
        <w:rPr>
          <w:rFonts w:ascii="Arial" w:hAnsi="Arial" w:cs="Arial"/>
          <w:sz w:val="22"/>
          <w:szCs w:val="22"/>
          <w:u w:val="single"/>
        </w:rPr>
      </w:pPr>
    </w:p>
    <w:p w14:paraId="5CFD6EE7" w14:textId="77777777" w:rsidR="00D25EAA" w:rsidRDefault="00D25EAA">
      <w:pPr>
        <w:rPr>
          <w:rFonts w:ascii="Arial" w:eastAsiaTheme="majorEastAsia" w:hAnsi="Arial" w:cs="Arial"/>
          <w:b/>
          <w:bCs/>
          <w:color w:val="000000" w:themeColor="text1"/>
          <w:sz w:val="22"/>
          <w:szCs w:val="22"/>
        </w:rPr>
      </w:pPr>
      <w:r>
        <w:rPr>
          <w:rFonts w:ascii="Arial" w:hAnsi="Arial" w:cs="Arial"/>
          <w:color w:val="000000" w:themeColor="text1"/>
          <w:sz w:val="22"/>
          <w:szCs w:val="22"/>
        </w:rPr>
        <w:br w:type="page"/>
      </w:r>
    </w:p>
    <w:p w14:paraId="3C5BA545" w14:textId="16DAA520" w:rsidR="00477630" w:rsidRPr="000B265D" w:rsidRDefault="00477630" w:rsidP="00477630">
      <w:pPr>
        <w:pStyle w:val="Heading3"/>
        <w:rPr>
          <w:rFonts w:cs="Arial"/>
          <w:color w:val="000000" w:themeColor="text1"/>
          <w:szCs w:val="22"/>
        </w:rPr>
      </w:pPr>
      <w:bookmarkStart w:id="69" w:name="_Toc46770721"/>
      <w:bookmarkStart w:id="70" w:name="_Toc79414132"/>
      <w:r w:rsidRPr="000B265D">
        <w:rPr>
          <w:rFonts w:cs="Arial"/>
          <w:color w:val="000000" w:themeColor="text1"/>
          <w:szCs w:val="22"/>
        </w:rPr>
        <w:lastRenderedPageBreak/>
        <w:t>2.2.3 The mandatory use of outcomes-based supervision</w:t>
      </w:r>
      <w:bookmarkEnd w:id="69"/>
      <w:bookmarkEnd w:id="70"/>
    </w:p>
    <w:p w14:paraId="22E0208F" w14:textId="77777777" w:rsidR="00477630" w:rsidRPr="00552841" w:rsidRDefault="00477630" w:rsidP="00477630"/>
    <w:p w14:paraId="0B4DD549" w14:textId="44805FEA" w:rsidR="00477630" w:rsidRPr="000B265D" w:rsidRDefault="00477630" w:rsidP="00477630">
      <w:pPr>
        <w:spacing w:line="480" w:lineRule="auto"/>
        <w:rPr>
          <w:rFonts w:ascii="Arial" w:hAnsi="Arial" w:cs="Arial"/>
          <w:sz w:val="22"/>
          <w:szCs w:val="22"/>
        </w:rPr>
      </w:pPr>
      <w:r w:rsidRPr="000B265D">
        <w:rPr>
          <w:rFonts w:ascii="Arial" w:hAnsi="Arial" w:cs="Arial"/>
          <w:sz w:val="22"/>
          <w:szCs w:val="22"/>
        </w:rPr>
        <w:t>It is widely accepted that the provision of regular clinical supervision is necessary to support the continuing professional development of cognitive behavioural therapists (Milne</w:t>
      </w:r>
      <w:r w:rsidR="007C3BC8">
        <w:rPr>
          <w:rFonts w:ascii="Arial" w:hAnsi="Arial" w:cs="Arial"/>
          <w:sz w:val="22"/>
          <w:szCs w:val="22"/>
        </w:rPr>
        <w:t>,</w:t>
      </w:r>
      <w:r w:rsidRPr="000B265D">
        <w:rPr>
          <w:rFonts w:ascii="Arial" w:hAnsi="Arial" w:cs="Arial"/>
          <w:sz w:val="22"/>
          <w:szCs w:val="22"/>
        </w:rPr>
        <w:t xml:space="preserve"> 2008, Lomax, Andrews, Burruss and Moorey</w:t>
      </w:r>
      <w:r w:rsidR="007C3BC8">
        <w:rPr>
          <w:rFonts w:ascii="Arial" w:hAnsi="Arial" w:cs="Arial"/>
          <w:sz w:val="22"/>
          <w:szCs w:val="22"/>
        </w:rPr>
        <w:t>,</w:t>
      </w:r>
      <w:r w:rsidRPr="000B265D">
        <w:rPr>
          <w:rFonts w:ascii="Arial" w:hAnsi="Arial" w:cs="Arial"/>
          <w:sz w:val="22"/>
          <w:szCs w:val="22"/>
        </w:rPr>
        <w:t xml:space="preserve"> 2005 and Padesky</w:t>
      </w:r>
      <w:r w:rsidR="00375EA0">
        <w:rPr>
          <w:rFonts w:ascii="Arial" w:hAnsi="Arial" w:cs="Arial"/>
          <w:sz w:val="22"/>
          <w:szCs w:val="22"/>
        </w:rPr>
        <w:t>,</w:t>
      </w:r>
      <w:r w:rsidRPr="000B265D">
        <w:rPr>
          <w:rFonts w:ascii="Arial" w:hAnsi="Arial" w:cs="Arial"/>
          <w:sz w:val="22"/>
          <w:szCs w:val="22"/>
        </w:rPr>
        <w:t xml:space="preserve"> </w:t>
      </w:r>
      <w:r w:rsidR="00D0306F">
        <w:rPr>
          <w:rFonts w:ascii="Arial" w:hAnsi="Arial" w:cs="Arial"/>
          <w:sz w:val="22"/>
          <w:szCs w:val="22"/>
        </w:rPr>
        <w:t>1996</w:t>
      </w:r>
      <w:r w:rsidRPr="000B265D">
        <w:rPr>
          <w:rFonts w:ascii="Arial" w:hAnsi="Arial" w:cs="Arial"/>
          <w:sz w:val="22"/>
          <w:szCs w:val="22"/>
        </w:rPr>
        <w:t>).  Turpin and Wheeler (2011 p.6) describe clinical supervision, in the context of IAPT, as:</w:t>
      </w:r>
    </w:p>
    <w:p w14:paraId="43FC0200" w14:textId="77777777" w:rsidR="00477630" w:rsidRDefault="00477630" w:rsidP="00477630">
      <w:pPr>
        <w:spacing w:line="480" w:lineRule="auto"/>
        <w:rPr>
          <w:rFonts w:ascii="Arial" w:hAnsi="Arial" w:cs="Arial"/>
          <w:sz w:val="22"/>
          <w:szCs w:val="22"/>
        </w:rPr>
      </w:pPr>
    </w:p>
    <w:p w14:paraId="35E5817C" w14:textId="18632203" w:rsidR="00477630" w:rsidRDefault="00477630" w:rsidP="00477630">
      <w:pPr>
        <w:spacing w:line="480" w:lineRule="auto"/>
        <w:rPr>
          <w:rFonts w:ascii="Arial" w:hAnsi="Arial" w:cs="Arial"/>
          <w:sz w:val="22"/>
          <w:szCs w:val="22"/>
        </w:rPr>
      </w:pPr>
      <w:r w:rsidRPr="000B265D">
        <w:rPr>
          <w:rFonts w:ascii="Arial" w:hAnsi="Arial" w:cs="Arial"/>
          <w:sz w:val="22"/>
          <w:szCs w:val="22"/>
        </w:rPr>
        <w:t>“…</w:t>
      </w:r>
      <w:r w:rsidRPr="000B265D">
        <w:rPr>
          <w:rFonts w:ascii="Arial" w:hAnsi="Arial" w:cs="Arial"/>
          <w:i/>
          <w:sz w:val="22"/>
          <w:szCs w:val="22"/>
        </w:rPr>
        <w:t>a formal relationship in which there is a contractual agreement that the therapist will present their work with clients in an open and honest way that enables the supervisor to have insight into the way in which the work has been conducted</w:t>
      </w:r>
      <w:r w:rsidRPr="000B265D">
        <w:rPr>
          <w:rFonts w:ascii="Arial" w:hAnsi="Arial" w:cs="Arial"/>
          <w:sz w:val="22"/>
          <w:szCs w:val="22"/>
        </w:rPr>
        <w:t>…”</w:t>
      </w:r>
    </w:p>
    <w:p w14:paraId="2E1C8523" w14:textId="070BE9EA" w:rsidR="00F50DFE" w:rsidRPr="000B265D" w:rsidRDefault="00F50DFE" w:rsidP="00477630">
      <w:pPr>
        <w:spacing w:line="480" w:lineRule="auto"/>
        <w:rPr>
          <w:rFonts w:ascii="Arial" w:hAnsi="Arial" w:cs="Arial"/>
          <w:sz w:val="22"/>
          <w:szCs w:val="22"/>
        </w:rPr>
      </w:pPr>
      <w:r>
        <w:rPr>
          <w:rFonts w:ascii="Arial" w:hAnsi="Arial" w:cs="Arial"/>
          <w:sz w:val="22"/>
          <w:szCs w:val="22"/>
        </w:rPr>
        <w:t>(Turpin and Wheeler, 2011 p.6)</w:t>
      </w:r>
    </w:p>
    <w:p w14:paraId="40A53076" w14:textId="77777777" w:rsidR="00477630" w:rsidRPr="000B265D" w:rsidRDefault="00477630" w:rsidP="00477630">
      <w:pPr>
        <w:spacing w:line="480" w:lineRule="auto"/>
        <w:rPr>
          <w:rFonts w:ascii="Arial" w:hAnsi="Arial" w:cs="Arial"/>
          <w:sz w:val="22"/>
          <w:szCs w:val="22"/>
        </w:rPr>
      </w:pPr>
    </w:p>
    <w:p w14:paraId="30A47F9A" w14:textId="15BF3518" w:rsidR="00777B72" w:rsidRPr="00D238AD" w:rsidRDefault="00477630" w:rsidP="00D238AD">
      <w:pPr>
        <w:spacing w:line="480" w:lineRule="auto"/>
        <w:rPr>
          <w:rFonts w:ascii="Arial" w:hAnsi="Arial" w:cs="Arial"/>
          <w:sz w:val="22"/>
          <w:szCs w:val="22"/>
        </w:rPr>
      </w:pPr>
      <w:r w:rsidRPr="000B265D">
        <w:rPr>
          <w:rFonts w:ascii="Arial" w:hAnsi="Arial" w:cs="Arial"/>
          <w:sz w:val="22"/>
          <w:szCs w:val="22"/>
        </w:rPr>
        <w:t>Turpin and Wheeler state that the primary functions of clinical supervision are to ensure that the therapist is providing safe and effective clinical interventions, optimise clinical outcomes, build clinical skills and facilitate reflection on clinical practice. In light of the evidence that clinical supervision is likely to lead to enhanced practice, and therefore better clinical outcomes (Roth and Pilling 2008, Milne and James</w:t>
      </w:r>
      <w:r w:rsidR="00375EA0">
        <w:rPr>
          <w:rFonts w:ascii="Arial" w:hAnsi="Arial" w:cs="Arial"/>
          <w:sz w:val="22"/>
          <w:szCs w:val="22"/>
        </w:rPr>
        <w:t>,</w:t>
      </w:r>
      <w:r w:rsidRPr="000B265D">
        <w:rPr>
          <w:rFonts w:ascii="Arial" w:hAnsi="Arial" w:cs="Arial"/>
          <w:sz w:val="22"/>
          <w:szCs w:val="22"/>
        </w:rPr>
        <w:t xml:space="preserve"> 2000, Worthern and Lambert</w:t>
      </w:r>
      <w:r w:rsidR="00375EA0">
        <w:rPr>
          <w:rFonts w:ascii="Arial" w:hAnsi="Arial" w:cs="Arial"/>
          <w:sz w:val="22"/>
          <w:szCs w:val="22"/>
        </w:rPr>
        <w:t>,</w:t>
      </w:r>
      <w:r w:rsidRPr="000B265D">
        <w:rPr>
          <w:rFonts w:ascii="Arial" w:hAnsi="Arial" w:cs="Arial"/>
          <w:sz w:val="22"/>
          <w:szCs w:val="22"/>
        </w:rPr>
        <w:t xml:space="preserve"> 2007 and Miller</w:t>
      </w:r>
      <w:r w:rsidR="00375EA0">
        <w:rPr>
          <w:rFonts w:ascii="Arial" w:hAnsi="Arial" w:cs="Arial"/>
          <w:sz w:val="22"/>
          <w:szCs w:val="22"/>
        </w:rPr>
        <w:t>,</w:t>
      </w:r>
      <w:r w:rsidRPr="000B265D">
        <w:rPr>
          <w:rFonts w:ascii="Arial" w:hAnsi="Arial" w:cs="Arial"/>
          <w:sz w:val="22"/>
          <w:szCs w:val="22"/>
        </w:rPr>
        <w:t xml:space="preserve"> Duncan</w:t>
      </w:r>
      <w:r w:rsidR="00375EA0">
        <w:rPr>
          <w:rFonts w:ascii="Arial" w:hAnsi="Arial" w:cs="Arial"/>
          <w:sz w:val="22"/>
          <w:szCs w:val="22"/>
        </w:rPr>
        <w:t>,</w:t>
      </w:r>
      <w:r w:rsidRPr="000B265D">
        <w:rPr>
          <w:rFonts w:ascii="Arial" w:hAnsi="Arial" w:cs="Arial"/>
          <w:sz w:val="22"/>
          <w:szCs w:val="22"/>
        </w:rPr>
        <w:t xml:space="preserve"> Brown, Sorrel and Chalk 2007), IAPT provide detailed guidance on how supervision should be provided in every IAPT service in England.  The guidance stipulates that each therapist will receive weekly supervision for at least one hour and that all of the therapist’s patients should be discussed at least monthly. In addition</w:t>
      </w:r>
      <w:r>
        <w:rPr>
          <w:rFonts w:ascii="Arial" w:hAnsi="Arial" w:cs="Arial"/>
          <w:sz w:val="22"/>
          <w:szCs w:val="22"/>
        </w:rPr>
        <w:t>,</w:t>
      </w:r>
      <w:r w:rsidRPr="000B265D">
        <w:rPr>
          <w:rFonts w:ascii="Arial" w:hAnsi="Arial" w:cs="Arial"/>
          <w:sz w:val="22"/>
          <w:szCs w:val="22"/>
        </w:rPr>
        <w:t xml:space="preserve"> the IAPT guidance suggests that clinical supervisors should be suitably qualified and experienced and must have attended specific training in the provision of CBT clinical supervision (Turpin and Wheeler 2011). The IAPT programme stresses that the provision of high</w:t>
      </w:r>
      <w:r>
        <w:rPr>
          <w:rFonts w:ascii="Arial" w:hAnsi="Arial" w:cs="Arial"/>
          <w:sz w:val="22"/>
          <w:szCs w:val="22"/>
        </w:rPr>
        <w:t>-q</w:t>
      </w:r>
      <w:r w:rsidRPr="000B265D">
        <w:rPr>
          <w:rFonts w:ascii="Arial" w:hAnsi="Arial" w:cs="Arial"/>
          <w:sz w:val="22"/>
          <w:szCs w:val="22"/>
        </w:rPr>
        <w:t>uality supervision in accordance with its guidelines is essential to the overall success of the IAPT programme.</w:t>
      </w:r>
    </w:p>
    <w:p w14:paraId="19EED5CD" w14:textId="77777777" w:rsidR="00A451AA" w:rsidRDefault="00A451AA">
      <w:pPr>
        <w:rPr>
          <w:rFonts w:ascii="Arial" w:eastAsiaTheme="majorEastAsia" w:hAnsi="Arial" w:cs="Arial"/>
          <w:b/>
          <w:bCs/>
          <w:color w:val="000000" w:themeColor="text1"/>
          <w:sz w:val="22"/>
          <w:szCs w:val="22"/>
        </w:rPr>
      </w:pPr>
      <w:r>
        <w:rPr>
          <w:rFonts w:ascii="Arial" w:hAnsi="Arial" w:cs="Arial"/>
          <w:color w:val="000000" w:themeColor="text1"/>
          <w:sz w:val="22"/>
          <w:szCs w:val="22"/>
        </w:rPr>
        <w:br w:type="page"/>
      </w:r>
    </w:p>
    <w:p w14:paraId="35AF64D2" w14:textId="1F54F95B" w:rsidR="00477630" w:rsidRPr="000B265D" w:rsidRDefault="00477630" w:rsidP="00477630">
      <w:pPr>
        <w:pStyle w:val="Heading2"/>
        <w:rPr>
          <w:rFonts w:ascii="Arial" w:hAnsi="Arial" w:cs="Arial"/>
          <w:color w:val="000000" w:themeColor="text1"/>
          <w:sz w:val="22"/>
          <w:szCs w:val="22"/>
        </w:rPr>
      </w:pPr>
      <w:bookmarkStart w:id="71" w:name="_Toc46770722"/>
      <w:bookmarkStart w:id="72" w:name="_Toc79414133"/>
      <w:r w:rsidRPr="000B265D">
        <w:rPr>
          <w:rFonts w:ascii="Arial" w:hAnsi="Arial" w:cs="Arial"/>
          <w:color w:val="000000" w:themeColor="text1"/>
          <w:sz w:val="22"/>
          <w:szCs w:val="22"/>
        </w:rPr>
        <w:lastRenderedPageBreak/>
        <w:t>2.3 BUILDING THE IAPT WORKFORCE</w:t>
      </w:r>
      <w:bookmarkEnd w:id="71"/>
      <w:bookmarkEnd w:id="72"/>
    </w:p>
    <w:p w14:paraId="24BBAEF9" w14:textId="77777777" w:rsidR="00477630" w:rsidRDefault="00477630" w:rsidP="00477630"/>
    <w:p w14:paraId="4F344266" w14:textId="59A07865" w:rsidR="00477630" w:rsidRPr="000B265D" w:rsidRDefault="00477630" w:rsidP="00477630">
      <w:pPr>
        <w:spacing w:line="480" w:lineRule="auto"/>
        <w:rPr>
          <w:rFonts w:ascii="Arial" w:hAnsi="Arial"/>
          <w:sz w:val="22"/>
          <w:szCs w:val="22"/>
        </w:rPr>
      </w:pPr>
      <w:r w:rsidRPr="000B265D">
        <w:rPr>
          <w:rFonts w:ascii="Arial" w:hAnsi="Arial" w:cs="Arial"/>
          <w:sz w:val="22"/>
          <w:szCs w:val="22"/>
        </w:rPr>
        <w:t>The first IAPT services were developed in 2006 with two initial pilot sites in Doncaster and Newham (Richards and Suckling</w:t>
      </w:r>
      <w:r w:rsidR="00375EA0">
        <w:rPr>
          <w:rFonts w:ascii="Arial" w:hAnsi="Arial" w:cs="Arial"/>
          <w:sz w:val="22"/>
          <w:szCs w:val="22"/>
        </w:rPr>
        <w:t>,</w:t>
      </w:r>
      <w:r w:rsidRPr="000B265D">
        <w:rPr>
          <w:rFonts w:ascii="Arial" w:hAnsi="Arial" w:cs="Arial"/>
          <w:sz w:val="22"/>
          <w:szCs w:val="22"/>
        </w:rPr>
        <w:t xml:space="preserve"> 2009). Both pilot sites collected clinical outcome data using the PHQ-9 and GAD-7 at every appointment and 9 months after the last appointment (Clark</w:t>
      </w:r>
      <w:r w:rsidR="00375EA0">
        <w:rPr>
          <w:rFonts w:ascii="Arial" w:hAnsi="Arial" w:cs="Arial"/>
          <w:sz w:val="22"/>
          <w:szCs w:val="22"/>
        </w:rPr>
        <w:t>,</w:t>
      </w:r>
      <w:r w:rsidRPr="000B265D">
        <w:rPr>
          <w:rFonts w:ascii="Arial" w:hAnsi="Arial" w:cs="Arial"/>
          <w:sz w:val="22"/>
          <w:szCs w:val="22"/>
        </w:rPr>
        <w:t xml:space="preserve"> 2012). In addition, the pilot sites collected data that related to the patients</w:t>
      </w:r>
      <w:r>
        <w:rPr>
          <w:rFonts w:ascii="Arial" w:hAnsi="Arial" w:cs="Arial"/>
          <w:sz w:val="22"/>
          <w:szCs w:val="22"/>
        </w:rPr>
        <w:t>’</w:t>
      </w:r>
      <w:r w:rsidRPr="000B265D">
        <w:rPr>
          <w:rFonts w:ascii="Arial" w:hAnsi="Arial" w:cs="Arial"/>
          <w:sz w:val="22"/>
          <w:szCs w:val="22"/>
        </w:rPr>
        <w:t xml:space="preserve"> employment status. Layard’s (2007) economic argument for the development of the IAPT programme was that the service would enable patients to return to work and that 50% of the patients treated would recover. The outcomes from both sites exceeded expectation in that there was 5% improvement in employment (those who were not working at the start of treatment but were working at the end of treatment) and the overall recovery rate was 52% (Clark</w:t>
      </w:r>
      <w:r w:rsidR="00375EA0">
        <w:rPr>
          <w:rFonts w:ascii="Arial" w:hAnsi="Arial" w:cs="Arial"/>
          <w:sz w:val="22"/>
          <w:szCs w:val="22"/>
        </w:rPr>
        <w:t>,</w:t>
      </w:r>
      <w:r w:rsidRPr="000B265D">
        <w:rPr>
          <w:rFonts w:ascii="Arial" w:hAnsi="Arial" w:cs="Arial"/>
          <w:sz w:val="22"/>
          <w:szCs w:val="22"/>
        </w:rPr>
        <w:t xml:space="preserve"> 2012).  Following the </w:t>
      </w:r>
      <w:r w:rsidR="00330A9A">
        <w:rPr>
          <w:rFonts w:ascii="Arial" w:hAnsi="Arial" w:cs="Arial"/>
          <w:sz w:val="22"/>
          <w:szCs w:val="22"/>
        </w:rPr>
        <w:t xml:space="preserve">perceived </w:t>
      </w:r>
      <w:r w:rsidRPr="000B265D">
        <w:rPr>
          <w:rFonts w:ascii="Arial" w:hAnsi="Arial" w:cs="Arial"/>
          <w:sz w:val="22"/>
          <w:szCs w:val="22"/>
        </w:rPr>
        <w:t>success of the IAPT pilots in Doncaster and Newham the UK government supported a phased roll out across England with a ring</w:t>
      </w:r>
      <w:r>
        <w:rPr>
          <w:rFonts w:ascii="Arial" w:hAnsi="Arial" w:cs="Arial"/>
          <w:sz w:val="22"/>
          <w:szCs w:val="22"/>
        </w:rPr>
        <w:t>-f</w:t>
      </w:r>
      <w:r w:rsidRPr="000B265D">
        <w:rPr>
          <w:rFonts w:ascii="Arial" w:hAnsi="Arial" w:cs="Arial"/>
          <w:sz w:val="22"/>
          <w:szCs w:val="22"/>
        </w:rPr>
        <w:t>enced budget of £309 million</w:t>
      </w:r>
      <w:r w:rsidR="00330A9A">
        <w:rPr>
          <w:rFonts w:ascii="Arial" w:hAnsi="Arial" w:cs="Arial"/>
          <w:sz w:val="22"/>
          <w:szCs w:val="22"/>
        </w:rPr>
        <w:t xml:space="preserve"> (Steen, 2019)</w:t>
      </w:r>
      <w:r>
        <w:rPr>
          <w:rFonts w:ascii="Arial" w:hAnsi="Arial" w:cs="Arial"/>
          <w:sz w:val="22"/>
          <w:szCs w:val="22"/>
        </w:rPr>
        <w:t xml:space="preserve">. </w:t>
      </w:r>
      <w:r w:rsidRPr="000B265D">
        <w:rPr>
          <w:rFonts w:ascii="Arial" w:hAnsi="Arial"/>
          <w:sz w:val="22"/>
          <w:szCs w:val="22"/>
        </w:rPr>
        <w:t>It was widely recognised (Department of Health</w:t>
      </w:r>
      <w:r w:rsidR="00375EA0">
        <w:rPr>
          <w:rFonts w:ascii="Arial" w:hAnsi="Arial"/>
          <w:sz w:val="22"/>
          <w:szCs w:val="22"/>
        </w:rPr>
        <w:t>,</w:t>
      </w:r>
      <w:r w:rsidRPr="000B265D">
        <w:rPr>
          <w:rFonts w:ascii="Arial" w:hAnsi="Arial"/>
          <w:sz w:val="22"/>
          <w:szCs w:val="22"/>
        </w:rPr>
        <w:t xml:space="preserve"> 2011) that there was a lack of a suitably qualified and experienced workforce to deal with such large numbers of patients. Therefore, the government set aside a proportion of the ring</w:t>
      </w:r>
      <w:r>
        <w:rPr>
          <w:rFonts w:ascii="Arial" w:hAnsi="Arial"/>
          <w:sz w:val="22"/>
          <w:szCs w:val="22"/>
        </w:rPr>
        <w:t>-</w:t>
      </w:r>
      <w:r w:rsidRPr="000B265D">
        <w:rPr>
          <w:rFonts w:ascii="Arial" w:hAnsi="Arial"/>
          <w:sz w:val="22"/>
          <w:szCs w:val="22"/>
        </w:rPr>
        <w:t>fenced money to establish post-graduate clinical treatment training programmes at universities in the UK. The university programmes, commissioned by the NHS, focus on a Cognitive Behavioural model and provide specialised clinical training at two levels (Clark</w:t>
      </w:r>
      <w:r w:rsidR="00375EA0">
        <w:rPr>
          <w:rFonts w:ascii="Arial" w:hAnsi="Arial"/>
          <w:sz w:val="22"/>
          <w:szCs w:val="22"/>
        </w:rPr>
        <w:t>,</w:t>
      </w:r>
      <w:r w:rsidRPr="000B265D">
        <w:rPr>
          <w:rFonts w:ascii="Arial" w:hAnsi="Arial"/>
          <w:sz w:val="22"/>
          <w:szCs w:val="22"/>
        </w:rPr>
        <w:t xml:space="preserve"> 2012)</w:t>
      </w:r>
      <w:r w:rsidR="00375EA0">
        <w:rPr>
          <w:rFonts w:ascii="Arial" w:hAnsi="Arial"/>
          <w:sz w:val="22"/>
          <w:szCs w:val="22"/>
        </w:rPr>
        <w:t>.</w:t>
      </w:r>
    </w:p>
    <w:p w14:paraId="22E428E2" w14:textId="77777777" w:rsidR="00477630" w:rsidRDefault="00477630" w:rsidP="00477630">
      <w:pPr>
        <w:spacing w:line="480" w:lineRule="auto"/>
        <w:rPr>
          <w:rFonts w:ascii="Arial" w:hAnsi="Arial"/>
        </w:rPr>
      </w:pPr>
    </w:p>
    <w:p w14:paraId="26013A2C" w14:textId="77777777" w:rsidR="00477630" w:rsidRDefault="00477630" w:rsidP="00477630">
      <w:pPr>
        <w:pStyle w:val="Heading3"/>
        <w:rPr>
          <w:rFonts w:cs="Arial"/>
          <w:color w:val="000000" w:themeColor="text1"/>
          <w:szCs w:val="22"/>
        </w:rPr>
      </w:pPr>
      <w:bookmarkStart w:id="73" w:name="_Toc46770723"/>
      <w:bookmarkStart w:id="74" w:name="_Toc79414134"/>
      <w:r w:rsidRPr="000B265D">
        <w:rPr>
          <w:rFonts w:cs="Arial"/>
          <w:color w:val="000000" w:themeColor="text1"/>
          <w:szCs w:val="22"/>
        </w:rPr>
        <w:t>2.3.1 Psychological Wellbeing Practitioners (PWP)</w:t>
      </w:r>
      <w:bookmarkEnd w:id="73"/>
      <w:bookmarkEnd w:id="74"/>
    </w:p>
    <w:p w14:paraId="18217C2F" w14:textId="77777777" w:rsidR="00477630" w:rsidRPr="000B265D" w:rsidRDefault="00477630" w:rsidP="00477630"/>
    <w:p w14:paraId="57A5D484" w14:textId="1E9CEDD7" w:rsidR="00477630" w:rsidRPr="00DC14C9" w:rsidRDefault="00477630" w:rsidP="00477630">
      <w:pPr>
        <w:spacing w:line="480" w:lineRule="auto"/>
        <w:rPr>
          <w:rFonts w:ascii="Arial" w:hAnsi="Arial"/>
          <w:sz w:val="22"/>
          <w:szCs w:val="22"/>
        </w:rPr>
      </w:pPr>
      <w:r w:rsidRPr="00DC14C9">
        <w:rPr>
          <w:rFonts w:ascii="Arial" w:hAnsi="Arial"/>
          <w:sz w:val="22"/>
          <w:szCs w:val="22"/>
        </w:rPr>
        <w:t>PWPs are trained to provide low intensity interventions to patients at step 2 in the stepped care model</w:t>
      </w:r>
      <w:r>
        <w:rPr>
          <w:rFonts w:ascii="Arial" w:hAnsi="Arial"/>
          <w:sz w:val="22"/>
          <w:szCs w:val="22"/>
        </w:rPr>
        <w:t xml:space="preserve"> (Clark, 2011)</w:t>
      </w:r>
      <w:r w:rsidRPr="00DC14C9">
        <w:rPr>
          <w:rFonts w:ascii="Arial" w:hAnsi="Arial"/>
          <w:sz w:val="22"/>
          <w:szCs w:val="22"/>
        </w:rPr>
        <w:t>.  Low intensity interventions place a focus on enabling patients to work through a self-help treatment programme.  The treatment may be based on bibliotherapy (written materials given to the patient)</w:t>
      </w:r>
      <w:r>
        <w:rPr>
          <w:rFonts w:ascii="Arial" w:hAnsi="Arial"/>
          <w:sz w:val="22"/>
          <w:szCs w:val="22"/>
        </w:rPr>
        <w:t xml:space="preserve">, face-to-face interventions, telephone interventions, </w:t>
      </w:r>
      <w:r w:rsidRPr="00DC14C9">
        <w:rPr>
          <w:rFonts w:ascii="Arial" w:hAnsi="Arial"/>
          <w:sz w:val="22"/>
          <w:szCs w:val="22"/>
        </w:rPr>
        <w:t>computerised self-help materials</w:t>
      </w:r>
      <w:r>
        <w:rPr>
          <w:rFonts w:ascii="Arial" w:hAnsi="Arial"/>
          <w:sz w:val="22"/>
          <w:szCs w:val="22"/>
        </w:rPr>
        <w:t xml:space="preserve"> (cCBT)</w:t>
      </w:r>
      <w:r w:rsidRPr="00DC14C9">
        <w:rPr>
          <w:rFonts w:ascii="Arial" w:hAnsi="Arial"/>
          <w:sz w:val="22"/>
          <w:szCs w:val="22"/>
        </w:rPr>
        <w:t xml:space="preserve"> </w:t>
      </w:r>
      <w:r>
        <w:rPr>
          <w:rFonts w:ascii="Arial" w:hAnsi="Arial"/>
          <w:sz w:val="22"/>
          <w:szCs w:val="22"/>
        </w:rPr>
        <w:t>or online, guided self-help where the PWP supports the patient to use web-based self-help materials.  Both cCBT and online gui</w:t>
      </w:r>
      <w:r w:rsidR="005F56B5">
        <w:rPr>
          <w:rFonts w:ascii="Arial" w:hAnsi="Arial"/>
          <w:sz w:val="22"/>
          <w:szCs w:val="22"/>
        </w:rPr>
        <w:t>d</w:t>
      </w:r>
      <w:r>
        <w:rPr>
          <w:rFonts w:ascii="Arial" w:hAnsi="Arial"/>
          <w:sz w:val="22"/>
          <w:szCs w:val="22"/>
        </w:rPr>
        <w:t xml:space="preserve">ed self-help are discussed </w:t>
      </w:r>
      <w:r w:rsidR="005F56B5">
        <w:rPr>
          <w:rFonts w:ascii="Arial" w:hAnsi="Arial"/>
          <w:sz w:val="22"/>
          <w:szCs w:val="22"/>
        </w:rPr>
        <w:t>later in</w:t>
      </w:r>
      <w:r>
        <w:rPr>
          <w:rFonts w:ascii="Arial" w:hAnsi="Arial"/>
          <w:sz w:val="22"/>
          <w:szCs w:val="22"/>
        </w:rPr>
        <w:t xml:space="preserve"> this </w:t>
      </w:r>
      <w:r w:rsidR="005F56B5">
        <w:rPr>
          <w:rFonts w:ascii="Arial" w:hAnsi="Arial"/>
          <w:sz w:val="22"/>
          <w:szCs w:val="22"/>
        </w:rPr>
        <w:t>chapter</w:t>
      </w:r>
      <w:r>
        <w:rPr>
          <w:rFonts w:ascii="Arial" w:hAnsi="Arial"/>
          <w:sz w:val="22"/>
          <w:szCs w:val="22"/>
        </w:rPr>
        <w:t>.</w:t>
      </w:r>
    </w:p>
    <w:p w14:paraId="3852B20A" w14:textId="77777777" w:rsidR="00477630" w:rsidRDefault="00477630" w:rsidP="00477630">
      <w:pPr>
        <w:pStyle w:val="Heading3"/>
        <w:rPr>
          <w:rFonts w:cs="Arial"/>
          <w:color w:val="000000" w:themeColor="text1"/>
          <w:szCs w:val="22"/>
        </w:rPr>
      </w:pPr>
      <w:bookmarkStart w:id="75" w:name="_Toc46770724"/>
      <w:bookmarkStart w:id="76" w:name="_Toc79414135"/>
      <w:r w:rsidRPr="000B265D">
        <w:rPr>
          <w:rFonts w:cs="Arial"/>
          <w:color w:val="000000" w:themeColor="text1"/>
          <w:szCs w:val="22"/>
        </w:rPr>
        <w:lastRenderedPageBreak/>
        <w:t>2.3.2 High Intensity CBT Therapists</w:t>
      </w:r>
      <w:bookmarkEnd w:id="75"/>
      <w:bookmarkEnd w:id="76"/>
      <w:r w:rsidRPr="000B265D">
        <w:rPr>
          <w:rFonts w:cs="Arial"/>
          <w:color w:val="000000" w:themeColor="text1"/>
          <w:szCs w:val="22"/>
        </w:rPr>
        <w:t xml:space="preserve"> </w:t>
      </w:r>
    </w:p>
    <w:p w14:paraId="57850352" w14:textId="77777777" w:rsidR="00477630" w:rsidRPr="000B265D" w:rsidRDefault="00477630" w:rsidP="00477630"/>
    <w:p w14:paraId="24DD4AE4" w14:textId="77777777" w:rsidR="00477630" w:rsidRPr="000B265D" w:rsidRDefault="00477630" w:rsidP="00477630">
      <w:pPr>
        <w:spacing w:line="480" w:lineRule="auto"/>
        <w:rPr>
          <w:rFonts w:ascii="Arial" w:hAnsi="Arial"/>
          <w:sz w:val="22"/>
          <w:szCs w:val="22"/>
        </w:rPr>
      </w:pPr>
      <w:r w:rsidRPr="000B265D">
        <w:rPr>
          <w:rFonts w:ascii="Arial" w:hAnsi="Arial"/>
          <w:sz w:val="22"/>
          <w:szCs w:val="22"/>
        </w:rPr>
        <w:t>High Intensity cognitive behavioural therapists are trained to provide one-to-one CBT using disorder specific treatment protocols (Layard and Clark, 2014). High Intensity Interventions are typically used where a patient has not improved after accessing a step 2 (low intensity) intervention or has a more complex or sever presentation requiring more intense and in</w:t>
      </w:r>
      <w:r>
        <w:rPr>
          <w:rFonts w:ascii="Arial" w:hAnsi="Arial"/>
          <w:sz w:val="22"/>
          <w:szCs w:val="22"/>
        </w:rPr>
        <w:t>-</w:t>
      </w:r>
      <w:r w:rsidRPr="000B265D">
        <w:rPr>
          <w:rFonts w:ascii="Arial" w:hAnsi="Arial"/>
          <w:sz w:val="22"/>
          <w:szCs w:val="22"/>
        </w:rPr>
        <w:t xml:space="preserve"> depth treatment.</w:t>
      </w:r>
    </w:p>
    <w:p w14:paraId="588EC818" w14:textId="77777777" w:rsidR="00477630" w:rsidRPr="000B265D" w:rsidRDefault="00477630" w:rsidP="00477630">
      <w:pPr>
        <w:spacing w:line="480" w:lineRule="auto"/>
        <w:rPr>
          <w:rFonts w:ascii="Arial" w:hAnsi="Arial"/>
          <w:sz w:val="22"/>
          <w:szCs w:val="22"/>
        </w:rPr>
      </w:pPr>
    </w:p>
    <w:p w14:paraId="789F348E" w14:textId="7C37AD41" w:rsidR="00477630" w:rsidRPr="000B265D" w:rsidRDefault="00477630" w:rsidP="00477630">
      <w:pPr>
        <w:spacing w:line="480" w:lineRule="auto"/>
        <w:rPr>
          <w:rFonts w:ascii="Arial" w:hAnsi="Arial"/>
          <w:sz w:val="22"/>
          <w:szCs w:val="22"/>
        </w:rPr>
      </w:pPr>
      <w:r w:rsidRPr="000B265D">
        <w:rPr>
          <w:rFonts w:ascii="Arial" w:hAnsi="Arial"/>
          <w:sz w:val="22"/>
          <w:szCs w:val="22"/>
        </w:rPr>
        <w:t>In the first three years of the IAPT roll out 2,160 High Intensity CBT therapists and 1,440 Psychological Wellbeing Practitioners were trained (Clark</w:t>
      </w:r>
      <w:r w:rsidR="00375EA0">
        <w:rPr>
          <w:rFonts w:ascii="Arial" w:hAnsi="Arial"/>
          <w:sz w:val="22"/>
          <w:szCs w:val="22"/>
        </w:rPr>
        <w:t>,</w:t>
      </w:r>
      <w:r w:rsidRPr="000B265D">
        <w:rPr>
          <w:rFonts w:ascii="Arial" w:hAnsi="Arial"/>
          <w:sz w:val="22"/>
          <w:szCs w:val="22"/>
        </w:rPr>
        <w:t xml:space="preserve"> 2012). In 2009</w:t>
      </w:r>
      <w:r w:rsidR="002137D7">
        <w:rPr>
          <w:rFonts w:ascii="Arial" w:hAnsi="Arial"/>
          <w:sz w:val="22"/>
          <w:szCs w:val="22"/>
        </w:rPr>
        <w:t>,</w:t>
      </w:r>
      <w:r w:rsidRPr="000B265D">
        <w:rPr>
          <w:rFonts w:ascii="Arial" w:hAnsi="Arial"/>
          <w:sz w:val="22"/>
          <w:szCs w:val="22"/>
        </w:rPr>
        <w:t xml:space="preserve"> the IAPT programme was extended to provide other evidence</w:t>
      </w:r>
      <w:r w:rsidR="002137D7">
        <w:rPr>
          <w:rFonts w:ascii="Arial" w:hAnsi="Arial"/>
          <w:sz w:val="22"/>
          <w:szCs w:val="22"/>
        </w:rPr>
        <w:t>-</w:t>
      </w:r>
      <w:r w:rsidRPr="000B265D">
        <w:rPr>
          <w:rFonts w:ascii="Arial" w:hAnsi="Arial"/>
          <w:sz w:val="22"/>
          <w:szCs w:val="22"/>
        </w:rPr>
        <w:t>based psychological interventions including counselling for depression, Brief Dynamic Interpersonal Therapy for Depression (DIT), Interpersonal Psychotherapy for Depression (IPT) and Couple Therapy for Depression (</w:t>
      </w:r>
      <w:r w:rsidR="000036BE">
        <w:rPr>
          <w:rFonts w:ascii="Arial" w:hAnsi="Arial"/>
          <w:sz w:val="22"/>
          <w:szCs w:val="22"/>
        </w:rPr>
        <w:t>Department of Health, 2009</w:t>
      </w:r>
      <w:r w:rsidRPr="000B265D">
        <w:rPr>
          <w:rFonts w:ascii="Arial" w:hAnsi="Arial"/>
          <w:sz w:val="22"/>
          <w:szCs w:val="22"/>
        </w:rPr>
        <w:t>).  Specific training was providing for High Intensity Therapists (HIT) to support this extended provision. At the time of writing</w:t>
      </w:r>
      <w:r>
        <w:rPr>
          <w:rFonts w:ascii="Arial" w:hAnsi="Arial"/>
          <w:sz w:val="22"/>
          <w:szCs w:val="22"/>
        </w:rPr>
        <w:t xml:space="preserve">, 10,500 psychological therapists have been trained by IAPT (Clark, 2018) with at least half of those being High Intensity CBT therapists. </w:t>
      </w:r>
      <w:r w:rsidRPr="000B265D">
        <w:rPr>
          <w:rFonts w:ascii="Arial" w:hAnsi="Arial"/>
          <w:sz w:val="22"/>
          <w:szCs w:val="22"/>
        </w:rPr>
        <w:t>These therapists work in over 200 IAPT services across England, with a ratio of 40 therapists per population of 250,000 (Health and Social Care Information Centre</w:t>
      </w:r>
      <w:r w:rsidR="00375EA0">
        <w:rPr>
          <w:rFonts w:ascii="Arial" w:hAnsi="Arial"/>
          <w:sz w:val="22"/>
          <w:szCs w:val="22"/>
        </w:rPr>
        <w:t>,</w:t>
      </w:r>
      <w:r w:rsidRPr="000B265D">
        <w:rPr>
          <w:rFonts w:ascii="Arial" w:hAnsi="Arial"/>
          <w:sz w:val="22"/>
          <w:szCs w:val="22"/>
        </w:rPr>
        <w:t xml:space="preserve"> 2014). In 201</w:t>
      </w:r>
      <w:r>
        <w:rPr>
          <w:rFonts w:ascii="Arial" w:hAnsi="Arial"/>
          <w:sz w:val="22"/>
          <w:szCs w:val="22"/>
        </w:rPr>
        <w:t>8</w:t>
      </w:r>
      <w:r w:rsidRPr="000B265D">
        <w:rPr>
          <w:rFonts w:ascii="Arial" w:hAnsi="Arial"/>
          <w:sz w:val="22"/>
          <w:szCs w:val="22"/>
        </w:rPr>
        <w:t xml:space="preserve"> </w:t>
      </w:r>
      <w:r>
        <w:rPr>
          <w:rFonts w:ascii="Arial" w:hAnsi="Arial"/>
          <w:sz w:val="22"/>
          <w:szCs w:val="22"/>
        </w:rPr>
        <w:t xml:space="preserve">2.01 million </w:t>
      </w:r>
      <w:r w:rsidRPr="000B265D">
        <w:rPr>
          <w:rFonts w:ascii="Arial" w:hAnsi="Arial"/>
          <w:sz w:val="22"/>
          <w:szCs w:val="22"/>
        </w:rPr>
        <w:t xml:space="preserve">patients (NHS </w:t>
      </w:r>
      <w:r w:rsidR="00375EA0">
        <w:rPr>
          <w:rFonts w:ascii="Arial" w:hAnsi="Arial"/>
          <w:sz w:val="22"/>
          <w:szCs w:val="22"/>
        </w:rPr>
        <w:t xml:space="preserve">Digital, </w:t>
      </w:r>
      <w:r w:rsidRPr="000B265D">
        <w:rPr>
          <w:rFonts w:ascii="Arial" w:hAnsi="Arial"/>
          <w:sz w:val="22"/>
          <w:szCs w:val="22"/>
        </w:rPr>
        <w:t>201</w:t>
      </w:r>
      <w:r>
        <w:rPr>
          <w:rFonts w:ascii="Arial" w:hAnsi="Arial"/>
          <w:sz w:val="22"/>
          <w:szCs w:val="22"/>
        </w:rPr>
        <w:t>8</w:t>
      </w:r>
      <w:r w:rsidRPr="000B265D">
        <w:rPr>
          <w:rFonts w:ascii="Arial" w:hAnsi="Arial"/>
          <w:sz w:val="22"/>
          <w:szCs w:val="22"/>
        </w:rPr>
        <w:t>) were seen in IAPT</w:t>
      </w:r>
      <w:r>
        <w:rPr>
          <w:rFonts w:ascii="Arial" w:hAnsi="Arial"/>
          <w:sz w:val="22"/>
          <w:szCs w:val="22"/>
        </w:rPr>
        <w:t xml:space="preserve"> </w:t>
      </w:r>
      <w:r w:rsidRPr="000B265D">
        <w:rPr>
          <w:rFonts w:ascii="Arial" w:hAnsi="Arial"/>
          <w:sz w:val="22"/>
          <w:szCs w:val="22"/>
        </w:rPr>
        <w:t>with the majority of patients (</w:t>
      </w:r>
      <w:r>
        <w:rPr>
          <w:rFonts w:ascii="Arial" w:hAnsi="Arial"/>
          <w:sz w:val="22"/>
          <w:szCs w:val="22"/>
        </w:rPr>
        <w:t>68%</w:t>
      </w:r>
      <w:r w:rsidRPr="000B265D">
        <w:rPr>
          <w:rFonts w:ascii="Arial" w:hAnsi="Arial"/>
          <w:sz w:val="22"/>
          <w:szCs w:val="22"/>
        </w:rPr>
        <w:t>) receiving CBT at either step 2 or step 3 (</w:t>
      </w:r>
      <w:r>
        <w:rPr>
          <w:rFonts w:ascii="Arial" w:hAnsi="Arial"/>
          <w:sz w:val="22"/>
          <w:szCs w:val="22"/>
        </w:rPr>
        <w:t>Clark, 2018</w:t>
      </w:r>
      <w:r w:rsidRPr="000B265D">
        <w:rPr>
          <w:rFonts w:ascii="Arial" w:hAnsi="Arial"/>
          <w:sz w:val="22"/>
          <w:szCs w:val="22"/>
        </w:rPr>
        <w:t>).  High Intensity Cognitive Behavioural Therapists (HI CBTs) account for the majority of the IAPT workforce.  IAPT mandate (Clark</w:t>
      </w:r>
      <w:r w:rsidR="00962568">
        <w:rPr>
          <w:rFonts w:ascii="Arial" w:hAnsi="Arial"/>
          <w:sz w:val="22"/>
          <w:szCs w:val="22"/>
        </w:rPr>
        <w:t>,</w:t>
      </w:r>
      <w:r w:rsidRPr="000B265D">
        <w:rPr>
          <w:rFonts w:ascii="Arial" w:hAnsi="Arial"/>
          <w:sz w:val="22"/>
          <w:szCs w:val="22"/>
        </w:rPr>
        <w:t xml:space="preserve"> 2012) </w:t>
      </w:r>
      <w:r>
        <w:rPr>
          <w:rFonts w:ascii="Arial" w:hAnsi="Arial"/>
          <w:sz w:val="22"/>
          <w:szCs w:val="22"/>
        </w:rPr>
        <w:t>t</w:t>
      </w:r>
      <w:r w:rsidRPr="000B265D">
        <w:rPr>
          <w:rFonts w:ascii="Arial" w:hAnsi="Arial"/>
          <w:sz w:val="22"/>
          <w:szCs w:val="22"/>
        </w:rPr>
        <w:t>hat HI CBT therapists receive a minimum standard of training and are accredited by the British Association of Behavioural and Cognitive Psychotherapy (BABCP).</w:t>
      </w:r>
    </w:p>
    <w:p w14:paraId="0EB024C0" w14:textId="77777777" w:rsidR="00477630" w:rsidRPr="000B265D" w:rsidRDefault="00477630" w:rsidP="00477630">
      <w:pPr>
        <w:spacing w:line="480" w:lineRule="auto"/>
        <w:rPr>
          <w:rFonts w:ascii="Arial" w:hAnsi="Arial"/>
          <w:sz w:val="22"/>
          <w:szCs w:val="22"/>
        </w:rPr>
      </w:pPr>
    </w:p>
    <w:p w14:paraId="167E824A" w14:textId="77777777" w:rsidR="00477630" w:rsidRDefault="00477630" w:rsidP="00477630">
      <w:pPr>
        <w:pStyle w:val="Heading2"/>
        <w:rPr>
          <w:rFonts w:ascii="Arial" w:hAnsi="Arial" w:cs="Arial"/>
          <w:color w:val="000000" w:themeColor="text1"/>
          <w:sz w:val="21"/>
          <w:szCs w:val="21"/>
        </w:rPr>
      </w:pPr>
      <w:bookmarkStart w:id="77" w:name="_Toc46770725"/>
      <w:bookmarkStart w:id="78" w:name="_Toc79414136"/>
      <w:r w:rsidRPr="00C36A16">
        <w:rPr>
          <w:rFonts w:ascii="Arial" w:hAnsi="Arial" w:cs="Arial"/>
          <w:color w:val="000000" w:themeColor="text1"/>
          <w:sz w:val="21"/>
          <w:szCs w:val="21"/>
        </w:rPr>
        <w:t>2.4 TRAINING HIGH INTENSITY CBT THERAPISTS</w:t>
      </w:r>
      <w:bookmarkEnd w:id="77"/>
      <w:bookmarkEnd w:id="78"/>
    </w:p>
    <w:p w14:paraId="0E590EA1" w14:textId="77777777" w:rsidR="00477630" w:rsidRDefault="00477630" w:rsidP="00477630"/>
    <w:p w14:paraId="3E1B6169" w14:textId="77777777" w:rsidR="009B055E" w:rsidRDefault="00477630" w:rsidP="00477630">
      <w:pPr>
        <w:spacing w:line="480" w:lineRule="auto"/>
        <w:rPr>
          <w:rFonts w:ascii="Arial" w:hAnsi="Arial" w:cs="Arial"/>
          <w:sz w:val="22"/>
          <w:szCs w:val="22"/>
        </w:rPr>
      </w:pPr>
      <w:r w:rsidRPr="00C36A16">
        <w:rPr>
          <w:rFonts w:ascii="Arial" w:hAnsi="Arial" w:cs="Arial"/>
          <w:sz w:val="22"/>
          <w:szCs w:val="22"/>
        </w:rPr>
        <w:t xml:space="preserve">Training provision for High Intensity cognitive behavioural therapists is provided on </w:t>
      </w:r>
    </w:p>
    <w:p w14:paraId="0992DD61" w14:textId="7C96C4A6" w:rsidR="00477630" w:rsidRPr="000B265D" w:rsidRDefault="00477630" w:rsidP="00477630">
      <w:pPr>
        <w:spacing w:line="480" w:lineRule="auto"/>
        <w:rPr>
          <w:rFonts w:ascii="Arial" w:hAnsi="Arial" w:cs="Arial"/>
          <w:sz w:val="22"/>
          <w:szCs w:val="22"/>
        </w:rPr>
      </w:pPr>
      <w:r w:rsidRPr="00C36A16">
        <w:rPr>
          <w:rFonts w:ascii="Arial" w:hAnsi="Arial" w:cs="Arial"/>
          <w:sz w:val="22"/>
          <w:szCs w:val="22"/>
        </w:rPr>
        <w:lastRenderedPageBreak/>
        <w:t>postgraduate training programmes at several universities across England.  Each of the training programmes must be accredited by the British Association of Cognitive and Behavioural Therapy (BABCP).</w:t>
      </w:r>
      <w:r>
        <w:rPr>
          <w:rFonts w:ascii="Arial" w:hAnsi="Arial" w:cs="Arial"/>
          <w:sz w:val="22"/>
          <w:szCs w:val="22"/>
        </w:rPr>
        <w:t xml:space="preserve"> </w:t>
      </w:r>
      <w:r w:rsidRPr="000B265D">
        <w:rPr>
          <w:rFonts w:ascii="Arial" w:hAnsi="Arial" w:cs="Arial"/>
          <w:sz w:val="22"/>
          <w:szCs w:val="22"/>
        </w:rPr>
        <w:t>The BABCP stipulate that the minimum training standards to be considered for accreditation as CBT therapist are</w:t>
      </w:r>
      <w:r w:rsidR="00DF45B3">
        <w:rPr>
          <w:rFonts w:ascii="Arial" w:hAnsi="Arial" w:cs="Arial"/>
          <w:sz w:val="22"/>
          <w:szCs w:val="22"/>
        </w:rPr>
        <w:t>;</w:t>
      </w:r>
      <w:r w:rsidRPr="000B265D">
        <w:rPr>
          <w:rFonts w:ascii="Arial" w:hAnsi="Arial" w:cs="Arial"/>
          <w:sz w:val="22"/>
          <w:szCs w:val="22"/>
        </w:rPr>
        <w:t xml:space="preserve"> attendance at a post graduate CBT training programme that consists of a minimum of 750 taught hours combining theoretical learning with clinical practice and, twice weekly, clinical supervision. The curriculum content is fully outlined in two key documents:</w:t>
      </w:r>
    </w:p>
    <w:p w14:paraId="62439021" w14:textId="77777777" w:rsidR="00477630" w:rsidRPr="000B265D" w:rsidRDefault="00477630" w:rsidP="00477630">
      <w:pPr>
        <w:spacing w:line="480" w:lineRule="auto"/>
        <w:rPr>
          <w:rFonts w:ascii="Arial" w:hAnsi="Arial" w:cs="Arial"/>
          <w:sz w:val="22"/>
          <w:szCs w:val="22"/>
        </w:rPr>
      </w:pPr>
    </w:p>
    <w:p w14:paraId="54FD1D2D" w14:textId="77777777" w:rsidR="00477630" w:rsidRPr="000B265D" w:rsidRDefault="00477630" w:rsidP="00934842">
      <w:pPr>
        <w:pStyle w:val="ListParagraph"/>
        <w:numPr>
          <w:ilvl w:val="0"/>
          <w:numId w:val="9"/>
        </w:numPr>
        <w:spacing w:line="480" w:lineRule="auto"/>
        <w:rPr>
          <w:rFonts w:ascii="Arial" w:hAnsi="Arial" w:cs="Arial"/>
          <w:sz w:val="22"/>
          <w:szCs w:val="22"/>
        </w:rPr>
      </w:pPr>
      <w:r w:rsidRPr="000B265D">
        <w:rPr>
          <w:rFonts w:ascii="Arial" w:hAnsi="Arial" w:cs="Arial"/>
          <w:sz w:val="22"/>
          <w:szCs w:val="22"/>
        </w:rPr>
        <w:t xml:space="preserve">BABCP Core Curriculum Reference Document (Hool, 2010) </w:t>
      </w:r>
    </w:p>
    <w:p w14:paraId="0D55235D" w14:textId="77777777" w:rsidR="00477630" w:rsidRPr="000B265D" w:rsidRDefault="00477630" w:rsidP="00934842">
      <w:pPr>
        <w:pStyle w:val="ListParagraph"/>
        <w:numPr>
          <w:ilvl w:val="0"/>
          <w:numId w:val="9"/>
        </w:numPr>
        <w:spacing w:line="480" w:lineRule="auto"/>
        <w:rPr>
          <w:rFonts w:ascii="Arial" w:hAnsi="Arial" w:cs="Arial"/>
          <w:sz w:val="22"/>
          <w:szCs w:val="22"/>
        </w:rPr>
      </w:pPr>
      <w:r w:rsidRPr="000B265D">
        <w:rPr>
          <w:rFonts w:ascii="Arial" w:hAnsi="Arial" w:cs="Arial"/>
          <w:sz w:val="22"/>
          <w:szCs w:val="22"/>
        </w:rPr>
        <w:t>Improving Access to Psychological Therapies (IAPT) National Curriculum for High Intensity Cognitive Behavioural Therapy Courses (Department of Health, 2011).</w:t>
      </w:r>
    </w:p>
    <w:p w14:paraId="163A5C5D" w14:textId="77777777" w:rsidR="00477630" w:rsidRPr="000B265D" w:rsidRDefault="00477630" w:rsidP="00477630">
      <w:pPr>
        <w:pStyle w:val="ListParagraph"/>
        <w:spacing w:line="480" w:lineRule="auto"/>
        <w:rPr>
          <w:rFonts w:ascii="Arial" w:hAnsi="Arial" w:cs="Arial"/>
          <w:sz w:val="22"/>
          <w:szCs w:val="22"/>
        </w:rPr>
      </w:pPr>
    </w:p>
    <w:p w14:paraId="29EF945E" w14:textId="37F1F586" w:rsidR="00477630" w:rsidRPr="000B265D" w:rsidRDefault="00477630" w:rsidP="00477630">
      <w:pPr>
        <w:spacing w:line="480" w:lineRule="auto"/>
        <w:rPr>
          <w:rFonts w:ascii="Arial" w:hAnsi="Arial" w:cs="Arial"/>
          <w:sz w:val="22"/>
          <w:szCs w:val="22"/>
        </w:rPr>
      </w:pPr>
      <w:r w:rsidRPr="000B265D">
        <w:rPr>
          <w:rFonts w:ascii="Arial" w:hAnsi="Arial" w:cs="Arial"/>
          <w:sz w:val="22"/>
          <w:szCs w:val="22"/>
        </w:rPr>
        <w:t>These documents explicitly exemplify the curriculum content for all post graduate training programmes in the United Kingdom (UK)</w:t>
      </w:r>
      <w:r w:rsidR="00330A9A">
        <w:rPr>
          <w:rFonts w:ascii="Arial" w:hAnsi="Arial" w:cs="Arial"/>
          <w:sz w:val="22"/>
          <w:szCs w:val="22"/>
        </w:rPr>
        <w:t>.</w:t>
      </w:r>
      <w:r w:rsidRPr="000B265D">
        <w:rPr>
          <w:rFonts w:ascii="Arial" w:hAnsi="Arial" w:cs="Arial"/>
          <w:sz w:val="22"/>
          <w:szCs w:val="22"/>
        </w:rPr>
        <w:t xml:space="preserve"> </w:t>
      </w:r>
      <w:r>
        <w:rPr>
          <w:rFonts w:ascii="Arial" w:hAnsi="Arial" w:cs="Arial"/>
          <w:sz w:val="22"/>
          <w:szCs w:val="22"/>
        </w:rPr>
        <w:t>The curriculum mandates (</w:t>
      </w:r>
      <w:r w:rsidRPr="000B265D">
        <w:rPr>
          <w:rFonts w:ascii="Arial" w:hAnsi="Arial" w:cs="Arial"/>
          <w:sz w:val="22"/>
          <w:szCs w:val="22"/>
        </w:rPr>
        <w:t>Hool</w:t>
      </w:r>
      <w:r>
        <w:rPr>
          <w:rFonts w:ascii="Arial" w:hAnsi="Arial" w:cs="Arial"/>
          <w:sz w:val="22"/>
          <w:szCs w:val="22"/>
        </w:rPr>
        <w:t xml:space="preserve">, </w:t>
      </w:r>
      <w:r w:rsidRPr="000B265D">
        <w:rPr>
          <w:rFonts w:ascii="Arial" w:hAnsi="Arial" w:cs="Arial"/>
          <w:sz w:val="22"/>
          <w:szCs w:val="22"/>
        </w:rPr>
        <w:t>2010) that trainees are taught</w:t>
      </w:r>
      <w:r w:rsidR="00330A9A">
        <w:rPr>
          <w:rFonts w:ascii="Arial" w:hAnsi="Arial" w:cs="Arial"/>
          <w:sz w:val="22"/>
          <w:szCs w:val="22"/>
        </w:rPr>
        <w:t xml:space="preserve"> how to treat</w:t>
      </w:r>
      <w:r w:rsidRPr="000B265D">
        <w:rPr>
          <w:rFonts w:ascii="Arial" w:hAnsi="Arial" w:cs="Arial"/>
          <w:sz w:val="22"/>
          <w:szCs w:val="22"/>
        </w:rPr>
        <w:t xml:space="preserve"> </w:t>
      </w:r>
      <w:r w:rsidR="00330A9A">
        <w:rPr>
          <w:rFonts w:ascii="Arial" w:hAnsi="Arial" w:cs="Arial"/>
          <w:sz w:val="22"/>
          <w:szCs w:val="22"/>
        </w:rPr>
        <w:t>the following disorders using a range of disorder specific protocols</w:t>
      </w:r>
      <w:r>
        <w:rPr>
          <w:rFonts w:ascii="Arial" w:hAnsi="Arial" w:cs="Arial"/>
          <w:sz w:val="22"/>
          <w:szCs w:val="22"/>
        </w:rPr>
        <w:t>:</w:t>
      </w:r>
    </w:p>
    <w:p w14:paraId="671B98C9" w14:textId="77777777" w:rsidR="00477630" w:rsidRPr="000B265D" w:rsidRDefault="00477630" w:rsidP="00934842">
      <w:pPr>
        <w:pStyle w:val="ListParagraph"/>
        <w:numPr>
          <w:ilvl w:val="0"/>
          <w:numId w:val="11"/>
        </w:numPr>
        <w:spacing w:after="160" w:line="480" w:lineRule="auto"/>
        <w:rPr>
          <w:rFonts w:ascii="Arial" w:hAnsi="Arial" w:cs="Arial"/>
          <w:sz w:val="22"/>
          <w:szCs w:val="22"/>
        </w:rPr>
      </w:pPr>
      <w:r w:rsidRPr="000B265D">
        <w:rPr>
          <w:rFonts w:ascii="Arial" w:hAnsi="Arial" w:cs="Arial"/>
          <w:sz w:val="22"/>
          <w:szCs w:val="22"/>
        </w:rPr>
        <w:t>CBT for Specific Phobia</w:t>
      </w:r>
    </w:p>
    <w:p w14:paraId="28C15187" w14:textId="77777777" w:rsidR="00477630" w:rsidRPr="000B265D" w:rsidRDefault="00477630" w:rsidP="00934842">
      <w:pPr>
        <w:pStyle w:val="ListParagraph"/>
        <w:numPr>
          <w:ilvl w:val="0"/>
          <w:numId w:val="11"/>
        </w:numPr>
        <w:spacing w:after="160" w:line="480" w:lineRule="auto"/>
        <w:rPr>
          <w:rFonts w:ascii="Arial" w:hAnsi="Arial" w:cs="Arial"/>
          <w:sz w:val="22"/>
          <w:szCs w:val="22"/>
        </w:rPr>
      </w:pPr>
      <w:r w:rsidRPr="000B265D">
        <w:rPr>
          <w:rFonts w:ascii="Arial" w:hAnsi="Arial" w:cs="Arial"/>
          <w:sz w:val="22"/>
          <w:szCs w:val="22"/>
        </w:rPr>
        <w:t>CBT for Panic Disorder</w:t>
      </w:r>
    </w:p>
    <w:p w14:paraId="1B618136" w14:textId="4C1285D7" w:rsidR="00477630" w:rsidRPr="000B265D" w:rsidRDefault="00477630" w:rsidP="00934842">
      <w:pPr>
        <w:pStyle w:val="ListParagraph"/>
        <w:numPr>
          <w:ilvl w:val="0"/>
          <w:numId w:val="11"/>
        </w:numPr>
        <w:spacing w:after="160" w:line="480" w:lineRule="auto"/>
        <w:rPr>
          <w:rFonts w:ascii="Arial" w:hAnsi="Arial" w:cs="Arial"/>
          <w:sz w:val="22"/>
          <w:szCs w:val="22"/>
        </w:rPr>
      </w:pPr>
      <w:r w:rsidRPr="000B265D">
        <w:rPr>
          <w:rFonts w:ascii="Arial" w:hAnsi="Arial" w:cs="Arial"/>
          <w:sz w:val="22"/>
          <w:szCs w:val="22"/>
        </w:rPr>
        <w:t xml:space="preserve">CBT for Social </w:t>
      </w:r>
      <w:r w:rsidR="009B055E">
        <w:rPr>
          <w:rFonts w:ascii="Arial" w:hAnsi="Arial" w:cs="Arial"/>
          <w:sz w:val="22"/>
          <w:szCs w:val="22"/>
        </w:rPr>
        <w:t>Anxiety Disorder</w:t>
      </w:r>
    </w:p>
    <w:p w14:paraId="06A6ADF1" w14:textId="77777777" w:rsidR="00477630" w:rsidRPr="000B265D" w:rsidRDefault="00477630" w:rsidP="00934842">
      <w:pPr>
        <w:pStyle w:val="ListParagraph"/>
        <w:numPr>
          <w:ilvl w:val="0"/>
          <w:numId w:val="11"/>
        </w:numPr>
        <w:spacing w:after="160" w:line="480" w:lineRule="auto"/>
        <w:rPr>
          <w:rFonts w:ascii="Arial" w:hAnsi="Arial" w:cs="Arial"/>
          <w:sz w:val="22"/>
          <w:szCs w:val="22"/>
        </w:rPr>
      </w:pPr>
      <w:r w:rsidRPr="000B265D">
        <w:rPr>
          <w:rFonts w:ascii="Arial" w:hAnsi="Arial" w:cs="Arial"/>
          <w:sz w:val="22"/>
          <w:szCs w:val="22"/>
        </w:rPr>
        <w:t>CBT for Obsessive Compulsive Disorder</w:t>
      </w:r>
    </w:p>
    <w:p w14:paraId="436BA84E" w14:textId="77777777" w:rsidR="00477630" w:rsidRPr="000B265D" w:rsidRDefault="00477630" w:rsidP="00934842">
      <w:pPr>
        <w:pStyle w:val="ListParagraph"/>
        <w:numPr>
          <w:ilvl w:val="0"/>
          <w:numId w:val="11"/>
        </w:numPr>
        <w:spacing w:after="160" w:line="480" w:lineRule="auto"/>
        <w:rPr>
          <w:rFonts w:ascii="Arial" w:hAnsi="Arial" w:cs="Arial"/>
          <w:sz w:val="22"/>
          <w:szCs w:val="22"/>
        </w:rPr>
      </w:pPr>
      <w:r w:rsidRPr="000B265D">
        <w:rPr>
          <w:rFonts w:ascii="Arial" w:hAnsi="Arial" w:cs="Arial"/>
          <w:sz w:val="22"/>
          <w:szCs w:val="22"/>
        </w:rPr>
        <w:t>CBT for Post-Traumatic Stress Disorder</w:t>
      </w:r>
    </w:p>
    <w:p w14:paraId="14248331" w14:textId="77777777" w:rsidR="00477630" w:rsidRPr="000B265D" w:rsidRDefault="00477630" w:rsidP="00934842">
      <w:pPr>
        <w:pStyle w:val="ListParagraph"/>
        <w:numPr>
          <w:ilvl w:val="0"/>
          <w:numId w:val="11"/>
        </w:numPr>
        <w:spacing w:after="160" w:line="480" w:lineRule="auto"/>
        <w:rPr>
          <w:rFonts w:ascii="Arial" w:hAnsi="Arial" w:cs="Arial"/>
          <w:sz w:val="22"/>
          <w:szCs w:val="22"/>
        </w:rPr>
      </w:pPr>
      <w:r w:rsidRPr="000B265D">
        <w:rPr>
          <w:rFonts w:ascii="Arial" w:hAnsi="Arial" w:cs="Arial"/>
          <w:sz w:val="22"/>
          <w:szCs w:val="22"/>
        </w:rPr>
        <w:t>CBT for Generalised Anxiety Disorder</w:t>
      </w:r>
    </w:p>
    <w:p w14:paraId="57C9B3E2" w14:textId="77777777" w:rsidR="00477630" w:rsidRPr="000B265D" w:rsidRDefault="00477630" w:rsidP="00934842">
      <w:pPr>
        <w:pStyle w:val="ListParagraph"/>
        <w:numPr>
          <w:ilvl w:val="0"/>
          <w:numId w:val="11"/>
        </w:numPr>
        <w:spacing w:after="160" w:line="480" w:lineRule="auto"/>
        <w:rPr>
          <w:rFonts w:ascii="Arial" w:hAnsi="Arial" w:cs="Arial"/>
          <w:sz w:val="22"/>
          <w:szCs w:val="22"/>
        </w:rPr>
      </w:pPr>
      <w:r w:rsidRPr="000B265D">
        <w:rPr>
          <w:rFonts w:ascii="Arial" w:hAnsi="Arial" w:cs="Arial"/>
          <w:sz w:val="22"/>
          <w:szCs w:val="22"/>
        </w:rPr>
        <w:t xml:space="preserve">CBT for Health Anxiety </w:t>
      </w:r>
    </w:p>
    <w:p w14:paraId="7006D112" w14:textId="77777777" w:rsidR="00477630" w:rsidRPr="000B265D" w:rsidRDefault="00477630" w:rsidP="00934842">
      <w:pPr>
        <w:pStyle w:val="ListParagraph"/>
        <w:numPr>
          <w:ilvl w:val="0"/>
          <w:numId w:val="11"/>
        </w:numPr>
        <w:spacing w:after="160" w:line="480" w:lineRule="auto"/>
        <w:rPr>
          <w:rFonts w:ascii="Arial" w:hAnsi="Arial" w:cs="Arial"/>
          <w:sz w:val="22"/>
          <w:szCs w:val="22"/>
        </w:rPr>
      </w:pPr>
      <w:r w:rsidRPr="000B265D">
        <w:rPr>
          <w:rFonts w:ascii="Arial" w:hAnsi="Arial" w:cs="Arial"/>
          <w:sz w:val="22"/>
          <w:szCs w:val="22"/>
        </w:rPr>
        <w:t>CBT for Depression</w:t>
      </w:r>
    </w:p>
    <w:p w14:paraId="508F95ED" w14:textId="77777777" w:rsidR="00477630" w:rsidRPr="000B265D" w:rsidRDefault="00477630" w:rsidP="00934842">
      <w:pPr>
        <w:pStyle w:val="ListParagraph"/>
        <w:numPr>
          <w:ilvl w:val="0"/>
          <w:numId w:val="11"/>
        </w:numPr>
        <w:spacing w:after="160" w:line="480" w:lineRule="auto"/>
        <w:rPr>
          <w:rFonts w:ascii="Arial" w:hAnsi="Arial" w:cs="Arial"/>
          <w:sz w:val="22"/>
          <w:szCs w:val="22"/>
        </w:rPr>
      </w:pPr>
      <w:r w:rsidRPr="000B265D">
        <w:rPr>
          <w:rFonts w:ascii="Arial" w:hAnsi="Arial" w:cs="Arial"/>
          <w:sz w:val="22"/>
          <w:szCs w:val="22"/>
        </w:rPr>
        <w:t>Cognitive Therapy for Depression</w:t>
      </w:r>
    </w:p>
    <w:p w14:paraId="2F777EA3" w14:textId="77777777" w:rsidR="00477630" w:rsidRDefault="00477630" w:rsidP="00934842">
      <w:pPr>
        <w:pStyle w:val="ListParagraph"/>
        <w:numPr>
          <w:ilvl w:val="0"/>
          <w:numId w:val="11"/>
        </w:numPr>
        <w:spacing w:after="160" w:line="480" w:lineRule="auto"/>
        <w:rPr>
          <w:rFonts w:ascii="Arial" w:hAnsi="Arial" w:cs="Arial"/>
          <w:sz w:val="22"/>
          <w:szCs w:val="22"/>
        </w:rPr>
      </w:pPr>
      <w:r w:rsidRPr="000B265D">
        <w:rPr>
          <w:rFonts w:ascii="Arial" w:hAnsi="Arial" w:cs="Arial"/>
          <w:sz w:val="22"/>
          <w:szCs w:val="22"/>
        </w:rPr>
        <w:t>Behavioural Activation for Depression</w:t>
      </w:r>
    </w:p>
    <w:p w14:paraId="16420F61" w14:textId="467C40D5" w:rsidR="00477630" w:rsidRPr="000B265D" w:rsidRDefault="00477630" w:rsidP="00477630">
      <w:pPr>
        <w:spacing w:after="160" w:line="480" w:lineRule="auto"/>
        <w:rPr>
          <w:rFonts w:ascii="Arial" w:hAnsi="Arial" w:cs="Arial"/>
          <w:sz w:val="22"/>
          <w:szCs w:val="22"/>
        </w:rPr>
      </w:pPr>
      <w:r>
        <w:rPr>
          <w:rFonts w:ascii="Arial" w:hAnsi="Arial" w:cs="Arial"/>
          <w:sz w:val="22"/>
          <w:szCs w:val="22"/>
        </w:rPr>
        <w:lastRenderedPageBreak/>
        <w:t>Specific guidance is given in relation to which protocols are taught for each specific disorder (Clark, 2018). For example, for the treatment of depression the curricul</w:t>
      </w:r>
      <w:r w:rsidR="001F5AAB">
        <w:rPr>
          <w:rFonts w:ascii="Arial" w:hAnsi="Arial" w:cs="Arial"/>
          <w:sz w:val="22"/>
          <w:szCs w:val="22"/>
        </w:rPr>
        <w:t>um</w:t>
      </w:r>
      <w:r>
        <w:rPr>
          <w:rFonts w:ascii="Arial" w:hAnsi="Arial" w:cs="Arial"/>
          <w:sz w:val="22"/>
          <w:szCs w:val="22"/>
        </w:rPr>
        <w:t xml:space="preserve"> mandate</w:t>
      </w:r>
      <w:r w:rsidR="001F5AAB">
        <w:rPr>
          <w:rFonts w:ascii="Arial" w:hAnsi="Arial" w:cs="Arial"/>
          <w:sz w:val="22"/>
          <w:szCs w:val="22"/>
        </w:rPr>
        <w:t>s</w:t>
      </w:r>
      <w:r>
        <w:rPr>
          <w:rFonts w:ascii="Arial" w:hAnsi="Arial" w:cs="Arial"/>
          <w:sz w:val="22"/>
          <w:szCs w:val="22"/>
        </w:rPr>
        <w:t xml:space="preserve"> that trainees are taught how to deliver Beck’s (1979) Cognitive Therapy and also Martel, Addis and Jacobsen (2001) Behavioural Activation protocol.  The selection of specific protocols is based on NICE guidance and Roth and Pilling’s (2008) framework</w:t>
      </w:r>
      <w:r w:rsidR="002137D7">
        <w:rPr>
          <w:rFonts w:ascii="Arial" w:hAnsi="Arial" w:cs="Arial"/>
          <w:sz w:val="22"/>
          <w:szCs w:val="22"/>
        </w:rPr>
        <w:t>,</w:t>
      </w:r>
      <w:r>
        <w:rPr>
          <w:rFonts w:ascii="Arial" w:hAnsi="Arial" w:cs="Arial"/>
          <w:sz w:val="22"/>
          <w:szCs w:val="22"/>
        </w:rPr>
        <w:t xml:space="preserve"> which outlines the clinical competencies for each of the recommended protocols (the Roth and Pilling framework wi</w:t>
      </w:r>
      <w:r w:rsidR="001A0CE0">
        <w:rPr>
          <w:rFonts w:ascii="Arial" w:hAnsi="Arial" w:cs="Arial"/>
          <w:sz w:val="22"/>
          <w:szCs w:val="22"/>
        </w:rPr>
        <w:t>ll</w:t>
      </w:r>
      <w:r>
        <w:rPr>
          <w:rFonts w:ascii="Arial" w:hAnsi="Arial" w:cs="Arial"/>
          <w:sz w:val="22"/>
          <w:szCs w:val="22"/>
        </w:rPr>
        <w:t xml:space="preserve"> be discussed in section 2.5 of this chapter). At </w:t>
      </w:r>
      <w:r w:rsidRPr="000B265D">
        <w:rPr>
          <w:rFonts w:ascii="Arial" w:hAnsi="Arial" w:cs="Arial"/>
          <w:sz w:val="22"/>
          <w:szCs w:val="22"/>
        </w:rPr>
        <w:t xml:space="preserve">the end of clinical training candidates must demonstrate a series of clinical competencies including the ability to: </w:t>
      </w:r>
    </w:p>
    <w:p w14:paraId="7F54BFBF" w14:textId="77777777" w:rsidR="00477630" w:rsidRPr="000B265D" w:rsidRDefault="00477630" w:rsidP="00934842">
      <w:pPr>
        <w:pStyle w:val="ListParagraph"/>
        <w:numPr>
          <w:ilvl w:val="0"/>
          <w:numId w:val="10"/>
        </w:numPr>
        <w:spacing w:after="160" w:line="480" w:lineRule="auto"/>
        <w:rPr>
          <w:rFonts w:ascii="Arial" w:hAnsi="Arial" w:cs="Arial"/>
          <w:i/>
          <w:sz w:val="22"/>
          <w:szCs w:val="22"/>
        </w:rPr>
      </w:pPr>
      <w:r>
        <w:rPr>
          <w:rFonts w:ascii="Arial" w:hAnsi="Arial" w:cs="Arial"/>
          <w:i/>
          <w:sz w:val="22"/>
          <w:szCs w:val="22"/>
        </w:rPr>
        <w:t>“</w:t>
      </w:r>
      <w:r w:rsidRPr="000B265D">
        <w:rPr>
          <w:rFonts w:ascii="Arial" w:hAnsi="Arial" w:cs="Arial"/>
          <w:i/>
          <w:sz w:val="22"/>
          <w:szCs w:val="22"/>
        </w:rPr>
        <w:t>construct maintenance and developmental CBT conceptualisations for depression and anxiety disorders</w:t>
      </w:r>
    </w:p>
    <w:p w14:paraId="714CF579" w14:textId="77777777" w:rsidR="00477630" w:rsidRPr="000B265D" w:rsidRDefault="00477630" w:rsidP="00934842">
      <w:pPr>
        <w:pStyle w:val="ListParagraph"/>
        <w:numPr>
          <w:ilvl w:val="0"/>
          <w:numId w:val="10"/>
        </w:numPr>
        <w:spacing w:after="160" w:line="480" w:lineRule="auto"/>
        <w:rPr>
          <w:rFonts w:ascii="Arial" w:hAnsi="Arial" w:cs="Arial"/>
          <w:i/>
          <w:sz w:val="22"/>
          <w:szCs w:val="22"/>
        </w:rPr>
      </w:pPr>
      <w:r w:rsidRPr="000B265D">
        <w:rPr>
          <w:rFonts w:ascii="Arial" w:hAnsi="Arial" w:cs="Arial"/>
          <w:i/>
          <w:sz w:val="22"/>
          <w:szCs w:val="22"/>
        </w:rPr>
        <w:t>develop CBT specific treatment plans</w:t>
      </w:r>
    </w:p>
    <w:p w14:paraId="30722329" w14:textId="77777777" w:rsidR="00477630" w:rsidRPr="000B265D" w:rsidRDefault="00477630" w:rsidP="00934842">
      <w:pPr>
        <w:pStyle w:val="ListParagraph"/>
        <w:numPr>
          <w:ilvl w:val="0"/>
          <w:numId w:val="10"/>
        </w:numPr>
        <w:spacing w:after="160" w:line="480" w:lineRule="auto"/>
        <w:rPr>
          <w:rFonts w:ascii="Arial" w:hAnsi="Arial" w:cs="Arial"/>
          <w:i/>
          <w:sz w:val="22"/>
          <w:szCs w:val="22"/>
        </w:rPr>
      </w:pPr>
      <w:r w:rsidRPr="000B265D">
        <w:rPr>
          <w:rFonts w:ascii="Arial" w:hAnsi="Arial" w:cs="Arial"/>
          <w:i/>
          <w:sz w:val="22"/>
          <w:szCs w:val="22"/>
        </w:rPr>
        <w:t>practice CBT with depression and anxiety orders systematically, creatively and with good clinical outcome</w:t>
      </w:r>
    </w:p>
    <w:p w14:paraId="25BBADA5" w14:textId="77777777" w:rsidR="00477630" w:rsidRPr="000B265D" w:rsidRDefault="00477630" w:rsidP="00934842">
      <w:pPr>
        <w:pStyle w:val="ListParagraph"/>
        <w:numPr>
          <w:ilvl w:val="0"/>
          <w:numId w:val="10"/>
        </w:numPr>
        <w:spacing w:after="160" w:line="480" w:lineRule="auto"/>
        <w:rPr>
          <w:rFonts w:ascii="Arial" w:hAnsi="Arial" w:cs="Arial"/>
          <w:i/>
          <w:sz w:val="22"/>
          <w:szCs w:val="22"/>
        </w:rPr>
      </w:pPr>
      <w:r w:rsidRPr="000B265D">
        <w:rPr>
          <w:rFonts w:ascii="Arial" w:hAnsi="Arial" w:cs="Arial"/>
          <w:i/>
          <w:sz w:val="22"/>
          <w:szCs w:val="22"/>
        </w:rPr>
        <w:t>deal with complex issues arising in CBT practice</w:t>
      </w:r>
    </w:p>
    <w:p w14:paraId="2C014CF0" w14:textId="77777777" w:rsidR="00477630" w:rsidRPr="000B265D" w:rsidRDefault="00477630" w:rsidP="00934842">
      <w:pPr>
        <w:pStyle w:val="ListParagraph"/>
        <w:numPr>
          <w:ilvl w:val="0"/>
          <w:numId w:val="10"/>
        </w:numPr>
        <w:spacing w:after="160" w:line="480" w:lineRule="auto"/>
        <w:rPr>
          <w:rFonts w:ascii="Arial" w:hAnsi="Arial" w:cs="Arial"/>
          <w:i/>
          <w:sz w:val="22"/>
          <w:szCs w:val="22"/>
        </w:rPr>
      </w:pPr>
      <w:r w:rsidRPr="000B265D">
        <w:rPr>
          <w:rFonts w:ascii="Arial" w:hAnsi="Arial" w:cs="Arial"/>
          <w:i/>
          <w:sz w:val="22"/>
          <w:szCs w:val="22"/>
        </w:rPr>
        <w:t>take personal responsibility for clinical decision making in straightforward and more complex situation</w:t>
      </w:r>
    </w:p>
    <w:p w14:paraId="48F15D4B" w14:textId="77777777" w:rsidR="00477630" w:rsidRPr="000B265D" w:rsidRDefault="00477630" w:rsidP="00934842">
      <w:pPr>
        <w:pStyle w:val="ListParagraph"/>
        <w:numPr>
          <w:ilvl w:val="0"/>
          <w:numId w:val="10"/>
        </w:numPr>
        <w:spacing w:after="160" w:line="480" w:lineRule="auto"/>
        <w:rPr>
          <w:rFonts w:ascii="Arial" w:hAnsi="Arial" w:cs="Arial"/>
          <w:i/>
          <w:sz w:val="22"/>
          <w:szCs w:val="22"/>
        </w:rPr>
      </w:pPr>
      <w:r w:rsidRPr="000B265D">
        <w:rPr>
          <w:rFonts w:ascii="Arial" w:hAnsi="Arial" w:cs="Arial"/>
          <w:i/>
          <w:sz w:val="22"/>
          <w:szCs w:val="22"/>
        </w:rPr>
        <w:t>demonstrate self-direction and originality in tacking and solving therapeutic problems</w:t>
      </w:r>
    </w:p>
    <w:p w14:paraId="6E94D25F" w14:textId="77777777" w:rsidR="00477630" w:rsidRPr="000B265D" w:rsidRDefault="00477630" w:rsidP="00934842">
      <w:pPr>
        <w:pStyle w:val="ListParagraph"/>
        <w:numPr>
          <w:ilvl w:val="0"/>
          <w:numId w:val="10"/>
        </w:numPr>
        <w:spacing w:after="160" w:line="480" w:lineRule="auto"/>
        <w:rPr>
          <w:rFonts w:ascii="Arial" w:hAnsi="Arial" w:cs="Arial"/>
          <w:i/>
          <w:sz w:val="22"/>
          <w:szCs w:val="22"/>
        </w:rPr>
      </w:pPr>
      <w:r w:rsidRPr="000B265D">
        <w:rPr>
          <w:rFonts w:ascii="Arial" w:hAnsi="Arial" w:cs="Arial"/>
          <w:i/>
          <w:sz w:val="22"/>
          <w:szCs w:val="22"/>
        </w:rPr>
        <w:t>practise as “scientist practitioners” advancing their knowledge and understanding and develop new skills to a high level</w:t>
      </w:r>
    </w:p>
    <w:p w14:paraId="5E577554" w14:textId="77777777" w:rsidR="00477630" w:rsidRPr="000B265D" w:rsidRDefault="00477630" w:rsidP="00934842">
      <w:pPr>
        <w:pStyle w:val="ListParagraph"/>
        <w:numPr>
          <w:ilvl w:val="0"/>
          <w:numId w:val="10"/>
        </w:numPr>
        <w:spacing w:after="160" w:line="480" w:lineRule="auto"/>
        <w:rPr>
          <w:rFonts w:ascii="Arial" w:hAnsi="Arial" w:cs="Arial"/>
          <w:i/>
          <w:sz w:val="22"/>
          <w:szCs w:val="22"/>
        </w:rPr>
      </w:pPr>
      <w:r w:rsidRPr="000B265D">
        <w:rPr>
          <w:rFonts w:ascii="Arial" w:hAnsi="Arial" w:cs="Arial"/>
          <w:i/>
          <w:sz w:val="22"/>
          <w:szCs w:val="22"/>
        </w:rPr>
        <w:t>demonstrate a systematic knowledge of the principles of CBT and the evidence base for the application of CBT techniques</w:t>
      </w:r>
    </w:p>
    <w:p w14:paraId="5C3D0A3B" w14:textId="77777777" w:rsidR="00477630" w:rsidRPr="000B265D" w:rsidRDefault="00477630" w:rsidP="00934842">
      <w:pPr>
        <w:pStyle w:val="ListParagraph"/>
        <w:numPr>
          <w:ilvl w:val="0"/>
          <w:numId w:val="10"/>
        </w:numPr>
        <w:spacing w:after="160" w:line="480" w:lineRule="auto"/>
        <w:rPr>
          <w:rFonts w:ascii="Arial" w:hAnsi="Arial" w:cs="Arial"/>
          <w:i/>
          <w:sz w:val="22"/>
          <w:szCs w:val="22"/>
        </w:rPr>
      </w:pPr>
      <w:r w:rsidRPr="000B265D">
        <w:rPr>
          <w:rFonts w:ascii="Arial" w:hAnsi="Arial" w:cs="Arial"/>
          <w:i/>
          <w:sz w:val="22"/>
          <w:szCs w:val="22"/>
        </w:rPr>
        <w:t>demonstrate a systematic knowledge of CBT for depression and anxiety disorders</w:t>
      </w:r>
    </w:p>
    <w:p w14:paraId="2CBE56CC" w14:textId="77777777" w:rsidR="00477630" w:rsidRPr="000B265D" w:rsidRDefault="00477630" w:rsidP="00934842">
      <w:pPr>
        <w:pStyle w:val="ListParagraph"/>
        <w:numPr>
          <w:ilvl w:val="0"/>
          <w:numId w:val="10"/>
        </w:numPr>
        <w:spacing w:after="160" w:line="480" w:lineRule="auto"/>
        <w:rPr>
          <w:rFonts w:ascii="Arial" w:hAnsi="Arial" w:cs="Arial"/>
          <w:i/>
          <w:sz w:val="22"/>
          <w:szCs w:val="22"/>
        </w:rPr>
      </w:pPr>
      <w:r w:rsidRPr="000B265D">
        <w:rPr>
          <w:rFonts w:ascii="Arial" w:hAnsi="Arial" w:cs="Arial"/>
          <w:i/>
          <w:sz w:val="22"/>
          <w:szCs w:val="22"/>
        </w:rPr>
        <w:t>a critical understanding of the theoretical and research evidence for cognitive behaviour models and an ability to evaluate the evidence</w:t>
      </w:r>
    </w:p>
    <w:p w14:paraId="1D149007" w14:textId="77777777" w:rsidR="00477630" w:rsidRPr="000B265D" w:rsidRDefault="00477630" w:rsidP="00934842">
      <w:pPr>
        <w:pStyle w:val="ListParagraph"/>
        <w:numPr>
          <w:ilvl w:val="0"/>
          <w:numId w:val="10"/>
        </w:numPr>
        <w:spacing w:after="160" w:line="480" w:lineRule="auto"/>
        <w:rPr>
          <w:rFonts w:ascii="Arial" w:hAnsi="Arial" w:cs="Arial"/>
          <w:i/>
          <w:sz w:val="22"/>
          <w:szCs w:val="22"/>
        </w:rPr>
      </w:pPr>
      <w:r w:rsidRPr="000B265D">
        <w:rPr>
          <w:rFonts w:ascii="Arial" w:hAnsi="Arial" w:cs="Arial"/>
          <w:i/>
          <w:sz w:val="22"/>
          <w:szCs w:val="22"/>
        </w:rPr>
        <w:t>demonstrate an ability to sensitively adapt CBT, and ensure equitable access taking into account cultural and social differences and values</w:t>
      </w:r>
      <w:r>
        <w:rPr>
          <w:rFonts w:ascii="Arial" w:hAnsi="Arial" w:cs="Arial"/>
          <w:i/>
          <w:sz w:val="22"/>
          <w:szCs w:val="22"/>
        </w:rPr>
        <w:t>”</w:t>
      </w:r>
    </w:p>
    <w:p w14:paraId="6384A5B5" w14:textId="77777777" w:rsidR="00EC5A4F" w:rsidRDefault="00EC5A4F">
      <w:pPr>
        <w:rPr>
          <w:rFonts w:ascii="Arial" w:hAnsi="Arial" w:cs="Arial"/>
          <w:iCs/>
          <w:sz w:val="22"/>
          <w:szCs w:val="22"/>
        </w:rPr>
      </w:pPr>
      <w:r>
        <w:rPr>
          <w:rFonts w:ascii="Arial" w:hAnsi="Arial" w:cs="Arial"/>
          <w:iCs/>
          <w:sz w:val="22"/>
          <w:szCs w:val="22"/>
        </w:rPr>
        <w:br w:type="page"/>
      </w:r>
    </w:p>
    <w:p w14:paraId="38E60DB2" w14:textId="193D6627" w:rsidR="00477630" w:rsidRPr="007C3022" w:rsidRDefault="00477630" w:rsidP="00477630">
      <w:pPr>
        <w:spacing w:line="480" w:lineRule="auto"/>
        <w:rPr>
          <w:rFonts w:ascii="Arial" w:hAnsi="Arial" w:cs="Arial"/>
          <w:iCs/>
          <w:sz w:val="22"/>
          <w:szCs w:val="22"/>
        </w:rPr>
      </w:pPr>
      <w:r w:rsidRPr="007C3022">
        <w:rPr>
          <w:rFonts w:ascii="Arial" w:hAnsi="Arial" w:cs="Arial"/>
          <w:iCs/>
          <w:sz w:val="22"/>
          <w:szCs w:val="22"/>
        </w:rPr>
        <w:lastRenderedPageBreak/>
        <w:t>Department of Health (2011 p.2-3)</w:t>
      </w:r>
    </w:p>
    <w:p w14:paraId="6CA8457F" w14:textId="77777777" w:rsidR="00477630" w:rsidRDefault="00477630" w:rsidP="00477630">
      <w:pPr>
        <w:spacing w:after="160" w:line="480" w:lineRule="auto"/>
        <w:rPr>
          <w:rStyle w:val="Hyperlink"/>
          <w:rFonts w:ascii="Arial" w:hAnsi="Arial" w:cs="Arial"/>
          <w:sz w:val="22"/>
          <w:szCs w:val="22"/>
        </w:rPr>
      </w:pPr>
      <w:r w:rsidRPr="000B265D">
        <w:rPr>
          <w:rFonts w:ascii="Arial" w:hAnsi="Arial" w:cs="Arial"/>
          <w:sz w:val="22"/>
          <w:szCs w:val="22"/>
        </w:rPr>
        <w:t xml:space="preserve">Full details of the </w:t>
      </w:r>
      <w:r>
        <w:rPr>
          <w:rFonts w:ascii="Arial" w:hAnsi="Arial" w:cs="Arial"/>
          <w:sz w:val="22"/>
          <w:szCs w:val="22"/>
        </w:rPr>
        <w:t xml:space="preserve">IAPT </w:t>
      </w:r>
      <w:r w:rsidRPr="000B265D">
        <w:rPr>
          <w:rFonts w:ascii="Arial" w:hAnsi="Arial" w:cs="Arial"/>
          <w:sz w:val="22"/>
          <w:szCs w:val="22"/>
        </w:rPr>
        <w:t xml:space="preserve">curriculum can be found at: </w:t>
      </w:r>
      <w:hyperlink r:id="rId19" w:history="1">
        <w:r w:rsidRPr="000B265D">
          <w:rPr>
            <w:rStyle w:val="Hyperlink"/>
            <w:rFonts w:ascii="Arial" w:hAnsi="Arial" w:cs="Arial"/>
            <w:sz w:val="22"/>
            <w:szCs w:val="22"/>
          </w:rPr>
          <w:t>http://www.iapt.nhs.uk/silo/files/national-curriculum-for-high-intensity-cognitive-behavioural-therapy-courses.pdf</w:t>
        </w:r>
      </w:hyperlink>
    </w:p>
    <w:p w14:paraId="3910BD90" w14:textId="77777777" w:rsidR="00477630" w:rsidRDefault="00477630" w:rsidP="00477630">
      <w:pPr>
        <w:rPr>
          <w:rStyle w:val="Hyperlink"/>
          <w:rFonts w:ascii="Arial" w:hAnsi="Arial" w:cs="Arial"/>
          <w:color w:val="000000" w:themeColor="text1"/>
          <w:sz w:val="22"/>
          <w:szCs w:val="22"/>
        </w:rPr>
      </w:pPr>
    </w:p>
    <w:p w14:paraId="52451115" w14:textId="77777777" w:rsidR="00477630" w:rsidRPr="007C3022" w:rsidRDefault="00477630" w:rsidP="00477630">
      <w:pPr>
        <w:pStyle w:val="Heading2"/>
        <w:rPr>
          <w:rStyle w:val="Hyperlink"/>
          <w:rFonts w:ascii="Arial" w:hAnsi="Arial" w:cs="Arial"/>
          <w:color w:val="000000" w:themeColor="text1"/>
          <w:sz w:val="22"/>
          <w:szCs w:val="22"/>
        </w:rPr>
      </w:pPr>
      <w:bookmarkStart w:id="79" w:name="_Toc46770726"/>
      <w:bookmarkStart w:id="80" w:name="_Toc79414137"/>
      <w:r w:rsidRPr="00F50DFE">
        <w:rPr>
          <w:rStyle w:val="Hyperlink"/>
          <w:rFonts w:ascii="Arial" w:hAnsi="Arial" w:cs="Arial"/>
          <w:color w:val="000000" w:themeColor="text1"/>
          <w:sz w:val="22"/>
          <w:szCs w:val="22"/>
          <w:u w:val="none"/>
        </w:rPr>
        <w:t>2</w:t>
      </w:r>
      <w:r w:rsidRPr="007C3022">
        <w:rPr>
          <w:rFonts w:ascii="Arial" w:hAnsi="Arial" w:cs="Arial"/>
          <w:color w:val="000000" w:themeColor="text1"/>
          <w:sz w:val="22"/>
          <w:szCs w:val="22"/>
        </w:rPr>
        <w:t>.5 SUMMATIVE ASSESSMENT OF IAPT TRAINEES</w:t>
      </w:r>
      <w:bookmarkEnd w:id="79"/>
      <w:bookmarkEnd w:id="80"/>
    </w:p>
    <w:p w14:paraId="3EAD2F51" w14:textId="77777777" w:rsidR="00477630" w:rsidRDefault="00477630" w:rsidP="00477630">
      <w:pPr>
        <w:rPr>
          <w:rStyle w:val="Hyperlink"/>
          <w:rFonts w:ascii="Arial" w:hAnsi="Arial" w:cs="Arial"/>
          <w:color w:val="000000" w:themeColor="text1"/>
          <w:sz w:val="22"/>
          <w:szCs w:val="22"/>
        </w:rPr>
      </w:pPr>
    </w:p>
    <w:p w14:paraId="39FFDF3C" w14:textId="72314957" w:rsidR="00DE49AF" w:rsidRPr="00F50DFE" w:rsidRDefault="00330A9A" w:rsidP="00477630">
      <w:pPr>
        <w:spacing w:line="480" w:lineRule="auto"/>
        <w:rPr>
          <w:rStyle w:val="Hyperlink"/>
          <w:rFonts w:ascii="Arial" w:hAnsi="Arial" w:cs="Arial"/>
          <w:color w:val="000000" w:themeColor="text1"/>
          <w:sz w:val="22"/>
          <w:szCs w:val="22"/>
          <w:u w:val="none"/>
        </w:rPr>
      </w:pPr>
      <w:r>
        <w:rPr>
          <w:rStyle w:val="Hyperlink"/>
          <w:rFonts w:ascii="Arial" w:hAnsi="Arial" w:cs="Arial"/>
          <w:color w:val="000000" w:themeColor="text1"/>
          <w:sz w:val="22"/>
          <w:szCs w:val="22"/>
          <w:u w:val="none"/>
        </w:rPr>
        <w:t xml:space="preserve">IAPT trainees are summatively assessed throughout their training (NHS England, 2017). </w:t>
      </w:r>
      <w:r w:rsidR="00477630" w:rsidRPr="00F50DFE">
        <w:rPr>
          <w:rStyle w:val="Hyperlink"/>
          <w:rFonts w:ascii="Arial" w:hAnsi="Arial" w:cs="Arial"/>
          <w:color w:val="000000" w:themeColor="text1"/>
          <w:sz w:val="22"/>
          <w:szCs w:val="22"/>
          <w:u w:val="none"/>
        </w:rPr>
        <w:t>Summative assessment is defined as a test or exam</w:t>
      </w:r>
      <w:r w:rsidR="009B055E">
        <w:rPr>
          <w:rStyle w:val="Hyperlink"/>
          <w:rFonts w:ascii="Arial" w:hAnsi="Arial" w:cs="Arial"/>
          <w:color w:val="000000" w:themeColor="text1"/>
          <w:sz w:val="22"/>
          <w:szCs w:val="22"/>
          <w:u w:val="none"/>
        </w:rPr>
        <w:t>ination</w:t>
      </w:r>
      <w:r w:rsidR="00477630" w:rsidRPr="00F50DFE">
        <w:rPr>
          <w:rStyle w:val="Hyperlink"/>
          <w:rFonts w:ascii="Arial" w:hAnsi="Arial" w:cs="Arial"/>
          <w:color w:val="000000" w:themeColor="text1"/>
          <w:sz w:val="22"/>
          <w:szCs w:val="22"/>
          <w:u w:val="none"/>
        </w:rPr>
        <w:t xml:space="preserve"> (either written or practical) that usually comes at the end of a course (</w:t>
      </w:r>
      <w:r w:rsidR="00B307DC">
        <w:rPr>
          <w:rStyle w:val="Hyperlink"/>
          <w:rFonts w:ascii="Arial" w:hAnsi="Arial" w:cs="Arial"/>
          <w:color w:val="000000" w:themeColor="text1"/>
          <w:sz w:val="22"/>
          <w:szCs w:val="22"/>
          <w:u w:val="none"/>
        </w:rPr>
        <w:t>Boulet, 2008</w:t>
      </w:r>
      <w:r w:rsidR="00477630" w:rsidRPr="00F50DFE">
        <w:rPr>
          <w:rStyle w:val="Hyperlink"/>
          <w:rFonts w:ascii="Arial" w:hAnsi="Arial" w:cs="Arial"/>
          <w:color w:val="000000" w:themeColor="text1"/>
          <w:sz w:val="22"/>
          <w:szCs w:val="22"/>
          <w:u w:val="none"/>
        </w:rPr>
        <w:t>). The assessment defines whether or not a student has met the key learning outcomes or competencies for the course they are studying.  The student is awarded a final mark and is said to have passed or failed according to the pass mark that has been established by the training institution.  Section 2.4, above, outlined the core clinical competencies that High Intensity IAPT trainees must demonstrate by the time they complete their training.  These competencies</w:t>
      </w:r>
      <w:r w:rsidR="002137D7">
        <w:rPr>
          <w:rStyle w:val="Hyperlink"/>
          <w:rFonts w:ascii="Arial" w:hAnsi="Arial" w:cs="Arial"/>
          <w:color w:val="000000" w:themeColor="text1"/>
          <w:sz w:val="22"/>
          <w:szCs w:val="22"/>
          <w:u w:val="none"/>
        </w:rPr>
        <w:t>,</w:t>
      </w:r>
      <w:r w:rsidR="00477630" w:rsidRPr="00F50DFE">
        <w:rPr>
          <w:rStyle w:val="Hyperlink"/>
          <w:rFonts w:ascii="Arial" w:hAnsi="Arial" w:cs="Arial"/>
          <w:color w:val="000000" w:themeColor="text1"/>
          <w:sz w:val="22"/>
          <w:szCs w:val="22"/>
          <w:u w:val="none"/>
        </w:rPr>
        <w:t xml:space="preserve"> or learning outcomes</w:t>
      </w:r>
      <w:r w:rsidR="002137D7">
        <w:rPr>
          <w:rStyle w:val="Hyperlink"/>
          <w:rFonts w:ascii="Arial" w:hAnsi="Arial" w:cs="Arial"/>
          <w:color w:val="000000" w:themeColor="text1"/>
          <w:sz w:val="22"/>
          <w:szCs w:val="22"/>
          <w:u w:val="none"/>
        </w:rPr>
        <w:t>,</w:t>
      </w:r>
      <w:r w:rsidR="00477630" w:rsidRPr="00F50DFE">
        <w:rPr>
          <w:rStyle w:val="Hyperlink"/>
          <w:rFonts w:ascii="Arial" w:hAnsi="Arial" w:cs="Arial"/>
          <w:color w:val="000000" w:themeColor="text1"/>
          <w:sz w:val="22"/>
          <w:szCs w:val="22"/>
          <w:u w:val="none"/>
        </w:rPr>
        <w:t xml:space="preserve"> are assessed via two methods; submission of three audio recording of live therapy sessions (</w:t>
      </w:r>
      <w:r>
        <w:rPr>
          <w:rStyle w:val="Hyperlink"/>
          <w:rFonts w:ascii="Arial" w:hAnsi="Arial" w:cs="Arial"/>
          <w:color w:val="000000" w:themeColor="text1"/>
          <w:sz w:val="22"/>
          <w:szCs w:val="22"/>
          <w:u w:val="none"/>
        </w:rPr>
        <w:t>NHS England, 2018</w:t>
      </w:r>
      <w:r w:rsidR="00477630" w:rsidRPr="00F50DFE">
        <w:rPr>
          <w:rStyle w:val="Hyperlink"/>
          <w:rFonts w:ascii="Arial" w:hAnsi="Arial" w:cs="Arial"/>
          <w:color w:val="000000" w:themeColor="text1"/>
          <w:sz w:val="22"/>
          <w:szCs w:val="22"/>
          <w:u w:val="none"/>
        </w:rPr>
        <w:t>) and submission of written work (case reports and essays).</w:t>
      </w:r>
      <w:r w:rsidR="00E0323C">
        <w:rPr>
          <w:rStyle w:val="Hyperlink"/>
          <w:rFonts w:ascii="Arial" w:hAnsi="Arial" w:cs="Arial"/>
          <w:color w:val="000000" w:themeColor="text1"/>
          <w:sz w:val="22"/>
          <w:szCs w:val="22"/>
          <w:u w:val="none"/>
        </w:rPr>
        <w:t xml:space="preserve"> </w:t>
      </w:r>
    </w:p>
    <w:p w14:paraId="499CC6F0" w14:textId="77777777" w:rsidR="00477630" w:rsidRDefault="00477630" w:rsidP="00477630">
      <w:pPr>
        <w:spacing w:line="480" w:lineRule="auto"/>
        <w:rPr>
          <w:rStyle w:val="Hyperlink"/>
          <w:rFonts w:ascii="Arial" w:hAnsi="Arial" w:cs="Arial"/>
          <w:color w:val="000000" w:themeColor="text1"/>
          <w:sz w:val="22"/>
          <w:szCs w:val="22"/>
        </w:rPr>
      </w:pPr>
    </w:p>
    <w:p w14:paraId="1E88C1A7" w14:textId="77777777" w:rsidR="00477630" w:rsidRPr="00F50DFE" w:rsidRDefault="00477630" w:rsidP="00477630">
      <w:pPr>
        <w:pStyle w:val="Heading3"/>
        <w:rPr>
          <w:rStyle w:val="Hyperlink"/>
          <w:rFonts w:cs="Arial"/>
          <w:color w:val="000000" w:themeColor="text1"/>
          <w:szCs w:val="22"/>
          <w:u w:val="none"/>
        </w:rPr>
      </w:pPr>
      <w:bookmarkStart w:id="81" w:name="_Toc46770727"/>
      <w:bookmarkStart w:id="82" w:name="_Toc79414138"/>
      <w:r w:rsidRPr="00F50DFE">
        <w:rPr>
          <w:rStyle w:val="Hyperlink"/>
          <w:rFonts w:cs="Arial"/>
          <w:color w:val="000000" w:themeColor="text1"/>
          <w:szCs w:val="22"/>
          <w:u w:val="none"/>
        </w:rPr>
        <w:t>2.5.1 Summative assessment via written work</w:t>
      </w:r>
      <w:bookmarkEnd w:id="81"/>
      <w:bookmarkEnd w:id="82"/>
    </w:p>
    <w:p w14:paraId="7F79DCAF" w14:textId="77777777" w:rsidR="00477630" w:rsidRPr="00F50DFE" w:rsidRDefault="00477630" w:rsidP="00477630"/>
    <w:p w14:paraId="01142E8C" w14:textId="77AFE719" w:rsidR="00477630" w:rsidRDefault="00477630" w:rsidP="00477630">
      <w:pPr>
        <w:spacing w:line="480" w:lineRule="auto"/>
        <w:rPr>
          <w:rStyle w:val="Hyperlink"/>
          <w:rFonts w:ascii="Arial" w:hAnsi="Arial" w:cs="Arial"/>
          <w:color w:val="000000" w:themeColor="text1"/>
          <w:sz w:val="22"/>
          <w:szCs w:val="22"/>
          <w:u w:val="none"/>
        </w:rPr>
      </w:pPr>
      <w:r w:rsidRPr="00F50DFE">
        <w:rPr>
          <w:rStyle w:val="Hyperlink"/>
          <w:rFonts w:ascii="Arial" w:hAnsi="Arial" w:cs="Arial"/>
          <w:color w:val="000000" w:themeColor="text1"/>
          <w:sz w:val="22"/>
          <w:szCs w:val="22"/>
          <w:u w:val="none"/>
        </w:rPr>
        <w:t>Trainees on the High Intensity CBT training programme are required to submit written work in the form of two case reports and 4 academic essays (</w:t>
      </w:r>
      <w:r w:rsidR="00330A9A">
        <w:rPr>
          <w:rStyle w:val="Hyperlink"/>
          <w:rFonts w:ascii="Arial" w:hAnsi="Arial" w:cs="Arial"/>
          <w:color w:val="000000" w:themeColor="text1"/>
          <w:sz w:val="22"/>
          <w:szCs w:val="22"/>
          <w:u w:val="none"/>
        </w:rPr>
        <w:t xml:space="preserve">NHS England, 2017, </w:t>
      </w:r>
      <w:r w:rsidRPr="00F50DFE">
        <w:rPr>
          <w:rStyle w:val="Hyperlink"/>
          <w:rFonts w:ascii="Arial" w:hAnsi="Arial" w:cs="Arial"/>
          <w:color w:val="000000" w:themeColor="text1"/>
          <w:sz w:val="22"/>
          <w:szCs w:val="22"/>
          <w:u w:val="none"/>
        </w:rPr>
        <w:t>Clark, 2018). Of the two case reports</w:t>
      </w:r>
      <w:r w:rsidR="002137D7">
        <w:rPr>
          <w:rStyle w:val="Hyperlink"/>
          <w:rFonts w:ascii="Arial" w:hAnsi="Arial" w:cs="Arial"/>
          <w:color w:val="000000" w:themeColor="text1"/>
          <w:sz w:val="22"/>
          <w:szCs w:val="22"/>
          <w:u w:val="none"/>
        </w:rPr>
        <w:t>,</w:t>
      </w:r>
      <w:r w:rsidRPr="00F50DFE">
        <w:rPr>
          <w:rStyle w:val="Hyperlink"/>
          <w:rFonts w:ascii="Arial" w:hAnsi="Arial" w:cs="Arial"/>
          <w:color w:val="000000" w:themeColor="text1"/>
          <w:sz w:val="22"/>
          <w:szCs w:val="22"/>
          <w:u w:val="none"/>
        </w:rPr>
        <w:t xml:space="preserve"> one relates to the comprehensive assessment of a patient and the other relates to a description of an entire episode of care.  The pass mark for each piece of written work is 50%.</w:t>
      </w:r>
    </w:p>
    <w:p w14:paraId="324196A7" w14:textId="77777777" w:rsidR="00EC5A4F" w:rsidRPr="00F50DFE" w:rsidRDefault="00EC5A4F" w:rsidP="00477630">
      <w:pPr>
        <w:spacing w:line="480" w:lineRule="auto"/>
        <w:rPr>
          <w:rStyle w:val="Hyperlink"/>
          <w:rFonts w:ascii="Arial" w:hAnsi="Arial" w:cs="Arial"/>
          <w:color w:val="000000" w:themeColor="text1"/>
          <w:sz w:val="22"/>
          <w:szCs w:val="22"/>
          <w:u w:val="none"/>
        </w:rPr>
      </w:pPr>
    </w:p>
    <w:p w14:paraId="07318655" w14:textId="77777777" w:rsidR="00477630" w:rsidRPr="00F50DFE" w:rsidRDefault="00477630" w:rsidP="00477630">
      <w:pPr>
        <w:pStyle w:val="Heading3"/>
        <w:rPr>
          <w:rStyle w:val="Hyperlink"/>
          <w:rFonts w:cs="Arial"/>
          <w:color w:val="000000" w:themeColor="text1"/>
          <w:szCs w:val="22"/>
          <w:u w:val="none"/>
        </w:rPr>
      </w:pPr>
      <w:bookmarkStart w:id="83" w:name="_Toc46770728"/>
      <w:bookmarkStart w:id="84" w:name="_Toc79414139"/>
      <w:r w:rsidRPr="00F50DFE">
        <w:rPr>
          <w:rStyle w:val="Hyperlink"/>
          <w:rFonts w:cs="Arial"/>
          <w:color w:val="000000" w:themeColor="text1"/>
          <w:szCs w:val="22"/>
          <w:u w:val="none"/>
        </w:rPr>
        <w:t>2.5.2 Summative assessment via recordings of live therapy sessions</w:t>
      </w:r>
      <w:bookmarkEnd w:id="83"/>
      <w:bookmarkEnd w:id="84"/>
    </w:p>
    <w:p w14:paraId="11FB23C1" w14:textId="77777777" w:rsidR="00477630" w:rsidRPr="00F50DFE" w:rsidRDefault="00477630" w:rsidP="00477630"/>
    <w:p w14:paraId="4A1B5973" w14:textId="76CBF2DB" w:rsidR="00477630" w:rsidRPr="008D4B16" w:rsidRDefault="00477630" w:rsidP="00477630">
      <w:pPr>
        <w:spacing w:line="480" w:lineRule="auto"/>
        <w:rPr>
          <w:rFonts w:ascii="Arial" w:hAnsi="Arial"/>
          <w:sz w:val="22"/>
          <w:szCs w:val="22"/>
        </w:rPr>
      </w:pPr>
      <w:r w:rsidRPr="00F50DFE">
        <w:rPr>
          <w:rStyle w:val="Hyperlink"/>
          <w:rFonts w:ascii="Arial" w:hAnsi="Arial" w:cs="Arial"/>
          <w:color w:val="000000" w:themeColor="text1"/>
          <w:sz w:val="22"/>
          <w:szCs w:val="22"/>
          <w:u w:val="none"/>
        </w:rPr>
        <w:t xml:space="preserve">Trainees are required to submit three recordings of live therapy sessions during their training (Clark, 2018).  Each individual session must be drawn from three separate patients whom </w:t>
      </w:r>
      <w:r w:rsidRPr="00F50DFE">
        <w:rPr>
          <w:rStyle w:val="Hyperlink"/>
          <w:rFonts w:ascii="Arial" w:hAnsi="Arial" w:cs="Arial"/>
          <w:color w:val="000000" w:themeColor="text1"/>
          <w:sz w:val="22"/>
          <w:szCs w:val="22"/>
          <w:u w:val="none"/>
        </w:rPr>
        <w:lastRenderedPageBreak/>
        <w:t>the trainee has treated. The trainee must have received supervision from an IAPT training programme Clinical Supervisor for each of the three patients. The three recordings are assessed using the revised versions of the Cognitive Therapy Scale (CTS-R).</w:t>
      </w:r>
      <w:r>
        <w:rPr>
          <w:rStyle w:val="Hyperlink"/>
          <w:rFonts w:ascii="Arial" w:hAnsi="Arial" w:cs="Arial"/>
          <w:color w:val="000000" w:themeColor="text1"/>
          <w:sz w:val="22"/>
          <w:szCs w:val="22"/>
        </w:rPr>
        <w:t xml:space="preserve"> </w:t>
      </w:r>
      <w:r w:rsidRPr="00300A2F">
        <w:rPr>
          <w:rFonts w:ascii="Arial" w:hAnsi="Arial"/>
          <w:sz w:val="22"/>
          <w:szCs w:val="22"/>
        </w:rPr>
        <w:t xml:space="preserve">The CTS-R was devised as evidence-based view of best clinical practice in the delivery of CBT (Blackburn, James, Milne, Baker, Standart, Garland and Reichelt, 2001).  This tool is widely </w:t>
      </w:r>
      <w:r>
        <w:rPr>
          <w:rFonts w:ascii="Arial" w:hAnsi="Arial"/>
          <w:sz w:val="22"/>
          <w:szCs w:val="22"/>
        </w:rPr>
        <w:t>used</w:t>
      </w:r>
      <w:r w:rsidRPr="00300A2F">
        <w:rPr>
          <w:rFonts w:ascii="Arial" w:hAnsi="Arial"/>
          <w:sz w:val="22"/>
          <w:szCs w:val="22"/>
        </w:rPr>
        <w:t xml:space="preserve"> to </w:t>
      </w:r>
      <w:r>
        <w:rPr>
          <w:rFonts w:ascii="Arial" w:hAnsi="Arial"/>
          <w:sz w:val="22"/>
          <w:szCs w:val="22"/>
        </w:rPr>
        <w:t>assess</w:t>
      </w:r>
      <w:r w:rsidRPr="00300A2F">
        <w:rPr>
          <w:rFonts w:ascii="Arial" w:hAnsi="Arial"/>
          <w:sz w:val="22"/>
          <w:szCs w:val="22"/>
        </w:rPr>
        <w:t xml:space="preserve"> </w:t>
      </w:r>
      <w:r>
        <w:rPr>
          <w:rFonts w:ascii="Arial" w:hAnsi="Arial"/>
          <w:sz w:val="22"/>
          <w:szCs w:val="22"/>
        </w:rPr>
        <w:t>competence</w:t>
      </w:r>
      <w:r w:rsidRPr="00300A2F">
        <w:rPr>
          <w:rFonts w:ascii="Arial" w:hAnsi="Arial"/>
          <w:sz w:val="22"/>
          <w:szCs w:val="22"/>
        </w:rPr>
        <w:t xml:space="preserve"> of trainee therapists and accomplished therapists alike. It is also used to assess fidelity to the CBT model in research studies. The tool consists of twelve items, each of which are rated on a 0-6 scale where a score of 3 on each item is considered competent.  </w:t>
      </w:r>
      <w:r>
        <w:rPr>
          <w:rFonts w:ascii="Arial" w:hAnsi="Arial"/>
          <w:sz w:val="22"/>
          <w:szCs w:val="22"/>
        </w:rPr>
        <w:t>This 0- 6 rating scale is based on the Dreyfus and Dreyfus (1986) scale used to assess clinical competence in clinical trainees.  The scale has been adapted by Blackburn et al., (2001) so that it might adequately rate levels of competence in trainee and qualified CBT therapists. The scale (as shown in figure 2.2) is used to rate a clinician on each of the 12 items of the CTS-R</w:t>
      </w:r>
      <w:r w:rsidR="008D4B16">
        <w:rPr>
          <w:rFonts w:ascii="Arial" w:hAnsi="Arial"/>
          <w:sz w:val="22"/>
          <w:szCs w:val="22"/>
        </w:rPr>
        <w:t xml:space="preserve">. </w:t>
      </w:r>
      <w:r w:rsidR="008D4B16" w:rsidRPr="005144E4">
        <w:rPr>
          <w:rFonts w:ascii="Arial" w:hAnsi="Arial"/>
          <w:sz w:val="22"/>
          <w:szCs w:val="22"/>
        </w:rPr>
        <w:t>Figure 2.2 shows</w:t>
      </w:r>
      <w:r w:rsidR="00CD44D1" w:rsidRPr="005144E4">
        <w:rPr>
          <w:rFonts w:ascii="Arial" w:hAnsi="Arial"/>
          <w:sz w:val="22"/>
          <w:szCs w:val="22"/>
        </w:rPr>
        <w:t xml:space="preserve"> the 0-6 rating scale where</w:t>
      </w:r>
      <w:r w:rsidR="008D4B16" w:rsidRPr="005144E4">
        <w:rPr>
          <w:rFonts w:ascii="Arial" w:hAnsi="Arial"/>
          <w:sz w:val="22"/>
          <w:szCs w:val="22"/>
        </w:rPr>
        <w:t xml:space="preserve"> </w:t>
      </w:r>
      <w:r w:rsidRPr="005144E4">
        <w:rPr>
          <w:rFonts w:ascii="Arial" w:hAnsi="Arial"/>
          <w:sz w:val="22"/>
          <w:szCs w:val="22"/>
        </w:rPr>
        <w:t>a score of 0 would indicate incompetence (absence of the skill) and</w:t>
      </w:r>
      <w:r w:rsidRPr="005144E4">
        <w:rPr>
          <w:rFonts w:ascii="Arial" w:hAnsi="Arial" w:cs="Helvetica"/>
          <w:color w:val="000000"/>
          <w:sz w:val="22"/>
          <w:szCs w:val="22"/>
          <w:lang w:val="en-US"/>
        </w:rPr>
        <w:t xml:space="preserve"> a score of 6 would suggest that the clinicians is an expert who has a consistently high performance even in the face of adversity</w:t>
      </w:r>
      <w:r w:rsidRPr="00D27EFD">
        <w:rPr>
          <w:rFonts w:ascii="Arial" w:hAnsi="Arial" w:cs="Helvetica"/>
          <w:color w:val="000000"/>
          <w:sz w:val="22"/>
          <w:szCs w:val="22"/>
          <w:highlight w:val="yellow"/>
          <w:lang w:val="en-US"/>
        </w:rPr>
        <w:t>.</w:t>
      </w:r>
      <w:r w:rsidRPr="00300A2F">
        <w:rPr>
          <w:rFonts w:ascii="Arial" w:hAnsi="Arial" w:cs="Helvetica"/>
          <w:color w:val="000000"/>
          <w:sz w:val="22"/>
          <w:szCs w:val="22"/>
          <w:lang w:val="en-US"/>
        </w:rPr>
        <w:t xml:space="preserve"> </w:t>
      </w:r>
      <w:r w:rsidRPr="00300A2F">
        <w:rPr>
          <w:rFonts w:ascii="Arial" w:hAnsi="Arial"/>
          <w:sz w:val="22"/>
          <w:szCs w:val="22"/>
        </w:rPr>
        <w:t xml:space="preserve">The twelve items </w:t>
      </w:r>
      <w:r w:rsidR="00586E76">
        <w:rPr>
          <w:rFonts w:ascii="Arial" w:hAnsi="Arial"/>
          <w:sz w:val="22"/>
          <w:szCs w:val="22"/>
        </w:rPr>
        <w:t xml:space="preserve">of the CTS-R </w:t>
      </w:r>
      <w:r w:rsidRPr="00300A2F">
        <w:rPr>
          <w:rFonts w:ascii="Arial" w:hAnsi="Arial"/>
          <w:sz w:val="22"/>
          <w:szCs w:val="22"/>
        </w:rPr>
        <w:t xml:space="preserve">relate to specific cognitive behavioural processes or techniques which are deemed to be the basic CBT competencies (Roth and Pilling 2007).  </w:t>
      </w:r>
      <w:r>
        <w:rPr>
          <w:rFonts w:ascii="Arial" w:hAnsi="Arial"/>
          <w:sz w:val="22"/>
          <w:szCs w:val="22"/>
        </w:rPr>
        <w:t>The twelve items of the CTS-R are shown in figure 2.3.</w:t>
      </w:r>
    </w:p>
    <w:p w14:paraId="164379FB" w14:textId="77777777" w:rsidR="00477630" w:rsidRDefault="00477630" w:rsidP="00477630">
      <w:pPr>
        <w:spacing w:line="480" w:lineRule="auto"/>
        <w:rPr>
          <w:rFonts w:ascii="Arial" w:hAnsi="Arial"/>
        </w:rPr>
      </w:pPr>
    </w:p>
    <w:p w14:paraId="6557B759" w14:textId="77777777" w:rsidR="00D82828" w:rsidRDefault="00477630" w:rsidP="00477630">
      <w:pPr>
        <w:spacing w:line="480" w:lineRule="auto"/>
        <w:rPr>
          <w:rFonts w:ascii="Arial" w:hAnsi="Arial"/>
          <w:sz w:val="22"/>
          <w:szCs w:val="22"/>
        </w:rPr>
      </w:pPr>
      <w:r w:rsidRPr="008A3DF3">
        <w:rPr>
          <w:rFonts w:ascii="Arial" w:hAnsi="Arial"/>
          <w:sz w:val="22"/>
          <w:szCs w:val="22"/>
        </w:rPr>
        <w:t xml:space="preserve">The CTS-R is used widely throughout </w:t>
      </w:r>
      <w:r w:rsidR="008A3DF3" w:rsidRPr="008A3DF3">
        <w:rPr>
          <w:rFonts w:ascii="Arial" w:hAnsi="Arial"/>
          <w:sz w:val="22"/>
          <w:szCs w:val="22"/>
        </w:rPr>
        <w:t>CBT training,</w:t>
      </w:r>
      <w:r w:rsidR="008A3DF3">
        <w:rPr>
          <w:rFonts w:ascii="Arial" w:hAnsi="Arial"/>
          <w:sz w:val="22"/>
          <w:szCs w:val="22"/>
        </w:rPr>
        <w:t xml:space="preserve"> </w:t>
      </w:r>
      <w:r w:rsidRPr="00300A2F">
        <w:rPr>
          <w:rFonts w:ascii="Arial" w:hAnsi="Arial"/>
          <w:sz w:val="22"/>
          <w:szCs w:val="22"/>
        </w:rPr>
        <w:t xml:space="preserve">not only to assess </w:t>
      </w:r>
      <w:r>
        <w:rPr>
          <w:rFonts w:ascii="Arial" w:hAnsi="Arial"/>
          <w:sz w:val="22"/>
          <w:szCs w:val="22"/>
        </w:rPr>
        <w:t xml:space="preserve">a </w:t>
      </w:r>
      <w:r w:rsidRPr="00300A2F">
        <w:rPr>
          <w:rFonts w:ascii="Arial" w:hAnsi="Arial"/>
          <w:sz w:val="22"/>
          <w:szCs w:val="22"/>
        </w:rPr>
        <w:t>student</w:t>
      </w:r>
      <w:r>
        <w:rPr>
          <w:rFonts w:ascii="Arial" w:hAnsi="Arial"/>
          <w:sz w:val="22"/>
          <w:szCs w:val="22"/>
        </w:rPr>
        <w:t>’</w:t>
      </w:r>
      <w:r w:rsidRPr="00300A2F">
        <w:rPr>
          <w:rFonts w:ascii="Arial" w:hAnsi="Arial"/>
          <w:sz w:val="22"/>
          <w:szCs w:val="22"/>
        </w:rPr>
        <w:t>s ability to demonstrate core competencies in CBT but also to teach students what is required in order to be considered competent as a cognitive behavioural therapist.</w:t>
      </w:r>
      <w:r>
        <w:rPr>
          <w:rFonts w:ascii="Arial" w:hAnsi="Arial"/>
          <w:sz w:val="22"/>
          <w:szCs w:val="22"/>
        </w:rPr>
        <w:t xml:space="preserve"> Whilst training, trainee’s receive regular practical skills workshops where they are taught how to deliver CBT with fidelity to the model as assessed by the CTS-R (www.exeter.ac.uk). It might be argued that the trainers who are delivering these workshops are ‘teaching to the test’. This phenomenon has been described as a pedagogical process whereby students are regularly exposed to the summative assessment, so that it might be seen as signification test preparation </w:t>
      </w:r>
      <w:r>
        <w:rPr>
          <w:rFonts w:ascii="Arial" w:hAnsi="Arial"/>
          <w:sz w:val="22"/>
          <w:szCs w:val="22"/>
        </w:rPr>
        <w:lastRenderedPageBreak/>
        <w:t xml:space="preserve">(Volante, 2004). This process has been criticised because it can hamper learning in that the student focuses only on the final summative assessment and not on learning core clinical </w:t>
      </w:r>
    </w:p>
    <w:p w14:paraId="55362F74" w14:textId="51CA949E" w:rsidR="00EC5A4F" w:rsidRDefault="00477630" w:rsidP="00477630">
      <w:pPr>
        <w:spacing w:line="480" w:lineRule="auto"/>
        <w:rPr>
          <w:rFonts w:ascii="Arial" w:hAnsi="Arial"/>
          <w:sz w:val="22"/>
          <w:szCs w:val="22"/>
        </w:rPr>
      </w:pPr>
      <w:r>
        <w:rPr>
          <w:rFonts w:ascii="Arial" w:hAnsi="Arial"/>
          <w:sz w:val="22"/>
          <w:szCs w:val="22"/>
        </w:rPr>
        <w:t xml:space="preserve">skills (Volante, 2004).  This issue will be discussed in more detail in </w:t>
      </w:r>
      <w:r w:rsidR="00E46805">
        <w:rPr>
          <w:rFonts w:ascii="Arial" w:hAnsi="Arial"/>
          <w:sz w:val="22"/>
          <w:szCs w:val="22"/>
        </w:rPr>
        <w:t>C</w:t>
      </w:r>
      <w:r>
        <w:rPr>
          <w:rFonts w:ascii="Arial" w:hAnsi="Arial"/>
          <w:sz w:val="22"/>
          <w:szCs w:val="22"/>
        </w:rPr>
        <w:t xml:space="preserve">hapter </w:t>
      </w:r>
      <w:r w:rsidR="00E46805">
        <w:rPr>
          <w:rFonts w:ascii="Arial" w:hAnsi="Arial"/>
          <w:sz w:val="22"/>
          <w:szCs w:val="22"/>
        </w:rPr>
        <w:t>S</w:t>
      </w:r>
      <w:r w:rsidR="00F50DFE">
        <w:rPr>
          <w:rFonts w:ascii="Arial" w:hAnsi="Arial"/>
          <w:sz w:val="22"/>
          <w:szCs w:val="22"/>
        </w:rPr>
        <w:t>ix</w:t>
      </w:r>
      <w:r>
        <w:rPr>
          <w:rFonts w:ascii="Arial" w:hAnsi="Arial"/>
          <w:sz w:val="22"/>
          <w:szCs w:val="22"/>
        </w:rPr>
        <w:t>.</w:t>
      </w:r>
    </w:p>
    <w:p w14:paraId="63B4538D" w14:textId="77777777" w:rsidR="00EC5A4F" w:rsidRDefault="00EC5A4F">
      <w:pPr>
        <w:rPr>
          <w:rFonts w:ascii="Arial" w:hAnsi="Arial"/>
          <w:sz w:val="22"/>
          <w:szCs w:val="22"/>
        </w:rPr>
      </w:pPr>
      <w:r>
        <w:rPr>
          <w:rFonts w:ascii="Arial" w:hAnsi="Arial"/>
          <w:sz w:val="22"/>
          <w:szCs w:val="22"/>
        </w:rPr>
        <w:br w:type="page"/>
      </w:r>
    </w:p>
    <w:p w14:paraId="0CFA3B05" w14:textId="0A47DFA3" w:rsidR="00A451AA" w:rsidRPr="00A451AA" w:rsidRDefault="00A451AA" w:rsidP="00A451AA"/>
    <w:p w14:paraId="0A41F919" w14:textId="66527648" w:rsidR="00C24FDF" w:rsidRDefault="001B1D96" w:rsidP="00C24FDF">
      <w:r>
        <w:rPr>
          <w:noProof/>
        </w:rPr>
        <mc:AlternateContent>
          <mc:Choice Requires="wps">
            <w:drawing>
              <wp:inline distT="0" distB="0" distL="0" distR="0" wp14:anchorId="786A74D0" wp14:editId="3A4BEB3D">
                <wp:extent cx="5486400" cy="457200"/>
                <wp:effectExtent l="0" t="0" r="0" b="0"/>
                <wp:docPr id="47" name="Text Box 47" descr="P620TB2#y1"/>
                <wp:cNvGraphicFramePr/>
                <a:graphic xmlns:a="http://schemas.openxmlformats.org/drawingml/2006/main">
                  <a:graphicData uri="http://schemas.microsoft.com/office/word/2010/wordprocessingShape">
                    <wps:wsp>
                      <wps:cNvSpPr txBox="1"/>
                      <wps:spPr>
                        <a:xfrm>
                          <a:off x="0" y="0"/>
                          <a:ext cx="5486400" cy="457200"/>
                        </a:xfrm>
                        <a:prstGeom prst="rect">
                          <a:avLst/>
                        </a:prstGeom>
                        <a:solidFill>
                          <a:prstClr val="white"/>
                        </a:solidFill>
                        <a:ln>
                          <a:noFill/>
                        </a:ln>
                      </wps:spPr>
                      <wps:txbx>
                        <w:txbxContent>
                          <w:p w14:paraId="257CB43C" w14:textId="7314408F" w:rsidR="008815D7" w:rsidRPr="00DD3D80" w:rsidRDefault="008815D7" w:rsidP="001B1D96">
                            <w:pPr>
                              <w:pStyle w:val="Figures"/>
                              <w:rPr>
                                <w:noProof/>
                                <w:sz w:val="24"/>
                                <w:szCs w:val="24"/>
                              </w:rPr>
                            </w:pPr>
                            <w:bookmarkStart w:id="85" w:name="_Toc46770931"/>
                            <w:r>
                              <w:t>F</w:t>
                            </w:r>
                            <w:r w:rsidRPr="001A259C">
                              <w:t xml:space="preserve">igure 2.2 </w:t>
                            </w:r>
                            <w:r w:rsidRPr="005144E4">
                              <w:rPr>
                                <w:b w:val="0"/>
                                <w:bCs/>
                              </w:rPr>
                              <w:t>Rating</w:t>
                            </w:r>
                            <w:r>
                              <w:t xml:space="preserve"> </w:t>
                            </w:r>
                            <w:r>
                              <w:rPr>
                                <w:b w:val="0"/>
                              </w:rPr>
                              <w:t>c</w:t>
                            </w:r>
                            <w:r w:rsidRPr="001B1D96">
                              <w:rPr>
                                <w:b w:val="0"/>
                              </w:rPr>
                              <w:t xml:space="preserve">linical </w:t>
                            </w:r>
                            <w:r>
                              <w:rPr>
                                <w:b w:val="0"/>
                              </w:rPr>
                              <w:t>e</w:t>
                            </w:r>
                            <w:r w:rsidRPr="001B1D96">
                              <w:rPr>
                                <w:b w:val="0"/>
                              </w:rPr>
                              <w:t>xpertise in CBT adapted from Dreyfus and Dreyfus (1986)</w:t>
                            </w:r>
                            <w:bookmarkEnd w:id="8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786A74D0" id="Text Box 47" o:spid="_x0000_s1027" type="#_x0000_t202" alt="P620TB2#y1" style="width:6in;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" stroked="f">
                <v:textbox inset="0,0,0,0">
                  <w:txbxContent>
                    <w:p w14:paraId="257CB43C" w14:textId="7314408F" w:rsidR="008815D7" w:rsidRPr="00DD3D80" w:rsidRDefault="008815D7" w:rsidP="001B1D96">
                      <w:pPr>
                        <w:pStyle w:val="Figures"/>
                        <w:rPr>
                          <w:noProof/>
                          <w:sz w:val="24"/>
                          <w:szCs w:val="24"/>
                        </w:rPr>
                      </w:pPr>
                      <w:bookmarkStart w:id="86" w:name="_Toc46770931"/>
                      <w:r>
                        <w:t>F</w:t>
                      </w:r>
                      <w:r w:rsidRPr="001A259C">
                        <w:t xml:space="preserve">igure 2.2 </w:t>
                      </w:r>
                      <w:r w:rsidRPr="005144E4">
                        <w:rPr>
                          <w:b w:val="0"/>
                          <w:bCs/>
                        </w:rPr>
                        <w:t>Rating</w:t>
                      </w:r>
                      <w:r>
                        <w:t xml:space="preserve"> </w:t>
                      </w:r>
                      <w:r>
                        <w:rPr>
                          <w:b w:val="0"/>
                        </w:rPr>
                        <w:t>c</w:t>
                      </w:r>
                      <w:r w:rsidRPr="001B1D96">
                        <w:rPr>
                          <w:b w:val="0"/>
                        </w:rPr>
                        <w:t xml:space="preserve">linical </w:t>
                      </w:r>
                      <w:r>
                        <w:rPr>
                          <w:b w:val="0"/>
                        </w:rPr>
                        <w:t>e</w:t>
                      </w:r>
                      <w:r w:rsidRPr="001B1D96">
                        <w:rPr>
                          <w:b w:val="0"/>
                        </w:rPr>
                        <w:t>xpertise in CBT adapted from Dreyfus and Dreyfus (1986)</w:t>
                      </w:r>
                      <w:bookmarkEnd w:id="86"/>
                    </w:p>
                  </w:txbxContent>
                </v:textbox>
                <w10:anchorlock/>
              </v:shape>
            </w:pict>
          </mc:Fallback>
        </mc:AlternateContent>
      </w:r>
      <w:r w:rsidR="00C24FDF">
        <w:rPr>
          <w:noProof/>
        </w:rPr>
        <w:drawing>
          <wp:inline distT="0" distB="0" distL="0" distR="0" wp14:anchorId="1FFDF5F2" wp14:editId="470884F3">
            <wp:extent cx="5486400" cy="5861539"/>
            <wp:effectExtent l="19050" t="38100" r="38100" b="25400"/>
            <wp:docPr id="54" name="Diagram 54" descr="P620#yIS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r w:rsidR="00A451AA">
        <w:br w:type="textWrapping" w:clear="all"/>
      </w:r>
    </w:p>
    <w:p w14:paraId="2D434F32" w14:textId="77777777" w:rsidR="00C24FDF" w:rsidRDefault="00C24FDF" w:rsidP="00477630">
      <w:pPr>
        <w:spacing w:line="480" w:lineRule="auto"/>
        <w:rPr>
          <w:rFonts w:ascii="Arial" w:hAnsi="Arial" w:cs="Helvetica"/>
          <w:color w:val="000000"/>
          <w:szCs w:val="18"/>
          <w:lang w:val="en-US"/>
        </w:rPr>
      </w:pPr>
    </w:p>
    <w:p w14:paraId="6D7B0A57" w14:textId="2448AA89" w:rsidR="00F50DFE" w:rsidRDefault="00F50DFE" w:rsidP="00477630">
      <w:pPr>
        <w:spacing w:line="480" w:lineRule="auto"/>
        <w:rPr>
          <w:rFonts w:ascii="Arial" w:hAnsi="Arial" w:cs="Helvetica"/>
          <w:color w:val="000000"/>
          <w:szCs w:val="18"/>
          <w:lang w:val="en-US"/>
        </w:rPr>
      </w:pPr>
    </w:p>
    <w:p w14:paraId="2ED06256" w14:textId="5FFC06BB" w:rsidR="00477630" w:rsidRPr="00300A2F" w:rsidRDefault="00477630" w:rsidP="00477630">
      <w:pPr>
        <w:spacing w:line="480" w:lineRule="auto"/>
        <w:rPr>
          <w:rStyle w:val="Hyperlink"/>
          <w:rFonts w:ascii="Arial" w:hAnsi="Arial" w:cs="Arial"/>
          <w:color w:val="000000" w:themeColor="text1"/>
          <w:sz w:val="22"/>
          <w:szCs w:val="22"/>
        </w:rPr>
      </w:pPr>
    </w:p>
    <w:p w14:paraId="0B59451A" w14:textId="75C8CC65" w:rsidR="00477630" w:rsidRDefault="00477630" w:rsidP="00477630">
      <w:pPr>
        <w:spacing w:line="480" w:lineRule="auto"/>
        <w:rPr>
          <w:rStyle w:val="Hyperlink"/>
          <w:rFonts w:ascii="Arial" w:hAnsi="Arial" w:cs="Arial"/>
          <w:color w:val="000000" w:themeColor="text1"/>
          <w:sz w:val="22"/>
          <w:szCs w:val="22"/>
        </w:rPr>
      </w:pPr>
    </w:p>
    <w:p w14:paraId="0A7C2B77" w14:textId="77777777" w:rsidR="00A451AA" w:rsidRDefault="00A451AA">
      <w:pPr>
        <w:rPr>
          <w:rFonts w:ascii="Arial" w:hAnsi="Arial" w:cs="Helvetica"/>
          <w:b/>
          <w:bCs/>
          <w:color w:val="000000"/>
          <w:sz w:val="22"/>
          <w:szCs w:val="22"/>
          <w:lang w:val="en-US"/>
        </w:rPr>
      </w:pPr>
      <w:r>
        <w:rPr>
          <w:rFonts w:ascii="Arial" w:hAnsi="Arial" w:cs="Helvetica"/>
          <w:b/>
          <w:bCs/>
          <w:color w:val="000000"/>
          <w:sz w:val="22"/>
          <w:szCs w:val="22"/>
          <w:lang w:val="en-US"/>
        </w:rPr>
        <w:br w:type="page"/>
      </w:r>
    </w:p>
    <w:p w14:paraId="6764079E" w14:textId="72ECCC23" w:rsidR="00333D1B" w:rsidRPr="001B1D96" w:rsidRDefault="00333D1B" w:rsidP="001B1D96">
      <w:pPr>
        <w:pStyle w:val="Figures"/>
        <w:rPr>
          <w:b w:val="0"/>
          <w:noProof/>
        </w:rPr>
      </w:pPr>
      <w:bookmarkStart w:id="87" w:name="_Toc28338365"/>
      <w:bookmarkStart w:id="88" w:name="_Toc28339118"/>
      <w:bookmarkStart w:id="89" w:name="_Toc28339960"/>
      <w:bookmarkStart w:id="90" w:name="_Toc46770932"/>
      <w:r w:rsidRPr="00333D1B">
        <w:rPr>
          <w:noProof/>
        </w:rPr>
        <w:lastRenderedPageBreak/>
        <w:t>Figure 2.3</w:t>
      </w:r>
      <w:r w:rsidRPr="000C4D3B">
        <w:rPr>
          <w:noProof/>
        </w:rPr>
        <w:t xml:space="preserve"> </w:t>
      </w:r>
      <w:r w:rsidRPr="001B1D96">
        <w:rPr>
          <w:b w:val="0"/>
          <w:noProof/>
        </w:rPr>
        <w:t>The</w:t>
      </w:r>
      <w:r w:rsidR="008657AB">
        <w:rPr>
          <w:b w:val="0"/>
          <w:noProof/>
        </w:rPr>
        <w:t xml:space="preserve"> </w:t>
      </w:r>
      <w:r w:rsidR="008657AB" w:rsidRPr="005144E4">
        <w:rPr>
          <w:b w:val="0"/>
          <w:noProof/>
        </w:rPr>
        <w:t xml:space="preserve">12 items of </w:t>
      </w:r>
      <w:r w:rsidR="00F35B1B" w:rsidRPr="005144E4">
        <w:rPr>
          <w:b w:val="0"/>
          <w:noProof/>
        </w:rPr>
        <w:t>the</w:t>
      </w:r>
      <w:r w:rsidRPr="001B1D96">
        <w:rPr>
          <w:b w:val="0"/>
          <w:noProof/>
        </w:rPr>
        <w:t xml:space="preserve"> CTS-R (Blackburn et al., 2001)</w:t>
      </w:r>
      <w:bookmarkEnd w:id="87"/>
      <w:bookmarkEnd w:id="88"/>
      <w:bookmarkEnd w:id="89"/>
      <w:bookmarkEnd w:id="90"/>
    </w:p>
    <w:p w14:paraId="7FDD42E3" w14:textId="77777777" w:rsidR="00333D1B" w:rsidRPr="00333D1B" w:rsidRDefault="00333D1B" w:rsidP="00333D1B"/>
    <w:tbl>
      <w:tblPr>
        <w:tblStyle w:val="TableGrid"/>
        <w:tblW w:w="0" w:type="auto"/>
        <w:tblLook w:val="04A0" w:firstRow="1" w:lastRow="0" w:firstColumn="1" w:lastColumn="0" w:noHBand="0" w:noVBand="1"/>
      </w:tblPr>
      <w:tblGrid>
        <w:gridCol w:w="2757"/>
        <w:gridCol w:w="3179"/>
        <w:gridCol w:w="3074"/>
      </w:tblGrid>
      <w:tr w:rsidR="00477630" w14:paraId="65D0718C" w14:textId="77777777" w:rsidTr="00A53975">
        <w:tc>
          <w:tcPr>
            <w:tcW w:w="2757" w:type="dxa"/>
          </w:tcPr>
          <w:p w14:paraId="4866EAB0"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ITEM NUMBER</w:t>
            </w:r>
          </w:p>
        </w:tc>
        <w:tc>
          <w:tcPr>
            <w:tcW w:w="3179" w:type="dxa"/>
          </w:tcPr>
          <w:p w14:paraId="2F464931"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ITEM DESCRIPTOR</w:t>
            </w:r>
          </w:p>
        </w:tc>
        <w:tc>
          <w:tcPr>
            <w:tcW w:w="3074" w:type="dxa"/>
          </w:tcPr>
          <w:p w14:paraId="36729BD1"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SCORE (0 -6)</w:t>
            </w:r>
          </w:p>
        </w:tc>
      </w:tr>
      <w:tr w:rsidR="00477630" w14:paraId="0C25EA55" w14:textId="77777777" w:rsidTr="00A53975">
        <w:tc>
          <w:tcPr>
            <w:tcW w:w="2757" w:type="dxa"/>
          </w:tcPr>
          <w:p w14:paraId="08A0F2C9"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1</w:t>
            </w:r>
          </w:p>
        </w:tc>
        <w:tc>
          <w:tcPr>
            <w:tcW w:w="3179" w:type="dxa"/>
          </w:tcPr>
          <w:p w14:paraId="218EC437"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Agenda setting and adherence</w:t>
            </w:r>
          </w:p>
        </w:tc>
        <w:tc>
          <w:tcPr>
            <w:tcW w:w="3074" w:type="dxa"/>
          </w:tcPr>
          <w:p w14:paraId="7D0A387C" w14:textId="77777777" w:rsidR="00477630" w:rsidRDefault="00477630" w:rsidP="00A53975">
            <w:pPr>
              <w:spacing w:line="480" w:lineRule="auto"/>
              <w:rPr>
                <w:rFonts w:ascii="Arial" w:hAnsi="Arial" w:cs="Helvetica"/>
                <w:color w:val="000000"/>
                <w:sz w:val="22"/>
                <w:szCs w:val="22"/>
                <w:lang w:val="en-US"/>
              </w:rPr>
            </w:pPr>
          </w:p>
        </w:tc>
      </w:tr>
      <w:tr w:rsidR="00477630" w14:paraId="133EF08F" w14:textId="77777777" w:rsidTr="00A53975">
        <w:tc>
          <w:tcPr>
            <w:tcW w:w="2757" w:type="dxa"/>
          </w:tcPr>
          <w:p w14:paraId="259B66F8"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2</w:t>
            </w:r>
          </w:p>
        </w:tc>
        <w:tc>
          <w:tcPr>
            <w:tcW w:w="3179" w:type="dxa"/>
          </w:tcPr>
          <w:p w14:paraId="55C9F263"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Eliciting feedback</w:t>
            </w:r>
          </w:p>
        </w:tc>
        <w:tc>
          <w:tcPr>
            <w:tcW w:w="3074" w:type="dxa"/>
          </w:tcPr>
          <w:p w14:paraId="3F64A5F1" w14:textId="77777777" w:rsidR="00477630" w:rsidRDefault="00477630" w:rsidP="00A53975">
            <w:pPr>
              <w:spacing w:line="480" w:lineRule="auto"/>
              <w:rPr>
                <w:rFonts w:ascii="Arial" w:hAnsi="Arial" w:cs="Helvetica"/>
                <w:color w:val="000000"/>
                <w:sz w:val="22"/>
                <w:szCs w:val="22"/>
                <w:lang w:val="en-US"/>
              </w:rPr>
            </w:pPr>
          </w:p>
        </w:tc>
      </w:tr>
      <w:tr w:rsidR="00477630" w14:paraId="1731B74E" w14:textId="77777777" w:rsidTr="00A53975">
        <w:tc>
          <w:tcPr>
            <w:tcW w:w="2757" w:type="dxa"/>
          </w:tcPr>
          <w:p w14:paraId="709F67E7"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3</w:t>
            </w:r>
          </w:p>
        </w:tc>
        <w:tc>
          <w:tcPr>
            <w:tcW w:w="3179" w:type="dxa"/>
          </w:tcPr>
          <w:p w14:paraId="2E61ED79"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Collaboration</w:t>
            </w:r>
          </w:p>
        </w:tc>
        <w:tc>
          <w:tcPr>
            <w:tcW w:w="3074" w:type="dxa"/>
          </w:tcPr>
          <w:p w14:paraId="7DE00BCD" w14:textId="77777777" w:rsidR="00477630" w:rsidRDefault="00477630" w:rsidP="00A53975">
            <w:pPr>
              <w:spacing w:line="480" w:lineRule="auto"/>
              <w:rPr>
                <w:rFonts w:ascii="Arial" w:hAnsi="Arial" w:cs="Helvetica"/>
                <w:color w:val="000000"/>
                <w:sz w:val="22"/>
                <w:szCs w:val="22"/>
                <w:lang w:val="en-US"/>
              </w:rPr>
            </w:pPr>
          </w:p>
        </w:tc>
      </w:tr>
      <w:tr w:rsidR="00477630" w14:paraId="7A66497E" w14:textId="77777777" w:rsidTr="00A53975">
        <w:tc>
          <w:tcPr>
            <w:tcW w:w="2757" w:type="dxa"/>
          </w:tcPr>
          <w:p w14:paraId="6951DA50"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4</w:t>
            </w:r>
          </w:p>
        </w:tc>
        <w:tc>
          <w:tcPr>
            <w:tcW w:w="3179" w:type="dxa"/>
          </w:tcPr>
          <w:p w14:paraId="04312AFF"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Pacing</w:t>
            </w:r>
          </w:p>
        </w:tc>
        <w:tc>
          <w:tcPr>
            <w:tcW w:w="3074" w:type="dxa"/>
          </w:tcPr>
          <w:p w14:paraId="6D4B3CBE" w14:textId="77777777" w:rsidR="00477630" w:rsidRDefault="00477630" w:rsidP="00A53975">
            <w:pPr>
              <w:spacing w:line="480" w:lineRule="auto"/>
              <w:rPr>
                <w:rFonts w:ascii="Arial" w:hAnsi="Arial" w:cs="Helvetica"/>
                <w:color w:val="000000"/>
                <w:sz w:val="22"/>
                <w:szCs w:val="22"/>
                <w:lang w:val="en-US"/>
              </w:rPr>
            </w:pPr>
          </w:p>
        </w:tc>
      </w:tr>
      <w:tr w:rsidR="00477630" w14:paraId="500386F9" w14:textId="77777777" w:rsidTr="00A53975">
        <w:tc>
          <w:tcPr>
            <w:tcW w:w="2757" w:type="dxa"/>
          </w:tcPr>
          <w:p w14:paraId="411E6C5F"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5</w:t>
            </w:r>
          </w:p>
        </w:tc>
        <w:tc>
          <w:tcPr>
            <w:tcW w:w="3179" w:type="dxa"/>
          </w:tcPr>
          <w:p w14:paraId="47304D41"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Interpersonal effectiveness</w:t>
            </w:r>
          </w:p>
        </w:tc>
        <w:tc>
          <w:tcPr>
            <w:tcW w:w="3074" w:type="dxa"/>
          </w:tcPr>
          <w:p w14:paraId="2310A12A" w14:textId="77777777" w:rsidR="00477630" w:rsidRDefault="00477630" w:rsidP="00A53975">
            <w:pPr>
              <w:spacing w:line="480" w:lineRule="auto"/>
              <w:rPr>
                <w:rFonts w:ascii="Arial" w:hAnsi="Arial" w:cs="Helvetica"/>
                <w:color w:val="000000"/>
                <w:sz w:val="22"/>
                <w:szCs w:val="22"/>
                <w:lang w:val="en-US"/>
              </w:rPr>
            </w:pPr>
          </w:p>
        </w:tc>
      </w:tr>
      <w:tr w:rsidR="00477630" w14:paraId="31B32888" w14:textId="77777777" w:rsidTr="00A53975">
        <w:tc>
          <w:tcPr>
            <w:tcW w:w="2757" w:type="dxa"/>
          </w:tcPr>
          <w:p w14:paraId="325DD992"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6</w:t>
            </w:r>
          </w:p>
        </w:tc>
        <w:tc>
          <w:tcPr>
            <w:tcW w:w="3179" w:type="dxa"/>
          </w:tcPr>
          <w:p w14:paraId="55708B15"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Eliciting emotional expression</w:t>
            </w:r>
          </w:p>
        </w:tc>
        <w:tc>
          <w:tcPr>
            <w:tcW w:w="3074" w:type="dxa"/>
          </w:tcPr>
          <w:p w14:paraId="599484B0" w14:textId="77777777" w:rsidR="00477630" w:rsidRDefault="00477630" w:rsidP="00A53975">
            <w:pPr>
              <w:spacing w:line="480" w:lineRule="auto"/>
              <w:rPr>
                <w:rFonts w:ascii="Arial" w:hAnsi="Arial" w:cs="Helvetica"/>
                <w:color w:val="000000"/>
                <w:sz w:val="22"/>
                <w:szCs w:val="22"/>
                <w:lang w:val="en-US"/>
              </w:rPr>
            </w:pPr>
          </w:p>
        </w:tc>
      </w:tr>
      <w:tr w:rsidR="00477630" w14:paraId="3F6CDB55" w14:textId="77777777" w:rsidTr="00A53975">
        <w:tc>
          <w:tcPr>
            <w:tcW w:w="2757" w:type="dxa"/>
          </w:tcPr>
          <w:p w14:paraId="4126C605"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7</w:t>
            </w:r>
          </w:p>
        </w:tc>
        <w:tc>
          <w:tcPr>
            <w:tcW w:w="3179" w:type="dxa"/>
          </w:tcPr>
          <w:p w14:paraId="078774C7"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Eliciting key cognitions</w:t>
            </w:r>
          </w:p>
        </w:tc>
        <w:tc>
          <w:tcPr>
            <w:tcW w:w="3074" w:type="dxa"/>
          </w:tcPr>
          <w:p w14:paraId="7297AA4A" w14:textId="77777777" w:rsidR="00477630" w:rsidRDefault="00477630" w:rsidP="00A53975">
            <w:pPr>
              <w:spacing w:line="480" w:lineRule="auto"/>
              <w:rPr>
                <w:rFonts w:ascii="Arial" w:hAnsi="Arial" w:cs="Helvetica"/>
                <w:color w:val="000000"/>
                <w:sz w:val="22"/>
                <w:szCs w:val="22"/>
                <w:lang w:val="en-US"/>
              </w:rPr>
            </w:pPr>
          </w:p>
        </w:tc>
      </w:tr>
      <w:tr w:rsidR="00477630" w14:paraId="3B6EF0EF" w14:textId="77777777" w:rsidTr="00A53975">
        <w:tc>
          <w:tcPr>
            <w:tcW w:w="2757" w:type="dxa"/>
          </w:tcPr>
          <w:p w14:paraId="4E272EDC"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8</w:t>
            </w:r>
          </w:p>
        </w:tc>
        <w:tc>
          <w:tcPr>
            <w:tcW w:w="3179" w:type="dxa"/>
          </w:tcPr>
          <w:p w14:paraId="503D85BD" w14:textId="3471EA8F"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Eliciting &amp;</w:t>
            </w:r>
            <w:r w:rsidR="00537426">
              <w:rPr>
                <w:rFonts w:ascii="Arial" w:hAnsi="Arial" w:cs="Helvetica"/>
                <w:color w:val="000000"/>
                <w:sz w:val="22"/>
                <w:szCs w:val="22"/>
                <w:lang w:val="en-US"/>
              </w:rPr>
              <w:t xml:space="preserve"> </w:t>
            </w:r>
            <w:r>
              <w:rPr>
                <w:rFonts w:ascii="Arial" w:hAnsi="Arial" w:cs="Helvetica"/>
                <w:color w:val="000000"/>
                <w:sz w:val="22"/>
                <w:szCs w:val="22"/>
                <w:lang w:val="en-US"/>
              </w:rPr>
              <w:t>planning behaviours</w:t>
            </w:r>
          </w:p>
        </w:tc>
        <w:tc>
          <w:tcPr>
            <w:tcW w:w="3074" w:type="dxa"/>
          </w:tcPr>
          <w:p w14:paraId="63407900" w14:textId="77777777" w:rsidR="00477630" w:rsidRDefault="00477630" w:rsidP="00A53975">
            <w:pPr>
              <w:spacing w:line="480" w:lineRule="auto"/>
              <w:rPr>
                <w:rFonts w:ascii="Arial" w:hAnsi="Arial" w:cs="Helvetica"/>
                <w:color w:val="000000"/>
                <w:sz w:val="22"/>
                <w:szCs w:val="22"/>
                <w:lang w:val="en-US"/>
              </w:rPr>
            </w:pPr>
          </w:p>
        </w:tc>
      </w:tr>
      <w:tr w:rsidR="00477630" w14:paraId="7142761E" w14:textId="77777777" w:rsidTr="00A53975">
        <w:tc>
          <w:tcPr>
            <w:tcW w:w="2757" w:type="dxa"/>
          </w:tcPr>
          <w:p w14:paraId="2A1DC4F0"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9</w:t>
            </w:r>
          </w:p>
        </w:tc>
        <w:tc>
          <w:tcPr>
            <w:tcW w:w="3179" w:type="dxa"/>
          </w:tcPr>
          <w:p w14:paraId="5318E2EF" w14:textId="244715A5" w:rsidR="00477630" w:rsidRDefault="00477630" w:rsidP="00A53975">
            <w:pPr>
              <w:tabs>
                <w:tab w:val="left" w:pos="1020"/>
              </w:tabs>
              <w:spacing w:line="480" w:lineRule="auto"/>
              <w:rPr>
                <w:rFonts w:ascii="Arial" w:hAnsi="Arial" w:cs="Helvetica"/>
                <w:color w:val="000000"/>
                <w:sz w:val="22"/>
                <w:szCs w:val="22"/>
                <w:lang w:val="en-US"/>
              </w:rPr>
            </w:pPr>
            <w:r>
              <w:rPr>
                <w:rFonts w:ascii="Arial" w:hAnsi="Arial" w:cs="Helvetica"/>
                <w:color w:val="000000"/>
                <w:sz w:val="22"/>
                <w:szCs w:val="22"/>
                <w:lang w:val="en-US"/>
              </w:rPr>
              <w:t xml:space="preserve">Guided </w:t>
            </w:r>
            <w:r w:rsidR="0030203D">
              <w:rPr>
                <w:rFonts w:ascii="Arial" w:hAnsi="Arial" w:cs="Helvetica"/>
                <w:color w:val="000000"/>
                <w:sz w:val="22"/>
                <w:szCs w:val="22"/>
                <w:lang w:val="en-US"/>
              </w:rPr>
              <w:t>d</w:t>
            </w:r>
            <w:r>
              <w:rPr>
                <w:rFonts w:ascii="Arial" w:hAnsi="Arial" w:cs="Helvetica"/>
                <w:color w:val="000000"/>
                <w:sz w:val="22"/>
                <w:szCs w:val="22"/>
                <w:lang w:val="en-US"/>
              </w:rPr>
              <w:t>iscovery</w:t>
            </w:r>
          </w:p>
        </w:tc>
        <w:tc>
          <w:tcPr>
            <w:tcW w:w="3074" w:type="dxa"/>
          </w:tcPr>
          <w:p w14:paraId="7CC6CA0E" w14:textId="77777777" w:rsidR="00477630" w:rsidRDefault="00477630" w:rsidP="00A53975">
            <w:pPr>
              <w:spacing w:line="480" w:lineRule="auto"/>
              <w:rPr>
                <w:rFonts w:ascii="Arial" w:hAnsi="Arial" w:cs="Helvetica"/>
                <w:color w:val="000000"/>
                <w:sz w:val="22"/>
                <w:szCs w:val="22"/>
                <w:lang w:val="en-US"/>
              </w:rPr>
            </w:pPr>
          </w:p>
        </w:tc>
      </w:tr>
      <w:tr w:rsidR="00477630" w14:paraId="00FAB9F4" w14:textId="77777777" w:rsidTr="00A53975">
        <w:tc>
          <w:tcPr>
            <w:tcW w:w="2757" w:type="dxa"/>
          </w:tcPr>
          <w:p w14:paraId="1DBA40A1"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10</w:t>
            </w:r>
          </w:p>
        </w:tc>
        <w:tc>
          <w:tcPr>
            <w:tcW w:w="3179" w:type="dxa"/>
          </w:tcPr>
          <w:p w14:paraId="0D4E3157"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Conceptual integration</w:t>
            </w:r>
          </w:p>
        </w:tc>
        <w:tc>
          <w:tcPr>
            <w:tcW w:w="3074" w:type="dxa"/>
          </w:tcPr>
          <w:p w14:paraId="0BC789B6" w14:textId="77777777" w:rsidR="00477630" w:rsidRDefault="00477630" w:rsidP="00A53975">
            <w:pPr>
              <w:spacing w:line="480" w:lineRule="auto"/>
              <w:rPr>
                <w:rFonts w:ascii="Arial" w:hAnsi="Arial" w:cs="Helvetica"/>
                <w:color w:val="000000"/>
                <w:sz w:val="22"/>
                <w:szCs w:val="22"/>
                <w:lang w:val="en-US"/>
              </w:rPr>
            </w:pPr>
          </w:p>
        </w:tc>
      </w:tr>
      <w:tr w:rsidR="00477630" w14:paraId="157E2411" w14:textId="77777777" w:rsidTr="00A53975">
        <w:tc>
          <w:tcPr>
            <w:tcW w:w="2757" w:type="dxa"/>
          </w:tcPr>
          <w:p w14:paraId="2DBC66E9"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11</w:t>
            </w:r>
          </w:p>
        </w:tc>
        <w:tc>
          <w:tcPr>
            <w:tcW w:w="3179" w:type="dxa"/>
          </w:tcPr>
          <w:p w14:paraId="2FC4C500"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Application of change methods</w:t>
            </w:r>
          </w:p>
        </w:tc>
        <w:tc>
          <w:tcPr>
            <w:tcW w:w="3074" w:type="dxa"/>
          </w:tcPr>
          <w:p w14:paraId="2AC65380" w14:textId="77777777" w:rsidR="00477630" w:rsidRDefault="00477630" w:rsidP="00A53975">
            <w:pPr>
              <w:spacing w:line="480" w:lineRule="auto"/>
              <w:rPr>
                <w:rFonts w:ascii="Arial" w:hAnsi="Arial" w:cs="Helvetica"/>
                <w:color w:val="000000"/>
                <w:sz w:val="22"/>
                <w:szCs w:val="22"/>
                <w:lang w:val="en-US"/>
              </w:rPr>
            </w:pPr>
          </w:p>
        </w:tc>
      </w:tr>
      <w:tr w:rsidR="00477630" w14:paraId="4A3658B1" w14:textId="77777777" w:rsidTr="00A53975">
        <w:tc>
          <w:tcPr>
            <w:tcW w:w="2757" w:type="dxa"/>
          </w:tcPr>
          <w:p w14:paraId="233A51BE"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12</w:t>
            </w:r>
          </w:p>
        </w:tc>
        <w:tc>
          <w:tcPr>
            <w:tcW w:w="3179" w:type="dxa"/>
          </w:tcPr>
          <w:p w14:paraId="0F5EB2A4" w14:textId="77777777" w:rsidR="00477630" w:rsidRDefault="00477630" w:rsidP="00A53975">
            <w:pPr>
              <w:spacing w:line="480" w:lineRule="auto"/>
              <w:rPr>
                <w:rFonts w:ascii="Arial" w:hAnsi="Arial" w:cs="Helvetica"/>
                <w:color w:val="000000"/>
                <w:sz w:val="22"/>
                <w:szCs w:val="22"/>
                <w:lang w:val="en-US"/>
              </w:rPr>
            </w:pPr>
            <w:r>
              <w:rPr>
                <w:rFonts w:ascii="Arial" w:hAnsi="Arial" w:cs="Helvetica"/>
                <w:color w:val="000000"/>
                <w:sz w:val="22"/>
                <w:szCs w:val="22"/>
                <w:lang w:val="en-US"/>
              </w:rPr>
              <w:t>Homework setting</w:t>
            </w:r>
          </w:p>
        </w:tc>
        <w:tc>
          <w:tcPr>
            <w:tcW w:w="3074" w:type="dxa"/>
          </w:tcPr>
          <w:p w14:paraId="3EF7F9C9" w14:textId="77777777" w:rsidR="00477630" w:rsidRDefault="00477630" w:rsidP="00A53975">
            <w:pPr>
              <w:spacing w:line="480" w:lineRule="auto"/>
              <w:rPr>
                <w:rFonts w:ascii="Arial" w:hAnsi="Arial" w:cs="Helvetica"/>
                <w:color w:val="000000"/>
                <w:sz w:val="22"/>
                <w:szCs w:val="22"/>
                <w:lang w:val="en-US"/>
              </w:rPr>
            </w:pPr>
          </w:p>
        </w:tc>
      </w:tr>
    </w:tbl>
    <w:p w14:paraId="21F5572B" w14:textId="77777777" w:rsidR="00477630" w:rsidRDefault="00477630" w:rsidP="00477630">
      <w:pPr>
        <w:spacing w:line="480" w:lineRule="auto"/>
        <w:rPr>
          <w:rFonts w:ascii="Arial" w:hAnsi="Arial" w:cs="Helvetica"/>
          <w:color w:val="000000"/>
          <w:sz w:val="22"/>
          <w:szCs w:val="22"/>
          <w:lang w:val="en-US"/>
        </w:rPr>
      </w:pPr>
    </w:p>
    <w:p w14:paraId="5C1DD06E" w14:textId="77777777" w:rsidR="00477630" w:rsidRDefault="00477630" w:rsidP="00477630">
      <w:pPr>
        <w:spacing w:line="480" w:lineRule="auto"/>
        <w:rPr>
          <w:rFonts w:ascii="Arial" w:hAnsi="Arial" w:cs="Helvetica"/>
          <w:color w:val="000000"/>
          <w:sz w:val="22"/>
          <w:szCs w:val="22"/>
          <w:lang w:val="en-US"/>
        </w:rPr>
      </w:pPr>
    </w:p>
    <w:p w14:paraId="72935473" w14:textId="77777777" w:rsidR="00333D1B" w:rsidRDefault="00333D1B">
      <w:pPr>
        <w:rPr>
          <w:rStyle w:val="Hyperlink"/>
          <w:rFonts w:ascii="Arial" w:eastAsiaTheme="majorEastAsia" w:hAnsi="Arial" w:cs="Arial"/>
          <w:b/>
          <w:bCs/>
          <w:color w:val="000000" w:themeColor="text1"/>
          <w:sz w:val="22"/>
          <w:szCs w:val="22"/>
          <w:u w:val="none"/>
        </w:rPr>
      </w:pPr>
      <w:r>
        <w:rPr>
          <w:rStyle w:val="Hyperlink"/>
          <w:rFonts w:ascii="Arial" w:hAnsi="Arial" w:cs="Arial"/>
          <w:color w:val="000000" w:themeColor="text1"/>
          <w:sz w:val="22"/>
          <w:szCs w:val="22"/>
          <w:u w:val="none"/>
        </w:rPr>
        <w:br w:type="page"/>
      </w:r>
    </w:p>
    <w:p w14:paraId="7ED1F48F" w14:textId="665C00B0" w:rsidR="00477630" w:rsidRPr="00F50DFE" w:rsidRDefault="00477630" w:rsidP="00477630">
      <w:pPr>
        <w:pStyle w:val="Heading3"/>
        <w:rPr>
          <w:rStyle w:val="Hyperlink"/>
          <w:rFonts w:cs="Arial"/>
          <w:color w:val="000000" w:themeColor="text1"/>
          <w:szCs w:val="22"/>
          <w:u w:val="none"/>
        </w:rPr>
      </w:pPr>
      <w:bookmarkStart w:id="91" w:name="_Toc46770729"/>
      <w:bookmarkStart w:id="92" w:name="_Toc79414140"/>
      <w:r w:rsidRPr="00F50DFE">
        <w:rPr>
          <w:rStyle w:val="Hyperlink"/>
          <w:rFonts w:cs="Arial"/>
          <w:color w:val="000000" w:themeColor="text1"/>
          <w:szCs w:val="22"/>
          <w:u w:val="none"/>
        </w:rPr>
        <w:lastRenderedPageBreak/>
        <w:t>2.5.3 Using the CTS-R to assess competence</w:t>
      </w:r>
      <w:bookmarkEnd w:id="91"/>
      <w:bookmarkEnd w:id="92"/>
    </w:p>
    <w:p w14:paraId="57A001AB" w14:textId="77777777" w:rsidR="00477630" w:rsidRPr="00CB251D" w:rsidRDefault="00477630" w:rsidP="00477630"/>
    <w:p w14:paraId="306CD05E" w14:textId="77777777" w:rsidR="00477630" w:rsidRPr="00F50DFE" w:rsidRDefault="00477630" w:rsidP="00477630">
      <w:pPr>
        <w:spacing w:line="480" w:lineRule="auto"/>
        <w:rPr>
          <w:rStyle w:val="Hyperlink"/>
          <w:rFonts w:ascii="Arial" w:hAnsi="Arial" w:cs="Arial"/>
          <w:color w:val="000000" w:themeColor="text1"/>
          <w:sz w:val="22"/>
          <w:szCs w:val="22"/>
          <w:u w:val="none"/>
        </w:rPr>
      </w:pPr>
      <w:r w:rsidRPr="00F50DFE">
        <w:rPr>
          <w:rStyle w:val="Hyperlink"/>
          <w:rFonts w:ascii="Arial" w:hAnsi="Arial" w:cs="Arial"/>
          <w:color w:val="000000" w:themeColor="text1"/>
          <w:sz w:val="22"/>
          <w:szCs w:val="22"/>
          <w:u w:val="none"/>
        </w:rPr>
        <w:t>The CTS-R is used as the summative assessment of therapist competence on IAPT training programmes (Clark, 2018).  Blackburn et al., (2001) produced a manual that accompanies the CTS-R which provides guidance for each of the CTS-R items in terms of identifying examples where a therapist would be given a score 6, 5, 4, 3, 2 or 1.  The manual is used as a tool to provide training to those new to marking and to guide groups of markers when undertaking inter-rater reliability training (Blackburn, James. Baker, Standart, Garland and Reichelt, 2001).  Inter-rater reliability training is important as high inter-rater reliability can be hard to achieve (Blackburn, et al.,2001).  It is necessary for teams of markers to become aware of their own subjective opinions and to receive training on how to identify quantifiable examples of competence on each item of the CTS-R (Blackburn et al., 2001).</w:t>
      </w:r>
    </w:p>
    <w:p w14:paraId="5982786B" w14:textId="77777777" w:rsidR="00477630" w:rsidRDefault="00477630" w:rsidP="00477630">
      <w:pPr>
        <w:spacing w:line="480" w:lineRule="auto"/>
        <w:rPr>
          <w:rStyle w:val="Hyperlink"/>
          <w:rFonts w:ascii="Arial" w:hAnsi="Arial" w:cs="Arial"/>
          <w:color w:val="000000" w:themeColor="text1"/>
          <w:sz w:val="22"/>
          <w:szCs w:val="22"/>
        </w:rPr>
      </w:pPr>
    </w:p>
    <w:p w14:paraId="7D528BA4" w14:textId="4AAFBF5C" w:rsidR="00477630" w:rsidRPr="00F50DFE" w:rsidRDefault="00477630" w:rsidP="00477630">
      <w:pPr>
        <w:spacing w:line="480" w:lineRule="auto"/>
        <w:rPr>
          <w:rStyle w:val="Hyperlink"/>
          <w:rFonts w:ascii="Arial" w:hAnsi="Arial" w:cs="Arial"/>
          <w:color w:val="000000" w:themeColor="text1"/>
          <w:sz w:val="22"/>
          <w:szCs w:val="22"/>
          <w:u w:val="none"/>
        </w:rPr>
      </w:pPr>
      <w:r w:rsidRPr="00F50DFE">
        <w:rPr>
          <w:rStyle w:val="Hyperlink"/>
          <w:rFonts w:ascii="Arial" w:hAnsi="Arial" w:cs="Arial"/>
          <w:color w:val="000000" w:themeColor="text1"/>
          <w:sz w:val="22"/>
          <w:szCs w:val="22"/>
          <w:u w:val="none"/>
        </w:rPr>
        <w:t xml:space="preserve">High Intensity IAPT trainees submit three recording for summative assessment using the CTS-R. Trainees are required to achieve a score of </w:t>
      </w:r>
      <m:oMath>
        <m:r>
          <w:rPr>
            <w:rStyle w:val="Hyperlink"/>
            <w:rFonts w:ascii="Cambria Math" w:hAnsi="Cambria Math" w:cs="Arial"/>
            <w:color w:val="000000" w:themeColor="text1"/>
            <w:sz w:val="22"/>
            <w:szCs w:val="22"/>
            <w:u w:val="none"/>
          </w:rPr>
          <m:t>≥</m:t>
        </m:r>
      </m:oMath>
      <w:r w:rsidRPr="00F50DFE">
        <w:rPr>
          <w:rStyle w:val="Hyperlink"/>
          <w:rFonts w:ascii="Arial" w:hAnsi="Arial" w:cs="Arial"/>
          <w:color w:val="000000" w:themeColor="text1"/>
          <w:sz w:val="22"/>
          <w:szCs w:val="22"/>
          <w:u w:val="none"/>
        </w:rPr>
        <w:t xml:space="preserve">40% on the first summative CTS-R, followed by a score of </w:t>
      </w:r>
      <m:oMath>
        <m:r>
          <w:rPr>
            <w:rStyle w:val="Hyperlink"/>
            <w:rFonts w:ascii="Cambria Math" w:hAnsi="Cambria Math" w:cs="Arial"/>
            <w:color w:val="000000" w:themeColor="text1"/>
            <w:sz w:val="22"/>
            <w:szCs w:val="22"/>
            <w:u w:val="none"/>
          </w:rPr>
          <m:t>≥</m:t>
        </m:r>
      </m:oMath>
      <w:r w:rsidRPr="00F50DFE">
        <w:rPr>
          <w:rStyle w:val="Hyperlink"/>
          <w:rFonts w:ascii="Arial" w:hAnsi="Arial" w:cs="Arial"/>
          <w:color w:val="000000" w:themeColor="text1"/>
          <w:sz w:val="22"/>
          <w:szCs w:val="22"/>
          <w:u w:val="none"/>
        </w:rPr>
        <w:t>50% on the subsequent 2 CTS-Rs (</w:t>
      </w:r>
      <w:hyperlink r:id="rId25" w:history="1">
        <w:r w:rsidRPr="00F50DFE">
          <w:rPr>
            <w:rStyle w:val="Hyperlink"/>
            <w:rFonts w:ascii="Arial" w:hAnsi="Arial" w:cs="Arial"/>
            <w:sz w:val="22"/>
            <w:szCs w:val="22"/>
            <w:u w:val="none"/>
          </w:rPr>
          <w:t>www.exeter.ac.uk</w:t>
        </w:r>
      </w:hyperlink>
      <w:r w:rsidRPr="00F50DFE">
        <w:rPr>
          <w:rStyle w:val="Hyperlink"/>
          <w:rFonts w:ascii="Arial" w:hAnsi="Arial" w:cs="Arial"/>
          <w:color w:val="000000" w:themeColor="text1"/>
          <w:sz w:val="22"/>
          <w:szCs w:val="22"/>
          <w:u w:val="none"/>
        </w:rPr>
        <w:t>). Trainees submit recordings of therapy sessions to be assessed by the High Intensity IAPT training programme teaching team.  Trainees self-select recordings on the basis that they perceive that the recording provides a good example of where they are demonstrating competency in relation to fidelity to the CBT model. Self-selection of recordings has been criticised as it is likely that the recordings are not wholly representative of the trainees’ clinical work (</w:t>
      </w:r>
      <w:r w:rsidR="00103A5E">
        <w:rPr>
          <w:rStyle w:val="Hyperlink"/>
          <w:rFonts w:ascii="Arial" w:hAnsi="Arial" w:cs="Arial"/>
          <w:color w:val="000000" w:themeColor="text1"/>
          <w:sz w:val="22"/>
          <w:szCs w:val="22"/>
          <w:u w:val="none"/>
        </w:rPr>
        <w:t>Walfish, McAlister, O’Donnell and Lambert, 2012</w:t>
      </w:r>
      <w:r w:rsidRPr="00F50DFE">
        <w:rPr>
          <w:rStyle w:val="Hyperlink"/>
          <w:rFonts w:ascii="Arial" w:hAnsi="Arial" w:cs="Arial"/>
          <w:color w:val="000000" w:themeColor="text1"/>
          <w:sz w:val="22"/>
          <w:szCs w:val="22"/>
          <w:u w:val="none"/>
        </w:rPr>
        <w:t xml:space="preserve">). </w:t>
      </w:r>
      <w:r w:rsidR="00030708" w:rsidRPr="00F50DFE">
        <w:rPr>
          <w:rStyle w:val="Hyperlink"/>
          <w:rFonts w:ascii="Arial" w:hAnsi="Arial" w:cs="Arial"/>
          <w:color w:val="000000" w:themeColor="text1"/>
          <w:sz w:val="22"/>
          <w:szCs w:val="22"/>
          <w:u w:val="none"/>
        </w:rPr>
        <w:t xml:space="preserve">This issue is discussed further in chapters </w:t>
      </w:r>
      <w:r w:rsidR="00030708">
        <w:rPr>
          <w:rStyle w:val="Hyperlink"/>
          <w:rFonts w:ascii="Arial" w:hAnsi="Arial" w:cs="Arial"/>
          <w:color w:val="000000" w:themeColor="text1"/>
          <w:sz w:val="22"/>
          <w:szCs w:val="22"/>
          <w:u w:val="none"/>
        </w:rPr>
        <w:t>six</w:t>
      </w:r>
      <w:r w:rsidR="00030708" w:rsidRPr="00F50DFE">
        <w:rPr>
          <w:rStyle w:val="Hyperlink"/>
          <w:rFonts w:ascii="Arial" w:hAnsi="Arial" w:cs="Arial"/>
          <w:color w:val="000000" w:themeColor="text1"/>
          <w:sz w:val="22"/>
          <w:szCs w:val="22"/>
          <w:u w:val="none"/>
        </w:rPr>
        <w:t xml:space="preserve"> and </w:t>
      </w:r>
      <w:r w:rsidR="00030708">
        <w:rPr>
          <w:rStyle w:val="Hyperlink"/>
          <w:rFonts w:ascii="Arial" w:hAnsi="Arial" w:cs="Arial"/>
          <w:color w:val="000000" w:themeColor="text1"/>
          <w:sz w:val="22"/>
          <w:szCs w:val="22"/>
          <w:u w:val="none"/>
        </w:rPr>
        <w:t xml:space="preserve">seven </w:t>
      </w:r>
      <w:r w:rsidR="00030708" w:rsidRPr="00F50DFE">
        <w:rPr>
          <w:rStyle w:val="Hyperlink"/>
          <w:rFonts w:ascii="Arial" w:hAnsi="Arial" w:cs="Arial"/>
          <w:color w:val="000000" w:themeColor="text1"/>
          <w:sz w:val="22"/>
          <w:szCs w:val="22"/>
          <w:u w:val="none"/>
        </w:rPr>
        <w:t xml:space="preserve">of this thesis. </w:t>
      </w:r>
      <w:r w:rsidRPr="00F50DFE">
        <w:rPr>
          <w:rStyle w:val="Hyperlink"/>
          <w:rFonts w:ascii="Arial" w:hAnsi="Arial" w:cs="Arial"/>
          <w:color w:val="000000" w:themeColor="text1"/>
          <w:sz w:val="22"/>
          <w:szCs w:val="22"/>
          <w:u w:val="none"/>
        </w:rPr>
        <w:t>Each submitted recording is rated, using the CTS-R, by two markers and then moderated by a third marker.  Where the first two markers are unable to reach an agreement</w:t>
      </w:r>
      <w:r w:rsidR="00E46805">
        <w:rPr>
          <w:rStyle w:val="Hyperlink"/>
          <w:rFonts w:ascii="Arial" w:hAnsi="Arial" w:cs="Arial"/>
          <w:color w:val="000000" w:themeColor="text1"/>
          <w:sz w:val="22"/>
          <w:szCs w:val="22"/>
          <w:u w:val="none"/>
        </w:rPr>
        <w:t>,</w:t>
      </w:r>
      <w:r w:rsidRPr="00F50DFE">
        <w:rPr>
          <w:rStyle w:val="Hyperlink"/>
          <w:rFonts w:ascii="Arial" w:hAnsi="Arial" w:cs="Arial"/>
          <w:color w:val="000000" w:themeColor="text1"/>
          <w:sz w:val="22"/>
          <w:szCs w:val="22"/>
          <w:u w:val="none"/>
        </w:rPr>
        <w:t xml:space="preserve"> the third marker makes a final decision.  Where the trainee achieve</w:t>
      </w:r>
      <w:r w:rsidR="009B055E">
        <w:rPr>
          <w:rStyle w:val="Hyperlink"/>
          <w:rFonts w:ascii="Arial" w:hAnsi="Arial" w:cs="Arial"/>
          <w:color w:val="000000" w:themeColor="text1"/>
          <w:sz w:val="22"/>
          <w:szCs w:val="22"/>
          <w:u w:val="none"/>
        </w:rPr>
        <w:t>s</w:t>
      </w:r>
      <w:r w:rsidRPr="00F50DFE">
        <w:rPr>
          <w:rStyle w:val="Hyperlink"/>
          <w:rFonts w:ascii="Arial" w:hAnsi="Arial" w:cs="Arial"/>
          <w:color w:val="000000" w:themeColor="text1"/>
          <w:sz w:val="22"/>
          <w:szCs w:val="22"/>
          <w:u w:val="none"/>
        </w:rPr>
        <w:t xml:space="preserve"> the final pass mark for all three CTS-Rs they are deemed to be competent (Williams, Moorey and Cobb, 1991, Branson and Shafran, 2015, Liness, Lea, Nestler, Parker and Clark, 2016 and Clark, 2018).</w:t>
      </w:r>
      <w:r w:rsidR="009B055E">
        <w:rPr>
          <w:rStyle w:val="Hyperlink"/>
          <w:rFonts w:ascii="Arial" w:hAnsi="Arial" w:cs="Arial"/>
          <w:color w:val="000000" w:themeColor="text1"/>
          <w:sz w:val="22"/>
          <w:szCs w:val="22"/>
          <w:u w:val="none"/>
        </w:rPr>
        <w:t xml:space="preserve"> Whilst the CTS-R is used to assess competence on all IAPT training </w:t>
      </w:r>
      <w:r w:rsidR="009B055E">
        <w:rPr>
          <w:rStyle w:val="Hyperlink"/>
          <w:rFonts w:ascii="Arial" w:hAnsi="Arial" w:cs="Arial"/>
          <w:color w:val="000000" w:themeColor="text1"/>
          <w:sz w:val="22"/>
          <w:szCs w:val="22"/>
          <w:u w:val="none"/>
        </w:rPr>
        <w:lastRenderedPageBreak/>
        <w:t xml:space="preserve">programmes and is widely used in other settings too, its use as a tool to assess therapist competence could be debated. The </w:t>
      </w:r>
      <w:r w:rsidR="00810B47">
        <w:rPr>
          <w:rStyle w:val="Hyperlink"/>
          <w:rFonts w:ascii="Arial" w:hAnsi="Arial" w:cs="Arial"/>
          <w:color w:val="000000" w:themeColor="text1"/>
          <w:sz w:val="22"/>
          <w:szCs w:val="22"/>
          <w:u w:val="none"/>
        </w:rPr>
        <w:t xml:space="preserve">original Cognitive Therapy Scale </w:t>
      </w:r>
      <w:r w:rsidR="009B055E">
        <w:rPr>
          <w:rStyle w:val="Hyperlink"/>
          <w:rFonts w:ascii="Arial" w:hAnsi="Arial" w:cs="Arial"/>
          <w:color w:val="000000" w:themeColor="text1"/>
          <w:sz w:val="22"/>
          <w:szCs w:val="22"/>
          <w:u w:val="none"/>
        </w:rPr>
        <w:t xml:space="preserve">was developed </w:t>
      </w:r>
      <w:r w:rsidR="00810B47">
        <w:rPr>
          <w:rStyle w:val="Hyperlink"/>
          <w:rFonts w:ascii="Arial" w:hAnsi="Arial" w:cs="Arial"/>
          <w:color w:val="000000" w:themeColor="text1"/>
          <w:sz w:val="22"/>
          <w:szCs w:val="22"/>
          <w:u w:val="none"/>
        </w:rPr>
        <w:t>as part of the National Institute of Mental Health Treatment of Depression Collaborative Research Programme (Vallis, Shaw and Dobson, 1986). Therefore, it was designed to assess therapist competence in the treatment of depression for a large research trial. It was not designed as a formative or summative assessment tool in Higher Education. The revised version of the CTS (the CTS-R) varies very little from the original version, although it was used by the authors of the tool to assess whether they demonstrated an improvement on the CTS-R as their training progressed (Blackburn et al., 2001). This may be the rationale for using it in Higher Education now</w:t>
      </w:r>
      <w:r w:rsidR="00375EA0">
        <w:rPr>
          <w:rStyle w:val="Hyperlink"/>
          <w:rFonts w:ascii="Arial" w:hAnsi="Arial" w:cs="Arial"/>
          <w:color w:val="000000" w:themeColor="text1"/>
          <w:sz w:val="22"/>
          <w:szCs w:val="22"/>
          <w:u w:val="none"/>
        </w:rPr>
        <w:t>,</w:t>
      </w:r>
      <w:r w:rsidR="00810B47">
        <w:rPr>
          <w:rStyle w:val="Hyperlink"/>
          <w:rFonts w:ascii="Arial" w:hAnsi="Arial" w:cs="Arial"/>
          <w:color w:val="000000" w:themeColor="text1"/>
          <w:sz w:val="22"/>
          <w:szCs w:val="22"/>
          <w:u w:val="none"/>
        </w:rPr>
        <w:t xml:space="preserve"> but its efficacy remains in doubt (Muse and McManus, 2013). Regardless of the arguments that suggest the CTS-R may not be the right instrument to assess therapist competence</w:t>
      </w:r>
      <w:r w:rsidR="00E46805">
        <w:rPr>
          <w:rStyle w:val="Hyperlink"/>
          <w:rFonts w:ascii="Arial" w:hAnsi="Arial" w:cs="Arial"/>
          <w:color w:val="000000" w:themeColor="text1"/>
          <w:sz w:val="22"/>
          <w:szCs w:val="22"/>
          <w:u w:val="none"/>
        </w:rPr>
        <w:t>,</w:t>
      </w:r>
      <w:r w:rsidR="00810B47">
        <w:rPr>
          <w:rStyle w:val="Hyperlink"/>
          <w:rFonts w:ascii="Arial" w:hAnsi="Arial" w:cs="Arial"/>
          <w:color w:val="000000" w:themeColor="text1"/>
          <w:sz w:val="22"/>
          <w:szCs w:val="22"/>
          <w:u w:val="none"/>
        </w:rPr>
        <w:t xml:space="preserve"> it remains the instrument of choice </w:t>
      </w:r>
      <w:r w:rsidR="007B1523">
        <w:rPr>
          <w:rStyle w:val="Hyperlink"/>
          <w:rFonts w:ascii="Arial" w:hAnsi="Arial" w:cs="Arial"/>
          <w:color w:val="000000" w:themeColor="text1"/>
          <w:sz w:val="22"/>
          <w:szCs w:val="22"/>
          <w:u w:val="none"/>
        </w:rPr>
        <w:t xml:space="preserve">pending the development </w:t>
      </w:r>
      <w:r w:rsidR="00B91D38" w:rsidRPr="005144E4">
        <w:rPr>
          <w:rStyle w:val="Hyperlink"/>
          <w:rFonts w:ascii="Arial" w:hAnsi="Arial" w:cs="Arial"/>
          <w:color w:val="000000" w:themeColor="text1"/>
          <w:sz w:val="22"/>
          <w:szCs w:val="22"/>
          <w:u w:val="none"/>
        </w:rPr>
        <w:t>and adoption</w:t>
      </w:r>
      <w:r w:rsidR="00B91D38">
        <w:rPr>
          <w:rStyle w:val="Hyperlink"/>
          <w:rFonts w:ascii="Arial" w:hAnsi="Arial" w:cs="Arial"/>
          <w:color w:val="000000" w:themeColor="text1"/>
          <w:sz w:val="22"/>
          <w:szCs w:val="22"/>
          <w:u w:val="none"/>
        </w:rPr>
        <w:t xml:space="preserve"> </w:t>
      </w:r>
      <w:r w:rsidR="007B1523">
        <w:rPr>
          <w:rStyle w:val="Hyperlink"/>
          <w:rFonts w:ascii="Arial" w:hAnsi="Arial" w:cs="Arial"/>
          <w:color w:val="000000" w:themeColor="text1"/>
          <w:sz w:val="22"/>
          <w:szCs w:val="22"/>
          <w:u w:val="none"/>
        </w:rPr>
        <w:t>of a more effective tool.</w:t>
      </w:r>
    </w:p>
    <w:p w14:paraId="62C40C8F" w14:textId="77777777" w:rsidR="00477630" w:rsidRPr="00F50DFE" w:rsidRDefault="00477630" w:rsidP="00477630">
      <w:pPr>
        <w:spacing w:line="480" w:lineRule="auto"/>
        <w:rPr>
          <w:rStyle w:val="Hyperlink"/>
          <w:rFonts w:ascii="Arial" w:hAnsi="Arial" w:cs="Arial"/>
          <w:color w:val="000000" w:themeColor="text1"/>
          <w:sz w:val="22"/>
          <w:szCs w:val="22"/>
          <w:u w:val="none"/>
        </w:rPr>
      </w:pPr>
    </w:p>
    <w:p w14:paraId="1622BF11" w14:textId="59530BCF" w:rsidR="00477630" w:rsidRPr="00F50DFE" w:rsidRDefault="00477630" w:rsidP="00477630">
      <w:pPr>
        <w:spacing w:line="480" w:lineRule="auto"/>
        <w:rPr>
          <w:rStyle w:val="Hyperlink"/>
          <w:rFonts w:ascii="Arial" w:hAnsi="Arial" w:cs="Arial"/>
          <w:color w:val="000000" w:themeColor="text1"/>
          <w:sz w:val="22"/>
          <w:szCs w:val="22"/>
          <w:u w:val="none"/>
        </w:rPr>
      </w:pPr>
      <w:r w:rsidRPr="00F50DFE">
        <w:rPr>
          <w:rStyle w:val="Hyperlink"/>
          <w:rFonts w:ascii="Arial" w:hAnsi="Arial" w:cs="Arial"/>
          <w:color w:val="000000" w:themeColor="text1"/>
          <w:sz w:val="22"/>
          <w:szCs w:val="22"/>
          <w:u w:val="none"/>
        </w:rPr>
        <w:t xml:space="preserve">The full version of the CTS-R </w:t>
      </w:r>
      <w:r w:rsidR="00325B0A">
        <w:rPr>
          <w:rStyle w:val="Hyperlink"/>
          <w:rFonts w:ascii="Arial" w:hAnsi="Arial" w:cs="Arial"/>
          <w:color w:val="000000" w:themeColor="text1"/>
          <w:sz w:val="22"/>
          <w:szCs w:val="22"/>
          <w:u w:val="none"/>
        </w:rPr>
        <w:t xml:space="preserve">can be found as </w:t>
      </w:r>
      <w:r w:rsidR="00D6532F">
        <w:rPr>
          <w:rStyle w:val="Hyperlink"/>
          <w:rFonts w:ascii="Arial" w:hAnsi="Arial" w:cs="Arial"/>
          <w:color w:val="000000" w:themeColor="text1"/>
          <w:sz w:val="22"/>
          <w:szCs w:val="22"/>
          <w:u w:val="none"/>
        </w:rPr>
        <w:t>appendix item 6.</w:t>
      </w:r>
    </w:p>
    <w:p w14:paraId="3BC7D8AD" w14:textId="77777777" w:rsidR="00477630" w:rsidRPr="00F50DFE" w:rsidRDefault="00477630" w:rsidP="00477630">
      <w:pPr>
        <w:pStyle w:val="Heading3"/>
        <w:rPr>
          <w:rStyle w:val="Hyperlink"/>
          <w:rFonts w:cs="Arial"/>
          <w:color w:val="000000" w:themeColor="text1"/>
          <w:szCs w:val="22"/>
          <w:u w:val="none"/>
        </w:rPr>
      </w:pPr>
      <w:bookmarkStart w:id="93" w:name="_Toc46770730"/>
      <w:bookmarkStart w:id="94" w:name="_Toc79414141"/>
      <w:r w:rsidRPr="00F50DFE">
        <w:rPr>
          <w:rStyle w:val="Hyperlink"/>
          <w:rFonts w:cs="Arial"/>
          <w:color w:val="000000" w:themeColor="text1"/>
          <w:szCs w:val="22"/>
          <w:u w:val="none"/>
        </w:rPr>
        <w:t>2.5.4 Using written work to assess adherence: Roth and Pilling (2008) competencies</w:t>
      </w:r>
      <w:bookmarkEnd w:id="93"/>
      <w:bookmarkEnd w:id="94"/>
    </w:p>
    <w:p w14:paraId="7CD04859" w14:textId="77777777" w:rsidR="00477630" w:rsidRDefault="00477630" w:rsidP="00477630">
      <w:pPr>
        <w:spacing w:line="480" w:lineRule="auto"/>
        <w:rPr>
          <w:rStyle w:val="Hyperlink"/>
          <w:rFonts w:ascii="Arial" w:hAnsi="Arial" w:cs="Arial"/>
          <w:color w:val="000000" w:themeColor="text1"/>
          <w:sz w:val="22"/>
          <w:szCs w:val="22"/>
        </w:rPr>
      </w:pPr>
    </w:p>
    <w:p w14:paraId="5D7486ED" w14:textId="52F568BE" w:rsidR="00477630" w:rsidRPr="00F50DFE" w:rsidRDefault="00477630" w:rsidP="00477630">
      <w:pPr>
        <w:spacing w:line="480" w:lineRule="auto"/>
      </w:pPr>
      <w:r w:rsidRPr="00F50DFE">
        <w:rPr>
          <w:rStyle w:val="Hyperlink"/>
          <w:rFonts w:ascii="Arial" w:hAnsi="Arial" w:cs="Arial"/>
          <w:color w:val="000000" w:themeColor="text1"/>
          <w:sz w:val="22"/>
          <w:szCs w:val="22"/>
          <w:u w:val="none"/>
        </w:rPr>
        <w:t>Whil</w:t>
      </w:r>
      <w:r w:rsidR="00E46805">
        <w:rPr>
          <w:rStyle w:val="Hyperlink"/>
          <w:rFonts w:ascii="Arial" w:hAnsi="Arial" w:cs="Arial"/>
          <w:color w:val="000000" w:themeColor="text1"/>
          <w:sz w:val="22"/>
          <w:szCs w:val="22"/>
          <w:u w:val="none"/>
        </w:rPr>
        <w:t>e</w:t>
      </w:r>
      <w:r w:rsidRPr="00F50DFE">
        <w:rPr>
          <w:rStyle w:val="Hyperlink"/>
          <w:rFonts w:ascii="Arial" w:hAnsi="Arial" w:cs="Arial"/>
          <w:color w:val="000000" w:themeColor="text1"/>
          <w:sz w:val="22"/>
          <w:szCs w:val="22"/>
          <w:u w:val="none"/>
        </w:rPr>
        <w:t xml:space="preserve"> the assessment of trainee competence, using the CTS-R</w:t>
      </w:r>
      <w:r w:rsidR="00E46805">
        <w:rPr>
          <w:rStyle w:val="Hyperlink"/>
          <w:rFonts w:ascii="Arial" w:hAnsi="Arial" w:cs="Arial"/>
          <w:color w:val="000000" w:themeColor="text1"/>
          <w:sz w:val="22"/>
          <w:szCs w:val="22"/>
          <w:u w:val="none"/>
        </w:rPr>
        <w:t>,</w:t>
      </w:r>
      <w:r w:rsidRPr="00F50DFE">
        <w:rPr>
          <w:rStyle w:val="Hyperlink"/>
          <w:rFonts w:ascii="Arial" w:hAnsi="Arial" w:cs="Arial"/>
          <w:color w:val="000000" w:themeColor="text1"/>
          <w:sz w:val="22"/>
          <w:szCs w:val="22"/>
          <w:u w:val="none"/>
        </w:rPr>
        <w:t xml:space="preserve"> is well established, the assessment of a trainee’s ability to deliver CBT whilst adhering to a disorder specific  protocol is less clear. Roth and Pilling (2008)</w:t>
      </w:r>
      <w:r w:rsidR="00DD38EE">
        <w:rPr>
          <w:rStyle w:val="Hyperlink"/>
          <w:rFonts w:ascii="ZWAdobeF" w:hAnsi="ZWAdobeF" w:cs="ZWAdobeF"/>
          <w:color w:val="auto"/>
          <w:sz w:val="2"/>
          <w:szCs w:val="2"/>
          <w:u w:val="none"/>
        </w:rPr>
        <w:t>2F</w:t>
      </w:r>
      <w:r w:rsidR="00853D39">
        <w:rPr>
          <w:rStyle w:val="FootnoteReference"/>
          <w:rFonts w:ascii="Arial" w:hAnsi="Arial" w:cs="Arial"/>
          <w:color w:val="000000" w:themeColor="text1"/>
          <w:sz w:val="22"/>
          <w:szCs w:val="22"/>
        </w:rPr>
        <w:footnoteReference w:id="4"/>
      </w:r>
      <w:r w:rsidRPr="00F50DFE">
        <w:rPr>
          <w:rStyle w:val="Hyperlink"/>
          <w:rFonts w:ascii="Arial" w:hAnsi="Arial" w:cs="Arial"/>
          <w:color w:val="000000" w:themeColor="text1"/>
          <w:sz w:val="22"/>
          <w:szCs w:val="22"/>
          <w:u w:val="none"/>
        </w:rPr>
        <w:t xml:space="preserve"> have provided very detailed clinical competencies for each of the disorder specific protocols taught on the IAPT training programme and these are used to inform the IAPT training curricula (Clark, 2018)</w:t>
      </w:r>
      <w:r w:rsidR="00E46805">
        <w:rPr>
          <w:rStyle w:val="Hyperlink"/>
          <w:rFonts w:ascii="Arial" w:hAnsi="Arial" w:cs="Arial"/>
          <w:color w:val="000000" w:themeColor="text1"/>
          <w:sz w:val="22"/>
          <w:szCs w:val="22"/>
          <w:u w:val="none"/>
        </w:rPr>
        <w:t>. H</w:t>
      </w:r>
      <w:r w:rsidRPr="00F50DFE">
        <w:rPr>
          <w:rStyle w:val="Hyperlink"/>
          <w:rFonts w:ascii="Arial" w:hAnsi="Arial" w:cs="Arial"/>
          <w:color w:val="000000" w:themeColor="text1"/>
          <w:sz w:val="22"/>
          <w:szCs w:val="22"/>
          <w:u w:val="none"/>
        </w:rPr>
        <w:t>owever</w:t>
      </w:r>
      <w:r w:rsidR="00E46805">
        <w:rPr>
          <w:rStyle w:val="Hyperlink"/>
          <w:rFonts w:ascii="Arial" w:hAnsi="Arial" w:cs="Arial"/>
          <w:color w:val="000000" w:themeColor="text1"/>
          <w:sz w:val="22"/>
          <w:szCs w:val="22"/>
          <w:u w:val="none"/>
        </w:rPr>
        <w:t>,</w:t>
      </w:r>
      <w:r w:rsidRPr="00F50DFE">
        <w:rPr>
          <w:rStyle w:val="Hyperlink"/>
          <w:rFonts w:ascii="Arial" w:hAnsi="Arial" w:cs="Arial"/>
          <w:color w:val="000000" w:themeColor="text1"/>
          <w:sz w:val="22"/>
          <w:szCs w:val="22"/>
          <w:u w:val="none"/>
        </w:rPr>
        <w:t xml:space="preserve"> </w:t>
      </w:r>
      <w:r w:rsidRPr="00F50DFE">
        <w:rPr>
          <w:rStyle w:val="Hyperlink"/>
          <w:rFonts w:ascii="Arial" w:hAnsi="Arial" w:cs="Arial"/>
          <w:color w:val="000000" w:themeColor="text1"/>
          <w:sz w:val="22"/>
          <w:szCs w:val="22"/>
          <w:u w:val="none"/>
        </w:rPr>
        <w:lastRenderedPageBreak/>
        <w:t xml:space="preserve">the summative assessment of adherence to any of the taught protocols is undertaken via the trainee’s written work. One of the case reports that a trainee submits describes a whole episode of care with one patient and this is used, in part, to assess the trainee’s theoretical understanding of that particular protocol.  Additionally, trainees are required to submit essays on the evidence base for the treatment of anxiety disorders and depression and these too are used to assess the trainees’ theoretical understanding of each protocol.  At the current time there is no summative assessment of clinical practice in relation to a therapist’s ability to apply their theoretical knowledge, in relation to each protocol, with patients. </w:t>
      </w:r>
      <w:r w:rsidR="00F235A9">
        <w:rPr>
          <w:rStyle w:val="Hyperlink"/>
          <w:rFonts w:ascii="Arial" w:hAnsi="Arial" w:cs="Arial"/>
          <w:color w:val="000000" w:themeColor="text1"/>
          <w:sz w:val="22"/>
          <w:szCs w:val="22"/>
          <w:u w:val="none"/>
        </w:rPr>
        <w:t xml:space="preserve"> This thesis will argue that</w:t>
      </w:r>
      <w:r w:rsidR="00F95CDD">
        <w:rPr>
          <w:rStyle w:val="Hyperlink"/>
          <w:rFonts w:ascii="Arial" w:hAnsi="Arial" w:cs="Arial"/>
          <w:color w:val="000000" w:themeColor="text1"/>
          <w:sz w:val="22"/>
          <w:szCs w:val="22"/>
          <w:u w:val="none"/>
        </w:rPr>
        <w:t xml:space="preserve"> the premise that the </w:t>
      </w:r>
      <w:r w:rsidR="00E65697">
        <w:rPr>
          <w:rStyle w:val="Hyperlink"/>
          <w:rFonts w:ascii="Arial" w:hAnsi="Arial" w:cs="Arial"/>
          <w:color w:val="000000" w:themeColor="text1"/>
          <w:sz w:val="22"/>
          <w:szCs w:val="22"/>
          <w:u w:val="none"/>
        </w:rPr>
        <w:t xml:space="preserve">efficacy of the </w:t>
      </w:r>
      <w:r w:rsidR="00F95CDD">
        <w:rPr>
          <w:rStyle w:val="Hyperlink"/>
          <w:rFonts w:ascii="Arial" w:hAnsi="Arial" w:cs="Arial"/>
          <w:color w:val="000000" w:themeColor="text1"/>
          <w:sz w:val="22"/>
          <w:szCs w:val="22"/>
          <w:u w:val="none"/>
        </w:rPr>
        <w:t xml:space="preserve">evidence-based protocols would </w:t>
      </w:r>
      <w:r w:rsidR="00E65697">
        <w:rPr>
          <w:rStyle w:val="Hyperlink"/>
          <w:rFonts w:ascii="Arial" w:hAnsi="Arial" w:cs="Arial"/>
          <w:color w:val="000000" w:themeColor="text1"/>
          <w:sz w:val="22"/>
          <w:szCs w:val="22"/>
          <w:u w:val="none"/>
        </w:rPr>
        <w:t>generalise to real</w:t>
      </w:r>
      <w:r w:rsidR="0023735D">
        <w:rPr>
          <w:rStyle w:val="Hyperlink"/>
          <w:rFonts w:ascii="Arial" w:hAnsi="Arial" w:cs="Arial"/>
          <w:color w:val="000000" w:themeColor="text1"/>
          <w:sz w:val="22"/>
          <w:szCs w:val="22"/>
          <w:u w:val="none"/>
        </w:rPr>
        <w:t>-</w:t>
      </w:r>
      <w:r w:rsidR="00E65697">
        <w:rPr>
          <w:rStyle w:val="Hyperlink"/>
          <w:rFonts w:ascii="Arial" w:hAnsi="Arial" w:cs="Arial"/>
          <w:color w:val="000000" w:themeColor="text1"/>
          <w:sz w:val="22"/>
          <w:szCs w:val="22"/>
          <w:u w:val="none"/>
        </w:rPr>
        <w:t xml:space="preserve">world settings and that </w:t>
      </w:r>
      <w:r w:rsidR="000655F8">
        <w:rPr>
          <w:rStyle w:val="Hyperlink"/>
          <w:rFonts w:ascii="Arial" w:hAnsi="Arial" w:cs="Arial"/>
          <w:color w:val="000000" w:themeColor="text1"/>
          <w:sz w:val="22"/>
          <w:szCs w:val="22"/>
          <w:u w:val="none"/>
        </w:rPr>
        <w:t xml:space="preserve">it was possible to teach trainees to deliver the protocols </w:t>
      </w:r>
      <w:r w:rsidR="0010252A">
        <w:rPr>
          <w:rStyle w:val="Hyperlink"/>
          <w:rFonts w:ascii="Arial" w:hAnsi="Arial" w:cs="Arial"/>
          <w:color w:val="000000" w:themeColor="text1"/>
          <w:sz w:val="22"/>
          <w:szCs w:val="22"/>
          <w:u w:val="none"/>
        </w:rPr>
        <w:t xml:space="preserve">on a </w:t>
      </w:r>
      <w:r w:rsidR="00030708">
        <w:rPr>
          <w:rStyle w:val="Hyperlink"/>
          <w:rFonts w:ascii="Arial" w:hAnsi="Arial" w:cs="Arial"/>
          <w:color w:val="000000" w:themeColor="text1"/>
          <w:sz w:val="22"/>
          <w:szCs w:val="22"/>
          <w:u w:val="none"/>
        </w:rPr>
        <w:t>12-month</w:t>
      </w:r>
      <w:r w:rsidR="0010252A">
        <w:rPr>
          <w:rStyle w:val="Hyperlink"/>
          <w:rFonts w:ascii="Arial" w:hAnsi="Arial" w:cs="Arial"/>
          <w:color w:val="000000" w:themeColor="text1"/>
          <w:sz w:val="22"/>
          <w:szCs w:val="22"/>
          <w:u w:val="none"/>
        </w:rPr>
        <w:t xml:space="preserve"> training programme may be questionable.  Chapter</w:t>
      </w:r>
      <w:r w:rsidR="00E0696E">
        <w:rPr>
          <w:rStyle w:val="Hyperlink"/>
          <w:rFonts w:ascii="Arial" w:hAnsi="Arial" w:cs="Arial"/>
          <w:color w:val="000000" w:themeColor="text1"/>
          <w:sz w:val="22"/>
          <w:szCs w:val="22"/>
          <w:u w:val="none"/>
        </w:rPr>
        <w:t xml:space="preserve">s 6 and 7 of this thesis will explore the issue of </w:t>
      </w:r>
      <w:r w:rsidR="003F1B4A">
        <w:rPr>
          <w:rStyle w:val="Hyperlink"/>
          <w:rFonts w:ascii="Arial" w:hAnsi="Arial" w:cs="Arial"/>
          <w:color w:val="000000" w:themeColor="text1"/>
          <w:sz w:val="22"/>
          <w:szCs w:val="22"/>
          <w:u w:val="none"/>
        </w:rPr>
        <w:t xml:space="preserve">the current methods used to </w:t>
      </w:r>
      <w:r w:rsidR="00E0696E">
        <w:rPr>
          <w:rStyle w:val="Hyperlink"/>
          <w:rFonts w:ascii="Arial" w:hAnsi="Arial" w:cs="Arial"/>
          <w:color w:val="000000" w:themeColor="text1"/>
          <w:sz w:val="22"/>
          <w:szCs w:val="22"/>
          <w:u w:val="none"/>
        </w:rPr>
        <w:t>assess trainee (and qualified</w:t>
      </w:r>
      <w:r w:rsidR="003F1B4A">
        <w:rPr>
          <w:rStyle w:val="Hyperlink"/>
          <w:rFonts w:ascii="Arial" w:hAnsi="Arial" w:cs="Arial"/>
          <w:color w:val="000000" w:themeColor="text1"/>
          <w:sz w:val="22"/>
          <w:szCs w:val="22"/>
          <w:u w:val="none"/>
        </w:rPr>
        <w:t xml:space="preserve">) therapists’ adherence to protocols and it will be argued that this may be one </w:t>
      </w:r>
      <w:r w:rsidR="00CE071B">
        <w:rPr>
          <w:rStyle w:val="Hyperlink"/>
          <w:rFonts w:ascii="Arial" w:hAnsi="Arial" w:cs="Arial"/>
          <w:color w:val="000000" w:themeColor="text1"/>
          <w:sz w:val="22"/>
          <w:szCs w:val="22"/>
          <w:u w:val="none"/>
        </w:rPr>
        <w:t>reason why there is a significant variance in outcomes between therapists.</w:t>
      </w:r>
    </w:p>
    <w:p w14:paraId="5A691108" w14:textId="77777777" w:rsidR="00477630" w:rsidRPr="008D0C10" w:rsidRDefault="00477630" w:rsidP="00477630">
      <w:pPr>
        <w:spacing w:line="480" w:lineRule="auto"/>
      </w:pPr>
    </w:p>
    <w:p w14:paraId="6C9DD2BA" w14:textId="4E9AF3D3" w:rsidR="00477630" w:rsidRPr="00DC14C9" w:rsidRDefault="00477630" w:rsidP="00477630">
      <w:pPr>
        <w:pStyle w:val="Heading2"/>
        <w:rPr>
          <w:rFonts w:ascii="Arial" w:hAnsi="Arial" w:cs="Arial"/>
          <w:color w:val="000000" w:themeColor="text1"/>
          <w:sz w:val="22"/>
          <w:szCs w:val="22"/>
        </w:rPr>
      </w:pPr>
      <w:bookmarkStart w:id="95" w:name="_Toc46770731"/>
      <w:bookmarkStart w:id="96" w:name="_Toc79414142"/>
      <w:r w:rsidRPr="00DC14C9">
        <w:rPr>
          <w:rFonts w:ascii="Arial" w:hAnsi="Arial" w:cs="Arial"/>
          <w:color w:val="000000" w:themeColor="text1"/>
          <w:sz w:val="22"/>
          <w:szCs w:val="22"/>
        </w:rPr>
        <w:t>2.</w:t>
      </w:r>
      <w:r w:rsidR="00FA5021">
        <w:rPr>
          <w:rFonts w:ascii="Arial" w:hAnsi="Arial" w:cs="Arial"/>
          <w:color w:val="000000" w:themeColor="text1"/>
          <w:sz w:val="22"/>
          <w:szCs w:val="22"/>
        </w:rPr>
        <w:t>6</w:t>
      </w:r>
      <w:r w:rsidRPr="00DC14C9">
        <w:rPr>
          <w:rFonts w:ascii="Arial" w:hAnsi="Arial" w:cs="Arial"/>
          <w:color w:val="000000" w:themeColor="text1"/>
          <w:sz w:val="22"/>
          <w:szCs w:val="22"/>
        </w:rPr>
        <w:t xml:space="preserve"> EVIDENCED-BASED PSYCHOLOGICAL INTERVENTIONS</w:t>
      </w:r>
      <w:bookmarkEnd w:id="95"/>
      <w:bookmarkEnd w:id="96"/>
    </w:p>
    <w:p w14:paraId="7DAA07D4" w14:textId="77777777" w:rsidR="00477630" w:rsidRPr="00DC14C9" w:rsidRDefault="00477630" w:rsidP="00477630"/>
    <w:p w14:paraId="7EFB3D55" w14:textId="2EC028F7" w:rsidR="00477630" w:rsidRDefault="00477630" w:rsidP="00477630">
      <w:pPr>
        <w:spacing w:line="480" w:lineRule="auto"/>
        <w:rPr>
          <w:rFonts w:ascii="Arial" w:hAnsi="Arial"/>
          <w:sz w:val="22"/>
          <w:szCs w:val="22"/>
        </w:rPr>
      </w:pPr>
      <w:r>
        <w:rPr>
          <w:rFonts w:ascii="Arial" w:hAnsi="Arial"/>
          <w:sz w:val="22"/>
          <w:szCs w:val="22"/>
        </w:rPr>
        <w:t>One of the aims of IAPT is to deliver evidence-based psychological interventions with a primary focus on clinical outcomes. Section 2.3.3, earlier in this chapter</w:t>
      </w:r>
      <w:r w:rsidR="007F7D1D">
        <w:rPr>
          <w:rFonts w:ascii="Arial" w:hAnsi="Arial"/>
          <w:sz w:val="22"/>
          <w:szCs w:val="22"/>
        </w:rPr>
        <w:t>,</w:t>
      </w:r>
      <w:r>
        <w:rPr>
          <w:rFonts w:ascii="Arial" w:hAnsi="Arial"/>
          <w:sz w:val="22"/>
          <w:szCs w:val="22"/>
        </w:rPr>
        <w:t xml:space="preserve"> outlined the training curricula for High Intensity CBT therapists. This curricul</w:t>
      </w:r>
      <w:r w:rsidR="001804F6">
        <w:rPr>
          <w:rFonts w:ascii="Arial" w:hAnsi="Arial"/>
          <w:sz w:val="22"/>
          <w:szCs w:val="22"/>
        </w:rPr>
        <w:t>um</w:t>
      </w:r>
      <w:r>
        <w:rPr>
          <w:rFonts w:ascii="Arial" w:hAnsi="Arial"/>
          <w:sz w:val="22"/>
          <w:szCs w:val="22"/>
        </w:rPr>
        <w:t xml:space="preserve"> focuses only on evidence</w:t>
      </w:r>
      <w:r w:rsidR="007F7D1D">
        <w:rPr>
          <w:rFonts w:ascii="Arial" w:hAnsi="Arial"/>
          <w:sz w:val="22"/>
          <w:szCs w:val="22"/>
        </w:rPr>
        <w:t>-</w:t>
      </w:r>
      <w:r>
        <w:rPr>
          <w:rFonts w:ascii="Arial" w:hAnsi="Arial"/>
          <w:sz w:val="22"/>
          <w:szCs w:val="22"/>
        </w:rPr>
        <w:t>based psychological interventions (Layard and Clark</w:t>
      </w:r>
      <w:r w:rsidR="00375EA0">
        <w:rPr>
          <w:rFonts w:ascii="Arial" w:hAnsi="Arial"/>
          <w:sz w:val="22"/>
          <w:szCs w:val="22"/>
        </w:rPr>
        <w:t>,</w:t>
      </w:r>
      <w:r>
        <w:rPr>
          <w:rFonts w:ascii="Arial" w:hAnsi="Arial"/>
          <w:sz w:val="22"/>
          <w:szCs w:val="22"/>
        </w:rPr>
        <w:t xml:space="preserve"> 2014). </w:t>
      </w:r>
      <w:r w:rsidRPr="00DC14C9">
        <w:rPr>
          <w:rFonts w:ascii="Arial" w:hAnsi="Arial"/>
          <w:sz w:val="22"/>
          <w:szCs w:val="22"/>
        </w:rPr>
        <w:t>The movement towards evidence</w:t>
      </w:r>
      <w:r w:rsidR="007F7D1D">
        <w:rPr>
          <w:rFonts w:ascii="Arial" w:hAnsi="Arial"/>
          <w:sz w:val="22"/>
          <w:szCs w:val="22"/>
        </w:rPr>
        <w:t>-</w:t>
      </w:r>
      <w:r w:rsidRPr="00DC14C9">
        <w:rPr>
          <w:rFonts w:ascii="Arial" w:hAnsi="Arial"/>
          <w:sz w:val="22"/>
          <w:szCs w:val="22"/>
        </w:rPr>
        <w:t>based psychological therapies began in the late 1960’s (McHugh and Barlow</w:t>
      </w:r>
      <w:r w:rsidR="00375EA0">
        <w:rPr>
          <w:rFonts w:ascii="Arial" w:hAnsi="Arial"/>
          <w:sz w:val="22"/>
          <w:szCs w:val="22"/>
        </w:rPr>
        <w:t>,</w:t>
      </w:r>
      <w:r w:rsidRPr="00DC14C9">
        <w:rPr>
          <w:rFonts w:ascii="Arial" w:hAnsi="Arial"/>
          <w:sz w:val="22"/>
          <w:szCs w:val="22"/>
        </w:rPr>
        <w:t xml:space="preserve"> 2012). This move away from anecdotal evidence of efficacy of treatment brought about the development of protocol</w:t>
      </w:r>
      <w:r w:rsidR="007F7D1D">
        <w:rPr>
          <w:rFonts w:ascii="Arial" w:hAnsi="Arial"/>
          <w:sz w:val="22"/>
          <w:szCs w:val="22"/>
        </w:rPr>
        <w:t>-</w:t>
      </w:r>
      <w:r w:rsidRPr="00DC14C9">
        <w:rPr>
          <w:rFonts w:ascii="Arial" w:hAnsi="Arial"/>
          <w:sz w:val="22"/>
          <w:szCs w:val="22"/>
        </w:rPr>
        <w:t>driven psychological interventions that can produce generalizable results across many populations (Kazdin</w:t>
      </w:r>
      <w:r w:rsidR="00375EA0">
        <w:rPr>
          <w:rFonts w:ascii="Arial" w:hAnsi="Arial"/>
          <w:sz w:val="22"/>
          <w:szCs w:val="22"/>
        </w:rPr>
        <w:t>,</w:t>
      </w:r>
      <w:r w:rsidRPr="00DC14C9">
        <w:rPr>
          <w:rFonts w:ascii="Arial" w:hAnsi="Arial"/>
          <w:sz w:val="22"/>
          <w:szCs w:val="22"/>
        </w:rPr>
        <w:t xml:space="preserve"> 2008). Since the 1960’s</w:t>
      </w:r>
      <w:r w:rsidR="007F7D1D">
        <w:rPr>
          <w:rFonts w:ascii="Arial" w:hAnsi="Arial"/>
          <w:sz w:val="22"/>
          <w:szCs w:val="22"/>
        </w:rPr>
        <w:t>,</w:t>
      </w:r>
      <w:r w:rsidRPr="00DC14C9">
        <w:rPr>
          <w:rFonts w:ascii="Arial" w:hAnsi="Arial"/>
          <w:sz w:val="22"/>
          <w:szCs w:val="22"/>
        </w:rPr>
        <w:t xml:space="preserve"> there has been a plethora of research relating to the efficacy of a range of psychological interventions.  With a focus on a positivist approach and larger</w:t>
      </w:r>
      <w:r w:rsidR="007F7D1D">
        <w:rPr>
          <w:rFonts w:ascii="Arial" w:hAnsi="Arial"/>
          <w:sz w:val="22"/>
          <w:szCs w:val="22"/>
        </w:rPr>
        <w:t>-</w:t>
      </w:r>
      <w:r w:rsidRPr="00DC14C9">
        <w:rPr>
          <w:rFonts w:ascii="Arial" w:hAnsi="Arial"/>
          <w:sz w:val="22"/>
          <w:szCs w:val="22"/>
        </w:rPr>
        <w:t xml:space="preserve">scale experimental design studies it is widely reported that the most common psychological modalities such as cognitive behavioural therapy, systemic therapy </w:t>
      </w:r>
      <w:r w:rsidRPr="00DC14C9">
        <w:rPr>
          <w:rFonts w:ascii="Arial" w:hAnsi="Arial"/>
          <w:sz w:val="22"/>
          <w:szCs w:val="22"/>
        </w:rPr>
        <w:lastRenderedPageBreak/>
        <w:t>and psychodynamic therapy are safe and effective for large numbers of people (Nathan and Gorman</w:t>
      </w:r>
      <w:r w:rsidR="00375EA0">
        <w:rPr>
          <w:rFonts w:ascii="Arial" w:hAnsi="Arial"/>
          <w:sz w:val="22"/>
          <w:szCs w:val="22"/>
        </w:rPr>
        <w:t>,</w:t>
      </w:r>
      <w:r w:rsidRPr="00DC14C9">
        <w:rPr>
          <w:rFonts w:ascii="Arial" w:hAnsi="Arial"/>
          <w:sz w:val="22"/>
          <w:szCs w:val="22"/>
        </w:rPr>
        <w:t xml:space="preserve"> 2007, Cold</w:t>
      </w:r>
      <w:r w:rsidR="001804F6">
        <w:rPr>
          <w:rFonts w:ascii="Arial" w:hAnsi="Arial"/>
          <w:sz w:val="22"/>
          <w:szCs w:val="22"/>
        </w:rPr>
        <w:t>well</w:t>
      </w:r>
      <w:r w:rsidRPr="00DC14C9">
        <w:rPr>
          <w:rFonts w:ascii="Arial" w:hAnsi="Arial"/>
          <w:sz w:val="22"/>
          <w:szCs w:val="22"/>
        </w:rPr>
        <w:t xml:space="preserve"> and Bender 2007, Hofmann and Smits</w:t>
      </w:r>
      <w:r w:rsidR="00375EA0">
        <w:rPr>
          <w:rFonts w:ascii="Arial" w:hAnsi="Arial"/>
          <w:sz w:val="22"/>
          <w:szCs w:val="22"/>
        </w:rPr>
        <w:t>,</w:t>
      </w:r>
      <w:r w:rsidRPr="00DC14C9">
        <w:rPr>
          <w:rFonts w:ascii="Arial" w:hAnsi="Arial"/>
          <w:sz w:val="22"/>
          <w:szCs w:val="22"/>
        </w:rPr>
        <w:t xml:space="preserve"> 2008, Silverman</w:t>
      </w:r>
      <w:r w:rsidR="00375EA0">
        <w:rPr>
          <w:rFonts w:ascii="Arial" w:hAnsi="Arial"/>
          <w:sz w:val="22"/>
          <w:szCs w:val="22"/>
        </w:rPr>
        <w:t>,</w:t>
      </w:r>
      <w:r w:rsidRPr="00DC14C9">
        <w:rPr>
          <w:rFonts w:ascii="Arial" w:hAnsi="Arial"/>
          <w:sz w:val="22"/>
          <w:szCs w:val="22"/>
        </w:rPr>
        <w:t xml:space="preserve"> Pina and Viswesvaran 2008).  McHugh and Barlow (2012) report that, by far, cognitive behavioural therapy (CBT) has the largest evidence base. They argue that the preference for large-scale outcome studies that are “tightly controlled” (McHugh and Barlow p. 4) has enabled CBT researchers to repeatedly demonstrate outcome benefits.  However, Westbrook and Kirk (2005) earlier argued that whilst CBT had a strong evidence base that supported its application that there was dearth of evidence that demonstrated its application directly in clinical services. Westbrook and Kirk stated that most of the initial research into the efficacy of psychological interventions had been based in academic settings rather than clinical services.  McHugh and Barlow (2012, p.7) describe this as the “research-practice gap.” </w:t>
      </w:r>
      <w:r>
        <w:rPr>
          <w:rFonts w:ascii="Arial" w:hAnsi="Arial"/>
          <w:sz w:val="22"/>
          <w:szCs w:val="22"/>
        </w:rPr>
        <w:t xml:space="preserve">It might be argued that </w:t>
      </w:r>
      <w:r w:rsidRPr="00DC14C9">
        <w:rPr>
          <w:rFonts w:ascii="Arial" w:hAnsi="Arial"/>
          <w:sz w:val="22"/>
          <w:szCs w:val="22"/>
        </w:rPr>
        <w:t>the gap between research and clinical practice can only be bridged by the development of more effective relationships between researchers and clinicians</w:t>
      </w:r>
      <w:r>
        <w:rPr>
          <w:rFonts w:ascii="Arial" w:hAnsi="Arial"/>
          <w:sz w:val="22"/>
          <w:szCs w:val="22"/>
        </w:rPr>
        <w:t xml:space="preserve"> </w:t>
      </w:r>
      <w:r w:rsidRPr="00DC14C9">
        <w:rPr>
          <w:rFonts w:ascii="Arial" w:hAnsi="Arial"/>
          <w:sz w:val="22"/>
          <w:szCs w:val="22"/>
        </w:rPr>
        <w:fldChar w:fldCharType="begin"/>
      </w:r>
      <w:r w:rsidRPr="00DC14C9">
        <w:rPr>
          <w:rFonts w:ascii="Arial" w:hAnsi="Arial"/>
          <w:sz w:val="22"/>
          <w:szCs w:val="22"/>
        </w:rPr>
        <w:instrText>ADDIN RW.CITE{{79 Horsfall,Jan 2011}}</w:instrText>
      </w:r>
      <w:r w:rsidRPr="00DC14C9">
        <w:rPr>
          <w:rFonts w:ascii="Arial" w:hAnsi="Arial"/>
          <w:sz w:val="22"/>
          <w:szCs w:val="22"/>
        </w:rPr>
        <w:fldChar w:fldCharType="separate"/>
      </w:r>
      <w:r w:rsidRPr="00DC14C9">
        <w:rPr>
          <w:rFonts w:ascii="Arial" w:hAnsi="Arial" w:cs="Arial"/>
          <w:sz w:val="22"/>
          <w:szCs w:val="22"/>
        </w:rPr>
        <w:t xml:space="preserve"> </w:t>
      </w:r>
      <w:r>
        <w:rPr>
          <w:rFonts w:ascii="Arial" w:hAnsi="Arial" w:cs="Arial"/>
          <w:sz w:val="22"/>
          <w:szCs w:val="22"/>
        </w:rPr>
        <w:t>(</w:t>
      </w:r>
      <w:r w:rsidRPr="00DC14C9">
        <w:rPr>
          <w:rFonts w:ascii="Arial" w:hAnsi="Arial" w:cs="Arial"/>
          <w:sz w:val="22"/>
          <w:szCs w:val="22"/>
        </w:rPr>
        <w:t>Horsfall, Cleary &amp; Hunt</w:t>
      </w:r>
      <w:r>
        <w:rPr>
          <w:rFonts w:ascii="Arial" w:hAnsi="Arial" w:cs="Arial"/>
          <w:sz w:val="22"/>
          <w:szCs w:val="22"/>
        </w:rPr>
        <w:t xml:space="preserve">, </w:t>
      </w:r>
      <w:r w:rsidRPr="00DC14C9">
        <w:rPr>
          <w:rFonts w:ascii="Arial" w:hAnsi="Arial" w:cs="Arial"/>
          <w:sz w:val="22"/>
          <w:szCs w:val="22"/>
        </w:rPr>
        <w:t>2011)</w:t>
      </w:r>
      <w:r w:rsidRPr="00DC14C9">
        <w:rPr>
          <w:rFonts w:ascii="Arial" w:hAnsi="Arial"/>
          <w:sz w:val="22"/>
          <w:szCs w:val="22"/>
        </w:rPr>
        <w:fldChar w:fldCharType="end"/>
      </w:r>
      <w:r w:rsidRPr="00DC14C9">
        <w:rPr>
          <w:rFonts w:ascii="Arial" w:hAnsi="Arial"/>
          <w:sz w:val="22"/>
          <w:szCs w:val="22"/>
        </w:rPr>
        <w:t xml:space="preserve"> </w:t>
      </w:r>
      <w:r>
        <w:rPr>
          <w:rFonts w:ascii="Arial" w:hAnsi="Arial"/>
          <w:sz w:val="22"/>
          <w:szCs w:val="22"/>
        </w:rPr>
        <w:t xml:space="preserve">and </w:t>
      </w:r>
      <w:r w:rsidRPr="00DC14C9">
        <w:rPr>
          <w:rFonts w:ascii="Arial" w:hAnsi="Arial"/>
          <w:sz w:val="22"/>
          <w:szCs w:val="22"/>
        </w:rPr>
        <w:t>that evidence</w:t>
      </w:r>
      <w:r w:rsidR="007F7D1D">
        <w:rPr>
          <w:rFonts w:ascii="Arial" w:hAnsi="Arial"/>
          <w:sz w:val="22"/>
          <w:szCs w:val="22"/>
        </w:rPr>
        <w:t>-</w:t>
      </w:r>
      <w:r w:rsidRPr="00DC14C9">
        <w:rPr>
          <w:rFonts w:ascii="Arial" w:hAnsi="Arial"/>
          <w:sz w:val="22"/>
          <w:szCs w:val="22"/>
        </w:rPr>
        <w:t>based practice needs to be cultivated by</w:t>
      </w:r>
      <w:r w:rsidR="007F7D1D">
        <w:rPr>
          <w:rFonts w:ascii="Arial" w:hAnsi="Arial"/>
          <w:sz w:val="22"/>
          <w:szCs w:val="22"/>
        </w:rPr>
        <w:t>,</w:t>
      </w:r>
      <w:r w:rsidRPr="00DC14C9">
        <w:rPr>
          <w:rFonts w:ascii="Arial" w:hAnsi="Arial"/>
          <w:sz w:val="22"/>
          <w:szCs w:val="22"/>
        </w:rPr>
        <w:t xml:space="preserve"> and for</w:t>
      </w:r>
      <w:r w:rsidR="007F7D1D">
        <w:rPr>
          <w:rFonts w:ascii="Arial" w:hAnsi="Arial"/>
          <w:sz w:val="22"/>
          <w:szCs w:val="22"/>
        </w:rPr>
        <w:t>,</w:t>
      </w:r>
      <w:r w:rsidRPr="00DC14C9">
        <w:rPr>
          <w:rFonts w:ascii="Arial" w:hAnsi="Arial"/>
          <w:sz w:val="22"/>
          <w:szCs w:val="22"/>
        </w:rPr>
        <w:t xml:space="preserve"> clinicians.  </w:t>
      </w:r>
      <w:r>
        <w:rPr>
          <w:rFonts w:ascii="Arial" w:hAnsi="Arial"/>
          <w:sz w:val="22"/>
          <w:szCs w:val="22"/>
        </w:rPr>
        <w:t>E</w:t>
      </w:r>
      <w:r w:rsidRPr="00DC14C9">
        <w:rPr>
          <w:rFonts w:ascii="Arial" w:hAnsi="Arial"/>
          <w:sz w:val="22"/>
          <w:szCs w:val="22"/>
        </w:rPr>
        <w:t>vidence</w:t>
      </w:r>
      <w:r w:rsidR="007F7D1D">
        <w:rPr>
          <w:rFonts w:ascii="Arial" w:hAnsi="Arial"/>
          <w:sz w:val="22"/>
          <w:szCs w:val="22"/>
        </w:rPr>
        <w:t>-</w:t>
      </w:r>
      <w:r w:rsidRPr="00DC14C9">
        <w:rPr>
          <w:rFonts w:ascii="Arial" w:hAnsi="Arial"/>
          <w:sz w:val="22"/>
          <w:szCs w:val="22"/>
        </w:rPr>
        <w:t xml:space="preserve">based psychological interventions </w:t>
      </w:r>
      <w:r>
        <w:rPr>
          <w:rFonts w:ascii="Arial" w:hAnsi="Arial"/>
          <w:sz w:val="22"/>
          <w:szCs w:val="22"/>
        </w:rPr>
        <w:t>are not without their critics.</w:t>
      </w:r>
      <w:r w:rsidRPr="00DC14C9">
        <w:rPr>
          <w:rFonts w:ascii="Arial" w:hAnsi="Arial"/>
          <w:sz w:val="22"/>
          <w:szCs w:val="22"/>
        </w:rPr>
        <w:t xml:space="preserve">  </w:t>
      </w:r>
      <w:r>
        <w:rPr>
          <w:rFonts w:ascii="Arial" w:hAnsi="Arial"/>
          <w:sz w:val="22"/>
          <w:szCs w:val="22"/>
        </w:rPr>
        <w:t>One argument against evidence</w:t>
      </w:r>
      <w:r w:rsidR="007F7D1D">
        <w:rPr>
          <w:rFonts w:ascii="Arial" w:hAnsi="Arial"/>
          <w:sz w:val="22"/>
          <w:szCs w:val="22"/>
        </w:rPr>
        <w:t>-</w:t>
      </w:r>
      <w:r>
        <w:rPr>
          <w:rFonts w:ascii="Arial" w:hAnsi="Arial"/>
          <w:sz w:val="22"/>
          <w:szCs w:val="22"/>
        </w:rPr>
        <w:t>based psychological interventions is that the e</w:t>
      </w:r>
      <w:r w:rsidRPr="00DC14C9">
        <w:rPr>
          <w:rFonts w:ascii="Arial" w:hAnsi="Arial"/>
          <w:sz w:val="22"/>
          <w:szCs w:val="22"/>
        </w:rPr>
        <w:t>vidence is not valid if it has been produced in an academic setting</w:t>
      </w:r>
      <w:r>
        <w:rPr>
          <w:rFonts w:ascii="Arial" w:hAnsi="Arial"/>
          <w:sz w:val="22"/>
          <w:szCs w:val="22"/>
        </w:rPr>
        <w:t xml:space="preserve"> (</w:t>
      </w:r>
      <w:r w:rsidRPr="00DC14C9">
        <w:rPr>
          <w:rFonts w:ascii="Arial" w:hAnsi="Arial"/>
          <w:sz w:val="22"/>
          <w:szCs w:val="22"/>
        </w:rPr>
        <w:t>Fisher and Happell</w:t>
      </w:r>
      <w:r>
        <w:rPr>
          <w:rFonts w:ascii="Arial" w:hAnsi="Arial"/>
          <w:sz w:val="22"/>
          <w:szCs w:val="22"/>
        </w:rPr>
        <w:t>,</w:t>
      </w:r>
      <w:r w:rsidRPr="00DC14C9">
        <w:rPr>
          <w:rFonts w:ascii="Arial" w:hAnsi="Arial"/>
          <w:sz w:val="22"/>
          <w:szCs w:val="22"/>
        </w:rPr>
        <w:t xml:space="preserve"> 2009).  </w:t>
      </w:r>
      <w:r>
        <w:rPr>
          <w:rFonts w:ascii="Arial" w:hAnsi="Arial"/>
          <w:sz w:val="22"/>
          <w:szCs w:val="22"/>
        </w:rPr>
        <w:t>Whilst this is valid argument</w:t>
      </w:r>
      <w:r w:rsidR="007F7D1D">
        <w:rPr>
          <w:rFonts w:ascii="Arial" w:hAnsi="Arial"/>
          <w:sz w:val="22"/>
          <w:szCs w:val="22"/>
        </w:rPr>
        <w:t>,</w:t>
      </w:r>
      <w:r>
        <w:rPr>
          <w:rFonts w:ascii="Arial" w:hAnsi="Arial"/>
          <w:sz w:val="22"/>
          <w:szCs w:val="22"/>
        </w:rPr>
        <w:t xml:space="preserve"> it might be possible to bridge the gap between research and real</w:t>
      </w:r>
      <w:r w:rsidR="0023735D">
        <w:rPr>
          <w:rFonts w:ascii="Arial" w:hAnsi="Arial"/>
          <w:sz w:val="22"/>
          <w:szCs w:val="22"/>
        </w:rPr>
        <w:t>-</w:t>
      </w:r>
      <w:r>
        <w:rPr>
          <w:rFonts w:ascii="Arial" w:hAnsi="Arial"/>
          <w:sz w:val="22"/>
          <w:szCs w:val="22"/>
        </w:rPr>
        <w:t xml:space="preserve">world clinical settings by focussing more of the </w:t>
      </w:r>
      <w:r w:rsidRPr="00DC14C9">
        <w:rPr>
          <w:rFonts w:ascii="Arial" w:hAnsi="Arial"/>
          <w:sz w:val="22"/>
          <w:szCs w:val="22"/>
        </w:rPr>
        <w:t>role of scientist practitioner</w:t>
      </w:r>
      <w:r>
        <w:rPr>
          <w:rFonts w:ascii="Arial" w:hAnsi="Arial"/>
          <w:sz w:val="22"/>
          <w:szCs w:val="22"/>
        </w:rPr>
        <w:t xml:space="preserve">s </w:t>
      </w:r>
      <w:r w:rsidRPr="00DC14C9">
        <w:rPr>
          <w:rFonts w:ascii="Arial" w:hAnsi="Arial"/>
          <w:sz w:val="22"/>
          <w:szCs w:val="22"/>
        </w:rPr>
        <w:fldChar w:fldCharType="begin"/>
      </w:r>
      <w:r w:rsidRPr="00DC14C9">
        <w:rPr>
          <w:rFonts w:ascii="Arial" w:hAnsi="Arial"/>
          <w:sz w:val="22"/>
          <w:szCs w:val="22"/>
        </w:rPr>
        <w:instrText>ADDIN RW.CITE{{80 Newnham,Elizabeth A. 2010}}</w:instrText>
      </w:r>
      <w:r w:rsidRPr="00DC14C9">
        <w:rPr>
          <w:rFonts w:ascii="Arial" w:hAnsi="Arial"/>
          <w:sz w:val="22"/>
          <w:szCs w:val="22"/>
        </w:rPr>
        <w:fldChar w:fldCharType="separate"/>
      </w:r>
      <w:r w:rsidRPr="00DC14C9">
        <w:rPr>
          <w:rFonts w:ascii="Arial" w:hAnsi="Arial" w:cs="Arial"/>
          <w:sz w:val="22"/>
          <w:szCs w:val="22"/>
        </w:rPr>
        <w:t xml:space="preserve"> </w:t>
      </w:r>
      <w:r>
        <w:rPr>
          <w:rFonts w:ascii="Arial" w:hAnsi="Arial" w:cs="Arial"/>
          <w:sz w:val="22"/>
          <w:szCs w:val="22"/>
        </w:rPr>
        <w:t>(</w:t>
      </w:r>
      <w:r w:rsidRPr="00DC14C9">
        <w:rPr>
          <w:rFonts w:ascii="Arial" w:hAnsi="Arial" w:cs="Arial"/>
          <w:sz w:val="22"/>
          <w:szCs w:val="22"/>
        </w:rPr>
        <w:t>Newnham and Page</w:t>
      </w:r>
      <w:r>
        <w:rPr>
          <w:rFonts w:ascii="Arial" w:hAnsi="Arial" w:cs="Arial"/>
          <w:sz w:val="22"/>
          <w:szCs w:val="22"/>
        </w:rPr>
        <w:t xml:space="preserve">, </w:t>
      </w:r>
      <w:r w:rsidRPr="00DC14C9">
        <w:rPr>
          <w:rFonts w:ascii="Arial" w:hAnsi="Arial" w:cs="Arial"/>
          <w:sz w:val="22"/>
          <w:szCs w:val="22"/>
        </w:rPr>
        <w:t>2010)</w:t>
      </w:r>
      <w:r w:rsidRPr="00DC14C9">
        <w:rPr>
          <w:rFonts w:ascii="Arial" w:hAnsi="Arial"/>
          <w:sz w:val="22"/>
          <w:szCs w:val="22"/>
        </w:rPr>
        <w:fldChar w:fldCharType="end"/>
      </w:r>
      <w:r>
        <w:rPr>
          <w:rFonts w:ascii="Arial" w:hAnsi="Arial"/>
          <w:sz w:val="22"/>
          <w:szCs w:val="22"/>
        </w:rPr>
        <w:t xml:space="preserve">. </w:t>
      </w:r>
      <w:r w:rsidR="00154873">
        <w:rPr>
          <w:rFonts w:ascii="Arial" w:hAnsi="Arial"/>
          <w:sz w:val="22"/>
          <w:szCs w:val="22"/>
        </w:rPr>
        <w:t>Scientist practitioners may promote pragmatic trials in their own clinical settings. Pragmatic trials, unlike research trials in academic settings</w:t>
      </w:r>
      <w:r w:rsidR="007F7D1D">
        <w:rPr>
          <w:rFonts w:ascii="Arial" w:hAnsi="Arial"/>
          <w:sz w:val="22"/>
          <w:szCs w:val="22"/>
        </w:rPr>
        <w:t>,</w:t>
      </w:r>
      <w:r w:rsidR="00154873">
        <w:rPr>
          <w:rFonts w:ascii="Arial" w:hAnsi="Arial"/>
          <w:sz w:val="22"/>
          <w:szCs w:val="22"/>
        </w:rPr>
        <w:t xml:space="preserve"> provide valuable </w:t>
      </w:r>
      <w:r w:rsidR="00D76B7F">
        <w:rPr>
          <w:rFonts w:ascii="Arial" w:hAnsi="Arial"/>
          <w:sz w:val="22"/>
          <w:szCs w:val="22"/>
        </w:rPr>
        <w:t>insights</w:t>
      </w:r>
      <w:r w:rsidR="00154873">
        <w:rPr>
          <w:rFonts w:ascii="Arial" w:hAnsi="Arial"/>
          <w:sz w:val="22"/>
          <w:szCs w:val="22"/>
        </w:rPr>
        <w:t xml:space="preserve"> about whether </w:t>
      </w:r>
      <w:r w:rsidR="00D76B7F">
        <w:rPr>
          <w:rFonts w:ascii="Arial" w:hAnsi="Arial"/>
          <w:sz w:val="22"/>
          <w:szCs w:val="22"/>
        </w:rPr>
        <w:t xml:space="preserve">research is generalisable in clinical settings </w:t>
      </w:r>
      <w:r w:rsidR="00375EA0">
        <w:rPr>
          <w:rFonts w:ascii="Arial" w:hAnsi="Arial"/>
          <w:sz w:val="22"/>
          <w:szCs w:val="22"/>
        </w:rPr>
        <w:t>(</w:t>
      </w:r>
      <w:r w:rsidR="00D76B7F">
        <w:rPr>
          <w:rFonts w:ascii="Arial" w:hAnsi="Arial"/>
          <w:sz w:val="22"/>
          <w:szCs w:val="22"/>
        </w:rPr>
        <w:t>Holmqvist, Philips and Barkham, 2015) but despite Fisher and Happell’s (2009)</w:t>
      </w:r>
      <w:r w:rsidR="00962568">
        <w:rPr>
          <w:rFonts w:ascii="Arial" w:hAnsi="Arial"/>
          <w:sz w:val="22"/>
          <w:szCs w:val="22"/>
        </w:rPr>
        <w:t xml:space="preserve"> </w:t>
      </w:r>
      <w:r w:rsidR="00375EA0">
        <w:rPr>
          <w:rFonts w:ascii="Arial" w:hAnsi="Arial"/>
          <w:sz w:val="22"/>
          <w:szCs w:val="22"/>
        </w:rPr>
        <w:t xml:space="preserve">argument </w:t>
      </w:r>
      <w:r w:rsidR="00D76B7F">
        <w:rPr>
          <w:rFonts w:ascii="Arial" w:hAnsi="Arial"/>
          <w:sz w:val="22"/>
          <w:szCs w:val="22"/>
        </w:rPr>
        <w:t xml:space="preserve">that pragmatic research is more valid, pragmatic research can also have its challenges. Recruiting therapists </w:t>
      </w:r>
      <w:r w:rsidR="00540D28">
        <w:rPr>
          <w:rFonts w:ascii="Arial" w:hAnsi="Arial"/>
          <w:sz w:val="22"/>
          <w:szCs w:val="22"/>
        </w:rPr>
        <w:t xml:space="preserve">to treat patients in pragmatic studies can be problematic both because of the perceived additional burden on their workload but also because therapists may be fearful of the scrutiny of their work (Hatcher and Gillaspy, 2006). Further challenges present in relation to the interpretation of the findings from pragmatic studies both in as much as researchers may </w:t>
      </w:r>
      <w:r w:rsidR="00540D28">
        <w:rPr>
          <w:rFonts w:ascii="Arial" w:hAnsi="Arial"/>
          <w:sz w:val="22"/>
          <w:szCs w:val="22"/>
        </w:rPr>
        <w:lastRenderedPageBreak/>
        <w:t>lack objectivity and misrepresent their findings or the academic audience has a greater appetite for research conducted in academic settings (Homqvist, Philips and Barkham, 2015).</w:t>
      </w:r>
    </w:p>
    <w:p w14:paraId="076CE6AF" w14:textId="77777777" w:rsidR="00477630" w:rsidRPr="00DC14C9" w:rsidRDefault="00477630" w:rsidP="00477630">
      <w:pPr>
        <w:spacing w:line="480" w:lineRule="auto"/>
        <w:rPr>
          <w:rFonts w:ascii="Arial" w:hAnsi="Arial"/>
          <w:sz w:val="22"/>
          <w:szCs w:val="22"/>
        </w:rPr>
      </w:pPr>
    </w:p>
    <w:p w14:paraId="77DA8457" w14:textId="6D6DB373" w:rsidR="00477630" w:rsidRPr="00DC14C9" w:rsidRDefault="00477630" w:rsidP="00477630">
      <w:pPr>
        <w:spacing w:line="480" w:lineRule="auto"/>
        <w:rPr>
          <w:rFonts w:ascii="Arial" w:hAnsi="Arial"/>
          <w:sz w:val="22"/>
          <w:szCs w:val="22"/>
        </w:rPr>
      </w:pPr>
      <w:r w:rsidRPr="00DC14C9">
        <w:rPr>
          <w:rFonts w:ascii="Arial" w:hAnsi="Arial"/>
          <w:sz w:val="22"/>
          <w:szCs w:val="22"/>
        </w:rPr>
        <w:t xml:space="preserve">The Improvement Access to Psychological Therapy (IAPT) programme, whilst initially based on what Fisher and Happell (2009) would term </w:t>
      </w:r>
      <w:r w:rsidR="007F7D1D">
        <w:rPr>
          <w:rFonts w:ascii="Arial" w:hAnsi="Arial"/>
          <w:sz w:val="22"/>
          <w:szCs w:val="22"/>
        </w:rPr>
        <w:t>‘</w:t>
      </w:r>
      <w:r w:rsidRPr="00DC14C9">
        <w:rPr>
          <w:rFonts w:ascii="Arial" w:hAnsi="Arial"/>
          <w:sz w:val="22"/>
          <w:szCs w:val="22"/>
        </w:rPr>
        <w:t>academically sited research</w:t>
      </w:r>
      <w:r w:rsidR="007F7D1D">
        <w:rPr>
          <w:rFonts w:ascii="Arial" w:hAnsi="Arial"/>
          <w:sz w:val="22"/>
          <w:szCs w:val="22"/>
        </w:rPr>
        <w:t>’</w:t>
      </w:r>
      <w:r w:rsidRPr="00DC14C9">
        <w:rPr>
          <w:rFonts w:ascii="Arial" w:hAnsi="Arial"/>
          <w:sz w:val="22"/>
          <w:szCs w:val="22"/>
        </w:rPr>
        <w:t>, supports the concept of research undertaken in the clinical setting.</w:t>
      </w:r>
      <w:r w:rsidR="00DB1FA4">
        <w:rPr>
          <w:rFonts w:ascii="Arial" w:hAnsi="Arial"/>
          <w:sz w:val="22"/>
          <w:szCs w:val="22"/>
        </w:rPr>
        <w:t xml:space="preserve"> </w:t>
      </w:r>
      <w:r w:rsidRPr="00DC14C9">
        <w:rPr>
          <w:rFonts w:ascii="Arial" w:hAnsi="Arial"/>
          <w:sz w:val="22"/>
          <w:szCs w:val="22"/>
        </w:rPr>
        <w:t>The postgraduate clinical training programmes commissioned by IAPT, in order to train its workforce, places an emphasis on trainees developing the skills of a scientist practitioner (Roth and Pilling</w:t>
      </w:r>
      <w:r w:rsidR="00426B48">
        <w:rPr>
          <w:rFonts w:ascii="Arial" w:hAnsi="Arial"/>
          <w:sz w:val="22"/>
          <w:szCs w:val="22"/>
        </w:rPr>
        <w:t>,</w:t>
      </w:r>
      <w:r w:rsidRPr="00DC14C9">
        <w:rPr>
          <w:rFonts w:ascii="Arial" w:hAnsi="Arial"/>
          <w:sz w:val="22"/>
          <w:szCs w:val="22"/>
        </w:rPr>
        <w:t xml:space="preserve"> 2008).  Pilecki and McKay (2013) describe the scientist practitioner model of clinical training as the provision of training in both research methods and clinical skills.  They argue that this model equips clinicians with the skills necessary for academic enquiry and enhances their ability to become effective practitioners.</w:t>
      </w:r>
      <w:r w:rsidR="007F7D1D">
        <w:rPr>
          <w:rFonts w:ascii="Arial" w:hAnsi="Arial"/>
          <w:sz w:val="22"/>
          <w:szCs w:val="22"/>
        </w:rPr>
        <w:t xml:space="preserve"> </w:t>
      </w:r>
      <w:r w:rsidRPr="00DC14C9">
        <w:rPr>
          <w:rFonts w:ascii="Arial" w:hAnsi="Arial"/>
          <w:sz w:val="22"/>
          <w:szCs w:val="22"/>
        </w:rPr>
        <w:t>The IAPT programme</w:t>
      </w:r>
      <w:r>
        <w:rPr>
          <w:rFonts w:ascii="Arial" w:hAnsi="Arial"/>
          <w:sz w:val="22"/>
          <w:szCs w:val="22"/>
        </w:rPr>
        <w:t>,</w:t>
      </w:r>
      <w:r w:rsidRPr="00DC14C9">
        <w:rPr>
          <w:rFonts w:ascii="Arial" w:hAnsi="Arial"/>
          <w:sz w:val="22"/>
          <w:szCs w:val="22"/>
        </w:rPr>
        <w:t xml:space="preserve"> led by David Clark</w:t>
      </w:r>
      <w:r w:rsidR="007F7D1D">
        <w:rPr>
          <w:rFonts w:ascii="Arial" w:hAnsi="Arial"/>
          <w:sz w:val="22"/>
          <w:szCs w:val="22"/>
        </w:rPr>
        <w:t>,</w:t>
      </w:r>
      <w:r>
        <w:rPr>
          <w:rFonts w:ascii="Arial" w:hAnsi="Arial"/>
          <w:sz w:val="22"/>
          <w:szCs w:val="22"/>
        </w:rPr>
        <w:t xml:space="preserve"> a</w:t>
      </w:r>
      <w:r w:rsidRPr="00DC14C9">
        <w:rPr>
          <w:rFonts w:ascii="Arial" w:hAnsi="Arial"/>
          <w:sz w:val="22"/>
          <w:szCs w:val="22"/>
        </w:rPr>
        <w:t>lso places an emphasis on outcome research developed by economists, clinicians and clinical researchers.</w:t>
      </w:r>
      <w:r w:rsidR="007F7D1D">
        <w:rPr>
          <w:rFonts w:ascii="Arial" w:hAnsi="Arial"/>
          <w:sz w:val="22"/>
          <w:szCs w:val="22"/>
        </w:rPr>
        <w:t xml:space="preserve"> </w:t>
      </w:r>
      <w:r w:rsidRPr="00DC14C9">
        <w:rPr>
          <w:rFonts w:ascii="Arial" w:hAnsi="Arial"/>
          <w:sz w:val="22"/>
          <w:szCs w:val="22"/>
        </w:rPr>
        <w:t>Clark, Layard, Smithies, Richards, Suckling and Wright (2009) report on the initial evaluation of the first IAPT sites and there have</w:t>
      </w:r>
      <w:r w:rsidR="007F7D1D">
        <w:rPr>
          <w:rFonts w:ascii="Arial" w:hAnsi="Arial"/>
          <w:sz w:val="22"/>
          <w:szCs w:val="22"/>
        </w:rPr>
        <w:t xml:space="preserve"> been</w:t>
      </w:r>
      <w:r w:rsidRPr="00DC14C9">
        <w:rPr>
          <w:rFonts w:ascii="Arial" w:hAnsi="Arial"/>
          <w:sz w:val="22"/>
          <w:szCs w:val="22"/>
        </w:rPr>
        <w:t xml:space="preserve"> annual publications of outcome data since then (Clark</w:t>
      </w:r>
      <w:r w:rsidR="00426B48">
        <w:rPr>
          <w:rFonts w:ascii="Arial" w:hAnsi="Arial"/>
          <w:sz w:val="22"/>
          <w:szCs w:val="22"/>
        </w:rPr>
        <w:t>,</w:t>
      </w:r>
      <w:r w:rsidRPr="00DC14C9">
        <w:rPr>
          <w:rFonts w:ascii="Arial" w:hAnsi="Arial"/>
          <w:sz w:val="22"/>
          <w:szCs w:val="22"/>
        </w:rPr>
        <w:t xml:space="preserve"> 2012). Implicit within the IAPT model is the mandatory reporting of outcome data by all of the IAPT services.</w:t>
      </w:r>
      <w:r w:rsidR="007F7D1D">
        <w:rPr>
          <w:rFonts w:ascii="Arial" w:hAnsi="Arial"/>
          <w:sz w:val="22"/>
          <w:szCs w:val="22"/>
        </w:rPr>
        <w:t xml:space="preserve"> </w:t>
      </w:r>
      <w:r w:rsidRPr="00DC14C9">
        <w:rPr>
          <w:rFonts w:ascii="Arial" w:hAnsi="Arial"/>
          <w:sz w:val="22"/>
          <w:szCs w:val="22"/>
        </w:rPr>
        <w:t>This data has been used by health economists to develop a statistical argument that supports the hypothesis that IAPT is able to meets i</w:t>
      </w:r>
      <w:r w:rsidR="00344D65">
        <w:rPr>
          <w:rFonts w:ascii="Arial" w:hAnsi="Arial"/>
          <w:sz w:val="22"/>
          <w:szCs w:val="22"/>
        </w:rPr>
        <w:t>t</w:t>
      </w:r>
      <w:r w:rsidRPr="00DC14C9">
        <w:rPr>
          <w:rFonts w:ascii="Arial" w:hAnsi="Arial"/>
          <w:sz w:val="22"/>
          <w:szCs w:val="22"/>
        </w:rPr>
        <w:t>s original aims and objectives of improving recovery, reducing prescribing and enabling people to return to work.</w:t>
      </w:r>
    </w:p>
    <w:p w14:paraId="1513E35C" w14:textId="77777777" w:rsidR="00477630" w:rsidRPr="00DC14C9" w:rsidRDefault="00477630" w:rsidP="00477630">
      <w:pPr>
        <w:spacing w:line="480" w:lineRule="auto"/>
        <w:rPr>
          <w:rFonts w:ascii="Arial" w:hAnsi="Arial"/>
          <w:sz w:val="22"/>
          <w:szCs w:val="22"/>
        </w:rPr>
      </w:pPr>
    </w:p>
    <w:p w14:paraId="37060DAC" w14:textId="652D4077" w:rsidR="00477630" w:rsidRPr="000A4854" w:rsidRDefault="00477630" w:rsidP="00477630">
      <w:pPr>
        <w:spacing w:line="480" w:lineRule="auto"/>
        <w:rPr>
          <w:rFonts w:ascii="Arial" w:hAnsi="Arial"/>
          <w:sz w:val="22"/>
          <w:szCs w:val="22"/>
        </w:rPr>
      </w:pPr>
      <w:r w:rsidRPr="00DC14C9">
        <w:rPr>
          <w:rFonts w:ascii="Arial" w:hAnsi="Arial"/>
          <w:sz w:val="22"/>
          <w:szCs w:val="22"/>
        </w:rPr>
        <w:t>Whilst the published outcome data relating to IAPT services since 2009 has been largely positive (McHugh and Barlow</w:t>
      </w:r>
      <w:r w:rsidR="00426B48">
        <w:rPr>
          <w:rFonts w:ascii="Arial" w:hAnsi="Arial"/>
          <w:sz w:val="22"/>
          <w:szCs w:val="22"/>
        </w:rPr>
        <w:t>,</w:t>
      </w:r>
      <w:r w:rsidRPr="00DC14C9">
        <w:rPr>
          <w:rFonts w:ascii="Arial" w:hAnsi="Arial"/>
          <w:sz w:val="22"/>
          <w:szCs w:val="22"/>
        </w:rPr>
        <w:t xml:space="preserve"> 2012) it is not without its critics. The We Need to Talk coalition present a counter argument in their 2010 research paper ‘We Still Need To Talk.’  The coalition, consisting of a number of high</w:t>
      </w:r>
      <w:r>
        <w:rPr>
          <w:rFonts w:ascii="Arial" w:hAnsi="Arial"/>
          <w:sz w:val="22"/>
          <w:szCs w:val="22"/>
        </w:rPr>
        <w:t>-</w:t>
      </w:r>
      <w:r w:rsidRPr="00DC14C9">
        <w:rPr>
          <w:rFonts w:ascii="Arial" w:hAnsi="Arial"/>
          <w:sz w:val="22"/>
          <w:szCs w:val="22"/>
        </w:rPr>
        <w:t xml:space="preserve">profile organisations such as the Royal College of Psychiatrists, The Mental Health Foundation and The British Psychological Society, argue that IAPT is failing to provide an effective service.  They state that IAPT has long waiting </w:t>
      </w:r>
      <w:r w:rsidRPr="00DC14C9">
        <w:rPr>
          <w:rFonts w:ascii="Arial" w:hAnsi="Arial"/>
          <w:sz w:val="22"/>
          <w:szCs w:val="22"/>
        </w:rPr>
        <w:lastRenderedPageBreak/>
        <w:t>times, that patients are not offered a choice and that many are not offered therapy at all.</w:t>
      </w:r>
      <w:r>
        <w:rPr>
          <w:rFonts w:ascii="Arial" w:hAnsi="Arial"/>
          <w:sz w:val="22"/>
          <w:szCs w:val="22"/>
        </w:rPr>
        <w:t xml:space="preserve"> However, it cannot be argued that IAPT currently treats over half a million patients a year and many of these would have not received any treatment prior to IAPT (Clark, 2018).</w:t>
      </w:r>
    </w:p>
    <w:p w14:paraId="7E4763BC" w14:textId="77777777" w:rsidR="00477630" w:rsidRDefault="00477630" w:rsidP="00477630">
      <w:pPr>
        <w:spacing w:line="480" w:lineRule="auto"/>
        <w:rPr>
          <w:rFonts w:ascii="Arial" w:hAnsi="Arial"/>
          <w:b/>
        </w:rPr>
      </w:pPr>
    </w:p>
    <w:p w14:paraId="13CA24DA" w14:textId="6EFADD19" w:rsidR="00477630" w:rsidRDefault="00477630" w:rsidP="00477630">
      <w:pPr>
        <w:pStyle w:val="Heading2"/>
        <w:rPr>
          <w:rFonts w:ascii="Arial" w:hAnsi="Arial" w:cs="Arial"/>
          <w:color w:val="000000" w:themeColor="text1"/>
          <w:sz w:val="22"/>
          <w:szCs w:val="22"/>
        </w:rPr>
      </w:pPr>
      <w:bookmarkStart w:id="97" w:name="_Toc46770732"/>
      <w:bookmarkStart w:id="98" w:name="_Toc79414143"/>
      <w:r w:rsidRPr="00A90BA0">
        <w:rPr>
          <w:rFonts w:ascii="Arial" w:hAnsi="Arial" w:cs="Arial"/>
          <w:color w:val="000000" w:themeColor="text1"/>
          <w:sz w:val="22"/>
          <w:szCs w:val="22"/>
        </w:rPr>
        <w:t>2.</w:t>
      </w:r>
      <w:r w:rsidR="00DB1FA4">
        <w:rPr>
          <w:rFonts w:ascii="Arial" w:hAnsi="Arial" w:cs="Arial"/>
          <w:color w:val="000000" w:themeColor="text1"/>
          <w:sz w:val="22"/>
          <w:szCs w:val="22"/>
        </w:rPr>
        <w:t>7</w:t>
      </w:r>
      <w:r w:rsidRPr="00A90BA0">
        <w:rPr>
          <w:rFonts w:ascii="Arial" w:hAnsi="Arial" w:cs="Arial"/>
          <w:color w:val="000000" w:themeColor="text1"/>
          <w:sz w:val="22"/>
          <w:szCs w:val="22"/>
        </w:rPr>
        <w:t xml:space="preserve"> IAPT IN 2019: CHALLENGES AND CHANGE</w:t>
      </w:r>
      <w:bookmarkEnd w:id="97"/>
      <w:bookmarkEnd w:id="98"/>
    </w:p>
    <w:p w14:paraId="4CF474EB" w14:textId="499F6390" w:rsidR="00477630" w:rsidRPr="00A90BA0" w:rsidRDefault="00477630" w:rsidP="00477630"/>
    <w:p w14:paraId="59363E46" w14:textId="0A1391C7" w:rsidR="00477630" w:rsidRPr="00A90BA0" w:rsidRDefault="00477630" w:rsidP="00477630">
      <w:pPr>
        <w:spacing w:line="480" w:lineRule="auto"/>
        <w:rPr>
          <w:rFonts w:ascii="Arial" w:hAnsi="Arial" w:cs="Arial"/>
          <w:sz w:val="22"/>
          <w:szCs w:val="22"/>
        </w:rPr>
      </w:pPr>
      <w:r w:rsidRPr="00A90BA0">
        <w:rPr>
          <w:rFonts w:ascii="Arial" w:hAnsi="Arial"/>
          <w:sz w:val="22"/>
          <w:szCs w:val="22"/>
        </w:rPr>
        <w:t>Despite increased funding and increased numbers of trained psychological therapists IAPT is failing to meet its targets (Strathdee</w:t>
      </w:r>
      <w:r w:rsidR="00426B48">
        <w:rPr>
          <w:rFonts w:ascii="Arial" w:hAnsi="Arial"/>
          <w:sz w:val="22"/>
          <w:szCs w:val="22"/>
        </w:rPr>
        <w:t>,</w:t>
      </w:r>
      <w:r w:rsidRPr="00A90BA0">
        <w:rPr>
          <w:rFonts w:ascii="Arial" w:hAnsi="Arial"/>
          <w:sz w:val="22"/>
          <w:szCs w:val="22"/>
        </w:rPr>
        <w:t xml:space="preserve"> 2013).  The majority of IAPT services are treating less than 11% of those that have anxiety or depression (We Need </w:t>
      </w:r>
      <w:r>
        <w:rPr>
          <w:rFonts w:ascii="Arial" w:hAnsi="Arial"/>
          <w:sz w:val="22"/>
          <w:szCs w:val="22"/>
        </w:rPr>
        <w:t>t</w:t>
      </w:r>
      <w:r w:rsidRPr="00A90BA0">
        <w:rPr>
          <w:rFonts w:ascii="Arial" w:hAnsi="Arial"/>
          <w:sz w:val="22"/>
          <w:szCs w:val="22"/>
        </w:rPr>
        <w:t>o Talk Coalition</w:t>
      </w:r>
      <w:r w:rsidR="006336F8">
        <w:rPr>
          <w:rFonts w:ascii="Arial" w:hAnsi="Arial"/>
          <w:sz w:val="22"/>
          <w:szCs w:val="22"/>
        </w:rPr>
        <w:t xml:space="preserve"> Report</w:t>
      </w:r>
      <w:r w:rsidR="00426B48">
        <w:rPr>
          <w:rFonts w:ascii="Arial" w:hAnsi="Arial"/>
          <w:sz w:val="22"/>
          <w:szCs w:val="22"/>
        </w:rPr>
        <w:t>,</w:t>
      </w:r>
      <w:r w:rsidRPr="00A90BA0">
        <w:rPr>
          <w:rFonts w:ascii="Arial" w:hAnsi="Arial"/>
          <w:sz w:val="22"/>
          <w:szCs w:val="22"/>
        </w:rPr>
        <w:t xml:space="preserve"> 2010).  The IAPT target is currently 15%. The Department of Health (2011) reports that health services in the United Kingdom (UK), are failing to respond to the growing need for evidence-based treatments such as Cognitive Behavioural Therapy (CBT). The ‘We Need to Talk’ coalition argue that one in ten people wait more than twelve months for treatment, more than half of patients must wait for more than three months for treatment, there is no choice of provision offered and there is a lack of parity of esteem with physical health provision.  The coalition cite the government’s commitment to parity of esteem in the Health </w:t>
      </w:r>
      <w:r w:rsidR="007F7D1D">
        <w:rPr>
          <w:rFonts w:ascii="Arial" w:hAnsi="Arial"/>
          <w:sz w:val="22"/>
          <w:szCs w:val="22"/>
        </w:rPr>
        <w:t>P</w:t>
      </w:r>
      <w:r w:rsidRPr="00A90BA0">
        <w:rPr>
          <w:rFonts w:ascii="Arial" w:hAnsi="Arial"/>
          <w:sz w:val="22"/>
          <w:szCs w:val="22"/>
        </w:rPr>
        <w:t xml:space="preserve">olicy paper ‘No Health Without Mental Health’ (2012) and argue that the government is failing to address the problem. </w:t>
      </w:r>
      <w:r w:rsidRPr="00A90BA0">
        <w:rPr>
          <w:rFonts w:ascii="Arial" w:hAnsi="Arial" w:cs="Arial"/>
          <w:sz w:val="22"/>
          <w:szCs w:val="22"/>
        </w:rPr>
        <w:t xml:space="preserve">Davies (2014), in her Chief Medical Officer’s Report, also acknowledges the deficit in provision within primary care mental health services. She cites emerging health policy that supports the use of technology to bridge the gap in the provision of evidenced based psychological interventions, such as cognitive behavioural therapy (NHS Mandate 2014, Hollis et al., 2014). The technological application of cognitive behavioural therapy (CBT) has been termed Computerised CBT (cCBT).  This method of delivering cognitive behavioural interventions focuses mainly on self-help with no, or very minimal, therapist input. Computerised CBT enables patients to access self-help materials via a CD-ROM, computer software or on a website.  Services of this kind include ‘Beating the Blues’ and ‘Moodgym’ both of which have been used with limited success in IAPT (Grist and </w:t>
      </w:r>
      <w:r w:rsidRPr="00A90BA0">
        <w:rPr>
          <w:rFonts w:ascii="Arial" w:hAnsi="Arial" w:cs="Arial"/>
          <w:sz w:val="22"/>
          <w:szCs w:val="22"/>
        </w:rPr>
        <w:lastRenderedPageBreak/>
        <w:t>Cavannah</w:t>
      </w:r>
      <w:r w:rsidR="00426B48">
        <w:rPr>
          <w:rFonts w:ascii="Arial" w:hAnsi="Arial" w:cs="Arial"/>
          <w:sz w:val="22"/>
          <w:szCs w:val="22"/>
        </w:rPr>
        <w:t>,</w:t>
      </w:r>
      <w:r w:rsidRPr="00A90BA0">
        <w:rPr>
          <w:rFonts w:ascii="Arial" w:hAnsi="Arial" w:cs="Arial"/>
          <w:sz w:val="22"/>
          <w:szCs w:val="22"/>
        </w:rPr>
        <w:t xml:space="preserve"> 2013). Therefore</w:t>
      </w:r>
      <w:r>
        <w:rPr>
          <w:rFonts w:ascii="Arial" w:hAnsi="Arial" w:cs="Arial"/>
          <w:sz w:val="22"/>
          <w:szCs w:val="22"/>
        </w:rPr>
        <w:t>,</w:t>
      </w:r>
      <w:r w:rsidRPr="00A90BA0">
        <w:rPr>
          <w:rFonts w:ascii="Arial" w:hAnsi="Arial" w:cs="Arial"/>
          <w:sz w:val="22"/>
          <w:szCs w:val="22"/>
        </w:rPr>
        <w:t xml:space="preserve"> it is unlikely that this type of intervention will provide the solution to bridge the gap in provision (Richards, Timulak and Hevey</w:t>
      </w:r>
      <w:r w:rsidR="00426B48">
        <w:rPr>
          <w:rFonts w:ascii="Arial" w:hAnsi="Arial" w:cs="Arial"/>
          <w:sz w:val="22"/>
          <w:szCs w:val="22"/>
        </w:rPr>
        <w:t>,</w:t>
      </w:r>
      <w:r w:rsidRPr="00A90BA0">
        <w:rPr>
          <w:rFonts w:ascii="Arial" w:hAnsi="Arial" w:cs="Arial"/>
          <w:sz w:val="22"/>
          <w:szCs w:val="22"/>
        </w:rPr>
        <w:t xml:space="preserve"> 2012). </w:t>
      </w:r>
    </w:p>
    <w:p w14:paraId="10FFFAA5" w14:textId="77777777" w:rsidR="00477630" w:rsidRPr="00A90BA0" w:rsidRDefault="00477630" w:rsidP="00477630">
      <w:pPr>
        <w:spacing w:line="480" w:lineRule="auto"/>
        <w:rPr>
          <w:rFonts w:ascii="Arial" w:hAnsi="Arial" w:cs="Arial"/>
          <w:sz w:val="22"/>
          <w:szCs w:val="22"/>
        </w:rPr>
      </w:pPr>
    </w:p>
    <w:p w14:paraId="473F3F0B" w14:textId="37889882" w:rsidR="00477630" w:rsidRPr="00A90BA0" w:rsidRDefault="00477630" w:rsidP="00477630">
      <w:pPr>
        <w:spacing w:line="480" w:lineRule="auto"/>
        <w:rPr>
          <w:rFonts w:ascii="Arial" w:hAnsi="Arial" w:cs="Arial"/>
          <w:b/>
          <w:color w:val="1F497D" w:themeColor="text2"/>
          <w:sz w:val="22"/>
          <w:szCs w:val="22"/>
        </w:rPr>
      </w:pPr>
      <w:r w:rsidRPr="00A90BA0">
        <w:rPr>
          <w:rFonts w:ascii="Arial" w:hAnsi="Arial" w:cs="Arial"/>
          <w:sz w:val="22"/>
          <w:szCs w:val="22"/>
        </w:rPr>
        <w:t>The history of technologically delivered cognitive behavioural interventions is a short one. Since the advent of evidence</w:t>
      </w:r>
      <w:r>
        <w:rPr>
          <w:rFonts w:ascii="Arial" w:hAnsi="Arial" w:cs="Arial"/>
          <w:sz w:val="22"/>
          <w:szCs w:val="22"/>
        </w:rPr>
        <w:t>-</w:t>
      </w:r>
      <w:r w:rsidRPr="00A90BA0">
        <w:rPr>
          <w:rFonts w:ascii="Arial" w:hAnsi="Arial" w:cs="Arial"/>
          <w:sz w:val="22"/>
          <w:szCs w:val="22"/>
        </w:rPr>
        <w:t>based interventions</w:t>
      </w:r>
      <w:r w:rsidR="007F7D1D">
        <w:rPr>
          <w:rFonts w:ascii="Arial" w:hAnsi="Arial" w:cs="Arial"/>
          <w:sz w:val="22"/>
          <w:szCs w:val="22"/>
        </w:rPr>
        <w:t>,</w:t>
      </w:r>
      <w:r w:rsidRPr="00A90BA0">
        <w:rPr>
          <w:rFonts w:ascii="Arial" w:hAnsi="Arial" w:cs="Arial"/>
          <w:sz w:val="22"/>
          <w:szCs w:val="22"/>
        </w:rPr>
        <w:t xml:space="preserve"> researchers have explored the efficacy of various methods of delivery. Initially</w:t>
      </w:r>
      <w:r w:rsidR="007F7D1D">
        <w:rPr>
          <w:rFonts w:ascii="Arial" w:hAnsi="Arial" w:cs="Arial"/>
          <w:sz w:val="22"/>
          <w:szCs w:val="22"/>
        </w:rPr>
        <w:t>,</w:t>
      </w:r>
      <w:r w:rsidRPr="00A90BA0">
        <w:rPr>
          <w:rFonts w:ascii="Arial" w:hAnsi="Arial" w:cs="Arial"/>
          <w:sz w:val="22"/>
          <w:szCs w:val="22"/>
        </w:rPr>
        <w:t xml:space="preserve"> research focussed on face-to-face delivery and group intervention and, more latterly, telephone</w:t>
      </w:r>
      <w:r w:rsidR="007F7D1D">
        <w:rPr>
          <w:rFonts w:ascii="Arial" w:hAnsi="Arial" w:cs="Arial"/>
          <w:sz w:val="22"/>
          <w:szCs w:val="22"/>
        </w:rPr>
        <w:t>-</w:t>
      </w:r>
      <w:r w:rsidRPr="00A90BA0">
        <w:rPr>
          <w:rFonts w:ascii="Arial" w:hAnsi="Arial" w:cs="Arial"/>
          <w:sz w:val="22"/>
          <w:szCs w:val="22"/>
        </w:rPr>
        <w:t>, computer</w:t>
      </w:r>
      <w:r w:rsidR="007F7D1D">
        <w:rPr>
          <w:rFonts w:ascii="Arial" w:hAnsi="Arial" w:cs="Arial"/>
          <w:sz w:val="22"/>
          <w:szCs w:val="22"/>
        </w:rPr>
        <w:t>-</w:t>
      </w:r>
      <w:r w:rsidRPr="00A90BA0">
        <w:rPr>
          <w:rFonts w:ascii="Arial" w:hAnsi="Arial" w:cs="Arial"/>
          <w:sz w:val="22"/>
          <w:szCs w:val="22"/>
        </w:rPr>
        <w:t xml:space="preserve"> and Internet</w:t>
      </w:r>
      <w:r w:rsidR="007F7D1D">
        <w:rPr>
          <w:rFonts w:ascii="Arial" w:hAnsi="Arial" w:cs="Arial"/>
          <w:sz w:val="22"/>
          <w:szCs w:val="22"/>
        </w:rPr>
        <w:t>-</w:t>
      </w:r>
      <w:r w:rsidRPr="00A90BA0">
        <w:rPr>
          <w:rFonts w:ascii="Arial" w:hAnsi="Arial" w:cs="Arial"/>
          <w:sz w:val="22"/>
          <w:szCs w:val="22"/>
        </w:rPr>
        <w:t>delivered interventions.  The last decade has seen a growing body of evidence that demonstrates that some computer</w:t>
      </w:r>
      <w:r w:rsidR="007F7D1D">
        <w:rPr>
          <w:rFonts w:ascii="Arial" w:hAnsi="Arial" w:cs="Arial"/>
          <w:sz w:val="22"/>
          <w:szCs w:val="22"/>
        </w:rPr>
        <w:t>-based</w:t>
      </w:r>
      <w:r w:rsidRPr="00A90BA0">
        <w:rPr>
          <w:rFonts w:ascii="Arial" w:hAnsi="Arial" w:cs="Arial"/>
          <w:sz w:val="22"/>
          <w:szCs w:val="22"/>
        </w:rPr>
        <w:t xml:space="preserve"> and Internet</w:t>
      </w:r>
      <w:r w:rsidR="007F7D1D">
        <w:rPr>
          <w:rFonts w:ascii="Arial" w:hAnsi="Arial" w:cs="Arial"/>
          <w:sz w:val="22"/>
          <w:szCs w:val="22"/>
        </w:rPr>
        <w:t>-</w:t>
      </w:r>
      <w:r w:rsidRPr="00A90BA0">
        <w:rPr>
          <w:rFonts w:ascii="Arial" w:hAnsi="Arial" w:cs="Arial"/>
          <w:sz w:val="22"/>
          <w:szCs w:val="22"/>
        </w:rPr>
        <w:t>based interventions can be effective (Hedman, Ljottson and Lindefors, 2012).  Kanter et.al, argues that people can differ in their requirements from treatment. They suggest that not all patients will benefit from traditional face-to-face interventions and offering a range of options including self-help and online services may widen access and optimise the efficacy of treatment.</w:t>
      </w:r>
    </w:p>
    <w:p w14:paraId="60625E30" w14:textId="77777777" w:rsidR="00477630" w:rsidRPr="00A90BA0" w:rsidRDefault="00477630" w:rsidP="00477630">
      <w:pPr>
        <w:spacing w:line="480" w:lineRule="auto"/>
        <w:rPr>
          <w:rFonts w:ascii="Arial" w:hAnsi="Arial" w:cs="Arial"/>
          <w:b/>
          <w:sz w:val="22"/>
          <w:szCs w:val="22"/>
        </w:rPr>
      </w:pPr>
    </w:p>
    <w:p w14:paraId="38C4456F" w14:textId="247ACE52" w:rsidR="00477630" w:rsidRPr="00A90BA0" w:rsidRDefault="00477630" w:rsidP="00477630">
      <w:pPr>
        <w:pStyle w:val="Heading2"/>
        <w:rPr>
          <w:rFonts w:ascii="Arial" w:hAnsi="Arial" w:cs="Arial"/>
          <w:color w:val="000000" w:themeColor="text1"/>
          <w:sz w:val="22"/>
          <w:szCs w:val="22"/>
        </w:rPr>
      </w:pPr>
      <w:bookmarkStart w:id="99" w:name="_Toc46770733"/>
      <w:bookmarkStart w:id="100" w:name="_Toc79414144"/>
      <w:r w:rsidRPr="00A90BA0">
        <w:rPr>
          <w:rFonts w:ascii="Arial" w:hAnsi="Arial" w:cs="Arial"/>
          <w:color w:val="000000" w:themeColor="text1"/>
          <w:sz w:val="22"/>
          <w:szCs w:val="22"/>
        </w:rPr>
        <w:t>2.</w:t>
      </w:r>
      <w:r w:rsidR="00DB1FA4">
        <w:rPr>
          <w:rFonts w:ascii="Arial" w:hAnsi="Arial" w:cs="Arial"/>
          <w:color w:val="000000" w:themeColor="text1"/>
          <w:sz w:val="22"/>
          <w:szCs w:val="22"/>
        </w:rPr>
        <w:t>8</w:t>
      </w:r>
      <w:r w:rsidRPr="00A90BA0">
        <w:rPr>
          <w:rFonts w:ascii="Arial" w:hAnsi="Arial" w:cs="Arial"/>
          <w:color w:val="000000" w:themeColor="text1"/>
          <w:sz w:val="22"/>
          <w:szCs w:val="22"/>
        </w:rPr>
        <w:t xml:space="preserve"> </w:t>
      </w:r>
      <w:r w:rsidR="006C5B70">
        <w:rPr>
          <w:rFonts w:ascii="Arial" w:hAnsi="Arial" w:cs="Arial"/>
          <w:color w:val="000000" w:themeColor="text1"/>
          <w:sz w:val="22"/>
          <w:szCs w:val="22"/>
        </w:rPr>
        <w:t>SUMMARY</w:t>
      </w:r>
      <w:bookmarkEnd w:id="99"/>
      <w:bookmarkEnd w:id="100"/>
    </w:p>
    <w:p w14:paraId="5CA87FAD" w14:textId="77777777" w:rsidR="00477630" w:rsidRDefault="00477630" w:rsidP="00477630">
      <w:pPr>
        <w:spacing w:line="480" w:lineRule="auto"/>
      </w:pPr>
    </w:p>
    <w:p w14:paraId="438B3CF2" w14:textId="795E6BED" w:rsidR="00AA0238" w:rsidRPr="005144E4" w:rsidRDefault="006C5B70" w:rsidP="00AA0238">
      <w:pPr>
        <w:spacing w:line="480" w:lineRule="auto"/>
        <w:rPr>
          <w:rFonts w:ascii="Arial" w:hAnsi="Arial" w:cs="Arial"/>
          <w:sz w:val="22"/>
          <w:szCs w:val="22"/>
        </w:rPr>
      </w:pPr>
      <w:r>
        <w:rPr>
          <w:rFonts w:ascii="Arial" w:hAnsi="Arial" w:cs="Arial"/>
          <w:sz w:val="22"/>
          <w:szCs w:val="22"/>
        </w:rPr>
        <w:t>This</w:t>
      </w:r>
      <w:r w:rsidR="00477630" w:rsidRPr="00B96325">
        <w:rPr>
          <w:rFonts w:ascii="Arial" w:hAnsi="Arial" w:cs="Arial"/>
          <w:sz w:val="22"/>
          <w:szCs w:val="22"/>
        </w:rPr>
        <w:t xml:space="preserve"> </w:t>
      </w:r>
      <w:r>
        <w:rPr>
          <w:rFonts w:ascii="Arial" w:hAnsi="Arial" w:cs="Arial"/>
          <w:sz w:val="22"/>
          <w:szCs w:val="22"/>
        </w:rPr>
        <w:t xml:space="preserve">section has so far </w:t>
      </w:r>
      <w:r w:rsidR="00477630" w:rsidRPr="00B96325">
        <w:rPr>
          <w:rFonts w:ascii="Arial" w:hAnsi="Arial" w:cs="Arial"/>
          <w:sz w:val="22"/>
          <w:szCs w:val="22"/>
        </w:rPr>
        <w:t>discussed the development of the IAPT programme</w:t>
      </w:r>
      <w:r w:rsidR="00477630">
        <w:rPr>
          <w:rFonts w:ascii="Arial" w:hAnsi="Arial" w:cs="Arial"/>
          <w:sz w:val="22"/>
          <w:szCs w:val="22"/>
        </w:rPr>
        <w:t xml:space="preserve"> in England.</w:t>
      </w:r>
      <w:r w:rsidR="0008497D">
        <w:rPr>
          <w:rFonts w:ascii="Arial" w:hAnsi="Arial" w:cs="Arial"/>
          <w:sz w:val="22"/>
          <w:szCs w:val="22"/>
        </w:rPr>
        <w:t xml:space="preserve"> </w:t>
      </w:r>
      <w:r w:rsidR="00507B4A" w:rsidRPr="005144E4">
        <w:rPr>
          <w:rFonts w:ascii="Arial" w:hAnsi="Arial" w:cs="Arial"/>
          <w:sz w:val="22"/>
          <w:szCs w:val="22"/>
        </w:rPr>
        <w:t>The achievements, challenges</w:t>
      </w:r>
      <w:r w:rsidR="00314B6D" w:rsidRPr="005144E4">
        <w:rPr>
          <w:rFonts w:ascii="Arial" w:hAnsi="Arial" w:cs="Arial"/>
          <w:sz w:val="22"/>
          <w:szCs w:val="22"/>
        </w:rPr>
        <w:t xml:space="preserve"> and</w:t>
      </w:r>
      <w:r w:rsidR="00507B4A" w:rsidRPr="005144E4">
        <w:rPr>
          <w:rFonts w:ascii="Arial" w:hAnsi="Arial" w:cs="Arial"/>
          <w:sz w:val="22"/>
          <w:szCs w:val="22"/>
        </w:rPr>
        <w:t xml:space="preserve"> </w:t>
      </w:r>
      <w:r w:rsidR="00EB71BD" w:rsidRPr="005144E4">
        <w:rPr>
          <w:rFonts w:ascii="Arial" w:hAnsi="Arial" w:cs="Arial"/>
          <w:sz w:val="22"/>
          <w:szCs w:val="22"/>
        </w:rPr>
        <w:t xml:space="preserve">counter arguments against the IAPT programme have been </w:t>
      </w:r>
      <w:r w:rsidR="00314B6D" w:rsidRPr="005144E4">
        <w:rPr>
          <w:rFonts w:ascii="Arial" w:hAnsi="Arial" w:cs="Arial"/>
          <w:sz w:val="22"/>
          <w:szCs w:val="22"/>
        </w:rPr>
        <w:t>presented.</w:t>
      </w:r>
      <w:r w:rsidR="00EB71BD">
        <w:rPr>
          <w:rFonts w:ascii="Arial" w:hAnsi="Arial" w:cs="Arial"/>
          <w:sz w:val="22"/>
          <w:szCs w:val="22"/>
        </w:rPr>
        <w:t xml:space="preserve"> </w:t>
      </w:r>
      <w:r w:rsidR="00477630">
        <w:rPr>
          <w:rFonts w:ascii="Arial" w:hAnsi="Arial" w:cs="Arial"/>
          <w:sz w:val="22"/>
          <w:szCs w:val="22"/>
        </w:rPr>
        <w:t xml:space="preserve">An overview of the programme has been provided </w:t>
      </w:r>
      <w:r w:rsidR="00477630" w:rsidRPr="00B96325">
        <w:rPr>
          <w:rFonts w:ascii="Arial" w:hAnsi="Arial" w:cs="Arial"/>
          <w:sz w:val="22"/>
          <w:szCs w:val="22"/>
        </w:rPr>
        <w:t>including the guiding principles of IAPT, the stepped care model,</w:t>
      </w:r>
      <w:r w:rsidR="00C307C6">
        <w:rPr>
          <w:rFonts w:ascii="Arial" w:hAnsi="Arial" w:cs="Arial"/>
          <w:sz w:val="22"/>
          <w:szCs w:val="22"/>
        </w:rPr>
        <w:t xml:space="preserve"> </w:t>
      </w:r>
      <w:r w:rsidR="00477630" w:rsidRPr="00B96325">
        <w:rPr>
          <w:rFonts w:ascii="Arial" w:hAnsi="Arial" w:cs="Arial"/>
          <w:sz w:val="22"/>
          <w:szCs w:val="22"/>
        </w:rPr>
        <w:t>the focus on the provision of evidence</w:t>
      </w:r>
      <w:r w:rsidR="00477630">
        <w:rPr>
          <w:rFonts w:ascii="Arial" w:hAnsi="Arial" w:cs="Arial"/>
          <w:sz w:val="22"/>
          <w:szCs w:val="22"/>
        </w:rPr>
        <w:t>-</w:t>
      </w:r>
      <w:r w:rsidR="00477630" w:rsidRPr="00B96325">
        <w:rPr>
          <w:rFonts w:ascii="Arial" w:hAnsi="Arial" w:cs="Arial"/>
          <w:sz w:val="22"/>
          <w:szCs w:val="22"/>
        </w:rPr>
        <w:t>based psychological interventions</w:t>
      </w:r>
      <w:r w:rsidR="00477630">
        <w:rPr>
          <w:rFonts w:ascii="Arial" w:hAnsi="Arial" w:cs="Arial"/>
          <w:sz w:val="22"/>
          <w:szCs w:val="22"/>
        </w:rPr>
        <w:t>,</w:t>
      </w:r>
      <w:r w:rsidR="00477630" w:rsidRPr="00B96325">
        <w:rPr>
          <w:rFonts w:ascii="Arial" w:hAnsi="Arial" w:cs="Arial"/>
          <w:sz w:val="22"/>
          <w:szCs w:val="22"/>
        </w:rPr>
        <w:t xml:space="preserve"> </w:t>
      </w:r>
      <w:r w:rsidR="00477630">
        <w:rPr>
          <w:rFonts w:ascii="Arial" w:hAnsi="Arial" w:cs="Arial"/>
          <w:sz w:val="22"/>
          <w:szCs w:val="22"/>
        </w:rPr>
        <w:t>the</w:t>
      </w:r>
      <w:r w:rsidR="00477630" w:rsidRPr="00B96325">
        <w:rPr>
          <w:rFonts w:ascii="Arial" w:hAnsi="Arial" w:cs="Arial"/>
          <w:sz w:val="22"/>
          <w:szCs w:val="22"/>
        </w:rPr>
        <w:t xml:space="preserve"> outcome-based framework and the training curricul</w:t>
      </w:r>
      <w:r>
        <w:rPr>
          <w:rFonts w:ascii="Arial" w:hAnsi="Arial" w:cs="Arial"/>
          <w:sz w:val="22"/>
          <w:szCs w:val="22"/>
        </w:rPr>
        <w:t>um</w:t>
      </w:r>
      <w:r w:rsidR="00477630" w:rsidRPr="00B96325">
        <w:rPr>
          <w:rFonts w:ascii="Arial" w:hAnsi="Arial" w:cs="Arial"/>
          <w:sz w:val="22"/>
          <w:szCs w:val="22"/>
        </w:rPr>
        <w:t xml:space="preserve"> for High Intensity CBT therapists. </w:t>
      </w:r>
      <w:r w:rsidR="00DD3B83">
        <w:rPr>
          <w:rFonts w:ascii="Arial" w:hAnsi="Arial" w:cs="Arial"/>
          <w:sz w:val="22"/>
          <w:szCs w:val="22"/>
        </w:rPr>
        <w:t>It has been argued that the assessment of trainees in relation to their ability to adhere to an evidence-based</w:t>
      </w:r>
      <w:r w:rsidR="00477630" w:rsidRPr="00B96325">
        <w:rPr>
          <w:rFonts w:ascii="Arial" w:hAnsi="Arial" w:cs="Arial"/>
          <w:sz w:val="22"/>
          <w:szCs w:val="22"/>
        </w:rPr>
        <w:t xml:space="preserve"> </w:t>
      </w:r>
      <w:r w:rsidR="00DD3B83">
        <w:rPr>
          <w:rFonts w:ascii="Arial" w:hAnsi="Arial" w:cs="Arial"/>
          <w:sz w:val="22"/>
          <w:szCs w:val="22"/>
        </w:rPr>
        <w:t>treatment protocol</w:t>
      </w:r>
      <w:r w:rsidR="0090163D">
        <w:rPr>
          <w:rFonts w:ascii="Arial" w:hAnsi="Arial" w:cs="Arial"/>
          <w:sz w:val="22"/>
          <w:szCs w:val="22"/>
        </w:rPr>
        <w:t xml:space="preserve"> may be problematic in that it is currently impossible to assess what trainees (or qualified therapists) are doing with their patients. </w:t>
      </w:r>
      <w:r w:rsidR="007A5B46" w:rsidRPr="005144E4">
        <w:rPr>
          <w:rFonts w:ascii="Arial" w:hAnsi="Arial" w:cs="Arial"/>
          <w:sz w:val="22"/>
          <w:szCs w:val="22"/>
        </w:rPr>
        <w:t>Section</w:t>
      </w:r>
      <w:r w:rsidR="002F63C5" w:rsidRPr="005144E4">
        <w:rPr>
          <w:rFonts w:ascii="Arial" w:hAnsi="Arial" w:cs="Arial"/>
          <w:sz w:val="22"/>
          <w:szCs w:val="22"/>
        </w:rPr>
        <w:t xml:space="preserve">s 2.2, 2.6 and 2.7 have highlighted </w:t>
      </w:r>
      <w:r w:rsidR="0039233E" w:rsidRPr="005144E4">
        <w:rPr>
          <w:rFonts w:ascii="Arial" w:hAnsi="Arial" w:cs="Arial"/>
          <w:sz w:val="22"/>
          <w:szCs w:val="22"/>
        </w:rPr>
        <w:t>the growing</w:t>
      </w:r>
      <w:r w:rsidR="00C46EBE" w:rsidRPr="005144E4">
        <w:rPr>
          <w:rFonts w:ascii="Arial" w:hAnsi="Arial" w:cs="Arial"/>
          <w:sz w:val="22"/>
          <w:szCs w:val="22"/>
        </w:rPr>
        <w:t xml:space="preserve"> </w:t>
      </w:r>
      <w:r w:rsidR="00E41FFE" w:rsidRPr="005144E4">
        <w:rPr>
          <w:rFonts w:ascii="Arial" w:hAnsi="Arial" w:cs="Arial"/>
          <w:sz w:val="22"/>
          <w:szCs w:val="22"/>
        </w:rPr>
        <w:t>voice of dissent</w:t>
      </w:r>
      <w:r w:rsidR="00516994" w:rsidRPr="005144E4">
        <w:rPr>
          <w:rFonts w:ascii="Arial" w:hAnsi="Arial" w:cs="Arial"/>
          <w:sz w:val="22"/>
          <w:szCs w:val="22"/>
        </w:rPr>
        <w:t xml:space="preserve"> against </w:t>
      </w:r>
      <w:r w:rsidR="00162C6D" w:rsidRPr="005144E4">
        <w:rPr>
          <w:rFonts w:ascii="Arial" w:hAnsi="Arial" w:cs="Arial"/>
          <w:sz w:val="22"/>
          <w:szCs w:val="22"/>
        </w:rPr>
        <w:t xml:space="preserve">the </w:t>
      </w:r>
      <w:r w:rsidR="006D6ED2" w:rsidRPr="005144E4">
        <w:rPr>
          <w:rFonts w:ascii="Arial" w:hAnsi="Arial" w:cs="Arial"/>
          <w:sz w:val="22"/>
          <w:szCs w:val="22"/>
        </w:rPr>
        <w:t>IAPT programme</w:t>
      </w:r>
      <w:r w:rsidR="00B638AC" w:rsidRPr="005144E4">
        <w:rPr>
          <w:rFonts w:ascii="Arial" w:hAnsi="Arial" w:cs="Arial"/>
          <w:sz w:val="22"/>
          <w:szCs w:val="22"/>
        </w:rPr>
        <w:t>. Th</w:t>
      </w:r>
      <w:r w:rsidR="0011554B" w:rsidRPr="005144E4">
        <w:rPr>
          <w:rFonts w:ascii="Arial" w:hAnsi="Arial" w:cs="Arial"/>
          <w:sz w:val="22"/>
          <w:szCs w:val="22"/>
        </w:rPr>
        <w:t>ose tha</w:t>
      </w:r>
      <w:r w:rsidR="00B00F66" w:rsidRPr="005144E4">
        <w:rPr>
          <w:rFonts w:ascii="Arial" w:hAnsi="Arial" w:cs="Arial"/>
          <w:sz w:val="22"/>
          <w:szCs w:val="22"/>
        </w:rPr>
        <w:t>t</w:t>
      </w:r>
      <w:r w:rsidR="00B638AC" w:rsidRPr="005144E4">
        <w:rPr>
          <w:rFonts w:ascii="Arial" w:hAnsi="Arial" w:cs="Arial"/>
          <w:sz w:val="22"/>
          <w:szCs w:val="22"/>
        </w:rPr>
        <w:t xml:space="preserve"> </w:t>
      </w:r>
      <w:r w:rsidR="006677BB" w:rsidRPr="005144E4">
        <w:rPr>
          <w:rFonts w:ascii="Arial" w:hAnsi="Arial" w:cs="Arial"/>
          <w:sz w:val="22"/>
          <w:szCs w:val="22"/>
        </w:rPr>
        <w:t>have voiced a differing opinion are,</w:t>
      </w:r>
      <w:r w:rsidR="00B638AC" w:rsidRPr="005144E4">
        <w:rPr>
          <w:rFonts w:ascii="Arial" w:hAnsi="Arial" w:cs="Arial"/>
          <w:sz w:val="22"/>
          <w:szCs w:val="22"/>
        </w:rPr>
        <w:t xml:space="preserve"> most notably</w:t>
      </w:r>
      <w:r w:rsidR="006677BB" w:rsidRPr="005144E4">
        <w:rPr>
          <w:rFonts w:ascii="Arial" w:hAnsi="Arial" w:cs="Arial"/>
          <w:sz w:val="22"/>
          <w:szCs w:val="22"/>
        </w:rPr>
        <w:t>,</w:t>
      </w:r>
      <w:r w:rsidR="00B638AC" w:rsidRPr="005144E4">
        <w:rPr>
          <w:rFonts w:ascii="Arial" w:hAnsi="Arial" w:cs="Arial"/>
          <w:sz w:val="22"/>
          <w:szCs w:val="22"/>
        </w:rPr>
        <w:t xml:space="preserve"> from</w:t>
      </w:r>
      <w:r w:rsidR="001A61F1" w:rsidRPr="005144E4">
        <w:rPr>
          <w:rFonts w:ascii="Arial" w:hAnsi="Arial" w:cs="Arial"/>
          <w:sz w:val="22"/>
          <w:szCs w:val="22"/>
        </w:rPr>
        <w:t xml:space="preserve"> </w:t>
      </w:r>
      <w:r w:rsidR="00FE4BFA" w:rsidRPr="005144E4">
        <w:rPr>
          <w:rFonts w:ascii="Arial" w:hAnsi="Arial" w:cs="Arial"/>
          <w:sz w:val="22"/>
          <w:szCs w:val="22"/>
        </w:rPr>
        <w:t xml:space="preserve">other </w:t>
      </w:r>
      <w:r w:rsidR="00552F16" w:rsidRPr="005144E4">
        <w:rPr>
          <w:rFonts w:ascii="Arial" w:hAnsi="Arial" w:cs="Arial"/>
          <w:sz w:val="22"/>
          <w:szCs w:val="22"/>
        </w:rPr>
        <w:t xml:space="preserve">(i.e. non CBT) </w:t>
      </w:r>
      <w:r w:rsidR="00B638AC" w:rsidRPr="005144E4">
        <w:rPr>
          <w:rFonts w:ascii="Arial" w:hAnsi="Arial" w:cs="Arial"/>
          <w:sz w:val="22"/>
          <w:szCs w:val="22"/>
        </w:rPr>
        <w:t>theoretical and therapeutic traditions</w:t>
      </w:r>
      <w:r w:rsidR="006677BB" w:rsidRPr="005144E4">
        <w:rPr>
          <w:rFonts w:ascii="Arial" w:hAnsi="Arial" w:cs="Arial"/>
          <w:sz w:val="22"/>
          <w:szCs w:val="22"/>
        </w:rPr>
        <w:t>.</w:t>
      </w:r>
      <w:r w:rsidR="008250E6" w:rsidRPr="005144E4">
        <w:rPr>
          <w:rFonts w:ascii="Arial" w:hAnsi="Arial" w:cs="Arial"/>
          <w:sz w:val="22"/>
          <w:szCs w:val="22"/>
        </w:rPr>
        <w:t xml:space="preserve"> </w:t>
      </w:r>
      <w:r w:rsidR="00B55CCC" w:rsidRPr="005144E4">
        <w:rPr>
          <w:rFonts w:ascii="Arial" w:hAnsi="Arial" w:cs="Arial"/>
          <w:sz w:val="22"/>
          <w:szCs w:val="22"/>
        </w:rPr>
        <w:t>Th</w:t>
      </w:r>
      <w:r w:rsidR="004834CC" w:rsidRPr="005144E4">
        <w:rPr>
          <w:rFonts w:ascii="Arial" w:hAnsi="Arial" w:cs="Arial"/>
          <w:sz w:val="22"/>
          <w:szCs w:val="22"/>
        </w:rPr>
        <w:t>e</w:t>
      </w:r>
      <w:r w:rsidR="005B5FDF" w:rsidRPr="005144E4">
        <w:rPr>
          <w:rFonts w:ascii="Arial" w:hAnsi="Arial" w:cs="Arial"/>
          <w:sz w:val="22"/>
          <w:szCs w:val="22"/>
        </w:rPr>
        <w:t xml:space="preserve"> </w:t>
      </w:r>
      <w:r w:rsidR="002D66BA" w:rsidRPr="005144E4">
        <w:rPr>
          <w:rFonts w:ascii="Arial" w:hAnsi="Arial" w:cs="Arial"/>
          <w:sz w:val="22"/>
          <w:szCs w:val="22"/>
        </w:rPr>
        <w:t>arguments</w:t>
      </w:r>
      <w:r w:rsidR="005B5FDF" w:rsidRPr="005144E4">
        <w:rPr>
          <w:rFonts w:ascii="Arial" w:hAnsi="Arial" w:cs="Arial"/>
          <w:sz w:val="22"/>
          <w:szCs w:val="22"/>
        </w:rPr>
        <w:t xml:space="preserve"> presented include</w:t>
      </w:r>
      <w:r w:rsidR="004834CC" w:rsidRPr="005144E4">
        <w:rPr>
          <w:rFonts w:ascii="Arial" w:hAnsi="Arial" w:cs="Arial"/>
          <w:sz w:val="22"/>
          <w:szCs w:val="22"/>
        </w:rPr>
        <w:t xml:space="preserve"> </w:t>
      </w:r>
      <w:r w:rsidR="002D66BA" w:rsidRPr="005144E4">
        <w:rPr>
          <w:rFonts w:ascii="Arial" w:hAnsi="Arial" w:cs="Arial"/>
          <w:sz w:val="22"/>
          <w:szCs w:val="22"/>
        </w:rPr>
        <w:t>an op</w:t>
      </w:r>
      <w:r w:rsidR="00707509" w:rsidRPr="005144E4">
        <w:rPr>
          <w:rFonts w:ascii="Arial" w:hAnsi="Arial" w:cs="Arial"/>
          <w:sz w:val="22"/>
          <w:szCs w:val="22"/>
        </w:rPr>
        <w:t>p</w:t>
      </w:r>
      <w:r w:rsidR="002D66BA" w:rsidRPr="005144E4">
        <w:rPr>
          <w:rFonts w:ascii="Arial" w:hAnsi="Arial" w:cs="Arial"/>
          <w:sz w:val="22"/>
          <w:szCs w:val="22"/>
        </w:rPr>
        <w:t>os</w:t>
      </w:r>
      <w:r w:rsidR="00707509" w:rsidRPr="005144E4">
        <w:rPr>
          <w:rFonts w:ascii="Arial" w:hAnsi="Arial" w:cs="Arial"/>
          <w:sz w:val="22"/>
          <w:szCs w:val="22"/>
        </w:rPr>
        <w:t>i</w:t>
      </w:r>
      <w:r w:rsidR="002D66BA" w:rsidRPr="005144E4">
        <w:rPr>
          <w:rFonts w:ascii="Arial" w:hAnsi="Arial" w:cs="Arial"/>
          <w:sz w:val="22"/>
          <w:szCs w:val="22"/>
        </w:rPr>
        <w:t>t</w:t>
      </w:r>
      <w:r w:rsidR="00707509" w:rsidRPr="005144E4">
        <w:rPr>
          <w:rFonts w:ascii="Arial" w:hAnsi="Arial" w:cs="Arial"/>
          <w:sz w:val="22"/>
          <w:szCs w:val="22"/>
        </w:rPr>
        <w:t>ion to</w:t>
      </w:r>
      <w:r w:rsidR="00B638AC" w:rsidRPr="005144E4">
        <w:rPr>
          <w:rFonts w:ascii="Arial" w:hAnsi="Arial" w:cs="Arial"/>
          <w:sz w:val="22"/>
          <w:szCs w:val="22"/>
        </w:rPr>
        <w:t xml:space="preserve"> </w:t>
      </w:r>
      <w:r w:rsidR="002B622C" w:rsidRPr="005144E4">
        <w:rPr>
          <w:rFonts w:ascii="Arial" w:hAnsi="Arial" w:cs="Arial"/>
          <w:sz w:val="22"/>
          <w:szCs w:val="22"/>
        </w:rPr>
        <w:t xml:space="preserve">the epistemic </w:t>
      </w:r>
      <w:r w:rsidR="00B638AC" w:rsidRPr="005144E4">
        <w:rPr>
          <w:rFonts w:ascii="Arial" w:hAnsi="Arial" w:cs="Arial"/>
          <w:sz w:val="22"/>
          <w:szCs w:val="22"/>
        </w:rPr>
        <w:t>foundations of the IAPT programme</w:t>
      </w:r>
      <w:r w:rsidR="00DA29A8" w:rsidRPr="005144E4">
        <w:rPr>
          <w:rFonts w:ascii="Arial" w:hAnsi="Arial" w:cs="Arial"/>
          <w:sz w:val="22"/>
          <w:szCs w:val="22"/>
        </w:rPr>
        <w:t>,</w:t>
      </w:r>
      <w:r w:rsidR="00B638AC" w:rsidRPr="005144E4">
        <w:rPr>
          <w:rFonts w:ascii="Arial" w:hAnsi="Arial" w:cs="Arial"/>
          <w:sz w:val="22"/>
          <w:szCs w:val="22"/>
        </w:rPr>
        <w:t xml:space="preserve"> which have served to </w:t>
      </w:r>
      <w:r w:rsidR="00B638AC" w:rsidRPr="005144E4">
        <w:rPr>
          <w:rFonts w:ascii="Arial" w:hAnsi="Arial" w:cs="Arial"/>
          <w:sz w:val="22"/>
          <w:szCs w:val="22"/>
        </w:rPr>
        <w:lastRenderedPageBreak/>
        <w:t>exclude</w:t>
      </w:r>
      <w:r w:rsidR="00CC4100" w:rsidRPr="005144E4">
        <w:rPr>
          <w:rFonts w:ascii="Arial" w:hAnsi="Arial" w:cs="Arial"/>
          <w:sz w:val="22"/>
          <w:szCs w:val="22"/>
        </w:rPr>
        <w:t xml:space="preserve"> therapeutic modalities suc</w:t>
      </w:r>
      <w:r w:rsidR="004454E3" w:rsidRPr="005144E4">
        <w:rPr>
          <w:rFonts w:ascii="Arial" w:hAnsi="Arial" w:cs="Arial"/>
          <w:sz w:val="22"/>
          <w:szCs w:val="22"/>
        </w:rPr>
        <w:t xml:space="preserve">h as </w:t>
      </w:r>
      <w:r w:rsidR="003E3016" w:rsidRPr="005144E4">
        <w:rPr>
          <w:rFonts w:ascii="Arial" w:hAnsi="Arial" w:cs="Arial"/>
          <w:sz w:val="22"/>
          <w:szCs w:val="22"/>
        </w:rPr>
        <w:t>psychoanalysis</w:t>
      </w:r>
      <w:r w:rsidR="00283B71" w:rsidRPr="005144E4">
        <w:rPr>
          <w:rFonts w:ascii="Arial" w:hAnsi="Arial" w:cs="Arial"/>
          <w:sz w:val="22"/>
          <w:szCs w:val="22"/>
        </w:rPr>
        <w:t>, psychodynamic therapy</w:t>
      </w:r>
      <w:r w:rsidR="003E3016" w:rsidRPr="005144E4">
        <w:rPr>
          <w:rFonts w:ascii="Arial" w:hAnsi="Arial" w:cs="Arial"/>
          <w:sz w:val="22"/>
          <w:szCs w:val="22"/>
        </w:rPr>
        <w:t xml:space="preserve"> and </w:t>
      </w:r>
      <w:r w:rsidR="00845EDB" w:rsidRPr="005144E4">
        <w:rPr>
          <w:rFonts w:ascii="Arial" w:hAnsi="Arial" w:cs="Arial"/>
          <w:sz w:val="22"/>
          <w:szCs w:val="22"/>
        </w:rPr>
        <w:t>person</w:t>
      </w:r>
      <w:r w:rsidR="00BA5A7B" w:rsidRPr="005144E4">
        <w:rPr>
          <w:rFonts w:ascii="Arial" w:hAnsi="Arial" w:cs="Arial"/>
          <w:sz w:val="22"/>
          <w:szCs w:val="22"/>
        </w:rPr>
        <w:t>-</w:t>
      </w:r>
      <w:r w:rsidR="00845EDB" w:rsidRPr="005144E4">
        <w:rPr>
          <w:rFonts w:ascii="Arial" w:hAnsi="Arial" w:cs="Arial"/>
          <w:sz w:val="22"/>
          <w:szCs w:val="22"/>
        </w:rPr>
        <w:t>centred counselling.</w:t>
      </w:r>
      <w:r w:rsidR="00DA29A8" w:rsidRPr="005144E4">
        <w:rPr>
          <w:rFonts w:ascii="Arial" w:hAnsi="Arial" w:cs="Arial"/>
          <w:sz w:val="22"/>
          <w:szCs w:val="22"/>
        </w:rPr>
        <w:t xml:space="preserve"> </w:t>
      </w:r>
      <w:r w:rsidR="00845EDB" w:rsidRPr="005144E4">
        <w:rPr>
          <w:rFonts w:ascii="Arial" w:hAnsi="Arial" w:cs="Arial"/>
          <w:sz w:val="22"/>
          <w:szCs w:val="22"/>
        </w:rPr>
        <w:t xml:space="preserve"> </w:t>
      </w:r>
      <w:r w:rsidR="00BA5A7B" w:rsidRPr="005144E4">
        <w:rPr>
          <w:rFonts w:ascii="Arial" w:hAnsi="Arial" w:cs="Arial"/>
          <w:sz w:val="22"/>
          <w:szCs w:val="22"/>
        </w:rPr>
        <w:t>It</w:t>
      </w:r>
      <w:r w:rsidR="0026451B" w:rsidRPr="005144E4">
        <w:rPr>
          <w:rFonts w:ascii="Arial" w:hAnsi="Arial" w:cs="Arial"/>
          <w:sz w:val="22"/>
          <w:szCs w:val="22"/>
        </w:rPr>
        <w:t xml:space="preserve"> has been </w:t>
      </w:r>
      <w:r w:rsidR="00BA5A7B" w:rsidRPr="005144E4">
        <w:rPr>
          <w:rFonts w:ascii="Arial" w:hAnsi="Arial" w:cs="Arial"/>
          <w:sz w:val="22"/>
          <w:szCs w:val="22"/>
        </w:rPr>
        <w:t>arg</w:t>
      </w:r>
      <w:r w:rsidR="003C5B7E" w:rsidRPr="005144E4">
        <w:rPr>
          <w:rFonts w:ascii="Arial" w:hAnsi="Arial" w:cs="Arial"/>
          <w:sz w:val="22"/>
          <w:szCs w:val="22"/>
        </w:rPr>
        <w:t>u</w:t>
      </w:r>
      <w:r w:rsidR="00BA5A7B" w:rsidRPr="005144E4">
        <w:rPr>
          <w:rFonts w:ascii="Arial" w:hAnsi="Arial" w:cs="Arial"/>
          <w:sz w:val="22"/>
          <w:szCs w:val="22"/>
        </w:rPr>
        <w:t>ed</w:t>
      </w:r>
      <w:r w:rsidR="00330A9A" w:rsidRPr="005144E4">
        <w:rPr>
          <w:rFonts w:ascii="Arial" w:hAnsi="Arial" w:cs="Arial"/>
          <w:sz w:val="22"/>
          <w:szCs w:val="22"/>
        </w:rPr>
        <w:t xml:space="preserve"> that</w:t>
      </w:r>
      <w:r w:rsidR="003F3D75" w:rsidRPr="005144E4">
        <w:rPr>
          <w:rFonts w:ascii="Arial" w:hAnsi="Arial" w:cs="Arial"/>
          <w:sz w:val="22"/>
          <w:szCs w:val="22"/>
        </w:rPr>
        <w:t xml:space="preserve"> those that </w:t>
      </w:r>
      <w:r w:rsidR="005F7555" w:rsidRPr="005144E4">
        <w:rPr>
          <w:rFonts w:ascii="Arial" w:hAnsi="Arial" w:cs="Arial"/>
          <w:sz w:val="22"/>
          <w:szCs w:val="22"/>
        </w:rPr>
        <w:t>disagree with the way that the IAPT programme has been established have</w:t>
      </w:r>
      <w:r w:rsidR="00760D55" w:rsidRPr="005144E4">
        <w:rPr>
          <w:rFonts w:ascii="Arial" w:hAnsi="Arial" w:cs="Arial"/>
          <w:sz w:val="22"/>
          <w:szCs w:val="22"/>
        </w:rPr>
        <w:t xml:space="preserve"> been impotent in their ability to </w:t>
      </w:r>
      <w:r w:rsidR="00577BD3" w:rsidRPr="005144E4">
        <w:rPr>
          <w:rFonts w:ascii="Arial" w:hAnsi="Arial" w:cs="Arial"/>
          <w:sz w:val="22"/>
          <w:szCs w:val="22"/>
        </w:rPr>
        <w:t>effect</w:t>
      </w:r>
      <w:r w:rsidR="00760D55" w:rsidRPr="005144E4">
        <w:rPr>
          <w:rFonts w:ascii="Arial" w:hAnsi="Arial" w:cs="Arial"/>
          <w:sz w:val="22"/>
          <w:szCs w:val="22"/>
        </w:rPr>
        <w:t xml:space="preserve"> </w:t>
      </w:r>
      <w:r w:rsidR="004E2177" w:rsidRPr="005144E4">
        <w:rPr>
          <w:rFonts w:ascii="Arial" w:hAnsi="Arial" w:cs="Arial"/>
          <w:sz w:val="22"/>
          <w:szCs w:val="22"/>
        </w:rPr>
        <w:t>change</w:t>
      </w:r>
      <w:r w:rsidR="00317586" w:rsidRPr="005144E4">
        <w:rPr>
          <w:rFonts w:ascii="Arial" w:hAnsi="Arial" w:cs="Arial"/>
          <w:sz w:val="22"/>
          <w:szCs w:val="22"/>
        </w:rPr>
        <w:t xml:space="preserve">. </w:t>
      </w:r>
      <w:r w:rsidR="00B91192" w:rsidRPr="005144E4">
        <w:rPr>
          <w:rFonts w:ascii="Arial" w:hAnsi="Arial" w:cs="Arial"/>
          <w:sz w:val="22"/>
          <w:szCs w:val="22"/>
        </w:rPr>
        <w:t>Furthermore, c</w:t>
      </w:r>
      <w:r w:rsidR="00317586" w:rsidRPr="005144E4">
        <w:rPr>
          <w:rFonts w:ascii="Arial" w:hAnsi="Arial" w:cs="Arial"/>
          <w:sz w:val="22"/>
          <w:szCs w:val="22"/>
        </w:rPr>
        <w:t>linicians and academics from traditions, other than CBT,</w:t>
      </w:r>
      <w:r w:rsidR="00205D65" w:rsidRPr="005144E4">
        <w:rPr>
          <w:rFonts w:ascii="Arial" w:hAnsi="Arial" w:cs="Arial"/>
          <w:sz w:val="22"/>
          <w:szCs w:val="22"/>
        </w:rPr>
        <w:t xml:space="preserve"> have voiced </w:t>
      </w:r>
      <w:r w:rsidR="00AA0238" w:rsidRPr="005144E4">
        <w:rPr>
          <w:rFonts w:ascii="Arial" w:hAnsi="Arial" w:cs="Arial"/>
          <w:sz w:val="22"/>
          <w:szCs w:val="22"/>
        </w:rPr>
        <w:t>concern that the IAPT programme is failing to tackle a growing increase in the prevalence in mental health conditions and that whilst IAPT reports that it is providing ‘transparency’ in reporting its data in the public domain, the data might not be as transparent as it is purported to be.</w:t>
      </w:r>
    </w:p>
    <w:p w14:paraId="2F091EB9" w14:textId="630EE1DD" w:rsidR="000C3D48" w:rsidRDefault="002B4185" w:rsidP="00477630">
      <w:pPr>
        <w:spacing w:line="480" w:lineRule="auto"/>
        <w:rPr>
          <w:rFonts w:ascii="Arial" w:hAnsi="Arial" w:cs="Arial"/>
          <w:sz w:val="22"/>
          <w:szCs w:val="22"/>
        </w:rPr>
      </w:pPr>
      <w:r w:rsidRPr="005144E4">
        <w:rPr>
          <w:rFonts w:ascii="Arial" w:hAnsi="Arial" w:cs="Arial"/>
          <w:sz w:val="22"/>
          <w:szCs w:val="22"/>
        </w:rPr>
        <w:t xml:space="preserve"> </w:t>
      </w:r>
      <w:r w:rsidR="0093257F" w:rsidRPr="005144E4">
        <w:rPr>
          <w:rFonts w:ascii="Arial" w:hAnsi="Arial" w:cs="Arial"/>
          <w:sz w:val="22"/>
          <w:szCs w:val="22"/>
        </w:rPr>
        <w:t>It has been reported that th</w:t>
      </w:r>
      <w:r w:rsidR="00B74505" w:rsidRPr="005144E4">
        <w:rPr>
          <w:rFonts w:ascii="Arial" w:hAnsi="Arial" w:cs="Arial"/>
          <w:sz w:val="22"/>
          <w:szCs w:val="22"/>
        </w:rPr>
        <w:t>is</w:t>
      </w:r>
      <w:r w:rsidR="0093257F" w:rsidRPr="005144E4">
        <w:rPr>
          <w:rFonts w:ascii="Arial" w:hAnsi="Arial" w:cs="Arial"/>
          <w:sz w:val="22"/>
          <w:szCs w:val="22"/>
        </w:rPr>
        <w:t xml:space="preserve"> growing voice of dissent</w:t>
      </w:r>
      <w:r w:rsidR="00DD743C" w:rsidRPr="005144E4">
        <w:rPr>
          <w:rFonts w:ascii="Arial" w:hAnsi="Arial" w:cs="Arial"/>
          <w:sz w:val="22"/>
          <w:szCs w:val="22"/>
        </w:rPr>
        <w:t xml:space="preserve"> against the IAPT programme</w:t>
      </w:r>
      <w:r w:rsidR="00B11E67" w:rsidRPr="005144E4">
        <w:rPr>
          <w:rFonts w:ascii="Arial" w:hAnsi="Arial" w:cs="Arial"/>
          <w:sz w:val="22"/>
          <w:szCs w:val="22"/>
        </w:rPr>
        <w:t xml:space="preserve"> argues </w:t>
      </w:r>
      <w:r w:rsidR="00553C7A" w:rsidRPr="005144E4">
        <w:rPr>
          <w:rFonts w:ascii="Arial" w:hAnsi="Arial" w:cs="Arial"/>
          <w:sz w:val="22"/>
          <w:szCs w:val="22"/>
        </w:rPr>
        <w:t xml:space="preserve">that </w:t>
      </w:r>
      <w:r w:rsidR="00330A9A" w:rsidRPr="005144E4">
        <w:rPr>
          <w:rFonts w:ascii="Arial" w:hAnsi="Arial" w:cs="Arial"/>
          <w:sz w:val="22"/>
          <w:szCs w:val="22"/>
        </w:rPr>
        <w:t>Layard and Clark’s promises to the government</w:t>
      </w:r>
      <w:r w:rsidR="003C5B7E" w:rsidRPr="005144E4">
        <w:rPr>
          <w:rFonts w:ascii="Arial" w:hAnsi="Arial" w:cs="Arial"/>
          <w:sz w:val="22"/>
          <w:szCs w:val="22"/>
        </w:rPr>
        <w:t xml:space="preserve"> </w:t>
      </w:r>
      <w:r w:rsidR="00330A9A" w:rsidRPr="005144E4">
        <w:rPr>
          <w:rFonts w:ascii="Arial" w:hAnsi="Arial" w:cs="Arial"/>
          <w:sz w:val="22"/>
          <w:szCs w:val="22"/>
        </w:rPr>
        <w:t>ha</w:t>
      </w:r>
      <w:r w:rsidR="00F81448" w:rsidRPr="005144E4">
        <w:rPr>
          <w:rFonts w:ascii="Arial" w:hAnsi="Arial" w:cs="Arial"/>
          <w:sz w:val="22"/>
          <w:szCs w:val="22"/>
        </w:rPr>
        <w:t>ve</w:t>
      </w:r>
      <w:r w:rsidR="00330A9A" w:rsidRPr="005144E4">
        <w:rPr>
          <w:rFonts w:ascii="Arial" w:hAnsi="Arial" w:cs="Arial"/>
          <w:sz w:val="22"/>
          <w:szCs w:val="22"/>
        </w:rPr>
        <w:t xml:space="preserve"> been overstated, </w:t>
      </w:r>
      <w:r w:rsidR="003C5B7E" w:rsidRPr="005144E4">
        <w:rPr>
          <w:rFonts w:ascii="Arial" w:hAnsi="Arial" w:cs="Arial"/>
          <w:sz w:val="22"/>
          <w:szCs w:val="22"/>
        </w:rPr>
        <w:t xml:space="preserve">and </w:t>
      </w:r>
      <w:r w:rsidR="00581F34" w:rsidRPr="005144E4">
        <w:rPr>
          <w:rFonts w:ascii="Arial" w:hAnsi="Arial" w:cs="Arial"/>
          <w:sz w:val="22"/>
          <w:szCs w:val="22"/>
        </w:rPr>
        <w:t>t</w:t>
      </w:r>
      <w:r w:rsidR="002D6999" w:rsidRPr="005144E4">
        <w:rPr>
          <w:rFonts w:ascii="Arial" w:hAnsi="Arial" w:cs="Arial"/>
          <w:sz w:val="22"/>
          <w:szCs w:val="22"/>
        </w:rPr>
        <w:t>he IAP</w:t>
      </w:r>
      <w:r w:rsidR="0050242C" w:rsidRPr="005144E4">
        <w:rPr>
          <w:rFonts w:ascii="Arial" w:hAnsi="Arial" w:cs="Arial"/>
          <w:sz w:val="22"/>
          <w:szCs w:val="22"/>
        </w:rPr>
        <w:t>T</w:t>
      </w:r>
      <w:r w:rsidR="002D6999" w:rsidRPr="005144E4">
        <w:rPr>
          <w:rFonts w:ascii="Arial" w:hAnsi="Arial" w:cs="Arial"/>
          <w:sz w:val="22"/>
          <w:szCs w:val="22"/>
        </w:rPr>
        <w:t xml:space="preserve"> programme’s focus on reducing </w:t>
      </w:r>
      <w:r w:rsidR="0050242C" w:rsidRPr="005144E4">
        <w:rPr>
          <w:rFonts w:ascii="Arial" w:hAnsi="Arial" w:cs="Arial"/>
          <w:sz w:val="22"/>
          <w:szCs w:val="22"/>
        </w:rPr>
        <w:t xml:space="preserve">government spend on benefits payments </w:t>
      </w:r>
      <w:r w:rsidR="001D735F" w:rsidRPr="005144E4">
        <w:rPr>
          <w:rFonts w:ascii="Arial" w:hAnsi="Arial" w:cs="Arial"/>
          <w:sz w:val="22"/>
          <w:szCs w:val="22"/>
        </w:rPr>
        <w:t>encourages</w:t>
      </w:r>
      <w:r w:rsidR="00172696" w:rsidRPr="005144E4">
        <w:rPr>
          <w:rFonts w:ascii="Arial" w:hAnsi="Arial" w:cs="Arial"/>
          <w:sz w:val="22"/>
          <w:szCs w:val="22"/>
        </w:rPr>
        <w:t xml:space="preserve"> </w:t>
      </w:r>
      <w:r w:rsidR="009A3956" w:rsidRPr="005144E4">
        <w:rPr>
          <w:rFonts w:ascii="Arial" w:hAnsi="Arial" w:cs="Arial"/>
          <w:sz w:val="22"/>
          <w:szCs w:val="22"/>
        </w:rPr>
        <w:t>coer</w:t>
      </w:r>
      <w:r w:rsidR="00172696" w:rsidRPr="005144E4">
        <w:rPr>
          <w:rFonts w:ascii="Arial" w:hAnsi="Arial" w:cs="Arial"/>
          <w:sz w:val="22"/>
          <w:szCs w:val="22"/>
        </w:rPr>
        <w:t>c</w:t>
      </w:r>
      <w:r w:rsidR="009A3956" w:rsidRPr="005144E4">
        <w:rPr>
          <w:rFonts w:ascii="Arial" w:hAnsi="Arial" w:cs="Arial"/>
          <w:sz w:val="22"/>
          <w:szCs w:val="22"/>
        </w:rPr>
        <w:t>ive</w:t>
      </w:r>
      <w:r w:rsidR="00172696" w:rsidRPr="005144E4">
        <w:rPr>
          <w:rFonts w:ascii="Arial" w:hAnsi="Arial" w:cs="Arial"/>
          <w:sz w:val="22"/>
          <w:szCs w:val="22"/>
        </w:rPr>
        <w:t xml:space="preserve"> and anti</w:t>
      </w:r>
      <w:r w:rsidR="00523858" w:rsidRPr="005144E4">
        <w:rPr>
          <w:rFonts w:ascii="Arial" w:hAnsi="Arial" w:cs="Arial"/>
          <w:sz w:val="22"/>
          <w:szCs w:val="22"/>
        </w:rPr>
        <w:t>-</w:t>
      </w:r>
      <w:r w:rsidR="00172696" w:rsidRPr="005144E4">
        <w:rPr>
          <w:rFonts w:ascii="Arial" w:hAnsi="Arial" w:cs="Arial"/>
          <w:sz w:val="22"/>
          <w:szCs w:val="22"/>
        </w:rPr>
        <w:t>therape</w:t>
      </w:r>
      <w:r w:rsidR="00523858" w:rsidRPr="005144E4">
        <w:rPr>
          <w:rFonts w:ascii="Arial" w:hAnsi="Arial" w:cs="Arial"/>
          <w:sz w:val="22"/>
          <w:szCs w:val="22"/>
        </w:rPr>
        <w:t>utic practice</w:t>
      </w:r>
      <w:r w:rsidR="00025A04" w:rsidRPr="005144E4">
        <w:rPr>
          <w:rFonts w:ascii="Arial" w:hAnsi="Arial" w:cs="Arial"/>
          <w:sz w:val="22"/>
          <w:szCs w:val="22"/>
        </w:rPr>
        <w:t xml:space="preserve"> amongst IAPT clinicians</w:t>
      </w:r>
      <w:r w:rsidR="00AE3FEC" w:rsidRPr="005144E4">
        <w:rPr>
          <w:rFonts w:ascii="Arial" w:hAnsi="Arial" w:cs="Arial"/>
          <w:sz w:val="22"/>
          <w:szCs w:val="22"/>
        </w:rPr>
        <w:t>.</w:t>
      </w:r>
      <w:r w:rsidR="0010585F" w:rsidRPr="005144E4">
        <w:rPr>
          <w:rFonts w:ascii="Arial" w:hAnsi="Arial" w:cs="Arial"/>
          <w:sz w:val="22"/>
          <w:szCs w:val="22"/>
        </w:rPr>
        <w:t xml:space="preserve"> </w:t>
      </w:r>
      <w:r w:rsidR="00C17493" w:rsidRPr="005144E4">
        <w:rPr>
          <w:rFonts w:ascii="Arial" w:hAnsi="Arial" w:cs="Arial"/>
          <w:sz w:val="22"/>
          <w:szCs w:val="22"/>
        </w:rPr>
        <w:t xml:space="preserve"> </w:t>
      </w:r>
    </w:p>
    <w:p w14:paraId="05593C8F" w14:textId="77777777" w:rsidR="001945DB" w:rsidRDefault="001945DB" w:rsidP="00477630">
      <w:pPr>
        <w:spacing w:line="480" w:lineRule="auto"/>
        <w:rPr>
          <w:rFonts w:ascii="Arial" w:hAnsi="Arial" w:cs="Arial"/>
          <w:sz w:val="22"/>
          <w:szCs w:val="22"/>
        </w:rPr>
      </w:pPr>
    </w:p>
    <w:p w14:paraId="4736ED35" w14:textId="3303ACCE" w:rsidR="00477630" w:rsidRDefault="006C5B70" w:rsidP="00477630">
      <w:pPr>
        <w:spacing w:line="480" w:lineRule="auto"/>
        <w:rPr>
          <w:rFonts w:ascii="Arial" w:hAnsi="Arial" w:cs="Arial"/>
          <w:sz w:val="22"/>
          <w:szCs w:val="22"/>
        </w:rPr>
      </w:pPr>
      <w:r>
        <w:rPr>
          <w:rFonts w:ascii="Arial" w:hAnsi="Arial" w:cs="Arial"/>
          <w:sz w:val="22"/>
          <w:szCs w:val="22"/>
        </w:rPr>
        <w:t>This section has</w:t>
      </w:r>
      <w:r w:rsidR="00477630" w:rsidRPr="00B96325">
        <w:rPr>
          <w:rFonts w:ascii="Arial" w:hAnsi="Arial" w:cs="Arial"/>
          <w:sz w:val="22"/>
          <w:szCs w:val="22"/>
        </w:rPr>
        <w:t xml:space="preserve"> concluded with a discussion </w:t>
      </w:r>
      <w:r>
        <w:rPr>
          <w:rFonts w:ascii="Arial" w:hAnsi="Arial" w:cs="Arial"/>
          <w:sz w:val="22"/>
          <w:szCs w:val="22"/>
        </w:rPr>
        <w:t>regarding</w:t>
      </w:r>
      <w:r w:rsidR="00477630" w:rsidRPr="00B96325">
        <w:rPr>
          <w:rFonts w:ascii="Arial" w:hAnsi="Arial" w:cs="Arial"/>
          <w:sz w:val="22"/>
          <w:szCs w:val="22"/>
        </w:rPr>
        <w:t xml:space="preserve"> the difficulties that relate to widening access to evidence-based psychological interventions. Digital and online methods of delivering CBT are one way of widening access and are supported by health policy.  </w:t>
      </w:r>
      <w:r w:rsidRPr="005144E4">
        <w:rPr>
          <w:rFonts w:ascii="Arial" w:hAnsi="Arial" w:cs="Arial"/>
          <w:sz w:val="22"/>
          <w:szCs w:val="22"/>
        </w:rPr>
        <w:t>Section 2.</w:t>
      </w:r>
      <w:r w:rsidR="00920D9C" w:rsidRPr="005144E4">
        <w:rPr>
          <w:rFonts w:ascii="Arial" w:hAnsi="Arial" w:cs="Arial"/>
          <w:sz w:val="22"/>
          <w:szCs w:val="22"/>
        </w:rPr>
        <w:t>9</w:t>
      </w:r>
      <w:r w:rsidRPr="005144E4">
        <w:rPr>
          <w:rFonts w:ascii="Arial" w:hAnsi="Arial" w:cs="Arial"/>
          <w:sz w:val="22"/>
          <w:szCs w:val="22"/>
        </w:rPr>
        <w:t>, below</w:t>
      </w:r>
      <w:r w:rsidRPr="004B4E41">
        <w:rPr>
          <w:rFonts w:ascii="Arial" w:hAnsi="Arial" w:cs="Arial"/>
          <w:sz w:val="22"/>
          <w:szCs w:val="22"/>
          <w:highlight w:val="yellow"/>
        </w:rPr>
        <w:t>,</w:t>
      </w:r>
      <w:r w:rsidR="00477630" w:rsidRPr="00B96325">
        <w:rPr>
          <w:rFonts w:ascii="Arial" w:hAnsi="Arial" w:cs="Arial"/>
          <w:sz w:val="22"/>
          <w:szCs w:val="22"/>
        </w:rPr>
        <w:t xml:space="preserve"> will discuss the online and digital methods currently used with the IAPT programme, focussing primarily on the online method Internet Enabled CBT (IECBT)</w:t>
      </w:r>
      <w:r w:rsidR="00330A9A">
        <w:rPr>
          <w:rFonts w:ascii="Arial" w:hAnsi="Arial" w:cs="Arial"/>
          <w:sz w:val="22"/>
          <w:szCs w:val="22"/>
        </w:rPr>
        <w:t>. This method of delivering CBT is the focus of the research described in this thesis.</w:t>
      </w:r>
    </w:p>
    <w:p w14:paraId="3846BBB8" w14:textId="77777777" w:rsidR="00BC35EE" w:rsidRPr="00B96325" w:rsidRDefault="00BC35EE" w:rsidP="00477630">
      <w:pPr>
        <w:spacing w:line="480" w:lineRule="auto"/>
        <w:rPr>
          <w:rFonts w:ascii="Arial" w:hAnsi="Arial" w:cs="Arial"/>
          <w:sz w:val="22"/>
          <w:szCs w:val="22"/>
        </w:rPr>
      </w:pPr>
    </w:p>
    <w:p w14:paraId="62348F37" w14:textId="432A728D" w:rsidR="007F596B" w:rsidRPr="00F156DE" w:rsidRDefault="00F50DFE" w:rsidP="00F156DE">
      <w:pPr>
        <w:pStyle w:val="Heading2"/>
        <w:rPr>
          <w:rFonts w:ascii="Arial" w:hAnsi="Arial" w:cs="Arial"/>
          <w:sz w:val="22"/>
          <w:szCs w:val="22"/>
        </w:rPr>
      </w:pPr>
      <w:bookmarkStart w:id="101" w:name="_Toc329781356"/>
      <w:bookmarkStart w:id="102" w:name="_Toc329781397"/>
      <w:bookmarkStart w:id="103" w:name="_Toc46770734"/>
      <w:bookmarkStart w:id="104" w:name="_Toc79414145"/>
      <w:r w:rsidRPr="00F156DE">
        <w:rPr>
          <w:rFonts w:ascii="Arial" w:hAnsi="Arial" w:cs="Arial"/>
          <w:color w:val="000000" w:themeColor="text1"/>
          <w:sz w:val="22"/>
          <w:szCs w:val="22"/>
        </w:rPr>
        <w:t>2.</w:t>
      </w:r>
      <w:r w:rsidR="00410DF6" w:rsidRPr="00F156DE">
        <w:rPr>
          <w:rFonts w:ascii="Arial" w:hAnsi="Arial" w:cs="Arial"/>
          <w:color w:val="000000" w:themeColor="text1"/>
          <w:sz w:val="22"/>
          <w:szCs w:val="22"/>
        </w:rPr>
        <w:t>9</w:t>
      </w:r>
      <w:r w:rsidRPr="00F156DE">
        <w:rPr>
          <w:rFonts w:ascii="Arial" w:hAnsi="Arial" w:cs="Arial"/>
          <w:color w:val="000000" w:themeColor="text1"/>
          <w:sz w:val="22"/>
          <w:szCs w:val="22"/>
        </w:rPr>
        <w:t xml:space="preserve"> </w:t>
      </w:r>
      <w:bookmarkEnd w:id="101"/>
      <w:bookmarkEnd w:id="102"/>
      <w:r w:rsidRPr="00F156DE">
        <w:rPr>
          <w:rFonts w:ascii="Arial" w:hAnsi="Arial" w:cs="Arial"/>
          <w:color w:val="000000" w:themeColor="text1"/>
          <w:sz w:val="22"/>
          <w:szCs w:val="22"/>
        </w:rPr>
        <w:t>DELIVERY OF CBT WITHIN IAPT: DIGITAL METHODS</w:t>
      </w:r>
      <w:bookmarkEnd w:id="103"/>
      <w:bookmarkEnd w:id="104"/>
      <w:r w:rsidRPr="00F156DE">
        <w:rPr>
          <w:rFonts w:ascii="Arial" w:hAnsi="Arial" w:cs="Arial"/>
          <w:color w:val="000000" w:themeColor="text1"/>
          <w:sz w:val="22"/>
          <w:szCs w:val="22"/>
        </w:rPr>
        <w:t xml:space="preserve"> </w:t>
      </w:r>
    </w:p>
    <w:p w14:paraId="4189660F" w14:textId="77777777" w:rsidR="007F596B" w:rsidRDefault="007F596B" w:rsidP="007F596B"/>
    <w:p w14:paraId="4F1D36A6" w14:textId="0C9C588A" w:rsidR="007F596B" w:rsidRDefault="007F596B" w:rsidP="007F596B">
      <w:pPr>
        <w:spacing w:line="480" w:lineRule="auto"/>
        <w:rPr>
          <w:rFonts w:ascii="Arial" w:hAnsi="Arial" w:cs="Arial"/>
          <w:sz w:val="22"/>
          <w:szCs w:val="22"/>
        </w:rPr>
      </w:pPr>
      <w:r w:rsidRPr="00B071E9">
        <w:rPr>
          <w:rFonts w:ascii="Arial" w:hAnsi="Arial" w:cs="Arial"/>
          <w:sz w:val="22"/>
          <w:szCs w:val="22"/>
        </w:rPr>
        <w:t>Digital methods of delivering CBT are becoming more widely adopted and offer a number of key advantages to patients (Andersson, 2014, Andersson 2015,</w:t>
      </w:r>
      <w:r>
        <w:rPr>
          <w:rFonts w:ascii="Arial" w:hAnsi="Arial" w:cs="Arial"/>
          <w:sz w:val="22"/>
          <w:szCs w:val="22"/>
        </w:rPr>
        <w:t xml:space="preserve"> </w:t>
      </w:r>
      <w:r w:rsidRPr="00B071E9">
        <w:rPr>
          <w:rFonts w:ascii="Arial" w:hAnsi="Arial" w:cs="Arial"/>
          <w:sz w:val="22"/>
          <w:szCs w:val="22"/>
        </w:rPr>
        <w:t xml:space="preserve">and Richards, Tumulak and Hevey, 2012).  </w:t>
      </w:r>
      <w:r>
        <w:rPr>
          <w:rFonts w:ascii="Arial" w:hAnsi="Arial" w:cs="Arial"/>
          <w:sz w:val="22"/>
          <w:szCs w:val="22"/>
        </w:rPr>
        <w:t>P</w:t>
      </w:r>
      <w:r w:rsidRPr="00B071E9">
        <w:rPr>
          <w:rFonts w:ascii="Arial" w:hAnsi="Arial" w:cs="Arial"/>
          <w:sz w:val="22"/>
          <w:szCs w:val="22"/>
        </w:rPr>
        <w:t xml:space="preserve">atients </w:t>
      </w:r>
      <w:r>
        <w:rPr>
          <w:rFonts w:ascii="Arial" w:hAnsi="Arial" w:cs="Arial"/>
          <w:sz w:val="22"/>
          <w:szCs w:val="22"/>
        </w:rPr>
        <w:t xml:space="preserve">often </w:t>
      </w:r>
      <w:r w:rsidRPr="00B071E9">
        <w:rPr>
          <w:rFonts w:ascii="Arial" w:hAnsi="Arial" w:cs="Arial"/>
          <w:sz w:val="22"/>
          <w:szCs w:val="22"/>
        </w:rPr>
        <w:t xml:space="preserve">describe online interventions as more convenient and less anxiety provoking than face-to-face CBT (Andersson 2015). It is likely that online methods of delivering CBT enables patients, who might not otherwise be able to attend therapy appointments, to access treatment (Kessler et al., 2009). There is also evidence that suggests that patients often find it easier to discuss the nature of their problem when </w:t>
      </w:r>
      <w:r w:rsidRPr="00B071E9">
        <w:rPr>
          <w:rFonts w:ascii="Arial" w:hAnsi="Arial" w:cs="Arial"/>
          <w:sz w:val="22"/>
          <w:szCs w:val="22"/>
        </w:rPr>
        <w:lastRenderedPageBreak/>
        <w:t>working online because they feel less embarrassed or ashamed (Andersson 2014, 2015</w:t>
      </w:r>
      <w:r w:rsidR="00962568">
        <w:rPr>
          <w:rFonts w:ascii="Arial" w:hAnsi="Arial" w:cs="Arial"/>
          <w:sz w:val="22"/>
          <w:szCs w:val="22"/>
        </w:rPr>
        <w:t>,</w:t>
      </w:r>
      <w:r w:rsidRPr="00B071E9">
        <w:rPr>
          <w:rFonts w:ascii="Arial" w:hAnsi="Arial" w:cs="Arial"/>
          <w:sz w:val="22"/>
          <w:szCs w:val="22"/>
        </w:rPr>
        <w:t xml:space="preserve"> Suller</w:t>
      </w:r>
      <w:r w:rsidR="00426B48">
        <w:rPr>
          <w:rFonts w:ascii="Arial" w:hAnsi="Arial" w:cs="Arial"/>
          <w:sz w:val="22"/>
          <w:szCs w:val="22"/>
        </w:rPr>
        <w:t>,</w:t>
      </w:r>
      <w:r w:rsidRPr="00B071E9">
        <w:rPr>
          <w:rFonts w:ascii="Arial" w:hAnsi="Arial" w:cs="Arial"/>
          <w:sz w:val="22"/>
          <w:szCs w:val="22"/>
        </w:rPr>
        <w:t xml:space="preserve"> 2015, Kessler et al., 2009).  Additionally, online CBT has been found to be especially advantageous for specific disorders such as Social Anxiety Disorder, where patients find the social interaction in face-to-face CBT problematic (Stott et al., 2013). </w:t>
      </w:r>
      <w:r>
        <w:rPr>
          <w:rFonts w:ascii="Arial" w:hAnsi="Arial" w:cs="Arial"/>
          <w:sz w:val="22"/>
          <w:szCs w:val="22"/>
        </w:rPr>
        <w:t>Furthermore, online methods widen access to evidence based psychological therapies, such as CBT because, unlike traditional face-to-face services</w:t>
      </w:r>
      <w:r w:rsidR="00937888">
        <w:rPr>
          <w:rFonts w:ascii="Arial" w:hAnsi="Arial" w:cs="Arial"/>
          <w:sz w:val="22"/>
          <w:szCs w:val="22"/>
        </w:rPr>
        <w:t>,</w:t>
      </w:r>
      <w:r>
        <w:rPr>
          <w:rFonts w:ascii="Arial" w:hAnsi="Arial" w:cs="Arial"/>
          <w:sz w:val="22"/>
          <w:szCs w:val="22"/>
        </w:rPr>
        <w:t xml:space="preserve"> patients may access therapy on any day of the week, at any time and from where</w:t>
      </w:r>
      <w:r w:rsidR="00937888">
        <w:rPr>
          <w:rFonts w:ascii="Arial" w:hAnsi="Arial" w:cs="Arial"/>
          <w:sz w:val="22"/>
          <w:szCs w:val="22"/>
        </w:rPr>
        <w:t xml:space="preserve"> </w:t>
      </w:r>
      <w:r>
        <w:rPr>
          <w:rFonts w:ascii="Arial" w:hAnsi="Arial" w:cs="Arial"/>
          <w:sz w:val="22"/>
          <w:szCs w:val="22"/>
        </w:rPr>
        <w:t>ever they choose (Andersson</w:t>
      </w:r>
      <w:r w:rsidR="00426B48">
        <w:rPr>
          <w:rFonts w:ascii="Arial" w:hAnsi="Arial" w:cs="Arial"/>
          <w:sz w:val="22"/>
          <w:szCs w:val="22"/>
        </w:rPr>
        <w:t>,</w:t>
      </w:r>
      <w:r>
        <w:rPr>
          <w:rFonts w:ascii="Arial" w:hAnsi="Arial" w:cs="Arial"/>
          <w:sz w:val="22"/>
          <w:szCs w:val="22"/>
        </w:rPr>
        <w:t xml:space="preserve"> 2015). These key advantages have led to changes in health policy whereby the NHS Long Term Plan (2019) place a significant focus on the adoption of digital methods in the NHS in general and more specifically to widen access to CBT both in IAPT and in secondary care settings (NHS England</w:t>
      </w:r>
      <w:r w:rsidR="00426B48">
        <w:rPr>
          <w:rFonts w:ascii="Arial" w:hAnsi="Arial" w:cs="Arial"/>
          <w:sz w:val="22"/>
          <w:szCs w:val="22"/>
        </w:rPr>
        <w:t>,</w:t>
      </w:r>
      <w:r>
        <w:rPr>
          <w:rFonts w:ascii="Arial" w:hAnsi="Arial" w:cs="Arial"/>
          <w:sz w:val="22"/>
          <w:szCs w:val="22"/>
        </w:rPr>
        <w:t xml:space="preserve"> 2019). </w:t>
      </w:r>
      <w:r w:rsidR="00330A9A">
        <w:rPr>
          <w:rFonts w:ascii="Arial" w:hAnsi="Arial" w:cs="Arial"/>
          <w:sz w:val="22"/>
          <w:szCs w:val="22"/>
        </w:rPr>
        <w:t>Additionally</w:t>
      </w:r>
      <w:r>
        <w:rPr>
          <w:rFonts w:ascii="Arial" w:hAnsi="Arial" w:cs="Arial"/>
          <w:sz w:val="22"/>
          <w:szCs w:val="22"/>
        </w:rPr>
        <w:t>, the latest IAPT manual gives specific guidance on how services should use online and digital method to widen access to patients (National Collaborati</w:t>
      </w:r>
      <w:r w:rsidR="00F509FC">
        <w:rPr>
          <w:rFonts w:ascii="Arial" w:hAnsi="Arial" w:cs="Arial"/>
          <w:sz w:val="22"/>
          <w:szCs w:val="22"/>
        </w:rPr>
        <w:t>ng</w:t>
      </w:r>
      <w:r>
        <w:rPr>
          <w:rFonts w:ascii="Arial" w:hAnsi="Arial" w:cs="Arial"/>
          <w:sz w:val="22"/>
          <w:szCs w:val="22"/>
        </w:rPr>
        <w:t xml:space="preserve"> Centre for Mental Health</w:t>
      </w:r>
      <w:r w:rsidR="00426B48">
        <w:rPr>
          <w:rFonts w:ascii="Arial" w:hAnsi="Arial" w:cs="Arial"/>
          <w:sz w:val="22"/>
          <w:szCs w:val="22"/>
        </w:rPr>
        <w:t>,</w:t>
      </w:r>
      <w:r>
        <w:rPr>
          <w:rFonts w:ascii="Arial" w:hAnsi="Arial" w:cs="Arial"/>
          <w:sz w:val="22"/>
          <w:szCs w:val="22"/>
        </w:rPr>
        <w:t xml:space="preserve"> 201</w:t>
      </w:r>
      <w:r w:rsidR="00C73BAA">
        <w:rPr>
          <w:rFonts w:ascii="Arial" w:hAnsi="Arial" w:cs="Arial"/>
          <w:sz w:val="22"/>
          <w:szCs w:val="22"/>
        </w:rPr>
        <w:t>9</w:t>
      </w:r>
      <w:r>
        <w:rPr>
          <w:rFonts w:ascii="Arial" w:hAnsi="Arial" w:cs="Arial"/>
          <w:sz w:val="22"/>
          <w:szCs w:val="22"/>
        </w:rPr>
        <w:t xml:space="preserve">). Online methods are firmly embedded in IAPT </w:t>
      </w:r>
      <w:r w:rsidR="00D95AC6">
        <w:rPr>
          <w:rFonts w:ascii="Arial" w:hAnsi="Arial" w:cs="Arial"/>
          <w:sz w:val="22"/>
          <w:szCs w:val="22"/>
        </w:rPr>
        <w:t>and digital methods of delivery have been established as recommended pract</w:t>
      </w:r>
      <w:r w:rsidR="00977BD7">
        <w:rPr>
          <w:rFonts w:ascii="Arial" w:hAnsi="Arial" w:cs="Arial"/>
          <w:sz w:val="22"/>
          <w:szCs w:val="22"/>
        </w:rPr>
        <w:t>ice</w:t>
      </w:r>
      <w:r w:rsidR="00D95AC6">
        <w:rPr>
          <w:rFonts w:ascii="Arial" w:hAnsi="Arial" w:cs="Arial"/>
          <w:sz w:val="22"/>
          <w:szCs w:val="22"/>
        </w:rPr>
        <w:t xml:space="preserve"> in mental health policies such as the NHS Long-term Plan</w:t>
      </w:r>
      <w:r>
        <w:rPr>
          <w:rFonts w:ascii="Arial" w:hAnsi="Arial" w:cs="Arial"/>
          <w:sz w:val="22"/>
          <w:szCs w:val="22"/>
        </w:rPr>
        <w:t xml:space="preserve"> (</w:t>
      </w:r>
      <w:r w:rsidR="00D95AC6">
        <w:rPr>
          <w:rFonts w:ascii="Arial" w:hAnsi="Arial" w:cs="Arial"/>
          <w:sz w:val="22"/>
          <w:szCs w:val="22"/>
        </w:rPr>
        <w:t>NHS England</w:t>
      </w:r>
      <w:r w:rsidR="00426B48">
        <w:rPr>
          <w:rFonts w:ascii="Arial" w:hAnsi="Arial" w:cs="Arial"/>
          <w:sz w:val="22"/>
          <w:szCs w:val="22"/>
        </w:rPr>
        <w:t>,</w:t>
      </w:r>
      <w:r w:rsidR="00D95AC6">
        <w:rPr>
          <w:rFonts w:ascii="Arial" w:hAnsi="Arial" w:cs="Arial"/>
          <w:sz w:val="22"/>
          <w:szCs w:val="22"/>
        </w:rPr>
        <w:t xml:space="preserve"> 2019</w:t>
      </w:r>
      <w:r>
        <w:rPr>
          <w:rFonts w:ascii="Arial" w:hAnsi="Arial" w:cs="Arial"/>
          <w:sz w:val="22"/>
          <w:szCs w:val="22"/>
        </w:rPr>
        <w:t>).</w:t>
      </w:r>
    </w:p>
    <w:p w14:paraId="64FD5FAD" w14:textId="77777777" w:rsidR="00BC35EE" w:rsidRPr="00B071E9" w:rsidRDefault="00BC35EE" w:rsidP="007F596B">
      <w:pPr>
        <w:spacing w:line="480" w:lineRule="auto"/>
        <w:rPr>
          <w:rFonts w:ascii="Arial" w:hAnsi="Arial" w:cs="Arial"/>
          <w:sz w:val="22"/>
          <w:szCs w:val="22"/>
        </w:rPr>
      </w:pPr>
    </w:p>
    <w:p w14:paraId="3EFC9EC2" w14:textId="1F21AB46" w:rsidR="007F596B" w:rsidRPr="00464401" w:rsidRDefault="006C5B70" w:rsidP="007F596B">
      <w:pPr>
        <w:pStyle w:val="Heading3"/>
        <w:rPr>
          <w:rFonts w:cs="Arial"/>
          <w:color w:val="000000" w:themeColor="text1"/>
          <w:szCs w:val="22"/>
        </w:rPr>
      </w:pPr>
      <w:bookmarkStart w:id="105" w:name="_Toc46770735"/>
      <w:bookmarkStart w:id="106" w:name="_Toc79414146"/>
      <w:r>
        <w:rPr>
          <w:rFonts w:cs="Arial"/>
          <w:color w:val="000000" w:themeColor="text1"/>
          <w:szCs w:val="22"/>
        </w:rPr>
        <w:t>2.</w:t>
      </w:r>
      <w:r w:rsidR="00410DF6">
        <w:rPr>
          <w:rFonts w:cs="Arial"/>
          <w:color w:val="000000" w:themeColor="text1"/>
          <w:szCs w:val="22"/>
        </w:rPr>
        <w:t>9</w:t>
      </w:r>
      <w:r>
        <w:rPr>
          <w:rFonts w:cs="Arial"/>
          <w:color w:val="000000" w:themeColor="text1"/>
          <w:szCs w:val="22"/>
        </w:rPr>
        <w:t>.1</w:t>
      </w:r>
      <w:r w:rsidR="007F596B" w:rsidRPr="00464401">
        <w:rPr>
          <w:rFonts w:cs="Arial"/>
          <w:color w:val="000000" w:themeColor="text1"/>
          <w:szCs w:val="22"/>
        </w:rPr>
        <w:t xml:space="preserve"> Brief historical context</w:t>
      </w:r>
      <w:r w:rsidR="007F596B">
        <w:rPr>
          <w:rFonts w:cs="Arial"/>
          <w:color w:val="000000" w:themeColor="text1"/>
          <w:szCs w:val="22"/>
        </w:rPr>
        <w:t xml:space="preserve"> of online methods</w:t>
      </w:r>
      <w:bookmarkEnd w:id="105"/>
      <w:bookmarkEnd w:id="106"/>
    </w:p>
    <w:p w14:paraId="7C634054" w14:textId="77777777" w:rsidR="007F596B" w:rsidRPr="002E6870" w:rsidRDefault="007F596B" w:rsidP="007F596B"/>
    <w:p w14:paraId="06A7DE24" w14:textId="73DB3C11" w:rsidR="007F596B" w:rsidRDefault="007F596B" w:rsidP="007F596B">
      <w:pPr>
        <w:widowControl w:val="0"/>
        <w:autoSpaceDE w:val="0"/>
        <w:autoSpaceDN w:val="0"/>
        <w:adjustRightInd w:val="0"/>
        <w:spacing w:after="240" w:line="480" w:lineRule="auto"/>
        <w:rPr>
          <w:rFonts w:ascii="Arial" w:hAnsi="Arial" w:cs="Arial"/>
          <w:sz w:val="22"/>
          <w:szCs w:val="22"/>
          <w:lang w:val="en-US"/>
        </w:rPr>
      </w:pPr>
      <w:r w:rsidRPr="002E6870">
        <w:rPr>
          <w:rFonts w:ascii="Arial" w:hAnsi="Arial" w:cs="Arial"/>
          <w:sz w:val="22"/>
          <w:szCs w:val="22"/>
        </w:rPr>
        <w:t>Th</w:t>
      </w:r>
      <w:r>
        <w:rPr>
          <w:rFonts w:ascii="Arial" w:hAnsi="Arial" w:cs="Arial"/>
          <w:sz w:val="22"/>
          <w:szCs w:val="22"/>
        </w:rPr>
        <w:t>e</w:t>
      </w:r>
      <w:r w:rsidRPr="002E6870">
        <w:rPr>
          <w:rFonts w:ascii="Arial" w:hAnsi="Arial" w:cs="Arial"/>
          <w:sz w:val="22"/>
          <w:szCs w:val="22"/>
        </w:rPr>
        <w:t xml:space="preserve"> history of </w:t>
      </w:r>
      <w:r>
        <w:rPr>
          <w:rFonts w:ascii="Arial" w:hAnsi="Arial" w:cs="Arial"/>
          <w:sz w:val="22"/>
          <w:szCs w:val="22"/>
        </w:rPr>
        <w:t xml:space="preserve">using </w:t>
      </w:r>
      <w:r w:rsidRPr="002E6870">
        <w:rPr>
          <w:rFonts w:ascii="Arial" w:hAnsi="Arial" w:cs="Arial"/>
          <w:sz w:val="22"/>
          <w:szCs w:val="22"/>
        </w:rPr>
        <w:t>technology to deliver cognitive behavioural therapy is a short one (Andersson</w:t>
      </w:r>
      <w:r w:rsidR="00962568">
        <w:rPr>
          <w:rFonts w:ascii="Arial" w:hAnsi="Arial" w:cs="Arial"/>
          <w:sz w:val="22"/>
          <w:szCs w:val="22"/>
        </w:rPr>
        <w:t>,</w:t>
      </w:r>
      <w:r w:rsidRPr="002E6870">
        <w:rPr>
          <w:rFonts w:ascii="Arial" w:hAnsi="Arial" w:cs="Arial"/>
          <w:sz w:val="22"/>
          <w:szCs w:val="22"/>
        </w:rPr>
        <w:t xml:space="preserve"> 2015). </w:t>
      </w:r>
      <w:r w:rsidRPr="002E6870">
        <w:rPr>
          <w:rFonts w:ascii="Arial" w:hAnsi="Arial" w:cs="Arial"/>
          <w:sz w:val="22"/>
          <w:szCs w:val="22"/>
          <w:lang w:val="en-US"/>
        </w:rPr>
        <w:t xml:space="preserve">One of the earliest adopters of technology in the assessment and treatment of patients with common mental health disorders was Dr. John Griest, Professor of Psychiatry at the University of </w:t>
      </w:r>
      <w:r w:rsidR="00030708" w:rsidRPr="002E6870">
        <w:rPr>
          <w:rFonts w:ascii="Arial" w:hAnsi="Arial" w:cs="Arial"/>
          <w:sz w:val="22"/>
          <w:szCs w:val="22"/>
          <w:lang w:val="en-US"/>
        </w:rPr>
        <w:t>Wisconsin</w:t>
      </w:r>
      <w:r w:rsidRPr="002E6870">
        <w:rPr>
          <w:rFonts w:ascii="Arial" w:hAnsi="Arial" w:cs="Arial"/>
          <w:sz w:val="22"/>
          <w:szCs w:val="22"/>
          <w:lang w:val="en-US"/>
        </w:rPr>
        <w:t xml:space="preserve"> </w:t>
      </w:r>
      <w:r w:rsidRPr="002E6870">
        <w:rPr>
          <w:rFonts w:ascii="Arial" w:hAnsi="Arial" w:cs="Arial"/>
          <w:sz w:val="22"/>
          <w:szCs w:val="22"/>
          <w:lang w:val="en-US"/>
        </w:rPr>
        <w:fldChar w:fldCharType="begin"/>
      </w:r>
      <w:r w:rsidRPr="002E6870">
        <w:rPr>
          <w:rFonts w:ascii="Arial" w:hAnsi="Arial" w:cs="Arial"/>
          <w:sz w:val="22"/>
          <w:szCs w:val="22"/>
          <w:lang w:val="en-US"/>
        </w:rPr>
        <w:instrText>ADDIN RW.CITE{{doc:55e47edde4b00ab03e936eb6 Marks, Isaac 1998}}</w:instrText>
      </w:r>
      <w:r w:rsidRPr="002E6870">
        <w:rPr>
          <w:rFonts w:ascii="Arial" w:hAnsi="Arial" w:cs="Arial"/>
          <w:sz w:val="22"/>
          <w:szCs w:val="22"/>
          <w:lang w:val="en-US"/>
        </w:rPr>
        <w:fldChar w:fldCharType="separate"/>
      </w:r>
      <w:r w:rsidRPr="002E6870">
        <w:rPr>
          <w:rFonts w:ascii="Arial" w:eastAsia="Times New Roman" w:hAnsi="Arial" w:cs="Arial"/>
          <w:sz w:val="22"/>
          <w:szCs w:val="22"/>
        </w:rPr>
        <w:t xml:space="preserve"> (Marks, Shaw </w:t>
      </w:r>
      <w:r>
        <w:rPr>
          <w:rFonts w:ascii="Arial" w:eastAsia="Times New Roman" w:hAnsi="Arial" w:cs="Arial"/>
          <w:sz w:val="22"/>
          <w:szCs w:val="22"/>
        </w:rPr>
        <w:t xml:space="preserve">and </w:t>
      </w:r>
      <w:r w:rsidRPr="002E6870">
        <w:rPr>
          <w:rFonts w:ascii="Arial" w:eastAsia="Times New Roman" w:hAnsi="Arial" w:cs="Arial"/>
          <w:sz w:val="22"/>
          <w:szCs w:val="22"/>
        </w:rPr>
        <w:t>Parkin</w:t>
      </w:r>
      <w:r>
        <w:rPr>
          <w:rFonts w:ascii="Arial" w:eastAsia="Times New Roman" w:hAnsi="Arial" w:cs="Arial"/>
          <w:sz w:val="22"/>
          <w:szCs w:val="22"/>
        </w:rPr>
        <w:t>,</w:t>
      </w:r>
      <w:r w:rsidRPr="002E6870">
        <w:rPr>
          <w:rFonts w:ascii="Arial" w:eastAsia="Times New Roman" w:hAnsi="Arial" w:cs="Arial"/>
          <w:sz w:val="22"/>
          <w:szCs w:val="22"/>
        </w:rPr>
        <w:t xml:space="preserve"> 1998)</w:t>
      </w:r>
      <w:r w:rsidRPr="002E6870">
        <w:rPr>
          <w:rFonts w:ascii="Arial" w:hAnsi="Arial" w:cs="Arial"/>
          <w:sz w:val="22"/>
          <w:szCs w:val="22"/>
          <w:lang w:val="en-US"/>
        </w:rPr>
        <w:fldChar w:fldCharType="end"/>
      </w:r>
      <w:r w:rsidRPr="002E6870">
        <w:rPr>
          <w:rFonts w:ascii="Arial" w:hAnsi="Arial" w:cs="Arial"/>
          <w:sz w:val="22"/>
          <w:szCs w:val="22"/>
          <w:lang w:val="en-US"/>
        </w:rPr>
        <w:t>. Griest developed a computer delivered interview to predict suicidality amongst depressed patients (Griest et al., 197</w:t>
      </w:r>
      <w:r w:rsidR="008C3FEB">
        <w:rPr>
          <w:rFonts w:ascii="Arial" w:hAnsi="Arial" w:cs="Arial"/>
          <w:sz w:val="22"/>
          <w:szCs w:val="22"/>
          <w:lang w:val="en-US"/>
        </w:rPr>
        <w:t>4</w:t>
      </w:r>
      <w:r w:rsidRPr="002E6870">
        <w:rPr>
          <w:rFonts w:ascii="Arial" w:hAnsi="Arial" w:cs="Arial"/>
          <w:sz w:val="22"/>
          <w:szCs w:val="22"/>
          <w:lang w:val="en-US"/>
        </w:rPr>
        <w:t xml:space="preserve">).  He argued that patients were far more likely to respond openly and honestly on a computer than if they were being assessed face to face by a doctor or health care professional.  His studies in the 1970’s demonstrated that a computer-based assessment was more effective in predicting the likelihood of a suicide attempt, than a risk assessment conducted by a psychiatrist (Kobak, Reynolds and Griest 1994). By the mid 1970’s, Isaac </w:t>
      </w:r>
      <w:r w:rsidRPr="002E6870">
        <w:rPr>
          <w:rFonts w:ascii="Arial" w:hAnsi="Arial" w:cs="Arial"/>
          <w:sz w:val="22"/>
          <w:szCs w:val="22"/>
          <w:lang w:val="en-US"/>
        </w:rPr>
        <w:lastRenderedPageBreak/>
        <w:t>Marks, Professor of Psychiatry at Kings College, London became interested in Griest’s work and began to investigate how technology might be used to optimize the delivery of evidence</w:t>
      </w:r>
      <w:r w:rsidR="00937888">
        <w:rPr>
          <w:rFonts w:ascii="Arial" w:hAnsi="Arial" w:cs="Arial"/>
          <w:sz w:val="22"/>
          <w:szCs w:val="22"/>
          <w:lang w:val="en-US"/>
        </w:rPr>
        <w:t>-</w:t>
      </w:r>
      <w:r w:rsidRPr="002E6870">
        <w:rPr>
          <w:rFonts w:ascii="Arial" w:hAnsi="Arial" w:cs="Arial"/>
          <w:sz w:val="22"/>
          <w:szCs w:val="22"/>
          <w:lang w:val="en-US"/>
        </w:rPr>
        <w:t>based mental health interventions (Marks, Shaw and Parkin</w:t>
      </w:r>
      <w:r w:rsidR="00426B48">
        <w:rPr>
          <w:rFonts w:ascii="Arial" w:hAnsi="Arial" w:cs="Arial"/>
          <w:sz w:val="22"/>
          <w:szCs w:val="22"/>
          <w:lang w:val="en-US"/>
        </w:rPr>
        <w:t>,</w:t>
      </w:r>
      <w:r w:rsidRPr="002E6870">
        <w:rPr>
          <w:rFonts w:ascii="Arial" w:hAnsi="Arial" w:cs="Arial"/>
          <w:sz w:val="22"/>
          <w:szCs w:val="22"/>
          <w:lang w:val="en-US"/>
        </w:rPr>
        <w:t xml:space="preserve"> 1998).  Marks, in collaboration with Griest and his Wisconsin team, went on to develop computer</w:t>
      </w:r>
      <w:r w:rsidR="00937888">
        <w:rPr>
          <w:rFonts w:ascii="Arial" w:hAnsi="Arial" w:cs="Arial"/>
          <w:sz w:val="22"/>
          <w:szCs w:val="22"/>
          <w:lang w:val="en-US"/>
        </w:rPr>
        <w:t>-</w:t>
      </w:r>
      <w:r w:rsidRPr="002E6870">
        <w:rPr>
          <w:rFonts w:ascii="Arial" w:hAnsi="Arial" w:cs="Arial"/>
          <w:sz w:val="22"/>
          <w:szCs w:val="22"/>
          <w:lang w:val="en-US"/>
        </w:rPr>
        <w:t>delivered, guided self</w:t>
      </w:r>
      <w:r>
        <w:rPr>
          <w:rFonts w:ascii="Arial" w:hAnsi="Arial" w:cs="Arial"/>
          <w:sz w:val="22"/>
          <w:szCs w:val="22"/>
          <w:lang w:val="en-US"/>
        </w:rPr>
        <w:t>-</w:t>
      </w:r>
      <w:r w:rsidRPr="002E6870">
        <w:rPr>
          <w:rFonts w:ascii="Arial" w:hAnsi="Arial" w:cs="Arial"/>
          <w:sz w:val="22"/>
          <w:szCs w:val="22"/>
          <w:lang w:val="en-US"/>
        </w:rPr>
        <w:t>help materials, initially on CD rom and then later on web-based platforms. These materials were predominantly aimed at patients who presented with anxiety disorders such as specific phobia, post-traumatic stress disorder and obsessive-compulsive disorder (Marks, Shaw and Parkin</w:t>
      </w:r>
      <w:r w:rsidR="00426B48">
        <w:rPr>
          <w:rFonts w:ascii="Arial" w:hAnsi="Arial" w:cs="Arial"/>
          <w:sz w:val="22"/>
          <w:szCs w:val="22"/>
          <w:lang w:val="en-US"/>
        </w:rPr>
        <w:t>, 1998</w:t>
      </w:r>
      <w:r w:rsidRPr="002E6870">
        <w:rPr>
          <w:rFonts w:ascii="Arial" w:hAnsi="Arial" w:cs="Arial"/>
          <w:sz w:val="22"/>
          <w:szCs w:val="22"/>
          <w:lang w:val="en-US"/>
        </w:rPr>
        <w:t>). These early programmes included ‘OBT’, ‘Fear Fighter’ and ‘OCBT’.  Marks established a “cCBT Clinic”</w:t>
      </w:r>
      <w:r>
        <w:rPr>
          <w:rFonts w:ascii="Arial" w:hAnsi="Arial" w:cs="Arial"/>
          <w:sz w:val="22"/>
          <w:szCs w:val="22"/>
          <w:lang w:val="en-US"/>
        </w:rPr>
        <w:t xml:space="preserve"> (Computerised Cognitive Behaviour Therapy)</w:t>
      </w:r>
      <w:r w:rsidRPr="002E6870">
        <w:rPr>
          <w:rFonts w:ascii="Arial" w:hAnsi="Arial" w:cs="Arial"/>
          <w:sz w:val="22"/>
          <w:szCs w:val="22"/>
          <w:lang w:val="en-US"/>
        </w:rPr>
        <w:t xml:space="preserve"> at the Maudsley Hospital in London, where local General Practitioners could refer their patients.  Marks argued that not only was this new treatment ‘just as good as face-to face treatment’ but the service was able to operate without a waiting list because patients could access treatment on one of many computers at his clinic (Marks</w:t>
      </w:r>
      <w:r w:rsidR="00426B48">
        <w:rPr>
          <w:rFonts w:ascii="Arial" w:hAnsi="Arial" w:cs="Arial"/>
          <w:sz w:val="22"/>
          <w:szCs w:val="22"/>
          <w:lang w:val="en-US"/>
        </w:rPr>
        <w:t>,</w:t>
      </w:r>
      <w:r w:rsidRPr="002E6870">
        <w:rPr>
          <w:rFonts w:ascii="Arial" w:hAnsi="Arial" w:cs="Arial"/>
          <w:sz w:val="22"/>
          <w:szCs w:val="22"/>
          <w:lang w:val="en-US"/>
        </w:rPr>
        <w:t xml:space="preserve"> 2013).  </w:t>
      </w:r>
      <w:r>
        <w:rPr>
          <w:rFonts w:ascii="Arial" w:hAnsi="Arial" w:cs="Arial"/>
          <w:sz w:val="22"/>
          <w:szCs w:val="22"/>
          <w:lang w:val="en-US"/>
        </w:rPr>
        <w:t>Marks and Griest’s work in this field has led to the development of a number of online and digital methods which are used to deliver CBT (Andersson</w:t>
      </w:r>
      <w:r w:rsidR="00426B48">
        <w:rPr>
          <w:rFonts w:ascii="Arial" w:hAnsi="Arial" w:cs="Arial"/>
          <w:sz w:val="22"/>
          <w:szCs w:val="22"/>
          <w:lang w:val="en-US"/>
        </w:rPr>
        <w:t>,</w:t>
      </w:r>
      <w:r>
        <w:rPr>
          <w:rFonts w:ascii="Arial" w:hAnsi="Arial" w:cs="Arial"/>
          <w:sz w:val="22"/>
          <w:szCs w:val="22"/>
          <w:lang w:val="en-US"/>
        </w:rPr>
        <w:t xml:space="preserve"> 2015).  These methods fall into a series of categories on a continuum which ranges from self-help methods (no therapist involvement) at one end of the continuum and 100% therapist-delivered methods on the other end of the continuum. Figure </w:t>
      </w:r>
      <w:r w:rsidR="00977BD7">
        <w:rPr>
          <w:rFonts w:ascii="Arial" w:hAnsi="Arial" w:cs="Arial"/>
          <w:sz w:val="22"/>
          <w:szCs w:val="22"/>
          <w:lang w:val="en-US"/>
        </w:rPr>
        <w:t>2.4</w:t>
      </w:r>
      <w:r>
        <w:rPr>
          <w:rFonts w:ascii="Arial" w:hAnsi="Arial" w:cs="Arial"/>
          <w:sz w:val="22"/>
          <w:szCs w:val="22"/>
          <w:lang w:val="en-US"/>
        </w:rPr>
        <w:t xml:space="preserve"> shows this continuum and illustrates where various methods sit on the continuum.</w:t>
      </w:r>
    </w:p>
    <w:p w14:paraId="3C9C6005" w14:textId="77777777" w:rsidR="00BC35EE" w:rsidRDefault="00BC35EE" w:rsidP="007F596B">
      <w:pPr>
        <w:widowControl w:val="0"/>
        <w:autoSpaceDE w:val="0"/>
        <w:autoSpaceDN w:val="0"/>
        <w:adjustRightInd w:val="0"/>
        <w:spacing w:after="240" w:line="480" w:lineRule="auto"/>
        <w:rPr>
          <w:rFonts w:ascii="Arial" w:hAnsi="Arial" w:cs="Arial"/>
          <w:sz w:val="22"/>
          <w:szCs w:val="22"/>
          <w:lang w:val="en-US"/>
        </w:rPr>
      </w:pPr>
    </w:p>
    <w:p w14:paraId="3A7CD1F7" w14:textId="3C16F280" w:rsidR="0080715D" w:rsidRDefault="0080715D" w:rsidP="0080715D">
      <w:pPr>
        <w:pStyle w:val="Heading2"/>
        <w:rPr>
          <w:rFonts w:ascii="Arial" w:hAnsi="Arial" w:cs="Arial"/>
          <w:color w:val="000000" w:themeColor="text1"/>
          <w:sz w:val="22"/>
          <w:szCs w:val="22"/>
          <w:lang w:val="en-US"/>
        </w:rPr>
      </w:pPr>
      <w:bookmarkStart w:id="107" w:name="_Toc46770736"/>
      <w:bookmarkStart w:id="108" w:name="_Toc79414147"/>
      <w:r>
        <w:rPr>
          <w:rFonts w:ascii="Arial" w:hAnsi="Arial" w:cs="Arial"/>
          <w:color w:val="000000" w:themeColor="text1"/>
          <w:sz w:val="22"/>
          <w:szCs w:val="22"/>
          <w:lang w:val="en-US"/>
        </w:rPr>
        <w:t>2.</w:t>
      </w:r>
      <w:r w:rsidR="00410DF6">
        <w:rPr>
          <w:rFonts w:ascii="Arial" w:hAnsi="Arial" w:cs="Arial"/>
          <w:color w:val="000000" w:themeColor="text1"/>
          <w:sz w:val="22"/>
          <w:szCs w:val="22"/>
          <w:lang w:val="en-US"/>
        </w:rPr>
        <w:t>10</w:t>
      </w:r>
      <w:r w:rsidRPr="00E23D02">
        <w:rPr>
          <w:rFonts w:ascii="Arial" w:hAnsi="Arial" w:cs="Arial"/>
          <w:color w:val="000000" w:themeColor="text1"/>
          <w:sz w:val="22"/>
          <w:szCs w:val="22"/>
          <w:lang w:val="en-US"/>
        </w:rPr>
        <w:t xml:space="preserve"> DIGITAL METHODS OF DELIVERING CBT IN IAPT</w:t>
      </w:r>
      <w:bookmarkEnd w:id="107"/>
      <w:bookmarkEnd w:id="108"/>
    </w:p>
    <w:p w14:paraId="618FC360" w14:textId="77777777" w:rsidR="0080715D" w:rsidRPr="00E23D02" w:rsidRDefault="0080715D" w:rsidP="0080715D">
      <w:pPr>
        <w:rPr>
          <w:lang w:val="en-US"/>
        </w:rPr>
      </w:pPr>
    </w:p>
    <w:p w14:paraId="7C9D52C2" w14:textId="70DAD1FF" w:rsidR="0080715D" w:rsidRDefault="0080715D" w:rsidP="007F596B">
      <w:pPr>
        <w:widowControl w:val="0"/>
        <w:autoSpaceDE w:val="0"/>
        <w:autoSpaceDN w:val="0"/>
        <w:adjustRightInd w:val="0"/>
        <w:spacing w:after="240" w:line="480" w:lineRule="auto"/>
        <w:rPr>
          <w:rFonts w:ascii="Arial" w:hAnsi="Arial" w:cs="Arial"/>
          <w:sz w:val="22"/>
          <w:szCs w:val="22"/>
          <w:lang w:val="en-US"/>
        </w:rPr>
      </w:pPr>
      <w:r>
        <w:rPr>
          <w:rFonts w:ascii="Arial" w:hAnsi="Arial" w:cs="Arial"/>
          <w:sz w:val="22"/>
          <w:szCs w:val="22"/>
          <w:lang w:val="en-US"/>
        </w:rPr>
        <w:t>There is a growing vocabulary to describe various methods of digitally delivered CBT (Andersson</w:t>
      </w:r>
      <w:r w:rsidR="00426B48">
        <w:rPr>
          <w:rFonts w:ascii="Arial" w:hAnsi="Arial" w:cs="Arial"/>
          <w:sz w:val="22"/>
          <w:szCs w:val="22"/>
          <w:lang w:val="en-US"/>
        </w:rPr>
        <w:t>,</w:t>
      </w:r>
      <w:r>
        <w:rPr>
          <w:rFonts w:ascii="Arial" w:hAnsi="Arial" w:cs="Arial"/>
          <w:sz w:val="22"/>
          <w:szCs w:val="22"/>
          <w:lang w:val="en-US"/>
        </w:rPr>
        <w:t xml:space="preserve"> 2015). These include</w:t>
      </w:r>
      <w:r w:rsidRPr="002E6870">
        <w:rPr>
          <w:rFonts w:ascii="Arial" w:hAnsi="Arial" w:cs="Arial"/>
          <w:sz w:val="22"/>
          <w:szCs w:val="22"/>
          <w:lang w:val="en-US"/>
        </w:rPr>
        <w:t xml:space="preserve"> terms such as computer therapy, Internet interventions, media delivered CBT, e</w:t>
      </w:r>
      <w:r>
        <w:rPr>
          <w:rFonts w:ascii="Arial" w:hAnsi="Arial" w:cs="Arial"/>
          <w:sz w:val="22"/>
          <w:szCs w:val="22"/>
          <w:lang w:val="en-US"/>
        </w:rPr>
        <w:t>-</w:t>
      </w:r>
      <w:r w:rsidRPr="002E6870">
        <w:rPr>
          <w:rFonts w:ascii="Arial" w:hAnsi="Arial" w:cs="Arial"/>
          <w:sz w:val="22"/>
          <w:szCs w:val="22"/>
          <w:lang w:val="en-US"/>
        </w:rPr>
        <w:t>therapy, telemedicine</w:t>
      </w:r>
      <w:r>
        <w:rPr>
          <w:rFonts w:ascii="Arial" w:hAnsi="Arial" w:cs="Arial"/>
          <w:sz w:val="22"/>
          <w:szCs w:val="22"/>
          <w:lang w:val="en-US"/>
        </w:rPr>
        <w:t xml:space="preserve"> eCBT, IECBT</w:t>
      </w:r>
      <w:r w:rsidRPr="002E6870">
        <w:rPr>
          <w:rFonts w:ascii="Arial" w:hAnsi="Arial" w:cs="Arial"/>
          <w:sz w:val="22"/>
          <w:szCs w:val="22"/>
          <w:lang w:val="en-US"/>
        </w:rPr>
        <w:t xml:space="preserve"> and ICBT</w:t>
      </w:r>
      <w:r>
        <w:rPr>
          <w:rFonts w:ascii="Arial" w:hAnsi="Arial" w:cs="Arial"/>
          <w:sz w:val="22"/>
          <w:szCs w:val="22"/>
          <w:lang w:val="en-US"/>
        </w:rPr>
        <w:t xml:space="preserve"> (</w:t>
      </w:r>
      <w:r w:rsidRPr="002E6870">
        <w:rPr>
          <w:rFonts w:ascii="Arial" w:hAnsi="Arial" w:cs="Arial"/>
          <w:sz w:val="22"/>
          <w:szCs w:val="22"/>
          <w:lang w:val="en-US"/>
        </w:rPr>
        <w:t>Aboujaoude and Starcevic</w:t>
      </w:r>
      <w:r>
        <w:rPr>
          <w:rFonts w:ascii="Arial" w:hAnsi="Arial" w:cs="Arial"/>
          <w:sz w:val="22"/>
          <w:szCs w:val="22"/>
          <w:lang w:val="en-US"/>
        </w:rPr>
        <w:t>,</w:t>
      </w:r>
      <w:r w:rsidRPr="002E6870">
        <w:rPr>
          <w:rFonts w:ascii="Arial" w:hAnsi="Arial" w:cs="Arial"/>
          <w:sz w:val="22"/>
          <w:szCs w:val="22"/>
          <w:lang w:val="en-US"/>
        </w:rPr>
        <w:t xml:space="preserve"> 2014)</w:t>
      </w:r>
      <w:r>
        <w:rPr>
          <w:rFonts w:ascii="Arial" w:hAnsi="Arial" w:cs="Arial"/>
          <w:sz w:val="22"/>
          <w:szCs w:val="22"/>
          <w:lang w:val="en-US"/>
        </w:rPr>
        <w:t>.</w:t>
      </w:r>
      <w:r w:rsidRPr="002E6870">
        <w:rPr>
          <w:rFonts w:ascii="Arial" w:hAnsi="Arial" w:cs="Arial"/>
          <w:sz w:val="22"/>
          <w:szCs w:val="22"/>
          <w:lang w:val="en-US"/>
        </w:rPr>
        <w:t xml:space="preserve">  </w:t>
      </w:r>
      <w:r>
        <w:rPr>
          <w:rFonts w:ascii="Arial" w:hAnsi="Arial" w:cs="Arial"/>
          <w:sz w:val="22"/>
          <w:szCs w:val="22"/>
          <w:lang w:val="en-US"/>
        </w:rPr>
        <w:t>This</w:t>
      </w:r>
      <w:r w:rsidRPr="002E6870">
        <w:rPr>
          <w:rFonts w:ascii="Arial" w:hAnsi="Arial" w:cs="Arial"/>
          <w:sz w:val="22"/>
          <w:szCs w:val="22"/>
          <w:lang w:val="en-US"/>
        </w:rPr>
        <w:t xml:space="preserve"> myriad of terms creates confusion when attempting to differentiate between </w:t>
      </w:r>
      <w:r>
        <w:rPr>
          <w:rFonts w:ascii="Arial" w:hAnsi="Arial" w:cs="Arial"/>
          <w:sz w:val="22"/>
          <w:szCs w:val="22"/>
          <w:lang w:val="en-US"/>
        </w:rPr>
        <w:t>the</w:t>
      </w:r>
      <w:r w:rsidRPr="002E6870">
        <w:rPr>
          <w:rFonts w:ascii="Arial" w:hAnsi="Arial" w:cs="Arial"/>
          <w:sz w:val="22"/>
          <w:szCs w:val="22"/>
          <w:lang w:val="en-US"/>
        </w:rPr>
        <w:t xml:space="preserve"> methods</w:t>
      </w:r>
      <w:r>
        <w:rPr>
          <w:rFonts w:ascii="Arial" w:hAnsi="Arial" w:cs="Arial"/>
          <w:sz w:val="22"/>
          <w:szCs w:val="22"/>
          <w:lang w:val="en-US"/>
        </w:rPr>
        <w:t xml:space="preserve"> (</w:t>
      </w:r>
      <w:r w:rsidRPr="002E6870">
        <w:rPr>
          <w:rFonts w:ascii="Arial" w:hAnsi="Arial" w:cs="Arial"/>
          <w:sz w:val="22"/>
          <w:szCs w:val="22"/>
          <w:lang w:val="en-US"/>
        </w:rPr>
        <w:t>Aboujaoude and Starcevic</w:t>
      </w:r>
      <w:r>
        <w:rPr>
          <w:rFonts w:ascii="Arial" w:hAnsi="Arial" w:cs="Arial"/>
          <w:sz w:val="22"/>
          <w:szCs w:val="22"/>
          <w:lang w:val="en-US"/>
        </w:rPr>
        <w:t>,</w:t>
      </w:r>
      <w:r w:rsidRPr="002E6870">
        <w:rPr>
          <w:rFonts w:ascii="Arial" w:hAnsi="Arial" w:cs="Arial"/>
          <w:sz w:val="22"/>
          <w:szCs w:val="22"/>
          <w:lang w:val="en-US"/>
        </w:rPr>
        <w:t xml:space="preserve"> 2014). </w:t>
      </w:r>
      <w:r>
        <w:rPr>
          <w:rFonts w:ascii="Arial" w:hAnsi="Arial" w:cs="Arial"/>
          <w:sz w:val="22"/>
          <w:szCs w:val="22"/>
          <w:lang w:val="en-US"/>
        </w:rPr>
        <w:t xml:space="preserve">At the time of writing there are predominantly four methods of delivering CBT in IAPT using digital methods. These are computerised CBT (cCBT), online guided self-help, virtual reality and the Ieso Method, </w:t>
      </w:r>
      <w:r>
        <w:rPr>
          <w:rFonts w:ascii="Arial" w:hAnsi="Arial" w:cs="Arial"/>
          <w:sz w:val="22"/>
          <w:szCs w:val="22"/>
          <w:lang w:val="en-US"/>
        </w:rPr>
        <w:lastRenderedPageBreak/>
        <w:t>sometimes described as Internet Enabled CBT (IECBT). The following section will discuss each of these methods</w:t>
      </w:r>
      <w:r w:rsidR="00410DF6">
        <w:rPr>
          <w:rFonts w:ascii="Arial" w:hAnsi="Arial" w:cs="Arial"/>
          <w:sz w:val="22"/>
          <w:szCs w:val="22"/>
          <w:lang w:val="en-US"/>
        </w:rPr>
        <w:t>.</w:t>
      </w:r>
    </w:p>
    <w:p w14:paraId="3375A1BD" w14:textId="7FC63AC9" w:rsidR="00877399" w:rsidRDefault="00877399" w:rsidP="001B1D96">
      <w:pPr>
        <w:pStyle w:val="Figures"/>
      </w:pPr>
      <w:bookmarkStart w:id="109" w:name="_Toc28338366"/>
      <w:bookmarkStart w:id="110" w:name="_Toc28339119"/>
      <w:bookmarkStart w:id="111" w:name="_Toc28339961"/>
      <w:bookmarkStart w:id="112" w:name="_Toc46770933"/>
      <w:r w:rsidRPr="00877399">
        <w:t>Figure 2.4</w:t>
      </w:r>
      <w:r w:rsidRPr="001C09E3">
        <w:t xml:space="preserve"> </w:t>
      </w:r>
      <w:r w:rsidRPr="001B1D96">
        <w:rPr>
          <w:b w:val="0"/>
        </w:rPr>
        <w:t>The continuum of online and digital products used to deliver CBT</w:t>
      </w:r>
      <w:bookmarkEnd w:id="109"/>
      <w:bookmarkEnd w:id="110"/>
      <w:bookmarkEnd w:id="111"/>
      <w:bookmarkEnd w:id="112"/>
    </w:p>
    <w:p w14:paraId="7101B5DC" w14:textId="3642473D" w:rsidR="007F596B" w:rsidRDefault="00CA4159" w:rsidP="007F596B">
      <w:pPr>
        <w:widowControl w:val="0"/>
        <w:autoSpaceDE w:val="0"/>
        <w:autoSpaceDN w:val="0"/>
        <w:adjustRightInd w:val="0"/>
        <w:spacing w:after="240" w:line="480" w:lineRule="auto"/>
        <w:rPr>
          <w:rFonts w:ascii="Arial" w:hAnsi="Arial" w:cs="Arial"/>
          <w:sz w:val="22"/>
          <w:szCs w:val="22"/>
          <w:lang w:val="en-US"/>
        </w:rPr>
      </w:pPr>
      <w:r w:rsidRPr="0080715D">
        <w:rPr>
          <w:noProof/>
        </w:rPr>
        <w:drawing>
          <wp:inline distT="0" distB="0" distL="0" distR="0" wp14:anchorId="0FA144AA" wp14:editId="6CBCD9C3">
            <wp:extent cx="5727700" cy="2562225"/>
            <wp:effectExtent l="0" t="0" r="6350" b="9525"/>
            <wp:docPr id="56" name="Picture 56" descr="P72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P727#yIS1"/>
                    <pic:cNvPicPr>
                      <a:picLocks noChangeAspect="1" noChangeArrowheads="1"/>
                    </pic:cNvPicPr>
                  </pic:nvPicPr>
                  <pic:blipFill rotWithShape="1">
                    <a:blip r:embed="rId26">
                      <a:extLst>
                        <a:ext uri="{28A0092B-C50C-407E-A947-70E740481C1C}">
                          <a14:useLocalDpi xmlns:a14="http://schemas.microsoft.com/office/drawing/2010/main" val="0"/>
                        </a:ext>
                      </a:extLst>
                    </a:blip>
                    <a:srcRect t="13013" b="7433"/>
                    <a:stretch/>
                  </pic:blipFill>
                  <pic:spPr bwMode="auto">
                    <a:xfrm>
                      <a:off x="0" y="0"/>
                      <a:ext cx="5727700" cy="2562225"/>
                    </a:xfrm>
                    <a:prstGeom prst="rect">
                      <a:avLst/>
                    </a:prstGeom>
                    <a:noFill/>
                    <a:ln>
                      <a:noFill/>
                    </a:ln>
                    <a:extLst>
                      <a:ext uri="{53640926-AAD7-44D8-BBD7-CCE9431645EC}">
                        <a14:shadowObscured xmlns:a14="http://schemas.microsoft.com/office/drawing/2010/main"/>
                      </a:ext>
                    </a:extLst>
                  </pic:spPr>
                </pic:pic>
              </a:graphicData>
            </a:graphic>
          </wp:inline>
        </w:drawing>
      </w:r>
    </w:p>
    <w:p w14:paraId="0EAFF5BA" w14:textId="3010C01A" w:rsidR="007F596B" w:rsidRDefault="00410DF6" w:rsidP="00410DF6">
      <w:pPr>
        <w:pStyle w:val="Heading3"/>
        <w:rPr>
          <w:rFonts w:cs="Arial"/>
          <w:color w:val="000000" w:themeColor="text1"/>
          <w:szCs w:val="22"/>
          <w:lang w:val="en-US"/>
        </w:rPr>
      </w:pPr>
      <w:bookmarkStart w:id="113" w:name="_Toc46770737"/>
      <w:bookmarkStart w:id="114" w:name="_Toc79414148"/>
      <w:r>
        <w:rPr>
          <w:rFonts w:cs="Arial"/>
          <w:color w:val="000000" w:themeColor="text1"/>
          <w:szCs w:val="22"/>
          <w:lang w:val="en-US"/>
        </w:rPr>
        <w:t xml:space="preserve">2.10.1 </w:t>
      </w:r>
      <w:r w:rsidR="007F596B" w:rsidRPr="00E23D02">
        <w:rPr>
          <w:rFonts w:cs="Arial"/>
          <w:color w:val="000000" w:themeColor="text1"/>
          <w:szCs w:val="22"/>
          <w:lang w:val="en-US"/>
        </w:rPr>
        <w:t>Computerised Cognitive Behavioural Therapy (cCBT)</w:t>
      </w:r>
      <w:bookmarkEnd w:id="113"/>
      <w:bookmarkEnd w:id="114"/>
    </w:p>
    <w:p w14:paraId="0F72A0F0" w14:textId="77777777" w:rsidR="007F596B" w:rsidRPr="00E23D02" w:rsidRDefault="007F596B" w:rsidP="007F596B">
      <w:pPr>
        <w:rPr>
          <w:lang w:val="en-US"/>
        </w:rPr>
      </w:pPr>
    </w:p>
    <w:p w14:paraId="3A423A2C" w14:textId="70D8224C" w:rsidR="007F596B" w:rsidRDefault="007F596B" w:rsidP="007F596B">
      <w:pPr>
        <w:widowControl w:val="0"/>
        <w:autoSpaceDE w:val="0"/>
        <w:autoSpaceDN w:val="0"/>
        <w:adjustRightInd w:val="0"/>
        <w:spacing w:after="240" w:line="480" w:lineRule="auto"/>
        <w:rPr>
          <w:rFonts w:ascii="Arial" w:hAnsi="Arial" w:cs="Arial"/>
          <w:sz w:val="22"/>
          <w:szCs w:val="22"/>
          <w:lang w:val="en-US"/>
        </w:rPr>
      </w:pPr>
      <w:r>
        <w:rPr>
          <w:rFonts w:ascii="Arial" w:hAnsi="Arial" w:cs="Arial"/>
          <w:sz w:val="22"/>
          <w:szCs w:val="22"/>
          <w:lang w:val="en-US"/>
        </w:rPr>
        <w:t>Computerised Cognitive Behavioural Therapy (cCBT) provides online self-help materials for patients (Andersson</w:t>
      </w:r>
      <w:r w:rsidR="00426B48">
        <w:rPr>
          <w:rFonts w:ascii="Arial" w:hAnsi="Arial" w:cs="Arial"/>
          <w:sz w:val="22"/>
          <w:szCs w:val="22"/>
          <w:lang w:val="en-US"/>
        </w:rPr>
        <w:t>,</w:t>
      </w:r>
      <w:r>
        <w:rPr>
          <w:rFonts w:ascii="Arial" w:hAnsi="Arial" w:cs="Arial"/>
          <w:sz w:val="22"/>
          <w:szCs w:val="22"/>
          <w:lang w:val="en-US"/>
        </w:rPr>
        <w:t xml:space="preserve"> 2015). </w:t>
      </w:r>
      <w:r w:rsidR="00030708">
        <w:rPr>
          <w:rFonts w:ascii="Arial" w:hAnsi="Arial" w:cs="Arial"/>
          <w:sz w:val="22"/>
          <w:szCs w:val="22"/>
          <w:lang w:val="en-US"/>
        </w:rPr>
        <w:t xml:space="preserve">These materials are usually on a web-based platform (website) or delivered via a smart phone app.  </w:t>
      </w:r>
      <w:r>
        <w:rPr>
          <w:rFonts w:ascii="Arial" w:hAnsi="Arial" w:cs="Arial"/>
          <w:sz w:val="22"/>
          <w:szCs w:val="22"/>
          <w:lang w:val="en-US"/>
        </w:rPr>
        <w:t xml:space="preserve">Computerised CBT </w:t>
      </w:r>
      <w:r w:rsidRPr="00D003B5">
        <w:rPr>
          <w:rFonts w:ascii="Arial" w:hAnsi="Arial" w:cs="Arial"/>
          <w:sz w:val="22"/>
          <w:szCs w:val="22"/>
          <w:lang w:val="en-US"/>
        </w:rPr>
        <w:t>programmes have been developed for a wide range of mental health disorders including depression, anxiety disorders, chronic health conditions</w:t>
      </w:r>
      <w:r>
        <w:rPr>
          <w:rFonts w:ascii="Arial" w:hAnsi="Arial" w:cs="Arial"/>
          <w:sz w:val="22"/>
          <w:szCs w:val="22"/>
          <w:lang w:val="en-US"/>
        </w:rPr>
        <w:t>, sleep disorders</w:t>
      </w:r>
      <w:r w:rsidRPr="00D003B5">
        <w:rPr>
          <w:rFonts w:ascii="Arial" w:hAnsi="Arial" w:cs="Arial"/>
          <w:sz w:val="22"/>
          <w:szCs w:val="22"/>
          <w:lang w:val="en-US"/>
        </w:rPr>
        <w:t xml:space="preserve"> and chronic pain</w:t>
      </w:r>
      <w:r>
        <w:rPr>
          <w:rFonts w:ascii="Arial" w:hAnsi="Arial" w:cs="Arial"/>
          <w:sz w:val="22"/>
          <w:szCs w:val="22"/>
          <w:lang w:val="en-US"/>
        </w:rPr>
        <w:t xml:space="preserve"> (Andersson 2015)</w:t>
      </w:r>
      <w:r w:rsidRPr="00D003B5">
        <w:rPr>
          <w:rFonts w:ascii="Arial" w:hAnsi="Arial" w:cs="Arial"/>
          <w:sz w:val="22"/>
          <w:szCs w:val="22"/>
          <w:lang w:val="en-US"/>
        </w:rPr>
        <w:t>.</w:t>
      </w:r>
      <w:r>
        <w:rPr>
          <w:rFonts w:ascii="Arial" w:hAnsi="Arial" w:cs="Arial"/>
          <w:sz w:val="22"/>
          <w:szCs w:val="22"/>
          <w:lang w:val="en-US"/>
        </w:rPr>
        <w:t xml:space="preserve"> Other programmes provide psycho-education for general mental wellbeing such as mindfulness (see www.headspace.com).</w:t>
      </w:r>
      <w:r w:rsidRPr="00D003B5">
        <w:rPr>
          <w:rFonts w:ascii="Arial" w:hAnsi="Arial" w:cs="Arial"/>
          <w:sz w:val="22"/>
          <w:szCs w:val="22"/>
          <w:lang w:val="en-US"/>
        </w:rPr>
        <w:t xml:space="preserve">  Marks</w:t>
      </w:r>
      <w:r w:rsidR="00962568">
        <w:rPr>
          <w:rFonts w:ascii="Arial" w:hAnsi="Arial" w:cs="Arial"/>
          <w:sz w:val="22"/>
          <w:szCs w:val="22"/>
          <w:lang w:val="en-US"/>
        </w:rPr>
        <w:t>, Kenwright, McDonough, Whitaker and Mataix-Cols, (2004)</w:t>
      </w:r>
      <w:r w:rsidRPr="00D003B5">
        <w:rPr>
          <w:rFonts w:ascii="Arial" w:hAnsi="Arial" w:cs="Arial"/>
          <w:sz w:val="22"/>
          <w:szCs w:val="22"/>
          <w:lang w:val="en-US"/>
        </w:rPr>
        <w:t>, de Graaf et al., (2008), Berger et al., (2011) and Moritz et al., (2012), amongst others, have all argued that</w:t>
      </w:r>
      <w:r w:rsidR="00330A9A">
        <w:rPr>
          <w:rFonts w:ascii="Arial" w:hAnsi="Arial" w:cs="Arial"/>
          <w:sz w:val="22"/>
          <w:szCs w:val="22"/>
          <w:lang w:val="en-US"/>
        </w:rPr>
        <w:t xml:space="preserve">; </w:t>
      </w:r>
      <w:r w:rsidRPr="00330A9A">
        <w:rPr>
          <w:rFonts w:ascii="Arial" w:hAnsi="Arial" w:cs="Arial"/>
          <w:sz w:val="22"/>
          <w:szCs w:val="22"/>
          <w:lang w:val="en-US"/>
        </w:rPr>
        <w:t>cCBT is of benefit to patients (</w:t>
      </w:r>
      <w:r w:rsidR="00330A9A">
        <w:rPr>
          <w:rFonts w:ascii="Arial" w:hAnsi="Arial" w:cs="Arial"/>
          <w:sz w:val="22"/>
          <w:szCs w:val="22"/>
          <w:lang w:val="en-US"/>
        </w:rPr>
        <w:t xml:space="preserve">with </w:t>
      </w:r>
      <w:r w:rsidRPr="00330A9A">
        <w:rPr>
          <w:rFonts w:ascii="Arial" w:hAnsi="Arial" w:cs="Arial"/>
          <w:sz w:val="22"/>
          <w:szCs w:val="22"/>
          <w:lang w:val="en-US"/>
        </w:rPr>
        <w:t>moderate effect sizes)</w:t>
      </w:r>
      <w:r w:rsidR="00330A9A">
        <w:rPr>
          <w:rFonts w:ascii="Arial" w:hAnsi="Arial" w:cs="Arial"/>
          <w:sz w:val="22"/>
          <w:szCs w:val="22"/>
          <w:lang w:val="en-US"/>
        </w:rPr>
        <w:t xml:space="preserve">, </w:t>
      </w:r>
      <w:r w:rsidRPr="00330A9A">
        <w:rPr>
          <w:rFonts w:ascii="Arial" w:hAnsi="Arial" w:cs="Arial"/>
          <w:sz w:val="22"/>
          <w:szCs w:val="22"/>
          <w:lang w:val="en-US"/>
        </w:rPr>
        <w:t>cCBT is highly cost effective as there is no therapist contact</w:t>
      </w:r>
      <w:r w:rsidR="00330A9A">
        <w:rPr>
          <w:rFonts w:ascii="Arial" w:hAnsi="Arial" w:cs="Arial"/>
          <w:sz w:val="22"/>
          <w:szCs w:val="22"/>
          <w:lang w:val="en-US"/>
        </w:rPr>
        <w:t xml:space="preserve"> and </w:t>
      </w:r>
      <w:r w:rsidRPr="00330A9A">
        <w:rPr>
          <w:rFonts w:ascii="Arial" w:hAnsi="Arial" w:cs="Arial"/>
          <w:sz w:val="22"/>
          <w:szCs w:val="22"/>
          <w:lang w:val="en-US"/>
        </w:rPr>
        <w:t>cCBT is convenient and can be accessed by anyone with an Internet connection and a computer, tablet or (more latterly) a smart phone</w:t>
      </w:r>
      <w:r w:rsidR="00330A9A">
        <w:rPr>
          <w:rFonts w:ascii="Arial" w:hAnsi="Arial" w:cs="Arial"/>
          <w:sz w:val="22"/>
          <w:szCs w:val="22"/>
          <w:lang w:val="en-US"/>
        </w:rPr>
        <w:t xml:space="preserve">. </w:t>
      </w:r>
      <w:r w:rsidRPr="00D003B5">
        <w:rPr>
          <w:rFonts w:ascii="Arial" w:hAnsi="Arial" w:cs="Arial"/>
          <w:sz w:val="22"/>
          <w:szCs w:val="22"/>
          <w:lang w:val="en-US"/>
        </w:rPr>
        <w:t xml:space="preserve">The growing evidence base for cCBT encouraged the United Kingdom’s National Institute for Health and Care Excellence (NICE) to endorse cCBT materials for the treatment of depression (National Institute for Health and Care Excellence 2013).  </w:t>
      </w:r>
      <w:r>
        <w:rPr>
          <w:rFonts w:ascii="Arial" w:hAnsi="Arial" w:cs="Arial"/>
          <w:sz w:val="22"/>
          <w:szCs w:val="22"/>
          <w:lang w:val="en-US"/>
        </w:rPr>
        <w:t xml:space="preserve">One cCBT product </w:t>
      </w:r>
      <w:r>
        <w:rPr>
          <w:rFonts w:ascii="Arial" w:hAnsi="Arial" w:cs="Arial"/>
          <w:sz w:val="22"/>
          <w:szCs w:val="22"/>
          <w:lang w:val="en-US"/>
        </w:rPr>
        <w:lastRenderedPageBreak/>
        <w:t>designed to treat depression known as ‘</w:t>
      </w:r>
      <w:r w:rsidRPr="00D003B5">
        <w:rPr>
          <w:rFonts w:ascii="Arial" w:hAnsi="Arial" w:cs="Arial"/>
          <w:sz w:val="22"/>
          <w:szCs w:val="22"/>
          <w:lang w:val="en-US"/>
        </w:rPr>
        <w:t>MoodGYM</w:t>
      </w:r>
      <w:r>
        <w:rPr>
          <w:rFonts w:ascii="Arial" w:hAnsi="Arial" w:cs="Arial"/>
          <w:sz w:val="22"/>
          <w:szCs w:val="22"/>
          <w:lang w:val="en-US"/>
        </w:rPr>
        <w:t>’</w:t>
      </w:r>
      <w:r w:rsidRPr="00D003B5">
        <w:rPr>
          <w:rFonts w:ascii="Arial" w:hAnsi="Arial" w:cs="Arial"/>
          <w:sz w:val="22"/>
          <w:szCs w:val="22"/>
          <w:lang w:val="en-US"/>
        </w:rPr>
        <w:t xml:space="preserve"> (Batterham</w:t>
      </w:r>
      <w:r w:rsidR="009F7FED">
        <w:rPr>
          <w:rFonts w:ascii="Arial" w:hAnsi="Arial" w:cs="Arial"/>
          <w:sz w:val="22"/>
          <w:szCs w:val="22"/>
          <w:lang w:val="en-US"/>
        </w:rPr>
        <w:t xml:space="preserve">, Neil, Bennett, Griffiths and Christensen, </w:t>
      </w:r>
      <w:r w:rsidRPr="00D003B5">
        <w:rPr>
          <w:rFonts w:ascii="Arial" w:hAnsi="Arial" w:cs="Arial"/>
          <w:sz w:val="22"/>
          <w:szCs w:val="22"/>
          <w:lang w:val="en-US"/>
        </w:rPr>
        <w:t xml:space="preserve">2008 and Christensen et al., 2004) has been reported to have been used by over 400,000 depressed people across the world. </w:t>
      </w:r>
      <w:r>
        <w:rPr>
          <w:rFonts w:ascii="Arial" w:hAnsi="Arial" w:cs="Arial"/>
          <w:sz w:val="22"/>
          <w:szCs w:val="22"/>
          <w:lang w:val="en-US"/>
        </w:rPr>
        <w:t xml:space="preserve"> Despite the evidence that cCBT can be effective for many common mental health disorders such as anxiety and depression there are a growing number of</w:t>
      </w:r>
      <w:r w:rsidRPr="00D003B5">
        <w:rPr>
          <w:rFonts w:ascii="Arial" w:hAnsi="Arial" w:cs="Arial"/>
          <w:sz w:val="22"/>
          <w:szCs w:val="22"/>
          <w:lang w:val="en-US"/>
        </w:rPr>
        <w:t xml:space="preserve"> counter-arguments </w:t>
      </w:r>
      <w:r>
        <w:rPr>
          <w:rFonts w:ascii="Arial" w:hAnsi="Arial" w:cs="Arial"/>
          <w:sz w:val="22"/>
          <w:szCs w:val="22"/>
          <w:lang w:val="en-US"/>
        </w:rPr>
        <w:t>that relate</w:t>
      </w:r>
      <w:r w:rsidRPr="00D003B5">
        <w:rPr>
          <w:rFonts w:ascii="Arial" w:hAnsi="Arial" w:cs="Arial"/>
          <w:sz w:val="22"/>
          <w:szCs w:val="22"/>
          <w:lang w:val="en-US"/>
        </w:rPr>
        <w:t xml:space="preserve"> to the reliability and validity of the findings from </w:t>
      </w:r>
      <w:r>
        <w:rPr>
          <w:rFonts w:ascii="Arial" w:hAnsi="Arial" w:cs="Arial"/>
          <w:sz w:val="22"/>
          <w:szCs w:val="22"/>
          <w:lang w:val="en-US"/>
        </w:rPr>
        <w:t>the cCBT studies</w:t>
      </w:r>
      <w:r w:rsidRPr="00D003B5">
        <w:rPr>
          <w:rFonts w:ascii="Arial" w:hAnsi="Arial" w:cs="Arial"/>
          <w:sz w:val="22"/>
          <w:szCs w:val="22"/>
          <w:lang w:val="en-US"/>
        </w:rPr>
        <w:t xml:space="preserve"> (Aboujaoude and Starcevic 2014). </w:t>
      </w:r>
      <w:r>
        <w:rPr>
          <w:rFonts w:ascii="Arial" w:hAnsi="Arial" w:cs="Arial"/>
          <w:sz w:val="22"/>
          <w:szCs w:val="22"/>
          <w:lang w:val="en-US"/>
        </w:rPr>
        <w:t>One</w:t>
      </w:r>
      <w:r w:rsidRPr="00D003B5">
        <w:rPr>
          <w:rFonts w:ascii="Arial" w:hAnsi="Arial" w:cs="Arial"/>
          <w:sz w:val="22"/>
          <w:szCs w:val="22"/>
          <w:lang w:val="en-US"/>
        </w:rPr>
        <w:t xml:space="preserve"> meta-analys</w:t>
      </w:r>
      <w:r w:rsidR="009B782E">
        <w:rPr>
          <w:rFonts w:ascii="Arial" w:hAnsi="Arial" w:cs="Arial"/>
          <w:sz w:val="22"/>
          <w:szCs w:val="22"/>
          <w:lang w:val="en-US"/>
        </w:rPr>
        <w:t>i</w:t>
      </w:r>
      <w:r w:rsidRPr="00D003B5">
        <w:rPr>
          <w:rFonts w:ascii="Arial" w:hAnsi="Arial" w:cs="Arial"/>
          <w:sz w:val="22"/>
          <w:szCs w:val="22"/>
          <w:lang w:val="en-US"/>
        </w:rPr>
        <w:t>s of the cCBT literature argue</w:t>
      </w:r>
      <w:r>
        <w:rPr>
          <w:rFonts w:ascii="Arial" w:hAnsi="Arial" w:cs="Arial"/>
          <w:sz w:val="22"/>
          <w:szCs w:val="22"/>
          <w:lang w:val="en-US"/>
        </w:rPr>
        <w:t>d</w:t>
      </w:r>
      <w:r w:rsidRPr="00D003B5">
        <w:rPr>
          <w:rFonts w:ascii="Arial" w:hAnsi="Arial" w:cs="Arial"/>
          <w:sz w:val="22"/>
          <w:szCs w:val="22"/>
          <w:lang w:val="en-US"/>
        </w:rPr>
        <w:t xml:space="preserve"> that the RCT’s that had been conducted failed to demonstrate significant evidence of behavioural change and improvement in a patient’s quality of life</w:t>
      </w:r>
      <w:r>
        <w:rPr>
          <w:rFonts w:ascii="Arial" w:hAnsi="Arial" w:cs="Arial"/>
          <w:sz w:val="22"/>
          <w:szCs w:val="22"/>
          <w:lang w:val="en-US"/>
        </w:rPr>
        <w:t xml:space="preserve"> and that authors </w:t>
      </w:r>
      <w:r w:rsidRPr="00D003B5">
        <w:rPr>
          <w:rFonts w:ascii="Arial" w:hAnsi="Arial" w:cs="Arial"/>
          <w:sz w:val="22"/>
          <w:szCs w:val="22"/>
          <w:lang w:val="en-US"/>
        </w:rPr>
        <w:t>failed to rigorously report on patient drop out.</w:t>
      </w:r>
      <w:r>
        <w:rPr>
          <w:rFonts w:ascii="Arial" w:hAnsi="Arial" w:cs="Arial"/>
          <w:sz w:val="22"/>
          <w:szCs w:val="22"/>
          <w:lang w:val="en-US"/>
        </w:rPr>
        <w:t xml:space="preserve"> (</w:t>
      </w:r>
      <w:r w:rsidRPr="00D003B5">
        <w:rPr>
          <w:rFonts w:ascii="Arial" w:hAnsi="Arial" w:cs="Arial"/>
          <w:sz w:val="22"/>
          <w:szCs w:val="22"/>
          <w:lang w:val="en-US"/>
        </w:rPr>
        <w:t>So et al., 2013). There is clear evidence that the drop</w:t>
      </w:r>
      <w:r>
        <w:rPr>
          <w:rFonts w:ascii="Arial" w:hAnsi="Arial" w:cs="Arial"/>
          <w:sz w:val="22"/>
          <w:szCs w:val="22"/>
          <w:lang w:val="en-US"/>
        </w:rPr>
        <w:t>-</w:t>
      </w:r>
      <w:r w:rsidRPr="00D003B5">
        <w:rPr>
          <w:rFonts w:ascii="Arial" w:hAnsi="Arial" w:cs="Arial"/>
          <w:sz w:val="22"/>
          <w:szCs w:val="22"/>
          <w:lang w:val="en-US"/>
        </w:rPr>
        <w:t>out rate from cCBT is extremely high with reports citing between 28% and 80% (Hilvert-Bruce at al., 2012), compared to a drop</w:t>
      </w:r>
      <w:r>
        <w:rPr>
          <w:rFonts w:ascii="Arial" w:hAnsi="Arial" w:cs="Arial"/>
          <w:sz w:val="22"/>
          <w:szCs w:val="22"/>
          <w:lang w:val="en-US"/>
        </w:rPr>
        <w:t>-</w:t>
      </w:r>
      <w:r w:rsidRPr="00D003B5">
        <w:rPr>
          <w:rFonts w:ascii="Arial" w:hAnsi="Arial" w:cs="Arial"/>
          <w:sz w:val="22"/>
          <w:szCs w:val="22"/>
          <w:lang w:val="en-US"/>
        </w:rPr>
        <w:t>out rate of approximately 20% in face-to-face therapy (Hans and Hiller</w:t>
      </w:r>
      <w:r w:rsidR="00426B48">
        <w:rPr>
          <w:rFonts w:ascii="Arial" w:hAnsi="Arial" w:cs="Arial"/>
          <w:sz w:val="22"/>
          <w:szCs w:val="22"/>
          <w:lang w:val="en-US"/>
        </w:rPr>
        <w:t>,</w:t>
      </w:r>
      <w:r w:rsidRPr="00D003B5">
        <w:rPr>
          <w:rFonts w:ascii="Arial" w:hAnsi="Arial" w:cs="Arial"/>
          <w:sz w:val="22"/>
          <w:szCs w:val="22"/>
          <w:lang w:val="en-US"/>
        </w:rPr>
        <w:t xml:space="preserve"> 2013). There is little doubt that the development of cCBT materials in the last 35 years has been driven by a desire to improve access to evidenced based interventions.</w:t>
      </w:r>
      <w:r w:rsidR="009B782E">
        <w:rPr>
          <w:rFonts w:ascii="Arial" w:hAnsi="Arial" w:cs="Arial"/>
          <w:sz w:val="22"/>
          <w:szCs w:val="22"/>
          <w:lang w:val="en-US"/>
        </w:rPr>
        <w:t xml:space="preserve"> </w:t>
      </w:r>
      <w:r w:rsidRPr="00D003B5">
        <w:rPr>
          <w:rFonts w:ascii="Arial" w:hAnsi="Arial" w:cs="Arial"/>
          <w:sz w:val="22"/>
          <w:szCs w:val="22"/>
          <w:lang w:val="en-US"/>
        </w:rPr>
        <w:t>This desire is situated within a climate of increasing prevalence of anxiety and depression, over-stretched health care budgets and a lack of qualified clinicians</w:t>
      </w:r>
      <w:r>
        <w:rPr>
          <w:rFonts w:ascii="Arial" w:hAnsi="Arial" w:cs="Arial"/>
          <w:sz w:val="22"/>
          <w:szCs w:val="22"/>
          <w:lang w:val="en-US"/>
        </w:rPr>
        <w:t xml:space="preserve"> (Andersson 2015)</w:t>
      </w:r>
      <w:r w:rsidRPr="00D003B5">
        <w:rPr>
          <w:rFonts w:ascii="Arial" w:hAnsi="Arial" w:cs="Arial"/>
          <w:sz w:val="22"/>
          <w:szCs w:val="22"/>
          <w:lang w:val="en-US"/>
        </w:rPr>
        <w:t xml:space="preserve">.  It might be argued that the need to deliver more for less has led to some clinicians over-estimating the effectiveness of cCBT (So et al., 2013).  </w:t>
      </w:r>
      <w:r>
        <w:rPr>
          <w:rFonts w:ascii="Arial" w:hAnsi="Arial" w:cs="Arial"/>
          <w:sz w:val="22"/>
          <w:szCs w:val="22"/>
          <w:lang w:val="en-US"/>
        </w:rPr>
        <w:t>O</w:t>
      </w:r>
      <w:r w:rsidRPr="00D003B5">
        <w:rPr>
          <w:rFonts w:ascii="Arial" w:hAnsi="Arial" w:cs="Arial"/>
          <w:sz w:val="22"/>
          <w:szCs w:val="22"/>
          <w:lang w:val="en-US"/>
        </w:rPr>
        <w:t>n the other hand</w:t>
      </w:r>
      <w:r>
        <w:rPr>
          <w:rFonts w:ascii="Arial" w:hAnsi="Arial" w:cs="Arial"/>
          <w:sz w:val="22"/>
          <w:szCs w:val="22"/>
          <w:lang w:val="en-US"/>
        </w:rPr>
        <w:t>, it might be argued t</w:t>
      </w:r>
      <w:r w:rsidRPr="00D003B5">
        <w:rPr>
          <w:rFonts w:ascii="Arial" w:hAnsi="Arial" w:cs="Arial"/>
          <w:sz w:val="22"/>
          <w:szCs w:val="22"/>
          <w:lang w:val="en-US"/>
        </w:rPr>
        <w:t>hat even if cCBT is not as effective as was first thought that it is better than nothing for some people in parts of the world where there is little or no access to psychological treatments</w:t>
      </w:r>
      <w:r>
        <w:rPr>
          <w:rFonts w:ascii="Arial" w:hAnsi="Arial" w:cs="Arial"/>
          <w:sz w:val="22"/>
          <w:szCs w:val="22"/>
          <w:lang w:val="en-US"/>
        </w:rPr>
        <w:t xml:space="preserve"> (</w:t>
      </w:r>
      <w:r w:rsidRPr="00D003B5">
        <w:rPr>
          <w:rFonts w:ascii="Arial" w:hAnsi="Arial" w:cs="Arial"/>
          <w:sz w:val="22"/>
          <w:szCs w:val="22"/>
          <w:lang w:val="en-US"/>
        </w:rPr>
        <w:t>Cuijpers et al., 2009).</w:t>
      </w:r>
      <w:r w:rsidR="00330A9A">
        <w:rPr>
          <w:rFonts w:ascii="Arial" w:hAnsi="Arial" w:cs="Arial"/>
          <w:sz w:val="22"/>
          <w:szCs w:val="22"/>
          <w:lang w:val="en-US"/>
        </w:rPr>
        <w:t xml:space="preserve"> </w:t>
      </w:r>
      <w:r w:rsidRPr="00D003B5">
        <w:rPr>
          <w:rFonts w:ascii="Arial" w:hAnsi="Arial" w:cs="Arial"/>
          <w:sz w:val="22"/>
          <w:szCs w:val="22"/>
          <w:lang w:val="en-US"/>
        </w:rPr>
        <w:t>Regardless of this ongoing debate</w:t>
      </w:r>
      <w:r>
        <w:rPr>
          <w:rFonts w:ascii="Arial" w:hAnsi="Arial" w:cs="Arial"/>
          <w:sz w:val="22"/>
          <w:szCs w:val="22"/>
          <w:lang w:val="en-US"/>
        </w:rPr>
        <w:t xml:space="preserve">, </w:t>
      </w:r>
      <w:r w:rsidRPr="00D003B5">
        <w:rPr>
          <w:rFonts w:ascii="Arial" w:hAnsi="Arial" w:cs="Arial"/>
          <w:sz w:val="22"/>
          <w:szCs w:val="22"/>
          <w:lang w:val="en-US"/>
        </w:rPr>
        <w:t xml:space="preserve">the Improving Access to Psychological Treatment (IAPT) programme, continues to support the use of cCBT materials </w:t>
      </w:r>
      <w:r>
        <w:rPr>
          <w:rFonts w:ascii="Arial" w:hAnsi="Arial" w:cs="Arial"/>
          <w:sz w:val="22"/>
          <w:szCs w:val="22"/>
          <w:lang w:val="en-US"/>
        </w:rPr>
        <w:t xml:space="preserve">for </w:t>
      </w:r>
      <w:r w:rsidRPr="00D003B5">
        <w:rPr>
          <w:rFonts w:ascii="Arial" w:hAnsi="Arial" w:cs="Arial"/>
          <w:sz w:val="22"/>
          <w:szCs w:val="22"/>
          <w:lang w:val="en-US"/>
        </w:rPr>
        <w:t>patients who present with mild to moderate depression (NICE</w:t>
      </w:r>
      <w:r w:rsidR="00426B48">
        <w:rPr>
          <w:rFonts w:ascii="Arial" w:hAnsi="Arial" w:cs="Arial"/>
          <w:sz w:val="22"/>
          <w:szCs w:val="22"/>
          <w:lang w:val="en-US"/>
        </w:rPr>
        <w:t>,</w:t>
      </w:r>
      <w:r w:rsidRPr="00D003B5">
        <w:rPr>
          <w:rFonts w:ascii="Arial" w:hAnsi="Arial" w:cs="Arial"/>
          <w:sz w:val="22"/>
          <w:szCs w:val="22"/>
          <w:lang w:val="en-US"/>
        </w:rPr>
        <w:t xml:space="preserve"> 2013).  </w:t>
      </w:r>
    </w:p>
    <w:p w14:paraId="2EA8A875" w14:textId="77777777" w:rsidR="00EC5A4F" w:rsidRDefault="00EC5A4F" w:rsidP="007F596B">
      <w:pPr>
        <w:widowControl w:val="0"/>
        <w:autoSpaceDE w:val="0"/>
        <w:autoSpaceDN w:val="0"/>
        <w:adjustRightInd w:val="0"/>
        <w:spacing w:after="240" w:line="480" w:lineRule="auto"/>
        <w:rPr>
          <w:rFonts w:ascii="Arial" w:hAnsi="Arial" w:cs="Arial"/>
          <w:sz w:val="22"/>
          <w:szCs w:val="22"/>
          <w:lang w:val="en-US"/>
        </w:rPr>
      </w:pPr>
    </w:p>
    <w:p w14:paraId="39674EC5" w14:textId="4ADA5C72" w:rsidR="007F596B" w:rsidRDefault="006C5B70" w:rsidP="007F596B">
      <w:pPr>
        <w:pStyle w:val="Heading3"/>
        <w:rPr>
          <w:rFonts w:cs="Arial"/>
          <w:color w:val="000000" w:themeColor="text1"/>
          <w:szCs w:val="22"/>
          <w:lang w:val="en-US"/>
        </w:rPr>
      </w:pPr>
      <w:bookmarkStart w:id="115" w:name="_Toc46770738"/>
      <w:bookmarkStart w:id="116" w:name="_Toc79414149"/>
      <w:r>
        <w:rPr>
          <w:rFonts w:cs="Arial"/>
          <w:color w:val="000000" w:themeColor="text1"/>
          <w:szCs w:val="22"/>
          <w:lang w:val="en-US"/>
        </w:rPr>
        <w:t>2.</w:t>
      </w:r>
      <w:r w:rsidR="00410DF6">
        <w:rPr>
          <w:rFonts w:cs="Arial"/>
          <w:color w:val="000000" w:themeColor="text1"/>
          <w:szCs w:val="22"/>
          <w:lang w:val="en-US"/>
        </w:rPr>
        <w:t>10</w:t>
      </w:r>
      <w:r>
        <w:rPr>
          <w:rFonts w:cs="Arial"/>
          <w:color w:val="000000" w:themeColor="text1"/>
          <w:szCs w:val="22"/>
          <w:lang w:val="en-US"/>
        </w:rPr>
        <w:t>.2</w:t>
      </w:r>
      <w:r w:rsidR="007F596B" w:rsidRPr="007B4070">
        <w:rPr>
          <w:rFonts w:cs="Arial"/>
          <w:color w:val="000000" w:themeColor="text1"/>
          <w:szCs w:val="22"/>
          <w:lang w:val="en-US"/>
        </w:rPr>
        <w:t xml:space="preserve"> Online guided self-help (ICBT)</w:t>
      </w:r>
      <w:bookmarkEnd w:id="115"/>
      <w:bookmarkEnd w:id="116"/>
    </w:p>
    <w:p w14:paraId="4B45ABE4" w14:textId="77777777" w:rsidR="007F596B" w:rsidRPr="007B4070" w:rsidRDefault="007F596B" w:rsidP="007F596B">
      <w:pPr>
        <w:rPr>
          <w:lang w:val="en-US"/>
        </w:rPr>
      </w:pPr>
    </w:p>
    <w:p w14:paraId="4AE018E1" w14:textId="76CAFAA7" w:rsidR="007F596B" w:rsidRDefault="007F596B" w:rsidP="007F596B">
      <w:pPr>
        <w:widowControl w:val="0"/>
        <w:autoSpaceDE w:val="0"/>
        <w:autoSpaceDN w:val="0"/>
        <w:adjustRightInd w:val="0"/>
        <w:spacing w:after="240" w:line="480" w:lineRule="auto"/>
        <w:rPr>
          <w:rFonts w:ascii="Arial" w:hAnsi="Arial" w:cs="Arial"/>
          <w:sz w:val="22"/>
          <w:szCs w:val="22"/>
          <w:lang w:val="en-US"/>
        </w:rPr>
      </w:pPr>
      <w:r w:rsidRPr="007B4070">
        <w:rPr>
          <w:rFonts w:ascii="Arial" w:hAnsi="Arial" w:cs="Arial"/>
          <w:sz w:val="22"/>
          <w:szCs w:val="22"/>
          <w:lang w:val="en-US"/>
        </w:rPr>
        <w:t>Online guided self-help (ICBT) is commonly used to treat patients at step 2 within IAPT (</w:t>
      </w:r>
      <w:r w:rsidR="004D720B">
        <w:rPr>
          <w:rFonts w:ascii="Arial" w:hAnsi="Arial" w:cs="Arial"/>
          <w:sz w:val="22"/>
          <w:szCs w:val="22"/>
          <w:lang w:val="en-US"/>
        </w:rPr>
        <w:t>Gilbody et al., 2016</w:t>
      </w:r>
      <w:r w:rsidRPr="007B4070">
        <w:rPr>
          <w:rFonts w:ascii="Arial" w:hAnsi="Arial" w:cs="Arial"/>
          <w:sz w:val="22"/>
          <w:szCs w:val="22"/>
          <w:lang w:val="en-US"/>
        </w:rPr>
        <w:t>). ICBT differs from cCBT in that patients are supported to use web-</w:t>
      </w:r>
      <w:r w:rsidRPr="007B4070">
        <w:rPr>
          <w:rFonts w:ascii="Arial" w:hAnsi="Arial" w:cs="Arial"/>
          <w:sz w:val="22"/>
          <w:szCs w:val="22"/>
          <w:lang w:val="en-US"/>
        </w:rPr>
        <w:lastRenderedPageBreak/>
        <w:t xml:space="preserve">based self-help materials (similar to those used in cCBT) with the help and guidance of a clinician (Andersson, 2015).  The supporting clinician, in IAPT, is usually a Primary Care Wellbeing Practitioner (PWP). The support is provided by email (Kyrios et al., 2014), telephone (Zou et al., 2012), or occasionally face-to-face (Marks et al., 2004). Support can vary from between ten minutes and half an hour a week (Aboujaoude and Starcevic 2014). The aim of the support is to assist patients in working through the online material and therefore improve patient engagement.  Whilst there are similarities between cCBT and ICBT, and often both methods use </w:t>
      </w:r>
      <w:r>
        <w:rPr>
          <w:rFonts w:ascii="Arial" w:hAnsi="Arial" w:cs="Arial"/>
          <w:sz w:val="22"/>
          <w:szCs w:val="22"/>
          <w:lang w:val="en-US"/>
        </w:rPr>
        <w:t>very similar</w:t>
      </w:r>
      <w:r w:rsidRPr="007B4070">
        <w:rPr>
          <w:rFonts w:ascii="Arial" w:hAnsi="Arial" w:cs="Arial"/>
          <w:sz w:val="22"/>
          <w:szCs w:val="22"/>
          <w:lang w:val="en-US"/>
        </w:rPr>
        <w:t xml:space="preserve"> online materials (e.g. MoodGYM), the evidence base for guided online CBT (ICBT</w:t>
      </w:r>
      <w:r>
        <w:rPr>
          <w:rFonts w:ascii="Arial" w:hAnsi="Arial" w:cs="Arial"/>
          <w:sz w:val="22"/>
          <w:szCs w:val="22"/>
          <w:lang w:val="en-US"/>
        </w:rPr>
        <w:t xml:space="preserve">) </w:t>
      </w:r>
      <w:r w:rsidRPr="007B4070">
        <w:rPr>
          <w:rFonts w:ascii="Arial" w:hAnsi="Arial" w:cs="Arial"/>
          <w:sz w:val="22"/>
          <w:szCs w:val="22"/>
          <w:lang w:val="en-US"/>
        </w:rPr>
        <w:t>is larger (</w:t>
      </w:r>
      <w:r w:rsidR="001A413B">
        <w:rPr>
          <w:rFonts w:ascii="Arial" w:hAnsi="Arial" w:cs="Arial"/>
          <w:sz w:val="22"/>
          <w:szCs w:val="22"/>
          <w:lang w:val="en-US"/>
        </w:rPr>
        <w:t xml:space="preserve">Andersson, 2014, </w:t>
      </w:r>
      <w:r w:rsidRPr="007B4070">
        <w:rPr>
          <w:rFonts w:ascii="Arial" w:hAnsi="Arial" w:cs="Arial"/>
          <w:sz w:val="22"/>
          <w:szCs w:val="22"/>
          <w:lang w:val="en-US"/>
        </w:rPr>
        <w:t>Andersson 2015, Hedman, Andersson, Ljotsson, 2011, Cui</w:t>
      </w:r>
      <w:r w:rsidR="001A413B">
        <w:rPr>
          <w:rFonts w:ascii="Arial" w:hAnsi="Arial" w:cs="Arial"/>
          <w:sz w:val="22"/>
          <w:szCs w:val="22"/>
          <w:lang w:val="en-US"/>
        </w:rPr>
        <w:t xml:space="preserve">jpers, Donker, van Straten and Andersson, </w:t>
      </w:r>
      <w:r w:rsidR="00C15A65">
        <w:rPr>
          <w:rFonts w:ascii="Arial" w:hAnsi="Arial" w:cs="Arial"/>
          <w:sz w:val="22"/>
          <w:szCs w:val="22"/>
          <w:lang w:val="en-US"/>
        </w:rPr>
        <w:t>20</w:t>
      </w:r>
      <w:r w:rsidR="001A413B">
        <w:rPr>
          <w:rFonts w:ascii="Arial" w:hAnsi="Arial" w:cs="Arial"/>
          <w:sz w:val="22"/>
          <w:szCs w:val="22"/>
          <w:lang w:val="en-US"/>
        </w:rPr>
        <w:t>10</w:t>
      </w:r>
      <w:r w:rsidR="00B57E44">
        <w:rPr>
          <w:rFonts w:ascii="Arial" w:hAnsi="Arial" w:cs="Arial"/>
          <w:sz w:val="22"/>
          <w:szCs w:val="22"/>
          <w:lang w:val="en-US"/>
        </w:rPr>
        <w:t>).</w:t>
      </w:r>
      <w:r w:rsidRPr="007B4070">
        <w:rPr>
          <w:rFonts w:ascii="Arial" w:hAnsi="Arial" w:cs="Arial"/>
          <w:sz w:val="22"/>
          <w:szCs w:val="22"/>
          <w:lang w:val="en-US"/>
        </w:rPr>
        <w:t xml:space="preserve">  There are over 50 RCTs relating to the efficacy of ICBT (Andersson</w:t>
      </w:r>
      <w:r w:rsidR="00B57E44">
        <w:rPr>
          <w:rFonts w:ascii="Arial" w:hAnsi="Arial" w:cs="Arial"/>
          <w:sz w:val="22"/>
          <w:szCs w:val="22"/>
          <w:lang w:val="en-US"/>
        </w:rPr>
        <w:t>,</w:t>
      </w:r>
      <w:r w:rsidRPr="007B4070">
        <w:rPr>
          <w:rFonts w:ascii="Arial" w:hAnsi="Arial" w:cs="Arial"/>
          <w:sz w:val="22"/>
          <w:szCs w:val="22"/>
          <w:lang w:val="en-US"/>
        </w:rPr>
        <w:t xml:space="preserve"> 2015). These studies relate to a wide range of disorders including; depression, obsessive-compulsive-disorder, social anxiety disorder, specific phobia, eating disorders, post-traumatic stress disorder, chronic pain and post-natal depression.</w:t>
      </w:r>
    </w:p>
    <w:p w14:paraId="63FED1D3" w14:textId="77777777" w:rsidR="00EC5A4F" w:rsidRDefault="00EC5A4F" w:rsidP="007F596B">
      <w:pPr>
        <w:widowControl w:val="0"/>
        <w:autoSpaceDE w:val="0"/>
        <w:autoSpaceDN w:val="0"/>
        <w:adjustRightInd w:val="0"/>
        <w:spacing w:after="240" w:line="480" w:lineRule="auto"/>
        <w:rPr>
          <w:rFonts w:ascii="Arial" w:hAnsi="Arial" w:cs="Arial"/>
          <w:sz w:val="22"/>
          <w:szCs w:val="22"/>
          <w:lang w:val="en-US"/>
        </w:rPr>
      </w:pPr>
    </w:p>
    <w:p w14:paraId="0DB8C358" w14:textId="64C04E2F" w:rsidR="007F596B" w:rsidRDefault="006C5B70" w:rsidP="007F596B">
      <w:pPr>
        <w:pStyle w:val="Heading3"/>
        <w:rPr>
          <w:rFonts w:cs="Arial"/>
          <w:color w:val="000000" w:themeColor="text1"/>
          <w:szCs w:val="22"/>
        </w:rPr>
      </w:pPr>
      <w:bookmarkStart w:id="117" w:name="_Toc46770739"/>
      <w:bookmarkStart w:id="118" w:name="_Toc79414150"/>
      <w:r>
        <w:rPr>
          <w:rFonts w:cs="Arial"/>
          <w:color w:val="000000" w:themeColor="text1"/>
          <w:szCs w:val="22"/>
        </w:rPr>
        <w:t>2.</w:t>
      </w:r>
      <w:r w:rsidR="00410DF6">
        <w:rPr>
          <w:rFonts w:cs="Arial"/>
          <w:color w:val="000000" w:themeColor="text1"/>
          <w:szCs w:val="22"/>
        </w:rPr>
        <w:t>10</w:t>
      </w:r>
      <w:r>
        <w:rPr>
          <w:rFonts w:cs="Arial"/>
          <w:color w:val="000000" w:themeColor="text1"/>
          <w:szCs w:val="22"/>
        </w:rPr>
        <w:t>.</w:t>
      </w:r>
      <w:r w:rsidR="00BA7545">
        <w:rPr>
          <w:rFonts w:cs="Arial"/>
          <w:color w:val="000000" w:themeColor="text1"/>
          <w:szCs w:val="22"/>
        </w:rPr>
        <w:t>3</w:t>
      </w:r>
      <w:r w:rsidR="007F596B" w:rsidRPr="00F32D5E">
        <w:rPr>
          <w:rFonts w:cs="Arial"/>
          <w:color w:val="000000" w:themeColor="text1"/>
          <w:szCs w:val="22"/>
        </w:rPr>
        <w:t xml:space="preserve"> </w:t>
      </w:r>
      <w:r w:rsidR="007F596B">
        <w:rPr>
          <w:rFonts w:cs="Arial"/>
          <w:color w:val="000000" w:themeColor="text1"/>
          <w:szCs w:val="22"/>
        </w:rPr>
        <w:t>Internet Enabled Cognitive Behavioural Therapy</w:t>
      </w:r>
      <w:r w:rsidR="007F596B" w:rsidRPr="00F32D5E">
        <w:rPr>
          <w:rFonts w:cs="Arial"/>
          <w:color w:val="000000" w:themeColor="text1"/>
          <w:szCs w:val="22"/>
        </w:rPr>
        <w:t xml:space="preserve"> (IECBT)</w:t>
      </w:r>
      <w:bookmarkEnd w:id="117"/>
      <w:bookmarkEnd w:id="118"/>
    </w:p>
    <w:p w14:paraId="042AD01A" w14:textId="77777777" w:rsidR="007F596B" w:rsidRDefault="007F596B" w:rsidP="007F596B"/>
    <w:p w14:paraId="797E33B5" w14:textId="7DEEC0F2" w:rsidR="007F596B" w:rsidRPr="009B5F12" w:rsidRDefault="007F596B" w:rsidP="007F596B">
      <w:pPr>
        <w:spacing w:line="480" w:lineRule="auto"/>
        <w:rPr>
          <w:rFonts w:ascii="Arial" w:hAnsi="Arial" w:cs="Arial"/>
          <w:sz w:val="22"/>
          <w:szCs w:val="22"/>
        </w:rPr>
      </w:pPr>
      <w:r w:rsidRPr="009B5F12">
        <w:rPr>
          <w:rFonts w:ascii="Arial" w:hAnsi="Arial" w:cs="Arial"/>
          <w:sz w:val="22"/>
          <w:szCs w:val="22"/>
        </w:rPr>
        <w:t>Internet Enabled CBT</w:t>
      </w:r>
      <w:r>
        <w:rPr>
          <w:rFonts w:ascii="Arial" w:hAnsi="Arial" w:cs="Arial"/>
          <w:sz w:val="22"/>
          <w:szCs w:val="22"/>
        </w:rPr>
        <w:t xml:space="preserve"> </w:t>
      </w:r>
      <w:r w:rsidRPr="009B5F12">
        <w:rPr>
          <w:rFonts w:ascii="Arial" w:hAnsi="Arial" w:cs="Arial"/>
          <w:sz w:val="22"/>
          <w:szCs w:val="22"/>
        </w:rPr>
        <w:t xml:space="preserve">(IECBT) </w:t>
      </w:r>
      <w:r>
        <w:rPr>
          <w:rFonts w:ascii="Arial" w:hAnsi="Arial" w:cs="Arial"/>
          <w:sz w:val="22"/>
          <w:szCs w:val="22"/>
        </w:rPr>
        <w:t xml:space="preserve">delivers CBT using </w:t>
      </w:r>
      <w:r w:rsidRPr="009B5F12">
        <w:rPr>
          <w:rFonts w:ascii="Arial" w:hAnsi="Arial" w:cs="Arial"/>
          <w:sz w:val="22"/>
          <w:szCs w:val="22"/>
        </w:rPr>
        <w:t>synchronous written</w:t>
      </w:r>
      <w:r>
        <w:rPr>
          <w:rFonts w:ascii="Arial" w:hAnsi="Arial" w:cs="Arial"/>
          <w:sz w:val="22"/>
          <w:szCs w:val="22"/>
        </w:rPr>
        <w:t xml:space="preserve"> (typed)</w:t>
      </w:r>
      <w:r w:rsidRPr="009B5F12">
        <w:rPr>
          <w:rFonts w:ascii="Arial" w:hAnsi="Arial" w:cs="Arial"/>
          <w:sz w:val="22"/>
          <w:szCs w:val="22"/>
        </w:rPr>
        <w:t xml:space="preserve"> communication </w:t>
      </w:r>
      <w:r>
        <w:rPr>
          <w:rFonts w:ascii="Arial" w:hAnsi="Arial" w:cs="Arial"/>
          <w:sz w:val="22"/>
          <w:szCs w:val="22"/>
        </w:rPr>
        <w:t>via</w:t>
      </w:r>
      <w:r w:rsidRPr="009B5F12">
        <w:rPr>
          <w:rFonts w:ascii="Arial" w:hAnsi="Arial" w:cs="Arial"/>
          <w:sz w:val="22"/>
          <w:szCs w:val="22"/>
        </w:rPr>
        <w:t xml:space="preserve"> a secure </w:t>
      </w:r>
      <w:r>
        <w:rPr>
          <w:rFonts w:ascii="Arial" w:hAnsi="Arial" w:cs="Arial"/>
          <w:sz w:val="22"/>
          <w:szCs w:val="22"/>
        </w:rPr>
        <w:t>web-based platform (see www.iesohealth.com)</w:t>
      </w:r>
      <w:r w:rsidRPr="009B5F12">
        <w:rPr>
          <w:rFonts w:ascii="Arial" w:hAnsi="Arial" w:cs="Arial"/>
          <w:sz w:val="22"/>
          <w:szCs w:val="22"/>
        </w:rPr>
        <w:t xml:space="preserve">. </w:t>
      </w:r>
      <w:r>
        <w:rPr>
          <w:rFonts w:ascii="Arial" w:hAnsi="Arial" w:cs="Arial"/>
          <w:sz w:val="22"/>
          <w:szCs w:val="22"/>
        </w:rPr>
        <w:t>Unlike computerised CBT and online guided self-help</w:t>
      </w:r>
      <w:r w:rsidR="009B782E">
        <w:rPr>
          <w:rFonts w:ascii="Arial" w:hAnsi="Arial" w:cs="Arial"/>
          <w:sz w:val="22"/>
          <w:szCs w:val="22"/>
        </w:rPr>
        <w:t>,</w:t>
      </w:r>
      <w:r>
        <w:rPr>
          <w:rFonts w:ascii="Arial" w:hAnsi="Arial" w:cs="Arial"/>
          <w:sz w:val="22"/>
          <w:szCs w:val="22"/>
        </w:rPr>
        <w:t xml:space="preserve"> IECBT is delivered by a </w:t>
      </w:r>
      <w:r w:rsidR="00446443">
        <w:rPr>
          <w:rFonts w:ascii="Arial" w:hAnsi="Arial" w:cs="Arial"/>
          <w:sz w:val="22"/>
          <w:szCs w:val="22"/>
        </w:rPr>
        <w:t xml:space="preserve">qualified and accredited cognitive behavioural </w:t>
      </w:r>
      <w:r>
        <w:rPr>
          <w:rFonts w:ascii="Arial" w:hAnsi="Arial" w:cs="Arial"/>
          <w:sz w:val="22"/>
          <w:szCs w:val="22"/>
        </w:rPr>
        <w:t xml:space="preserve">therapist, </w:t>
      </w:r>
      <w:r w:rsidR="00446443">
        <w:rPr>
          <w:rFonts w:ascii="Arial" w:hAnsi="Arial" w:cs="Arial"/>
          <w:sz w:val="22"/>
          <w:szCs w:val="22"/>
        </w:rPr>
        <w:t>identical to</w:t>
      </w:r>
      <w:r>
        <w:rPr>
          <w:rFonts w:ascii="Arial" w:hAnsi="Arial" w:cs="Arial"/>
          <w:sz w:val="22"/>
          <w:szCs w:val="22"/>
        </w:rPr>
        <w:t xml:space="preserve"> face-to-face CBT</w:t>
      </w:r>
      <w:r w:rsidR="00446443">
        <w:rPr>
          <w:rFonts w:ascii="Arial" w:hAnsi="Arial" w:cs="Arial"/>
          <w:sz w:val="22"/>
          <w:szCs w:val="22"/>
        </w:rPr>
        <w:t xml:space="preserve">. </w:t>
      </w:r>
      <w:r>
        <w:rPr>
          <w:rFonts w:ascii="Arial" w:hAnsi="Arial" w:cs="Arial"/>
          <w:sz w:val="22"/>
          <w:szCs w:val="22"/>
        </w:rPr>
        <w:t xml:space="preserve">However, in IECBT the mechanism of communication is reading and writing, rather than speaking and listening. Unlike face-to-face CBT, the patient and therapist are unable to see each other (there is no video element to IECBT).  </w:t>
      </w:r>
      <w:r w:rsidRPr="009B5F12">
        <w:rPr>
          <w:rFonts w:ascii="Arial" w:hAnsi="Arial" w:cs="Arial"/>
          <w:sz w:val="22"/>
          <w:szCs w:val="22"/>
        </w:rPr>
        <w:t xml:space="preserve">The transcript of each therapy session, conducted in this way, is then held on </w:t>
      </w:r>
      <w:r>
        <w:rPr>
          <w:rFonts w:ascii="Arial" w:hAnsi="Arial" w:cs="Arial"/>
          <w:sz w:val="22"/>
          <w:szCs w:val="22"/>
        </w:rPr>
        <w:t>the secure web-based platform</w:t>
      </w:r>
      <w:r w:rsidRPr="009B5F12">
        <w:rPr>
          <w:rFonts w:ascii="Arial" w:hAnsi="Arial" w:cs="Arial"/>
          <w:sz w:val="22"/>
          <w:szCs w:val="22"/>
        </w:rPr>
        <w:t xml:space="preserve"> for both therapist and patient to access at any time.  An example of a CBT session conducted using this method can be seen in </w:t>
      </w:r>
      <w:r w:rsidRPr="005144E4">
        <w:rPr>
          <w:rFonts w:ascii="Arial" w:hAnsi="Arial" w:cs="Arial"/>
          <w:sz w:val="22"/>
          <w:szCs w:val="22"/>
        </w:rPr>
        <w:t xml:space="preserve">figure </w:t>
      </w:r>
      <w:r w:rsidR="00920D9C" w:rsidRPr="005144E4">
        <w:rPr>
          <w:rFonts w:ascii="Arial" w:hAnsi="Arial" w:cs="Arial"/>
          <w:sz w:val="22"/>
          <w:szCs w:val="22"/>
        </w:rPr>
        <w:t>2.5</w:t>
      </w:r>
      <w:r w:rsidRPr="005144E4">
        <w:rPr>
          <w:rFonts w:ascii="Arial" w:hAnsi="Arial" w:cs="Arial"/>
          <w:sz w:val="22"/>
          <w:szCs w:val="22"/>
        </w:rPr>
        <w:t>.</w:t>
      </w:r>
    </w:p>
    <w:p w14:paraId="7992A4C8" w14:textId="77777777" w:rsidR="007F596B" w:rsidRDefault="007F596B" w:rsidP="007F596B">
      <w:pPr>
        <w:spacing w:line="480" w:lineRule="auto"/>
        <w:rPr>
          <w:rFonts w:ascii="Arial" w:hAnsi="Arial" w:cs="Arial"/>
          <w:sz w:val="22"/>
          <w:szCs w:val="22"/>
        </w:rPr>
      </w:pPr>
    </w:p>
    <w:p w14:paraId="6F3584AB" w14:textId="77777777" w:rsidR="00B42D44" w:rsidRDefault="00B42D44" w:rsidP="001B1D96">
      <w:pPr>
        <w:pStyle w:val="Figures"/>
      </w:pPr>
      <w:bookmarkStart w:id="119" w:name="_Toc28338367"/>
      <w:bookmarkStart w:id="120" w:name="_Toc28339120"/>
      <w:bookmarkStart w:id="121" w:name="_Toc28339962"/>
    </w:p>
    <w:p w14:paraId="6740AC61" w14:textId="3EA96E50" w:rsidR="00877399" w:rsidRDefault="00877399" w:rsidP="001B1D96">
      <w:pPr>
        <w:pStyle w:val="Figures"/>
      </w:pPr>
      <w:bookmarkStart w:id="122" w:name="_Toc46770934"/>
      <w:r w:rsidRPr="00877399">
        <w:lastRenderedPageBreak/>
        <w:t>Figure 2.5</w:t>
      </w:r>
      <w:r w:rsidRPr="003B6C8D">
        <w:t xml:space="preserve">  </w:t>
      </w:r>
      <w:r w:rsidRPr="001B1D96">
        <w:rPr>
          <w:b w:val="0"/>
        </w:rPr>
        <w:t>A (fictitious) example of an Internet Enabled CBT session</w:t>
      </w:r>
      <w:bookmarkEnd w:id="119"/>
      <w:bookmarkEnd w:id="120"/>
      <w:bookmarkEnd w:id="121"/>
      <w:bookmarkEnd w:id="122"/>
    </w:p>
    <w:p w14:paraId="6801D476" w14:textId="77777777" w:rsidR="007F596B" w:rsidRPr="009B5F12" w:rsidRDefault="007F596B" w:rsidP="007F596B">
      <w:pPr>
        <w:spacing w:line="480" w:lineRule="auto"/>
        <w:rPr>
          <w:rFonts w:ascii="Arial" w:hAnsi="Arial" w:cs="Arial"/>
          <w:sz w:val="22"/>
          <w:szCs w:val="22"/>
        </w:rPr>
      </w:pPr>
      <w:r w:rsidRPr="009B5F12">
        <w:rPr>
          <w:rFonts w:ascii="Arial" w:hAnsi="Arial" w:cs="Arial"/>
          <w:noProof/>
          <w:sz w:val="22"/>
          <w:szCs w:val="22"/>
          <w:lang w:val="en-US"/>
        </w:rPr>
        <w:drawing>
          <wp:inline distT="0" distB="0" distL="0" distR="0" wp14:anchorId="5AD80B67" wp14:editId="662BB32A">
            <wp:extent cx="4336592" cy="3096344"/>
            <wp:effectExtent l="19050" t="19050" r="26035" b="27940"/>
            <wp:docPr id="4" name="Picture 4" descr="P74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P742#yIS1"/>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4336592" cy="3096344"/>
                    </a:xfrm>
                    <a:prstGeom prst="rect">
                      <a:avLst/>
                    </a:prstGeom>
                    <a:ln w="3175">
                      <a:solidFill>
                        <a:schemeClr val="tx1"/>
                      </a:solidFill>
                    </a:ln>
                  </pic:spPr>
                </pic:pic>
              </a:graphicData>
            </a:graphic>
          </wp:inline>
        </w:drawing>
      </w:r>
    </w:p>
    <w:p w14:paraId="29409C38" w14:textId="77777777" w:rsidR="007F596B" w:rsidRPr="009B5F12" w:rsidRDefault="007F596B" w:rsidP="007F596B">
      <w:pPr>
        <w:spacing w:line="480" w:lineRule="auto"/>
        <w:rPr>
          <w:rFonts w:ascii="Arial" w:hAnsi="Arial" w:cs="Arial"/>
          <w:sz w:val="22"/>
          <w:szCs w:val="22"/>
        </w:rPr>
      </w:pPr>
    </w:p>
    <w:p w14:paraId="32413D1C" w14:textId="1DF12099" w:rsidR="007F596B" w:rsidRPr="009B5F12" w:rsidRDefault="007F596B" w:rsidP="007F596B">
      <w:pPr>
        <w:spacing w:line="480" w:lineRule="auto"/>
        <w:rPr>
          <w:rFonts w:ascii="Arial" w:hAnsi="Arial" w:cs="Arial"/>
          <w:sz w:val="22"/>
          <w:szCs w:val="22"/>
        </w:rPr>
      </w:pPr>
      <w:r w:rsidRPr="009B5F12">
        <w:rPr>
          <w:rFonts w:ascii="Arial" w:hAnsi="Arial" w:cs="Arial"/>
          <w:sz w:val="22"/>
          <w:szCs w:val="22"/>
        </w:rPr>
        <w:t>In addition to a weekly CBT appointment, therapist and patient can also communicate with each other in</w:t>
      </w:r>
      <w:r w:rsidR="009B782E">
        <w:rPr>
          <w:rFonts w:ascii="Arial" w:hAnsi="Arial" w:cs="Arial"/>
          <w:sz w:val="22"/>
          <w:szCs w:val="22"/>
        </w:rPr>
        <w:t>-</w:t>
      </w:r>
      <w:r w:rsidRPr="009B5F12">
        <w:rPr>
          <w:rFonts w:ascii="Arial" w:hAnsi="Arial" w:cs="Arial"/>
          <w:sz w:val="22"/>
          <w:szCs w:val="22"/>
        </w:rPr>
        <w:t>between therapy appointments. This asynchronous communication can be used to amplify the effect of CBT by encouraging the patient to focus on out</w:t>
      </w:r>
      <w:r w:rsidR="009B782E">
        <w:rPr>
          <w:rFonts w:ascii="Arial" w:hAnsi="Arial" w:cs="Arial"/>
          <w:sz w:val="22"/>
          <w:szCs w:val="22"/>
        </w:rPr>
        <w:t>-</w:t>
      </w:r>
      <w:r w:rsidRPr="009B5F12">
        <w:rPr>
          <w:rFonts w:ascii="Arial" w:hAnsi="Arial" w:cs="Arial"/>
          <w:sz w:val="22"/>
          <w:szCs w:val="22"/>
        </w:rPr>
        <w:t>of</w:t>
      </w:r>
      <w:r w:rsidR="009B782E">
        <w:rPr>
          <w:rFonts w:ascii="Arial" w:hAnsi="Arial" w:cs="Arial"/>
          <w:sz w:val="22"/>
          <w:szCs w:val="22"/>
        </w:rPr>
        <w:t>-</w:t>
      </w:r>
      <w:r w:rsidRPr="009B5F12">
        <w:rPr>
          <w:rFonts w:ascii="Arial" w:hAnsi="Arial" w:cs="Arial"/>
          <w:sz w:val="22"/>
          <w:szCs w:val="22"/>
        </w:rPr>
        <w:t>session tasks</w:t>
      </w:r>
      <w:r w:rsidR="009B782E">
        <w:rPr>
          <w:rFonts w:ascii="Arial" w:hAnsi="Arial" w:cs="Arial"/>
          <w:sz w:val="22"/>
          <w:szCs w:val="22"/>
        </w:rPr>
        <w:t xml:space="preserve"> and</w:t>
      </w:r>
      <w:r w:rsidRPr="009B5F12">
        <w:rPr>
          <w:rFonts w:ascii="Arial" w:hAnsi="Arial" w:cs="Arial"/>
          <w:sz w:val="22"/>
          <w:szCs w:val="22"/>
        </w:rPr>
        <w:t xml:space="preserve"> goals</w:t>
      </w:r>
      <w:r w:rsidR="009B782E">
        <w:rPr>
          <w:rFonts w:ascii="Arial" w:hAnsi="Arial" w:cs="Arial"/>
          <w:sz w:val="22"/>
          <w:szCs w:val="22"/>
        </w:rPr>
        <w:t>,</w:t>
      </w:r>
      <w:r w:rsidRPr="009B5F12">
        <w:rPr>
          <w:rFonts w:ascii="Arial" w:hAnsi="Arial" w:cs="Arial"/>
          <w:sz w:val="22"/>
          <w:szCs w:val="22"/>
        </w:rPr>
        <w:t xml:space="preserve"> and consolidating learning that has taken place during a therapy session.  Contact with a therapist between appointments rarely occurs when CBT is delivered face-to-face</w:t>
      </w:r>
      <w:r>
        <w:rPr>
          <w:rFonts w:ascii="Arial" w:hAnsi="Arial" w:cs="Arial"/>
          <w:sz w:val="22"/>
          <w:szCs w:val="22"/>
        </w:rPr>
        <w:t>. This in itself may have a positive effect on clinical outcomes.</w:t>
      </w:r>
    </w:p>
    <w:p w14:paraId="0BD226DA" w14:textId="77777777" w:rsidR="007F596B" w:rsidRPr="009B5F12" w:rsidRDefault="007F596B" w:rsidP="007F596B">
      <w:pPr>
        <w:spacing w:line="480" w:lineRule="auto"/>
        <w:rPr>
          <w:rFonts w:ascii="Arial" w:hAnsi="Arial" w:cs="Arial"/>
          <w:sz w:val="22"/>
          <w:szCs w:val="22"/>
        </w:rPr>
      </w:pPr>
    </w:p>
    <w:p w14:paraId="18293E35" w14:textId="07291B8D" w:rsidR="007F596B" w:rsidRPr="00686336" w:rsidRDefault="007F596B" w:rsidP="007F596B">
      <w:pPr>
        <w:widowControl w:val="0"/>
        <w:autoSpaceDE w:val="0"/>
        <w:autoSpaceDN w:val="0"/>
        <w:adjustRightInd w:val="0"/>
        <w:spacing w:after="240" w:line="480" w:lineRule="auto"/>
        <w:rPr>
          <w:rFonts w:ascii="Arial" w:hAnsi="Arial" w:cs="Arial"/>
          <w:sz w:val="22"/>
          <w:szCs w:val="22"/>
        </w:rPr>
      </w:pPr>
      <w:r>
        <w:rPr>
          <w:rFonts w:ascii="Arial" w:hAnsi="Arial" w:cs="Arial"/>
          <w:sz w:val="22"/>
          <w:szCs w:val="22"/>
        </w:rPr>
        <w:t xml:space="preserve">IECBT has been demonstrated to be clinically effective and has </w:t>
      </w:r>
      <w:r w:rsidR="00BA7545">
        <w:rPr>
          <w:rFonts w:ascii="Arial" w:hAnsi="Arial" w:cs="Arial"/>
          <w:sz w:val="22"/>
          <w:szCs w:val="22"/>
        </w:rPr>
        <w:t>broadly similar outcomes</w:t>
      </w:r>
      <w:r>
        <w:rPr>
          <w:rFonts w:ascii="Arial" w:hAnsi="Arial" w:cs="Arial"/>
          <w:sz w:val="22"/>
          <w:szCs w:val="22"/>
        </w:rPr>
        <w:t xml:space="preserve"> to </w:t>
      </w:r>
      <w:r w:rsidR="00BA7545">
        <w:rPr>
          <w:rFonts w:ascii="Arial" w:hAnsi="Arial" w:cs="Arial"/>
          <w:sz w:val="22"/>
          <w:szCs w:val="22"/>
        </w:rPr>
        <w:t xml:space="preserve">those reported in </w:t>
      </w:r>
      <w:r>
        <w:rPr>
          <w:rFonts w:ascii="Arial" w:hAnsi="Arial" w:cs="Arial"/>
          <w:sz w:val="22"/>
          <w:szCs w:val="22"/>
        </w:rPr>
        <w:t>face-to-face CBT (</w:t>
      </w:r>
      <w:r w:rsidR="005109DA">
        <w:rPr>
          <w:rFonts w:ascii="Arial" w:hAnsi="Arial" w:cs="Arial"/>
          <w:sz w:val="22"/>
          <w:szCs w:val="22"/>
        </w:rPr>
        <w:t xml:space="preserve">Kessler, Lewis, Kaur, Wiles, King, Weich, et al., 2009,  </w:t>
      </w:r>
      <w:r>
        <w:rPr>
          <w:rFonts w:ascii="Arial" w:hAnsi="Arial" w:cs="Arial"/>
          <w:sz w:val="22"/>
          <w:szCs w:val="22"/>
        </w:rPr>
        <w:t xml:space="preserve">Catarino, </w:t>
      </w:r>
      <w:r w:rsidR="00030708">
        <w:rPr>
          <w:rFonts w:ascii="Arial" w:hAnsi="Arial" w:cs="Arial"/>
          <w:sz w:val="22"/>
          <w:szCs w:val="22"/>
        </w:rPr>
        <w:t>Bateup, Tablan</w:t>
      </w:r>
      <w:r w:rsidR="005109DA">
        <w:rPr>
          <w:rFonts w:ascii="Arial" w:hAnsi="Arial" w:cs="Arial"/>
          <w:sz w:val="22"/>
          <w:szCs w:val="22"/>
        </w:rPr>
        <w:t>, Innes, Freer, Richards et al.,</w:t>
      </w:r>
      <w:r>
        <w:rPr>
          <w:rFonts w:ascii="Arial" w:hAnsi="Arial" w:cs="Arial"/>
          <w:sz w:val="22"/>
          <w:szCs w:val="22"/>
        </w:rPr>
        <w:t xml:space="preserve"> 2018). </w:t>
      </w:r>
      <w:r w:rsidR="00BA7545">
        <w:rPr>
          <w:rFonts w:ascii="Arial" w:hAnsi="Arial" w:cs="Arial"/>
          <w:sz w:val="22"/>
          <w:szCs w:val="22"/>
        </w:rPr>
        <w:t>An</w:t>
      </w:r>
      <w:r>
        <w:rPr>
          <w:rFonts w:ascii="Arial" w:hAnsi="Arial" w:cs="Arial"/>
          <w:sz w:val="22"/>
          <w:szCs w:val="22"/>
        </w:rPr>
        <w:t xml:space="preserve"> early trial </w:t>
      </w:r>
      <w:r w:rsidRPr="009B5F12">
        <w:rPr>
          <w:rFonts w:ascii="Arial" w:hAnsi="Arial" w:cs="Arial"/>
          <w:sz w:val="22"/>
          <w:szCs w:val="22"/>
        </w:rPr>
        <w:t xml:space="preserve">compared the delivery of </w:t>
      </w:r>
      <w:r w:rsidR="00BA7545">
        <w:rPr>
          <w:rFonts w:ascii="Arial" w:hAnsi="Arial" w:cs="Arial"/>
          <w:sz w:val="22"/>
          <w:szCs w:val="22"/>
        </w:rPr>
        <w:t>IE</w:t>
      </w:r>
      <w:r w:rsidRPr="009B5F12">
        <w:rPr>
          <w:rFonts w:ascii="Arial" w:hAnsi="Arial" w:cs="Arial"/>
          <w:sz w:val="22"/>
          <w:szCs w:val="22"/>
        </w:rPr>
        <w:t xml:space="preserve">CBT with treatment as usual in </w:t>
      </w:r>
      <w:r w:rsidR="003D6983">
        <w:rPr>
          <w:rFonts w:ascii="Arial" w:hAnsi="Arial" w:cs="Arial"/>
          <w:sz w:val="22"/>
          <w:szCs w:val="22"/>
        </w:rPr>
        <w:t>297</w:t>
      </w:r>
      <w:r w:rsidRPr="009B5F12">
        <w:rPr>
          <w:rFonts w:ascii="Arial" w:hAnsi="Arial" w:cs="Arial"/>
          <w:sz w:val="22"/>
          <w:szCs w:val="22"/>
        </w:rPr>
        <w:t xml:space="preserve"> participants who were diagnosed with major depressive disorder. </w:t>
      </w:r>
      <w:r w:rsidR="003D6983">
        <w:rPr>
          <w:rFonts w:ascii="Arial" w:hAnsi="Arial" w:cs="Arial"/>
          <w:sz w:val="22"/>
          <w:szCs w:val="22"/>
        </w:rPr>
        <w:t xml:space="preserve">The participants were randomised to the intervention arm or the control arm (treatment as usual). Participants in the intervention arm had IECBT delivered by a CBT therapist. Treatment consisted of 10 sessions of CBT for depression, although the researchers do not state which depression protocol the therapists used. </w:t>
      </w:r>
      <w:r w:rsidRPr="009B5F12">
        <w:rPr>
          <w:rFonts w:ascii="Arial" w:hAnsi="Arial" w:cs="Arial"/>
          <w:sz w:val="22"/>
          <w:szCs w:val="22"/>
          <w:lang w:val="en-US"/>
        </w:rPr>
        <w:t xml:space="preserve">113 participants that </w:t>
      </w:r>
      <w:r w:rsidRPr="009B5F12">
        <w:rPr>
          <w:rFonts w:ascii="Arial" w:hAnsi="Arial" w:cs="Arial"/>
          <w:sz w:val="22"/>
          <w:szCs w:val="22"/>
          <w:lang w:val="en-US"/>
        </w:rPr>
        <w:lastRenderedPageBreak/>
        <w:t>were in the intervention group</w:t>
      </w:r>
      <w:r w:rsidR="003D6983">
        <w:rPr>
          <w:rFonts w:ascii="Arial" w:hAnsi="Arial" w:cs="Arial"/>
          <w:sz w:val="22"/>
          <w:szCs w:val="22"/>
          <w:lang w:val="en-US"/>
        </w:rPr>
        <w:t xml:space="preserve"> (that had completed treatment) </w:t>
      </w:r>
      <w:r w:rsidRPr="009B5F12">
        <w:rPr>
          <w:rFonts w:ascii="Arial" w:hAnsi="Arial" w:cs="Arial"/>
          <w:sz w:val="22"/>
          <w:szCs w:val="22"/>
          <w:lang w:val="en-US"/>
        </w:rPr>
        <w:t>and 97 in the control group were followed up four months after the intervention. In the intervention group 43 (38%) patients recovered from depression (Beck Depression Inventory score &lt;10), versus 23 (24%) in the control group  (odds ratio 2.39, 95% CI 1.23-4.67; p=0.011), and 46 (42%) versus 26 (26%) at 8 months (2.07, 1.11-3.87; p=0.023).</w:t>
      </w:r>
      <w:r w:rsidR="003D6983">
        <w:rPr>
          <w:rFonts w:ascii="Arial" w:hAnsi="Arial" w:cs="Arial"/>
          <w:sz w:val="22"/>
          <w:szCs w:val="22"/>
          <w:lang w:val="en-US"/>
        </w:rPr>
        <w:t>Effect sizes at 4 months and 8 months were 0.81 and 0.70, respectively.</w:t>
      </w:r>
      <w:r w:rsidRPr="009B5F12">
        <w:rPr>
          <w:rFonts w:ascii="Arial" w:hAnsi="Arial" w:cs="Arial"/>
          <w:sz w:val="22"/>
          <w:szCs w:val="22"/>
          <w:lang w:val="en-US"/>
        </w:rPr>
        <w:t xml:space="preserve"> Kessler et al., (2009 p.) concluded that: “CBT seems to be effective when delivered online in real time by a therapist, with benefits maintained over 8 months. This method of delivery could broaden access to CBT.”  </w:t>
      </w:r>
      <w:r w:rsidRPr="009B5F12">
        <w:rPr>
          <w:rFonts w:ascii="Arial" w:hAnsi="Arial" w:cs="Arial"/>
          <w:sz w:val="22"/>
          <w:szCs w:val="22"/>
        </w:rPr>
        <w:t xml:space="preserve">The study demonstrated </w:t>
      </w:r>
      <w:r w:rsidR="00CB48DD">
        <w:rPr>
          <w:rFonts w:ascii="Arial" w:hAnsi="Arial" w:cs="Arial"/>
          <w:sz w:val="22"/>
          <w:szCs w:val="22"/>
        </w:rPr>
        <w:t xml:space="preserve">evidence of the </w:t>
      </w:r>
      <w:r w:rsidRPr="009B5F12">
        <w:rPr>
          <w:rFonts w:ascii="Arial" w:hAnsi="Arial" w:cs="Arial"/>
          <w:sz w:val="22"/>
          <w:szCs w:val="22"/>
        </w:rPr>
        <w:t xml:space="preserve">concept </w:t>
      </w:r>
      <w:r w:rsidR="00CB48DD">
        <w:rPr>
          <w:rFonts w:ascii="Arial" w:hAnsi="Arial" w:cs="Arial"/>
          <w:sz w:val="22"/>
          <w:szCs w:val="22"/>
        </w:rPr>
        <w:t>of</w:t>
      </w:r>
      <w:r w:rsidRPr="009B5F12">
        <w:rPr>
          <w:rFonts w:ascii="Arial" w:hAnsi="Arial" w:cs="Arial"/>
          <w:sz w:val="22"/>
          <w:szCs w:val="22"/>
        </w:rPr>
        <w:t xml:space="preserve"> </w:t>
      </w:r>
      <w:r>
        <w:rPr>
          <w:rFonts w:ascii="Arial" w:hAnsi="Arial" w:cs="Arial"/>
          <w:sz w:val="22"/>
          <w:szCs w:val="22"/>
        </w:rPr>
        <w:t>IECBT</w:t>
      </w:r>
      <w:r w:rsidR="00CB48DD">
        <w:rPr>
          <w:rFonts w:ascii="Arial" w:hAnsi="Arial" w:cs="Arial"/>
          <w:sz w:val="22"/>
          <w:szCs w:val="22"/>
        </w:rPr>
        <w:t xml:space="preserve"> in that the </w:t>
      </w:r>
      <w:r w:rsidRPr="009B5F12">
        <w:rPr>
          <w:rFonts w:ascii="Arial" w:hAnsi="Arial" w:cs="Arial"/>
          <w:sz w:val="22"/>
          <w:szCs w:val="22"/>
        </w:rPr>
        <w:t xml:space="preserve">recovery rate in the treatment arm of the study was equal to the published recovery rates of depressed patients in previous studies using face-to-face CBT (Kessler et al., 2009).  </w:t>
      </w:r>
      <w:r>
        <w:rPr>
          <w:rFonts w:ascii="Arial" w:hAnsi="Arial" w:cs="Arial"/>
          <w:sz w:val="22"/>
          <w:szCs w:val="22"/>
        </w:rPr>
        <w:t>In addition, IECBT has been used to deliver CBT within IAPT to over 40,000</w:t>
      </w:r>
      <w:r w:rsidR="00DD38EE">
        <w:rPr>
          <w:rFonts w:ascii="ZWAdobeF" w:hAnsi="ZWAdobeF" w:cs="ZWAdobeF"/>
          <w:sz w:val="2"/>
          <w:szCs w:val="2"/>
        </w:rPr>
        <w:t>3F</w:t>
      </w:r>
      <w:r w:rsidR="005109DA">
        <w:rPr>
          <w:rStyle w:val="FootnoteReference"/>
          <w:rFonts w:ascii="Arial" w:hAnsi="Arial" w:cs="Arial"/>
          <w:sz w:val="22"/>
          <w:szCs w:val="22"/>
        </w:rPr>
        <w:footnoteReference w:customMarkFollows="1" w:id="5"/>
        <w:t>1</w:t>
      </w:r>
      <w:r>
        <w:rPr>
          <w:rFonts w:ascii="Arial" w:hAnsi="Arial" w:cs="Arial"/>
          <w:sz w:val="22"/>
          <w:szCs w:val="22"/>
        </w:rPr>
        <w:t xml:space="preserve"> patients by the company Ieso Digital Health.  The outcomes for these patients are reported to NHS England and can be benchmarked against the reported outcomes for face-to-face CBT services. </w:t>
      </w:r>
      <w:r w:rsidR="00BA7545">
        <w:rPr>
          <w:rFonts w:ascii="Arial" w:hAnsi="Arial" w:cs="Arial"/>
          <w:sz w:val="22"/>
          <w:szCs w:val="22"/>
        </w:rPr>
        <w:t>The</w:t>
      </w:r>
      <w:r>
        <w:rPr>
          <w:rFonts w:ascii="Arial" w:hAnsi="Arial" w:cs="Arial"/>
          <w:sz w:val="22"/>
          <w:szCs w:val="22"/>
        </w:rPr>
        <w:t xml:space="preserve"> average recovery rate for face-to-face services </w:t>
      </w:r>
      <w:r w:rsidR="00BA7545">
        <w:rPr>
          <w:rFonts w:ascii="Arial" w:hAnsi="Arial" w:cs="Arial"/>
          <w:sz w:val="22"/>
          <w:szCs w:val="22"/>
        </w:rPr>
        <w:t xml:space="preserve">is </w:t>
      </w:r>
      <w:r>
        <w:rPr>
          <w:rFonts w:ascii="Arial" w:hAnsi="Arial" w:cs="Arial"/>
          <w:sz w:val="22"/>
          <w:szCs w:val="22"/>
        </w:rPr>
        <w:t>reported as 52% and IECBT as 54% (Catarino et al., 2018, NHS Digital 2018). IECBT is being widely used within IAPT and, at the time of writing, approximately 2000 patients are referred for IECBT every month.</w:t>
      </w:r>
      <w:r w:rsidR="00CB48DD">
        <w:rPr>
          <w:rFonts w:ascii="Arial" w:hAnsi="Arial" w:cs="Arial"/>
          <w:sz w:val="22"/>
          <w:szCs w:val="22"/>
        </w:rPr>
        <w:t xml:space="preserve"> Currently, no other provider is delivering CBT using IECBT in IAPT</w:t>
      </w:r>
      <w:r w:rsidR="00DD38EE">
        <w:rPr>
          <w:rFonts w:ascii="ZWAdobeF" w:hAnsi="ZWAdobeF" w:cs="ZWAdobeF"/>
          <w:sz w:val="2"/>
          <w:szCs w:val="2"/>
        </w:rPr>
        <w:t>4F</w:t>
      </w:r>
      <w:r w:rsidR="005109DA">
        <w:rPr>
          <w:rStyle w:val="FootnoteReference"/>
          <w:rFonts w:ascii="Arial" w:hAnsi="Arial" w:cs="Arial"/>
          <w:sz w:val="22"/>
          <w:szCs w:val="22"/>
        </w:rPr>
        <w:footnoteReference w:customMarkFollows="1" w:id="6"/>
        <w:t>2</w:t>
      </w:r>
      <w:r w:rsidR="00CB48DD">
        <w:rPr>
          <w:rFonts w:ascii="Arial" w:hAnsi="Arial" w:cs="Arial"/>
          <w:sz w:val="22"/>
          <w:szCs w:val="22"/>
        </w:rPr>
        <w:t>.</w:t>
      </w:r>
    </w:p>
    <w:p w14:paraId="00535081" w14:textId="13570226" w:rsidR="00877399" w:rsidRDefault="00877399">
      <w:pPr>
        <w:rPr>
          <w:rFonts w:ascii="Arial" w:eastAsiaTheme="majorEastAsia" w:hAnsi="Arial" w:cs="Arial"/>
          <w:b/>
          <w:bCs/>
          <w:color w:val="000000" w:themeColor="text1"/>
          <w:sz w:val="22"/>
          <w:szCs w:val="22"/>
        </w:rPr>
      </w:pPr>
    </w:p>
    <w:p w14:paraId="014435E6" w14:textId="405B0ECB" w:rsidR="007F596B" w:rsidRDefault="006C5B70" w:rsidP="007F596B">
      <w:pPr>
        <w:pStyle w:val="Heading2"/>
        <w:rPr>
          <w:rFonts w:ascii="Arial" w:hAnsi="Arial" w:cs="Arial"/>
          <w:color w:val="000000" w:themeColor="text1"/>
          <w:sz w:val="22"/>
          <w:szCs w:val="22"/>
        </w:rPr>
      </w:pPr>
      <w:bookmarkStart w:id="123" w:name="_Toc46770740"/>
      <w:bookmarkStart w:id="124" w:name="_Toc79414151"/>
      <w:r>
        <w:rPr>
          <w:rFonts w:ascii="Arial" w:hAnsi="Arial" w:cs="Arial"/>
          <w:color w:val="000000" w:themeColor="text1"/>
          <w:sz w:val="22"/>
          <w:szCs w:val="22"/>
        </w:rPr>
        <w:t>2.1</w:t>
      </w:r>
      <w:r w:rsidR="00410DF6">
        <w:rPr>
          <w:rFonts w:ascii="Arial" w:hAnsi="Arial" w:cs="Arial"/>
          <w:color w:val="000000" w:themeColor="text1"/>
          <w:sz w:val="22"/>
          <w:szCs w:val="22"/>
        </w:rPr>
        <w:t>1</w:t>
      </w:r>
      <w:r w:rsidR="007F596B" w:rsidRPr="009B5F12">
        <w:rPr>
          <w:rFonts w:ascii="Arial" w:hAnsi="Arial" w:cs="Arial"/>
          <w:color w:val="000000" w:themeColor="text1"/>
          <w:sz w:val="22"/>
          <w:szCs w:val="22"/>
        </w:rPr>
        <w:t xml:space="preserve"> </w:t>
      </w:r>
      <w:r w:rsidR="007F596B">
        <w:rPr>
          <w:rFonts w:ascii="Arial" w:hAnsi="Arial" w:cs="Arial"/>
          <w:color w:val="000000" w:themeColor="text1"/>
          <w:sz w:val="22"/>
          <w:szCs w:val="22"/>
        </w:rPr>
        <w:t>THE IECBT METHODOLOGY</w:t>
      </w:r>
      <w:bookmarkEnd w:id="123"/>
      <w:bookmarkEnd w:id="124"/>
    </w:p>
    <w:p w14:paraId="30D46656" w14:textId="77777777" w:rsidR="007F596B" w:rsidRDefault="007F596B" w:rsidP="007F596B"/>
    <w:p w14:paraId="5F66CA68" w14:textId="1772D81F" w:rsidR="007F596B" w:rsidRDefault="007F596B" w:rsidP="007F596B">
      <w:pPr>
        <w:spacing w:line="480" w:lineRule="auto"/>
        <w:rPr>
          <w:rFonts w:ascii="Arial" w:hAnsi="Arial" w:cs="Arial"/>
          <w:sz w:val="22"/>
          <w:szCs w:val="22"/>
        </w:rPr>
      </w:pPr>
      <w:r w:rsidRPr="000E4278">
        <w:rPr>
          <w:rFonts w:ascii="Arial" w:hAnsi="Arial" w:cs="Arial"/>
          <w:sz w:val="22"/>
          <w:szCs w:val="22"/>
        </w:rPr>
        <w:t>The IECBT method was used to treat 14,000 IAPT patients in 2018. The overarching aim is to widen access to evidence</w:t>
      </w:r>
      <w:r w:rsidR="009B782E">
        <w:rPr>
          <w:rFonts w:ascii="Arial" w:hAnsi="Arial" w:cs="Arial"/>
          <w:sz w:val="22"/>
          <w:szCs w:val="22"/>
        </w:rPr>
        <w:t>-</w:t>
      </w:r>
      <w:r w:rsidRPr="000E4278">
        <w:rPr>
          <w:rFonts w:ascii="Arial" w:hAnsi="Arial" w:cs="Arial"/>
          <w:sz w:val="22"/>
          <w:szCs w:val="22"/>
        </w:rPr>
        <w:t>based psychological therapy</w:t>
      </w:r>
      <w:r>
        <w:rPr>
          <w:rFonts w:ascii="Arial" w:hAnsi="Arial" w:cs="Arial"/>
          <w:sz w:val="22"/>
          <w:szCs w:val="22"/>
        </w:rPr>
        <w:t xml:space="preserve"> (Catarino et al., 2018)</w:t>
      </w:r>
      <w:r w:rsidRPr="000E4278">
        <w:rPr>
          <w:rFonts w:ascii="Arial" w:hAnsi="Arial" w:cs="Arial"/>
          <w:sz w:val="22"/>
          <w:szCs w:val="22"/>
        </w:rPr>
        <w:t xml:space="preserve">. </w:t>
      </w:r>
      <w:r>
        <w:rPr>
          <w:rFonts w:ascii="Arial" w:hAnsi="Arial" w:cs="Arial"/>
          <w:sz w:val="22"/>
          <w:szCs w:val="22"/>
        </w:rPr>
        <w:t xml:space="preserve"> However, it might be argued that the method is more than a therapy delivery platform, rather, it is a unique methodology with a specific focus on using data and technology in order to learn how to improve clinical outcomes. This methodology encompasses a series of processes which </w:t>
      </w:r>
      <w:r>
        <w:rPr>
          <w:rFonts w:ascii="Arial" w:hAnsi="Arial" w:cs="Arial"/>
          <w:sz w:val="22"/>
          <w:szCs w:val="22"/>
        </w:rPr>
        <w:lastRenderedPageBreak/>
        <w:t xml:space="preserve">aim to support therapists to be the best they can be. This section will present the methodology that is in use at the </w:t>
      </w:r>
      <w:r w:rsidR="00330A9A">
        <w:rPr>
          <w:rFonts w:ascii="Arial" w:hAnsi="Arial" w:cs="Arial"/>
          <w:sz w:val="22"/>
          <w:szCs w:val="22"/>
        </w:rPr>
        <w:t>time of writing</w:t>
      </w:r>
      <w:r>
        <w:rPr>
          <w:rFonts w:ascii="Arial" w:hAnsi="Arial" w:cs="Arial"/>
          <w:sz w:val="22"/>
          <w:szCs w:val="22"/>
        </w:rPr>
        <w:t>.</w:t>
      </w:r>
    </w:p>
    <w:p w14:paraId="056FE2F8" w14:textId="77777777" w:rsidR="007F596B" w:rsidRDefault="007F596B" w:rsidP="007F596B">
      <w:pPr>
        <w:spacing w:line="480" w:lineRule="auto"/>
        <w:rPr>
          <w:rFonts w:ascii="Arial" w:hAnsi="Arial" w:cs="Arial"/>
          <w:sz w:val="22"/>
          <w:szCs w:val="22"/>
        </w:rPr>
      </w:pPr>
    </w:p>
    <w:p w14:paraId="30630489" w14:textId="11983314" w:rsidR="007F596B" w:rsidRDefault="006C5B70" w:rsidP="007F596B">
      <w:pPr>
        <w:pStyle w:val="Heading3"/>
        <w:rPr>
          <w:rFonts w:cs="Arial"/>
          <w:color w:val="000000" w:themeColor="text1"/>
          <w:szCs w:val="22"/>
        </w:rPr>
      </w:pPr>
      <w:bookmarkStart w:id="125" w:name="_Toc46770741"/>
      <w:bookmarkStart w:id="126" w:name="_Toc79414152"/>
      <w:r>
        <w:rPr>
          <w:rFonts w:cs="Arial"/>
          <w:color w:val="000000" w:themeColor="text1"/>
          <w:szCs w:val="22"/>
        </w:rPr>
        <w:t>2.1</w:t>
      </w:r>
      <w:r w:rsidR="00410DF6">
        <w:rPr>
          <w:rFonts w:cs="Arial"/>
          <w:color w:val="000000" w:themeColor="text1"/>
          <w:szCs w:val="22"/>
        </w:rPr>
        <w:t>1</w:t>
      </w:r>
      <w:r>
        <w:rPr>
          <w:rFonts w:cs="Arial"/>
          <w:color w:val="000000" w:themeColor="text1"/>
          <w:szCs w:val="22"/>
        </w:rPr>
        <w:t>.1</w:t>
      </w:r>
      <w:r w:rsidR="007F596B" w:rsidRPr="003F7D0A">
        <w:rPr>
          <w:rFonts w:cs="Arial"/>
          <w:color w:val="000000" w:themeColor="text1"/>
          <w:szCs w:val="22"/>
        </w:rPr>
        <w:t xml:space="preserve"> Recruitment and selection of therapists</w:t>
      </w:r>
      <w:bookmarkEnd w:id="125"/>
      <w:bookmarkEnd w:id="126"/>
    </w:p>
    <w:p w14:paraId="61B1B756" w14:textId="77777777" w:rsidR="007F596B" w:rsidRPr="003F7D0A" w:rsidRDefault="007F596B" w:rsidP="007F596B"/>
    <w:p w14:paraId="79D34797" w14:textId="17F6467B" w:rsidR="007F596B" w:rsidRDefault="007F596B" w:rsidP="007F596B">
      <w:pPr>
        <w:spacing w:line="480" w:lineRule="auto"/>
        <w:rPr>
          <w:rFonts w:ascii="Arial" w:hAnsi="Arial" w:cs="Arial"/>
          <w:sz w:val="22"/>
          <w:szCs w:val="22"/>
        </w:rPr>
      </w:pPr>
      <w:r>
        <w:rPr>
          <w:rFonts w:ascii="Arial" w:hAnsi="Arial" w:cs="Arial"/>
          <w:sz w:val="22"/>
          <w:szCs w:val="22"/>
        </w:rPr>
        <w:t>Like all IAPT services (Clark</w:t>
      </w:r>
      <w:r w:rsidR="00B57E44">
        <w:rPr>
          <w:rFonts w:ascii="Arial" w:hAnsi="Arial" w:cs="Arial"/>
          <w:sz w:val="22"/>
          <w:szCs w:val="22"/>
        </w:rPr>
        <w:t>,</w:t>
      </w:r>
      <w:r>
        <w:rPr>
          <w:rFonts w:ascii="Arial" w:hAnsi="Arial" w:cs="Arial"/>
          <w:sz w:val="22"/>
          <w:szCs w:val="22"/>
        </w:rPr>
        <w:t xml:space="preserve"> 2014), IECBT (see </w:t>
      </w:r>
      <w:hyperlink r:id="rId28" w:history="1">
        <w:r w:rsidRPr="00CB29F9">
          <w:rPr>
            <w:rStyle w:val="Hyperlink"/>
            <w:rFonts w:ascii="Arial" w:hAnsi="Arial" w:cs="Arial"/>
            <w:sz w:val="22"/>
            <w:szCs w:val="22"/>
          </w:rPr>
          <w:t>www.iesohealth.com</w:t>
        </w:r>
      </w:hyperlink>
      <w:r>
        <w:rPr>
          <w:rFonts w:ascii="Arial" w:hAnsi="Arial" w:cs="Arial"/>
          <w:sz w:val="22"/>
          <w:szCs w:val="22"/>
        </w:rPr>
        <w:t>)  recruits only British Association of Behavioural and Cognitive Psychotherapy (BABCP) accredited CBT therapists.  Chapter two provides further detail relating to this accreditation process. Once recruited</w:t>
      </w:r>
      <w:r w:rsidR="009B782E">
        <w:rPr>
          <w:rFonts w:ascii="Arial" w:hAnsi="Arial" w:cs="Arial"/>
          <w:sz w:val="22"/>
          <w:szCs w:val="22"/>
        </w:rPr>
        <w:t>,</w:t>
      </w:r>
      <w:r>
        <w:rPr>
          <w:rFonts w:ascii="Arial" w:hAnsi="Arial" w:cs="Arial"/>
          <w:sz w:val="22"/>
          <w:szCs w:val="22"/>
        </w:rPr>
        <w:t xml:space="preserve"> therapists undertake a period of </w:t>
      </w:r>
      <w:r w:rsidR="00CB48DD">
        <w:rPr>
          <w:rFonts w:ascii="Arial" w:hAnsi="Arial" w:cs="Arial"/>
          <w:sz w:val="22"/>
          <w:szCs w:val="22"/>
        </w:rPr>
        <w:t>assessment</w:t>
      </w:r>
      <w:r>
        <w:rPr>
          <w:rFonts w:ascii="Arial" w:hAnsi="Arial" w:cs="Arial"/>
          <w:sz w:val="22"/>
          <w:szCs w:val="22"/>
        </w:rPr>
        <w:t xml:space="preserve"> whereby their work with patients on the IECBT platform is reviewed by a</w:t>
      </w:r>
      <w:r w:rsidR="00CB48DD">
        <w:rPr>
          <w:rFonts w:ascii="Arial" w:hAnsi="Arial" w:cs="Arial"/>
          <w:sz w:val="22"/>
          <w:szCs w:val="22"/>
        </w:rPr>
        <w:t xml:space="preserve"> </w:t>
      </w:r>
      <w:r>
        <w:rPr>
          <w:rFonts w:ascii="Arial" w:hAnsi="Arial" w:cs="Arial"/>
          <w:sz w:val="22"/>
          <w:szCs w:val="22"/>
        </w:rPr>
        <w:t xml:space="preserve">clinical supervisor. The supervisor </w:t>
      </w:r>
      <w:r w:rsidR="00CB48DD">
        <w:rPr>
          <w:rFonts w:ascii="Arial" w:hAnsi="Arial" w:cs="Arial"/>
          <w:sz w:val="22"/>
          <w:szCs w:val="22"/>
        </w:rPr>
        <w:t xml:space="preserve">undertakes a series of CTS-Rs and evaluates the therapist’s ability to deliver CBT whilst adhering to a protocol. This data is recorded. The supervisor </w:t>
      </w:r>
      <w:r>
        <w:rPr>
          <w:rFonts w:ascii="Arial" w:hAnsi="Arial" w:cs="Arial"/>
          <w:sz w:val="22"/>
          <w:szCs w:val="22"/>
        </w:rPr>
        <w:t xml:space="preserve">highlights areas of the therapist’s clinical work where it is thought the therapist has additional training needs. These areas might include; a therapist’s ability to deliver treatment for a specific disorder, a therapist’s ability to communicate effectively using written communication or a therapist’s ability to deliver CBT with fidelity to the model.  Where a therapist has been identified as having a specific learning need, they are directed to relevant training modules held on a bespoke e-learning platform (see </w:t>
      </w:r>
      <w:r w:rsidR="00C94464">
        <w:rPr>
          <w:rFonts w:ascii="Arial" w:hAnsi="Arial" w:cs="Arial"/>
          <w:sz w:val="22"/>
          <w:szCs w:val="22"/>
        </w:rPr>
        <w:t xml:space="preserve">following </w:t>
      </w:r>
      <w:r>
        <w:rPr>
          <w:rFonts w:ascii="Arial" w:hAnsi="Arial" w:cs="Arial"/>
          <w:sz w:val="22"/>
          <w:szCs w:val="22"/>
        </w:rPr>
        <w:t>section 2.</w:t>
      </w:r>
      <w:r w:rsidR="00C94464">
        <w:rPr>
          <w:rFonts w:ascii="Arial" w:hAnsi="Arial" w:cs="Arial"/>
          <w:sz w:val="22"/>
          <w:szCs w:val="22"/>
        </w:rPr>
        <w:t>10</w:t>
      </w:r>
      <w:r>
        <w:rPr>
          <w:rFonts w:ascii="Arial" w:hAnsi="Arial" w:cs="Arial"/>
          <w:sz w:val="22"/>
          <w:szCs w:val="22"/>
        </w:rPr>
        <w:t>.2</w:t>
      </w:r>
      <w:r w:rsidR="00C94464">
        <w:rPr>
          <w:rFonts w:ascii="Arial" w:hAnsi="Arial" w:cs="Arial"/>
          <w:sz w:val="22"/>
          <w:szCs w:val="22"/>
        </w:rPr>
        <w:t>,</w:t>
      </w:r>
      <w:r>
        <w:rPr>
          <w:rFonts w:ascii="Arial" w:hAnsi="Arial" w:cs="Arial"/>
          <w:sz w:val="22"/>
          <w:szCs w:val="22"/>
        </w:rPr>
        <w:t>). Clear and objective learning outcomes are communicated to the therapist and these are measured at regular intervals.  This methodology is only possible because of the availability of all therapy transcripts of every therapy session. Therapists are encouraged to use these transcripts to reflect on their own practice and they are offered the support and guidance of a clinical supervisory and training team to use this unique data set to enhance their practice.</w:t>
      </w:r>
    </w:p>
    <w:p w14:paraId="5DFA92A1" w14:textId="77777777" w:rsidR="00EC5A4F" w:rsidRDefault="00EC5A4F" w:rsidP="007F596B">
      <w:pPr>
        <w:spacing w:line="480" w:lineRule="auto"/>
        <w:rPr>
          <w:rFonts w:ascii="Arial" w:hAnsi="Arial" w:cs="Arial"/>
          <w:sz w:val="22"/>
          <w:szCs w:val="22"/>
        </w:rPr>
      </w:pPr>
    </w:p>
    <w:p w14:paraId="1B2475DB" w14:textId="7F789F4E" w:rsidR="007F596B" w:rsidRDefault="006C5B70" w:rsidP="007F596B">
      <w:pPr>
        <w:pStyle w:val="Heading3"/>
        <w:rPr>
          <w:rFonts w:cs="Arial"/>
          <w:color w:val="000000" w:themeColor="text1"/>
          <w:szCs w:val="22"/>
        </w:rPr>
      </w:pPr>
      <w:bookmarkStart w:id="127" w:name="_Toc46770742"/>
      <w:bookmarkStart w:id="128" w:name="_Toc79414153"/>
      <w:r>
        <w:rPr>
          <w:rFonts w:cs="Arial"/>
          <w:color w:val="000000" w:themeColor="text1"/>
          <w:szCs w:val="22"/>
        </w:rPr>
        <w:t>2.1</w:t>
      </w:r>
      <w:r w:rsidR="00410DF6">
        <w:rPr>
          <w:rFonts w:cs="Arial"/>
          <w:color w:val="000000" w:themeColor="text1"/>
          <w:szCs w:val="22"/>
        </w:rPr>
        <w:t>1</w:t>
      </w:r>
      <w:r>
        <w:rPr>
          <w:rFonts w:cs="Arial"/>
          <w:color w:val="000000" w:themeColor="text1"/>
          <w:szCs w:val="22"/>
        </w:rPr>
        <w:t>.2</w:t>
      </w:r>
      <w:r w:rsidR="007F596B" w:rsidRPr="00D010A1">
        <w:rPr>
          <w:rFonts w:cs="Arial"/>
          <w:color w:val="000000" w:themeColor="text1"/>
          <w:szCs w:val="22"/>
        </w:rPr>
        <w:t xml:space="preserve"> Continuing professional development</w:t>
      </w:r>
      <w:bookmarkEnd w:id="127"/>
      <w:bookmarkEnd w:id="128"/>
    </w:p>
    <w:p w14:paraId="60CA1A1D" w14:textId="77777777" w:rsidR="007F596B" w:rsidRPr="00D010A1" w:rsidRDefault="007F596B" w:rsidP="007F596B"/>
    <w:p w14:paraId="4458B648" w14:textId="4DFEDDED" w:rsidR="007F596B" w:rsidRDefault="007F596B" w:rsidP="007F596B">
      <w:pPr>
        <w:spacing w:line="480" w:lineRule="auto"/>
        <w:rPr>
          <w:rFonts w:ascii="Arial" w:hAnsi="Arial" w:cs="Arial"/>
          <w:sz w:val="22"/>
          <w:szCs w:val="22"/>
        </w:rPr>
      </w:pPr>
      <w:r>
        <w:rPr>
          <w:rFonts w:ascii="Arial" w:hAnsi="Arial" w:cs="Arial"/>
          <w:sz w:val="22"/>
          <w:szCs w:val="22"/>
        </w:rPr>
        <w:t xml:space="preserve">Therapists who deliver CBT using the IECBT method have access to a unique e-learning platform which has been developed to meet their continuing professional development needs as far as is possible. The e-learning platform provides training and guidance that </w:t>
      </w:r>
      <w:r>
        <w:rPr>
          <w:rFonts w:ascii="Arial" w:hAnsi="Arial" w:cs="Arial"/>
          <w:sz w:val="22"/>
          <w:szCs w:val="22"/>
        </w:rPr>
        <w:lastRenderedPageBreak/>
        <w:t xml:space="preserve">relates specifically to the IAPT training curricula (outlined </w:t>
      </w:r>
      <w:r w:rsidR="00CB48DD">
        <w:rPr>
          <w:rFonts w:ascii="Arial" w:hAnsi="Arial" w:cs="Arial"/>
          <w:sz w:val="22"/>
          <w:szCs w:val="22"/>
        </w:rPr>
        <w:t>earlier in this chapter</w:t>
      </w:r>
      <w:r>
        <w:rPr>
          <w:rFonts w:ascii="Arial" w:hAnsi="Arial" w:cs="Arial"/>
          <w:sz w:val="22"/>
          <w:szCs w:val="22"/>
        </w:rPr>
        <w:t>). All therapists have access to the outcome data for the patients they have treated, and they have ongoing reviews of their work with the primary aim of supporting them to identify specific training needs.</w:t>
      </w:r>
      <w:r w:rsidR="00914DA2">
        <w:rPr>
          <w:rFonts w:ascii="Arial" w:hAnsi="Arial" w:cs="Arial"/>
          <w:sz w:val="22"/>
          <w:szCs w:val="22"/>
        </w:rPr>
        <w:t xml:space="preserve"> </w:t>
      </w:r>
      <w:r w:rsidR="00914DA2" w:rsidRPr="005144E4">
        <w:rPr>
          <w:rFonts w:ascii="Arial" w:hAnsi="Arial" w:cs="Arial"/>
          <w:sz w:val="22"/>
          <w:szCs w:val="22"/>
        </w:rPr>
        <w:t>This</w:t>
      </w:r>
      <w:r w:rsidR="00702ED5" w:rsidRPr="005144E4">
        <w:rPr>
          <w:rFonts w:ascii="Arial" w:hAnsi="Arial" w:cs="Arial"/>
          <w:sz w:val="22"/>
          <w:szCs w:val="22"/>
        </w:rPr>
        <w:t xml:space="preserve"> e-learning platform </w:t>
      </w:r>
      <w:r w:rsidR="00E05F8C" w:rsidRPr="005144E4">
        <w:rPr>
          <w:rFonts w:ascii="Arial" w:hAnsi="Arial" w:cs="Arial"/>
          <w:sz w:val="22"/>
          <w:szCs w:val="22"/>
        </w:rPr>
        <w:t xml:space="preserve">has been developed by </w:t>
      </w:r>
      <w:r w:rsidR="0092238A" w:rsidRPr="005144E4">
        <w:rPr>
          <w:rFonts w:ascii="Arial" w:hAnsi="Arial" w:cs="Arial"/>
          <w:sz w:val="22"/>
          <w:szCs w:val="22"/>
        </w:rPr>
        <w:t xml:space="preserve">Ieso Digital Health, specifically to provide supervision and training to therapists </w:t>
      </w:r>
      <w:r w:rsidR="00430C40" w:rsidRPr="005144E4">
        <w:rPr>
          <w:rFonts w:ascii="Arial" w:hAnsi="Arial" w:cs="Arial"/>
          <w:sz w:val="22"/>
          <w:szCs w:val="22"/>
        </w:rPr>
        <w:t xml:space="preserve">working using the IECBT method. </w:t>
      </w:r>
      <w:r w:rsidR="004E503F" w:rsidRPr="005144E4">
        <w:rPr>
          <w:rFonts w:ascii="Arial" w:hAnsi="Arial" w:cs="Arial"/>
          <w:sz w:val="22"/>
          <w:szCs w:val="22"/>
        </w:rPr>
        <w:t>The</w:t>
      </w:r>
      <w:r w:rsidR="00430C40" w:rsidRPr="005144E4">
        <w:rPr>
          <w:rFonts w:ascii="Arial" w:hAnsi="Arial" w:cs="Arial"/>
          <w:sz w:val="22"/>
          <w:szCs w:val="22"/>
        </w:rPr>
        <w:t xml:space="preserve"> </w:t>
      </w:r>
      <w:r w:rsidRPr="005144E4">
        <w:rPr>
          <w:rFonts w:ascii="Arial" w:hAnsi="Arial" w:cs="Arial"/>
          <w:sz w:val="22"/>
          <w:szCs w:val="22"/>
        </w:rPr>
        <w:t xml:space="preserve">e-learning platform </w:t>
      </w:r>
      <w:r w:rsidR="004E503F" w:rsidRPr="005144E4">
        <w:rPr>
          <w:rFonts w:ascii="Arial" w:hAnsi="Arial" w:cs="Arial"/>
          <w:sz w:val="22"/>
          <w:szCs w:val="22"/>
        </w:rPr>
        <w:t>provides</w:t>
      </w:r>
      <w:r w:rsidR="00C935D1" w:rsidRPr="005144E4">
        <w:rPr>
          <w:rFonts w:ascii="Arial" w:hAnsi="Arial" w:cs="Arial"/>
          <w:sz w:val="22"/>
          <w:szCs w:val="22"/>
        </w:rPr>
        <w:t xml:space="preserve"> each therapist with </w:t>
      </w:r>
      <w:r w:rsidR="003B69F4" w:rsidRPr="005144E4">
        <w:rPr>
          <w:rFonts w:ascii="Arial" w:hAnsi="Arial" w:cs="Arial"/>
          <w:sz w:val="22"/>
          <w:szCs w:val="22"/>
        </w:rPr>
        <w:t>specific training modules to meet their individual training</w:t>
      </w:r>
      <w:r w:rsidR="00100F1D" w:rsidRPr="005144E4">
        <w:rPr>
          <w:rFonts w:ascii="Arial" w:hAnsi="Arial" w:cs="Arial"/>
          <w:sz w:val="22"/>
          <w:szCs w:val="22"/>
        </w:rPr>
        <w:t xml:space="preserve"> and supervision needs</w:t>
      </w:r>
      <w:r w:rsidR="004510CC" w:rsidRPr="005144E4">
        <w:rPr>
          <w:rFonts w:ascii="Arial" w:hAnsi="Arial" w:cs="Arial"/>
          <w:sz w:val="22"/>
          <w:szCs w:val="22"/>
        </w:rPr>
        <w:t xml:space="preserve">. As the platform is unique to Ieso Digital health </w:t>
      </w:r>
      <w:r w:rsidR="00222D4E" w:rsidRPr="005144E4">
        <w:rPr>
          <w:rFonts w:ascii="Arial" w:hAnsi="Arial" w:cs="Arial"/>
          <w:sz w:val="22"/>
          <w:szCs w:val="22"/>
        </w:rPr>
        <w:t xml:space="preserve">it is </w:t>
      </w:r>
      <w:r w:rsidRPr="005144E4">
        <w:rPr>
          <w:rFonts w:ascii="Arial" w:hAnsi="Arial" w:cs="Arial"/>
          <w:sz w:val="22"/>
          <w:szCs w:val="22"/>
        </w:rPr>
        <w:t xml:space="preserve">shown in figure </w:t>
      </w:r>
      <w:r w:rsidR="00CB48DD" w:rsidRPr="005144E4">
        <w:rPr>
          <w:rFonts w:ascii="Arial" w:hAnsi="Arial" w:cs="Arial"/>
          <w:sz w:val="22"/>
          <w:szCs w:val="22"/>
        </w:rPr>
        <w:t>2.</w:t>
      </w:r>
      <w:r w:rsidR="00330A9A" w:rsidRPr="005144E4">
        <w:rPr>
          <w:rFonts w:ascii="Arial" w:hAnsi="Arial" w:cs="Arial"/>
          <w:sz w:val="22"/>
          <w:szCs w:val="22"/>
        </w:rPr>
        <w:t>6</w:t>
      </w:r>
      <w:r w:rsidRPr="005144E4">
        <w:rPr>
          <w:rFonts w:ascii="Arial" w:hAnsi="Arial" w:cs="Arial"/>
          <w:sz w:val="22"/>
          <w:szCs w:val="22"/>
        </w:rPr>
        <w:t>.</w:t>
      </w:r>
    </w:p>
    <w:p w14:paraId="1A55C9A4" w14:textId="77777777" w:rsidR="007F596B" w:rsidRDefault="007F596B" w:rsidP="007F596B">
      <w:pPr>
        <w:spacing w:line="480" w:lineRule="auto"/>
        <w:rPr>
          <w:rFonts w:ascii="Arial" w:hAnsi="Arial" w:cs="Arial"/>
          <w:sz w:val="22"/>
          <w:szCs w:val="22"/>
        </w:rPr>
      </w:pPr>
    </w:p>
    <w:p w14:paraId="3945E2F5" w14:textId="77777777" w:rsidR="00CB48DD" w:rsidRDefault="00CB48DD" w:rsidP="007F596B">
      <w:pPr>
        <w:spacing w:line="480" w:lineRule="auto"/>
        <w:rPr>
          <w:rFonts w:ascii="Arial" w:hAnsi="Arial" w:cs="Arial"/>
          <w:b/>
          <w:sz w:val="22"/>
          <w:szCs w:val="22"/>
        </w:rPr>
      </w:pPr>
    </w:p>
    <w:p w14:paraId="05A00E23" w14:textId="77777777" w:rsidR="00CB48DD" w:rsidRDefault="00CB48DD" w:rsidP="007F596B">
      <w:pPr>
        <w:spacing w:line="480" w:lineRule="auto"/>
        <w:rPr>
          <w:rFonts w:ascii="Arial" w:hAnsi="Arial" w:cs="Arial"/>
          <w:b/>
          <w:sz w:val="22"/>
          <w:szCs w:val="22"/>
        </w:rPr>
      </w:pPr>
    </w:p>
    <w:p w14:paraId="3EA1DB4F" w14:textId="77777777" w:rsidR="00905239" w:rsidRDefault="00905239">
      <w:pPr>
        <w:rPr>
          <w:rFonts w:ascii="Arial" w:hAnsi="Arial"/>
          <w:b/>
          <w:iCs/>
          <w:sz w:val="22"/>
          <w:szCs w:val="18"/>
        </w:rPr>
      </w:pPr>
      <w:bookmarkStart w:id="129" w:name="_Toc28339121"/>
      <w:bookmarkStart w:id="130" w:name="_Toc28339963"/>
      <w:r>
        <w:br w:type="page"/>
      </w:r>
    </w:p>
    <w:p w14:paraId="338EA09C" w14:textId="20141CCE" w:rsidR="004A0120" w:rsidRPr="002A3735" w:rsidRDefault="004A0120" w:rsidP="002A3735">
      <w:pPr>
        <w:pStyle w:val="Figures"/>
        <w:rPr>
          <w:b w:val="0"/>
        </w:rPr>
      </w:pPr>
      <w:bookmarkStart w:id="131" w:name="_Toc46770935"/>
      <w:r w:rsidRPr="004A0120">
        <w:lastRenderedPageBreak/>
        <w:t>Figure 2.6</w:t>
      </w:r>
      <w:r w:rsidRPr="0055285B">
        <w:t xml:space="preserve"> </w:t>
      </w:r>
      <w:r w:rsidRPr="002A3735">
        <w:rPr>
          <w:b w:val="0"/>
        </w:rPr>
        <w:t>The IECBT e-learning platform</w:t>
      </w:r>
      <w:bookmarkEnd w:id="129"/>
      <w:bookmarkEnd w:id="130"/>
      <w:r w:rsidR="00270927">
        <w:rPr>
          <w:b w:val="0"/>
        </w:rPr>
        <w:t xml:space="preserve">, </w:t>
      </w:r>
      <w:r w:rsidR="00270927" w:rsidRPr="005144E4">
        <w:rPr>
          <w:b w:val="0"/>
        </w:rPr>
        <w:t>showing one example of a therapist’s view of the</w:t>
      </w:r>
      <w:r w:rsidR="0019577D" w:rsidRPr="005144E4">
        <w:rPr>
          <w:b w:val="0"/>
        </w:rPr>
        <w:t xml:space="preserve"> modules released in order to meet their</w:t>
      </w:r>
      <w:r w:rsidR="00270927" w:rsidRPr="005144E4">
        <w:rPr>
          <w:b w:val="0"/>
        </w:rPr>
        <w:t xml:space="preserve"> identified training</w:t>
      </w:r>
      <w:r w:rsidR="0019577D" w:rsidRPr="005144E4">
        <w:rPr>
          <w:b w:val="0"/>
        </w:rPr>
        <w:t xml:space="preserve"> needs</w:t>
      </w:r>
      <w:bookmarkEnd w:id="131"/>
    </w:p>
    <w:p w14:paraId="3B0D678B" w14:textId="77777777" w:rsidR="004A0120" w:rsidRPr="004A0120" w:rsidRDefault="004A0120" w:rsidP="004A0120"/>
    <w:p w14:paraId="6CDB18AB" w14:textId="77777777" w:rsidR="007F596B" w:rsidRDefault="007F596B" w:rsidP="007F596B">
      <w:pPr>
        <w:spacing w:line="480" w:lineRule="auto"/>
        <w:rPr>
          <w:rFonts w:ascii="Arial" w:hAnsi="Arial" w:cs="Arial"/>
          <w:sz w:val="22"/>
          <w:szCs w:val="22"/>
        </w:rPr>
      </w:pPr>
      <w:r>
        <w:rPr>
          <w:rFonts w:ascii="Arial" w:hAnsi="Arial" w:cs="Arial"/>
          <w:noProof/>
          <w:sz w:val="22"/>
          <w:szCs w:val="22"/>
        </w:rPr>
        <w:drawing>
          <wp:inline distT="0" distB="0" distL="0" distR="0" wp14:anchorId="33B5D253" wp14:editId="37B45197">
            <wp:extent cx="5727700" cy="4002405"/>
            <wp:effectExtent l="0" t="0" r="0" b="0"/>
            <wp:docPr id="17" name="Picture 17" descr="P76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P765#yIS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27700" cy="4002405"/>
                    </a:xfrm>
                    <a:prstGeom prst="rect">
                      <a:avLst/>
                    </a:prstGeom>
                  </pic:spPr>
                </pic:pic>
              </a:graphicData>
            </a:graphic>
          </wp:inline>
        </w:drawing>
      </w:r>
    </w:p>
    <w:p w14:paraId="2C4E3A48" w14:textId="77777777" w:rsidR="007F596B" w:rsidRDefault="007F596B" w:rsidP="007F596B">
      <w:pPr>
        <w:spacing w:line="480" w:lineRule="auto"/>
        <w:rPr>
          <w:rFonts w:ascii="Arial" w:hAnsi="Arial" w:cs="Arial"/>
          <w:sz w:val="22"/>
          <w:szCs w:val="22"/>
        </w:rPr>
      </w:pPr>
    </w:p>
    <w:p w14:paraId="367079EF" w14:textId="77777777" w:rsidR="00C94464" w:rsidRDefault="00C94464" w:rsidP="007F596B">
      <w:pPr>
        <w:spacing w:line="480" w:lineRule="auto"/>
        <w:rPr>
          <w:rFonts w:ascii="Arial" w:hAnsi="Arial" w:cs="Arial"/>
          <w:sz w:val="22"/>
          <w:szCs w:val="22"/>
        </w:rPr>
      </w:pPr>
    </w:p>
    <w:p w14:paraId="443288BD" w14:textId="77777777" w:rsidR="00C94464" w:rsidRDefault="00C94464" w:rsidP="007F596B">
      <w:pPr>
        <w:spacing w:line="480" w:lineRule="auto"/>
        <w:rPr>
          <w:rFonts w:ascii="Arial" w:hAnsi="Arial" w:cs="Arial"/>
          <w:sz w:val="22"/>
          <w:szCs w:val="22"/>
        </w:rPr>
      </w:pPr>
    </w:p>
    <w:p w14:paraId="6932F2D7" w14:textId="77777777" w:rsidR="00C94464" w:rsidRDefault="00C94464" w:rsidP="007F596B">
      <w:pPr>
        <w:spacing w:line="480" w:lineRule="auto"/>
        <w:rPr>
          <w:rFonts w:ascii="Arial" w:hAnsi="Arial" w:cs="Arial"/>
          <w:sz w:val="22"/>
          <w:szCs w:val="22"/>
        </w:rPr>
      </w:pPr>
    </w:p>
    <w:p w14:paraId="722A1D45" w14:textId="77777777" w:rsidR="00C94464" w:rsidRDefault="00C94464" w:rsidP="007F596B">
      <w:pPr>
        <w:spacing w:line="480" w:lineRule="auto"/>
        <w:rPr>
          <w:rFonts w:ascii="Arial" w:hAnsi="Arial" w:cs="Arial"/>
          <w:sz w:val="22"/>
          <w:szCs w:val="22"/>
        </w:rPr>
      </w:pPr>
    </w:p>
    <w:p w14:paraId="431E750B" w14:textId="77777777" w:rsidR="00C94464" w:rsidRDefault="00C94464" w:rsidP="007F596B">
      <w:pPr>
        <w:spacing w:line="480" w:lineRule="auto"/>
        <w:rPr>
          <w:rFonts w:ascii="Arial" w:hAnsi="Arial" w:cs="Arial"/>
          <w:sz w:val="22"/>
          <w:szCs w:val="22"/>
        </w:rPr>
      </w:pPr>
    </w:p>
    <w:p w14:paraId="100EC97F" w14:textId="77777777" w:rsidR="00C94464" w:rsidRDefault="00C94464" w:rsidP="007F596B">
      <w:pPr>
        <w:spacing w:line="480" w:lineRule="auto"/>
        <w:rPr>
          <w:rFonts w:ascii="Arial" w:hAnsi="Arial" w:cs="Arial"/>
          <w:sz w:val="22"/>
          <w:szCs w:val="22"/>
        </w:rPr>
      </w:pPr>
    </w:p>
    <w:p w14:paraId="28A4CD41" w14:textId="77777777" w:rsidR="00C94464" w:rsidRDefault="00C94464" w:rsidP="007F596B">
      <w:pPr>
        <w:spacing w:line="480" w:lineRule="auto"/>
        <w:rPr>
          <w:rFonts w:ascii="Arial" w:hAnsi="Arial" w:cs="Arial"/>
          <w:sz w:val="22"/>
          <w:szCs w:val="22"/>
        </w:rPr>
      </w:pPr>
    </w:p>
    <w:p w14:paraId="1067992D" w14:textId="77777777" w:rsidR="004A0120" w:rsidRDefault="004A0120">
      <w:pPr>
        <w:rPr>
          <w:rFonts w:ascii="Arial" w:hAnsi="Arial" w:cs="Arial"/>
          <w:sz w:val="22"/>
          <w:szCs w:val="22"/>
        </w:rPr>
      </w:pPr>
      <w:r>
        <w:rPr>
          <w:rFonts w:ascii="Arial" w:hAnsi="Arial" w:cs="Arial"/>
          <w:sz w:val="22"/>
          <w:szCs w:val="22"/>
        </w:rPr>
        <w:br w:type="page"/>
      </w:r>
    </w:p>
    <w:p w14:paraId="501EA4C3" w14:textId="3AE03F4C" w:rsidR="007F596B" w:rsidRDefault="007F596B" w:rsidP="007F596B">
      <w:pPr>
        <w:spacing w:line="480" w:lineRule="auto"/>
        <w:rPr>
          <w:rFonts w:ascii="Arial" w:hAnsi="Arial" w:cs="Arial"/>
          <w:sz w:val="22"/>
          <w:szCs w:val="22"/>
        </w:rPr>
      </w:pPr>
      <w:r w:rsidRPr="005144E4">
        <w:rPr>
          <w:rFonts w:ascii="Arial" w:hAnsi="Arial" w:cs="Arial"/>
          <w:sz w:val="22"/>
          <w:szCs w:val="22"/>
        </w:rPr>
        <w:lastRenderedPageBreak/>
        <w:t xml:space="preserve">The underpinning conceptual </w:t>
      </w:r>
      <w:r w:rsidR="00550455" w:rsidRPr="005144E4">
        <w:rPr>
          <w:rFonts w:ascii="Arial" w:hAnsi="Arial" w:cs="Arial"/>
          <w:sz w:val="22"/>
          <w:szCs w:val="22"/>
        </w:rPr>
        <w:t>context</w:t>
      </w:r>
      <w:r w:rsidRPr="005144E4">
        <w:rPr>
          <w:rFonts w:ascii="Arial" w:hAnsi="Arial" w:cs="Arial"/>
          <w:sz w:val="22"/>
          <w:szCs w:val="22"/>
        </w:rPr>
        <w:t xml:space="preserve"> for the IECBT continuing professional development programme is </w:t>
      </w:r>
      <w:r w:rsidR="00104B37" w:rsidRPr="005144E4">
        <w:rPr>
          <w:rFonts w:ascii="Arial" w:hAnsi="Arial" w:cs="Arial"/>
          <w:sz w:val="22"/>
          <w:szCs w:val="22"/>
        </w:rPr>
        <w:t xml:space="preserve">a theoretical framework that emphasises the importance </w:t>
      </w:r>
      <w:r w:rsidRPr="005144E4">
        <w:rPr>
          <w:rFonts w:ascii="Arial" w:hAnsi="Arial" w:cs="Arial"/>
          <w:sz w:val="22"/>
          <w:szCs w:val="22"/>
        </w:rPr>
        <w:t xml:space="preserve">of </w:t>
      </w:r>
      <w:r w:rsidR="00104B37" w:rsidRPr="005144E4">
        <w:rPr>
          <w:rFonts w:ascii="Arial" w:hAnsi="Arial" w:cs="Arial"/>
          <w:sz w:val="22"/>
          <w:szCs w:val="22"/>
        </w:rPr>
        <w:t xml:space="preserve">self-reflection </w:t>
      </w:r>
      <w:r w:rsidR="0078510D" w:rsidRPr="005144E4">
        <w:rPr>
          <w:rFonts w:ascii="Arial" w:hAnsi="Arial" w:cs="Arial"/>
          <w:sz w:val="22"/>
          <w:szCs w:val="22"/>
        </w:rPr>
        <w:t xml:space="preserve">and </w:t>
      </w:r>
      <w:r w:rsidR="00983E5C" w:rsidRPr="005144E4">
        <w:rPr>
          <w:rFonts w:ascii="Arial" w:hAnsi="Arial" w:cs="Arial"/>
          <w:sz w:val="22"/>
          <w:szCs w:val="22"/>
        </w:rPr>
        <w:t>personal practice</w:t>
      </w:r>
      <w:r w:rsidR="0078510D" w:rsidRPr="005144E4">
        <w:rPr>
          <w:rFonts w:ascii="Arial" w:hAnsi="Arial" w:cs="Arial"/>
          <w:sz w:val="22"/>
          <w:szCs w:val="22"/>
        </w:rPr>
        <w:t xml:space="preserve"> (Bennett-Levy, 2005</w:t>
      </w:r>
      <w:r w:rsidR="003E3C11" w:rsidRPr="005144E4">
        <w:rPr>
          <w:rFonts w:ascii="Arial" w:hAnsi="Arial" w:cs="Arial"/>
          <w:sz w:val="22"/>
          <w:szCs w:val="22"/>
        </w:rPr>
        <w:t>,</w:t>
      </w:r>
      <w:r w:rsidR="0078510D" w:rsidRPr="005144E4">
        <w:rPr>
          <w:rFonts w:ascii="Arial" w:hAnsi="Arial" w:cs="Arial"/>
          <w:sz w:val="22"/>
          <w:szCs w:val="22"/>
        </w:rPr>
        <w:t xml:space="preserve"> Bennett-Levy</w:t>
      </w:r>
      <w:r w:rsidR="00923676" w:rsidRPr="005144E4">
        <w:rPr>
          <w:rFonts w:ascii="Arial" w:hAnsi="Arial" w:cs="Arial"/>
          <w:sz w:val="22"/>
          <w:szCs w:val="22"/>
        </w:rPr>
        <w:t xml:space="preserve"> </w:t>
      </w:r>
      <w:r w:rsidR="003E3C11" w:rsidRPr="005144E4">
        <w:rPr>
          <w:rFonts w:ascii="Arial" w:hAnsi="Arial" w:cs="Arial"/>
          <w:sz w:val="22"/>
          <w:szCs w:val="22"/>
        </w:rPr>
        <w:t>and Finlay-Jones, 2018)</w:t>
      </w:r>
      <w:r w:rsidR="00923676" w:rsidRPr="005144E4">
        <w:rPr>
          <w:rFonts w:ascii="Arial" w:hAnsi="Arial" w:cs="Arial"/>
          <w:sz w:val="22"/>
          <w:szCs w:val="22"/>
        </w:rPr>
        <w:t xml:space="preserve"> </w:t>
      </w:r>
      <w:r w:rsidRPr="005144E4">
        <w:rPr>
          <w:rFonts w:ascii="Arial" w:hAnsi="Arial" w:cs="Arial"/>
          <w:sz w:val="22"/>
          <w:szCs w:val="22"/>
        </w:rPr>
        <w:t>whereby cognitive behavioural therapists are encouraged to use self-reflection in order to learn or enhance clinical skill</w:t>
      </w:r>
      <w:r w:rsidR="00E32EDC" w:rsidRPr="005144E4">
        <w:rPr>
          <w:rFonts w:ascii="Arial" w:hAnsi="Arial" w:cs="Arial"/>
          <w:sz w:val="22"/>
          <w:szCs w:val="22"/>
        </w:rPr>
        <w:t>s</w:t>
      </w:r>
      <w:r w:rsidRPr="005144E4">
        <w:rPr>
          <w:rFonts w:ascii="Arial" w:hAnsi="Arial" w:cs="Arial"/>
          <w:sz w:val="22"/>
          <w:szCs w:val="22"/>
        </w:rPr>
        <w:t>.  This</w:t>
      </w:r>
      <w:r w:rsidR="00923676" w:rsidRPr="005144E4">
        <w:rPr>
          <w:rFonts w:ascii="Arial" w:hAnsi="Arial" w:cs="Arial"/>
          <w:sz w:val="22"/>
          <w:szCs w:val="22"/>
        </w:rPr>
        <w:t xml:space="preserve"> personal practice</w:t>
      </w:r>
      <w:r w:rsidRPr="005144E4">
        <w:rPr>
          <w:rFonts w:ascii="Arial" w:hAnsi="Arial" w:cs="Arial"/>
          <w:sz w:val="22"/>
          <w:szCs w:val="22"/>
        </w:rPr>
        <w:t xml:space="preserve"> model </w:t>
      </w:r>
      <w:r w:rsidR="003D7EB0" w:rsidRPr="005144E4">
        <w:rPr>
          <w:rFonts w:ascii="Arial" w:hAnsi="Arial" w:cs="Arial"/>
          <w:sz w:val="22"/>
          <w:szCs w:val="22"/>
        </w:rPr>
        <w:t xml:space="preserve">(shown </w:t>
      </w:r>
      <w:r w:rsidRPr="005144E4">
        <w:rPr>
          <w:rFonts w:ascii="Arial" w:hAnsi="Arial" w:cs="Arial"/>
          <w:sz w:val="22"/>
          <w:szCs w:val="22"/>
        </w:rPr>
        <w:t xml:space="preserve">in figure </w:t>
      </w:r>
      <w:r w:rsidR="00CB48DD" w:rsidRPr="005144E4">
        <w:rPr>
          <w:rFonts w:ascii="Arial" w:hAnsi="Arial" w:cs="Arial"/>
          <w:sz w:val="22"/>
          <w:szCs w:val="22"/>
        </w:rPr>
        <w:t>2.</w:t>
      </w:r>
      <w:r w:rsidR="00330A9A" w:rsidRPr="005144E4">
        <w:rPr>
          <w:rFonts w:ascii="Arial" w:hAnsi="Arial" w:cs="Arial"/>
          <w:sz w:val="22"/>
          <w:szCs w:val="22"/>
        </w:rPr>
        <w:t>7</w:t>
      </w:r>
      <w:r w:rsidR="003D7EB0" w:rsidRPr="005144E4">
        <w:rPr>
          <w:rFonts w:ascii="Arial" w:hAnsi="Arial" w:cs="Arial"/>
          <w:sz w:val="22"/>
          <w:szCs w:val="22"/>
        </w:rPr>
        <w:t>)</w:t>
      </w:r>
      <w:r w:rsidR="0073242C" w:rsidRPr="005144E4">
        <w:rPr>
          <w:rFonts w:ascii="Arial" w:hAnsi="Arial" w:cs="Arial"/>
          <w:sz w:val="22"/>
          <w:szCs w:val="22"/>
        </w:rPr>
        <w:t xml:space="preserve"> </w:t>
      </w:r>
      <w:r w:rsidR="00FB5275" w:rsidRPr="005144E4">
        <w:rPr>
          <w:rFonts w:ascii="Arial" w:hAnsi="Arial" w:cs="Arial"/>
          <w:sz w:val="22"/>
          <w:szCs w:val="22"/>
        </w:rPr>
        <w:t>regards the therapist as two interconnecting selves, the ‘personal self’ and the ‘therapist self’ (Bennett-Lev</w:t>
      </w:r>
      <w:r w:rsidR="00860B72" w:rsidRPr="005144E4">
        <w:rPr>
          <w:rFonts w:ascii="Arial" w:hAnsi="Arial" w:cs="Arial"/>
          <w:sz w:val="22"/>
          <w:szCs w:val="22"/>
        </w:rPr>
        <w:t>y and Finlay Jones, 2018).</w:t>
      </w:r>
      <w:r w:rsidR="00186189" w:rsidRPr="005144E4">
        <w:rPr>
          <w:rFonts w:ascii="Arial" w:hAnsi="Arial" w:cs="Arial"/>
          <w:sz w:val="22"/>
          <w:szCs w:val="22"/>
        </w:rPr>
        <w:t xml:space="preserve"> Both selves are impacted </w:t>
      </w:r>
      <w:r w:rsidR="003B10D7" w:rsidRPr="005144E4">
        <w:rPr>
          <w:rFonts w:ascii="Arial" w:hAnsi="Arial" w:cs="Arial"/>
          <w:sz w:val="22"/>
          <w:szCs w:val="22"/>
        </w:rPr>
        <w:t>by</w:t>
      </w:r>
      <w:r w:rsidR="00186189" w:rsidRPr="005144E4">
        <w:rPr>
          <w:rFonts w:ascii="Arial" w:hAnsi="Arial" w:cs="Arial"/>
          <w:sz w:val="22"/>
          <w:szCs w:val="22"/>
        </w:rPr>
        <w:t xml:space="preserve"> 4 separate domains</w:t>
      </w:r>
      <w:r w:rsidR="001C7A4E" w:rsidRPr="005144E4">
        <w:rPr>
          <w:rFonts w:ascii="Arial" w:hAnsi="Arial" w:cs="Arial"/>
          <w:sz w:val="22"/>
          <w:szCs w:val="22"/>
        </w:rPr>
        <w:t>:</w:t>
      </w:r>
      <w:r w:rsidR="00186189" w:rsidRPr="005144E4">
        <w:rPr>
          <w:rFonts w:ascii="Arial" w:hAnsi="Arial" w:cs="Arial"/>
          <w:sz w:val="22"/>
          <w:szCs w:val="22"/>
        </w:rPr>
        <w:t xml:space="preserve"> </w:t>
      </w:r>
      <w:r w:rsidR="001203C2" w:rsidRPr="005144E4">
        <w:rPr>
          <w:rFonts w:ascii="Arial" w:hAnsi="Arial" w:cs="Arial"/>
          <w:sz w:val="22"/>
          <w:szCs w:val="22"/>
        </w:rPr>
        <w:t>personal development/wellbeing, beliefs</w:t>
      </w:r>
      <w:r w:rsidR="00A65B63" w:rsidRPr="005144E4">
        <w:rPr>
          <w:rFonts w:ascii="Arial" w:hAnsi="Arial" w:cs="Arial"/>
          <w:sz w:val="22"/>
          <w:szCs w:val="22"/>
        </w:rPr>
        <w:t xml:space="preserve">, attitudes and skills, self-awareness and </w:t>
      </w:r>
      <w:r w:rsidR="00B33712" w:rsidRPr="005144E4">
        <w:rPr>
          <w:rFonts w:ascii="Arial" w:hAnsi="Arial" w:cs="Arial"/>
          <w:sz w:val="22"/>
          <w:szCs w:val="22"/>
        </w:rPr>
        <w:t>conceptual/technical skills</w:t>
      </w:r>
      <w:r w:rsidR="009E2544" w:rsidRPr="005144E4">
        <w:rPr>
          <w:rFonts w:ascii="Arial" w:hAnsi="Arial" w:cs="Arial"/>
          <w:sz w:val="22"/>
          <w:szCs w:val="22"/>
        </w:rPr>
        <w:t>. The model asserts that</w:t>
      </w:r>
      <w:r w:rsidR="00BD068B" w:rsidRPr="005144E4">
        <w:rPr>
          <w:rFonts w:ascii="Arial" w:hAnsi="Arial" w:cs="Arial"/>
          <w:sz w:val="22"/>
          <w:szCs w:val="22"/>
        </w:rPr>
        <w:t xml:space="preserve"> where</w:t>
      </w:r>
      <w:r w:rsidR="003B10D7" w:rsidRPr="005144E4">
        <w:rPr>
          <w:rFonts w:ascii="Arial" w:hAnsi="Arial" w:cs="Arial"/>
          <w:sz w:val="22"/>
          <w:szCs w:val="22"/>
        </w:rPr>
        <w:t xml:space="preserve"> a </w:t>
      </w:r>
      <w:r w:rsidR="00BD068B" w:rsidRPr="005144E4">
        <w:rPr>
          <w:rFonts w:ascii="Arial" w:hAnsi="Arial" w:cs="Arial"/>
          <w:sz w:val="22"/>
          <w:szCs w:val="22"/>
        </w:rPr>
        <w:t>therapist</w:t>
      </w:r>
      <w:r w:rsidR="00B637C5" w:rsidRPr="005144E4">
        <w:rPr>
          <w:rFonts w:ascii="Arial" w:hAnsi="Arial" w:cs="Arial"/>
          <w:sz w:val="22"/>
          <w:szCs w:val="22"/>
        </w:rPr>
        <w:t xml:space="preserve"> engage</w:t>
      </w:r>
      <w:r w:rsidR="003B10D7" w:rsidRPr="005144E4">
        <w:rPr>
          <w:rFonts w:ascii="Arial" w:hAnsi="Arial" w:cs="Arial"/>
          <w:sz w:val="22"/>
          <w:szCs w:val="22"/>
        </w:rPr>
        <w:t>s</w:t>
      </w:r>
      <w:r w:rsidR="00B637C5" w:rsidRPr="005144E4">
        <w:rPr>
          <w:rFonts w:ascii="Arial" w:hAnsi="Arial" w:cs="Arial"/>
          <w:sz w:val="22"/>
          <w:szCs w:val="22"/>
        </w:rPr>
        <w:t xml:space="preserve"> in personal practice</w:t>
      </w:r>
      <w:r w:rsidR="009B2A4C" w:rsidRPr="005144E4">
        <w:rPr>
          <w:rFonts w:ascii="Arial" w:hAnsi="Arial" w:cs="Arial"/>
          <w:sz w:val="22"/>
          <w:szCs w:val="22"/>
        </w:rPr>
        <w:t>, feedback</w:t>
      </w:r>
      <w:r w:rsidR="00027D9C" w:rsidRPr="005144E4">
        <w:rPr>
          <w:rFonts w:ascii="Arial" w:hAnsi="Arial" w:cs="Arial"/>
          <w:sz w:val="22"/>
          <w:szCs w:val="22"/>
        </w:rPr>
        <w:t xml:space="preserve">, training and supervision then this directly impacts on </w:t>
      </w:r>
      <w:r w:rsidR="00945DF4" w:rsidRPr="005144E4">
        <w:rPr>
          <w:rFonts w:ascii="Arial" w:hAnsi="Arial" w:cs="Arial"/>
          <w:sz w:val="22"/>
          <w:szCs w:val="22"/>
        </w:rPr>
        <w:t xml:space="preserve">each of </w:t>
      </w:r>
      <w:r w:rsidR="00027D9C" w:rsidRPr="005144E4">
        <w:rPr>
          <w:rFonts w:ascii="Arial" w:hAnsi="Arial" w:cs="Arial"/>
          <w:sz w:val="22"/>
          <w:szCs w:val="22"/>
        </w:rPr>
        <w:t>the 4 domains</w:t>
      </w:r>
      <w:r w:rsidR="00A36DF1" w:rsidRPr="005144E4">
        <w:rPr>
          <w:rFonts w:ascii="Arial" w:hAnsi="Arial" w:cs="Arial"/>
          <w:sz w:val="22"/>
          <w:szCs w:val="22"/>
        </w:rPr>
        <w:t>. Bennett-Levy and Finlay-Jones (2018) emphasise the central importance of self-reflection on th</w:t>
      </w:r>
      <w:r w:rsidR="00260715" w:rsidRPr="005144E4">
        <w:rPr>
          <w:rFonts w:ascii="Arial" w:hAnsi="Arial" w:cs="Arial"/>
          <w:sz w:val="22"/>
          <w:szCs w:val="22"/>
        </w:rPr>
        <w:t>e</w:t>
      </w:r>
      <w:r w:rsidR="00A36DF1" w:rsidRPr="005144E4">
        <w:rPr>
          <w:rFonts w:ascii="Arial" w:hAnsi="Arial" w:cs="Arial"/>
          <w:sz w:val="22"/>
          <w:szCs w:val="22"/>
        </w:rPr>
        <w:t xml:space="preserve"> learning</w:t>
      </w:r>
      <w:r w:rsidR="00260715" w:rsidRPr="005144E4">
        <w:rPr>
          <w:rFonts w:ascii="Arial" w:hAnsi="Arial" w:cs="Arial"/>
          <w:sz w:val="22"/>
          <w:szCs w:val="22"/>
        </w:rPr>
        <w:t xml:space="preserve"> and development process.  They describe a met</w:t>
      </w:r>
      <w:r w:rsidR="00F504FA" w:rsidRPr="005144E4">
        <w:rPr>
          <w:rFonts w:ascii="Arial" w:hAnsi="Arial" w:cs="Arial"/>
          <w:sz w:val="22"/>
          <w:szCs w:val="22"/>
        </w:rPr>
        <w:t>aphorical “reflective bridge” (see figure 2.7)</w:t>
      </w:r>
      <w:r w:rsidR="00C26632" w:rsidRPr="005144E4">
        <w:rPr>
          <w:rFonts w:ascii="Arial" w:hAnsi="Arial" w:cs="Arial"/>
          <w:sz w:val="22"/>
          <w:szCs w:val="22"/>
        </w:rPr>
        <w:t xml:space="preserve"> between</w:t>
      </w:r>
      <w:r w:rsidR="00423568" w:rsidRPr="005144E4">
        <w:rPr>
          <w:rFonts w:ascii="Arial" w:hAnsi="Arial" w:cs="Arial"/>
          <w:sz w:val="22"/>
          <w:szCs w:val="22"/>
        </w:rPr>
        <w:t xml:space="preserve"> personal practice, feedback, training</w:t>
      </w:r>
      <w:r w:rsidR="00517609" w:rsidRPr="005144E4">
        <w:rPr>
          <w:rFonts w:ascii="Arial" w:hAnsi="Arial" w:cs="Arial"/>
          <w:sz w:val="22"/>
          <w:szCs w:val="22"/>
        </w:rPr>
        <w:t xml:space="preserve">, supervision, the 4 personal/therapist domains and </w:t>
      </w:r>
      <w:r w:rsidR="00BD78C0" w:rsidRPr="005144E4">
        <w:rPr>
          <w:rFonts w:ascii="Arial" w:hAnsi="Arial" w:cs="Arial"/>
          <w:sz w:val="22"/>
          <w:szCs w:val="22"/>
        </w:rPr>
        <w:t xml:space="preserve">therapist effectiveness.  That is to say that therapist effectiveness </w:t>
      </w:r>
      <w:r w:rsidR="00F3222F" w:rsidRPr="005144E4">
        <w:rPr>
          <w:rFonts w:ascii="Arial" w:hAnsi="Arial" w:cs="Arial"/>
          <w:sz w:val="22"/>
          <w:szCs w:val="22"/>
        </w:rPr>
        <w:t xml:space="preserve">is enhanced by </w:t>
      </w:r>
      <w:r w:rsidR="00F20A2A" w:rsidRPr="005144E4">
        <w:rPr>
          <w:rFonts w:ascii="Arial" w:hAnsi="Arial" w:cs="Arial"/>
          <w:sz w:val="22"/>
          <w:szCs w:val="22"/>
        </w:rPr>
        <w:t xml:space="preserve">a </w:t>
      </w:r>
      <w:r w:rsidR="00F3222F" w:rsidRPr="005144E4">
        <w:rPr>
          <w:rFonts w:ascii="Arial" w:hAnsi="Arial" w:cs="Arial"/>
          <w:sz w:val="22"/>
          <w:szCs w:val="22"/>
        </w:rPr>
        <w:t>therapist</w:t>
      </w:r>
      <w:r w:rsidR="00A803A5" w:rsidRPr="005144E4">
        <w:rPr>
          <w:rFonts w:ascii="Arial" w:hAnsi="Arial" w:cs="Arial"/>
          <w:sz w:val="22"/>
          <w:szCs w:val="22"/>
        </w:rPr>
        <w:t>’</w:t>
      </w:r>
      <w:r w:rsidR="00F3222F" w:rsidRPr="005144E4">
        <w:rPr>
          <w:rFonts w:ascii="Arial" w:hAnsi="Arial" w:cs="Arial"/>
          <w:sz w:val="22"/>
          <w:szCs w:val="22"/>
        </w:rPr>
        <w:t>s ability to reflect on all pedagogical processes</w:t>
      </w:r>
      <w:r w:rsidR="00F20A2A" w:rsidRPr="005144E4">
        <w:rPr>
          <w:rFonts w:ascii="Arial" w:hAnsi="Arial" w:cs="Arial"/>
          <w:sz w:val="22"/>
          <w:szCs w:val="22"/>
        </w:rPr>
        <w:t xml:space="preserve"> (personal practice,</w:t>
      </w:r>
      <w:r w:rsidR="00ED021C" w:rsidRPr="005144E4">
        <w:rPr>
          <w:rFonts w:ascii="Arial" w:hAnsi="Arial" w:cs="Arial"/>
          <w:sz w:val="22"/>
          <w:szCs w:val="22"/>
        </w:rPr>
        <w:t xml:space="preserve"> feedback, training and supervision)</w:t>
      </w:r>
      <w:r w:rsidR="00125480" w:rsidRPr="005144E4">
        <w:rPr>
          <w:rFonts w:ascii="Arial" w:hAnsi="Arial" w:cs="Arial"/>
          <w:sz w:val="22"/>
          <w:szCs w:val="22"/>
        </w:rPr>
        <w:t>.</w:t>
      </w:r>
    </w:p>
    <w:p w14:paraId="42A3A70E" w14:textId="77777777" w:rsidR="007F596B" w:rsidRDefault="007F596B" w:rsidP="007F596B">
      <w:pPr>
        <w:spacing w:line="480" w:lineRule="auto"/>
        <w:rPr>
          <w:rFonts w:ascii="Arial" w:hAnsi="Arial" w:cs="Arial"/>
          <w:sz w:val="22"/>
          <w:szCs w:val="22"/>
        </w:rPr>
      </w:pPr>
    </w:p>
    <w:p w14:paraId="5C1FF25A" w14:textId="77777777" w:rsidR="004A0120" w:rsidRDefault="004A0120">
      <w:pPr>
        <w:rPr>
          <w:rFonts w:ascii="Arial" w:hAnsi="Arial" w:cs="Arial"/>
          <w:b/>
          <w:sz w:val="22"/>
          <w:szCs w:val="22"/>
        </w:rPr>
      </w:pPr>
      <w:r>
        <w:rPr>
          <w:rFonts w:ascii="Arial" w:hAnsi="Arial" w:cs="Arial"/>
          <w:b/>
          <w:sz w:val="22"/>
          <w:szCs w:val="22"/>
        </w:rPr>
        <w:br w:type="page"/>
      </w:r>
    </w:p>
    <w:p w14:paraId="7D81206B" w14:textId="0418E464" w:rsidR="004772A4" w:rsidRPr="002A3735" w:rsidRDefault="004A0120" w:rsidP="002A3735">
      <w:pPr>
        <w:pStyle w:val="Figures"/>
        <w:rPr>
          <w:b w:val="0"/>
        </w:rPr>
      </w:pPr>
      <w:bookmarkStart w:id="132" w:name="_Toc28339122"/>
      <w:bookmarkStart w:id="133" w:name="_Toc28339964"/>
      <w:bookmarkStart w:id="134" w:name="_Toc46770936"/>
      <w:r w:rsidRPr="004A0120">
        <w:lastRenderedPageBreak/>
        <w:t>Figure 2.7</w:t>
      </w:r>
      <w:r w:rsidRPr="00E6664E">
        <w:t xml:space="preserve"> </w:t>
      </w:r>
      <w:r w:rsidRPr="005144E4">
        <w:rPr>
          <w:b w:val="0"/>
        </w:rPr>
        <w:t>The Bennett-Levy</w:t>
      </w:r>
      <w:r w:rsidR="009C4347" w:rsidRPr="005144E4">
        <w:rPr>
          <w:b w:val="0"/>
        </w:rPr>
        <w:t xml:space="preserve"> Personal Practice</w:t>
      </w:r>
      <w:r w:rsidRPr="005144E4">
        <w:rPr>
          <w:b w:val="0"/>
        </w:rPr>
        <w:t xml:space="preserve"> model adapted from Bennett-Levy and Finlay-Jones (2018)</w:t>
      </w:r>
      <w:bookmarkEnd w:id="132"/>
      <w:bookmarkEnd w:id="133"/>
      <w:r w:rsidR="009B58D9" w:rsidRPr="005144E4">
        <w:rPr>
          <w:b w:val="0"/>
        </w:rPr>
        <w:t>.</w:t>
      </w:r>
      <w:r w:rsidR="00572F64" w:rsidRPr="005144E4">
        <w:rPr>
          <w:b w:val="0"/>
        </w:rPr>
        <w:t xml:space="preserve"> </w:t>
      </w:r>
      <w:r w:rsidR="009B58D9" w:rsidRPr="005144E4">
        <w:rPr>
          <w:b w:val="0"/>
          <w:bCs/>
        </w:rPr>
        <w:t>The</w:t>
      </w:r>
      <w:r w:rsidR="00572F64" w:rsidRPr="005144E4">
        <w:rPr>
          <w:b w:val="0"/>
          <w:bCs/>
        </w:rPr>
        <w:t xml:space="preserve"> </w:t>
      </w:r>
      <w:r w:rsidR="009B58D9" w:rsidRPr="005144E4">
        <w:rPr>
          <w:b w:val="0"/>
          <w:bCs/>
        </w:rPr>
        <w:t xml:space="preserve">model </w:t>
      </w:r>
      <w:r w:rsidR="00FD3FDE" w:rsidRPr="005144E4">
        <w:rPr>
          <w:b w:val="0"/>
          <w:bCs/>
        </w:rPr>
        <w:t xml:space="preserve">shows </w:t>
      </w:r>
      <w:r w:rsidR="000F2D4A" w:rsidRPr="005144E4">
        <w:rPr>
          <w:b w:val="0"/>
          <w:bCs/>
        </w:rPr>
        <w:t xml:space="preserve">the </w:t>
      </w:r>
      <w:r w:rsidR="00E8427F" w:rsidRPr="005144E4">
        <w:rPr>
          <w:b w:val="0"/>
          <w:bCs/>
        </w:rPr>
        <w:t xml:space="preserve">interconnection between </w:t>
      </w:r>
      <w:r w:rsidR="000F2D4A" w:rsidRPr="005144E4">
        <w:rPr>
          <w:b w:val="0"/>
          <w:bCs/>
        </w:rPr>
        <w:t>2 aspects of the therapist, the personal self</w:t>
      </w:r>
      <w:r w:rsidR="00B96366" w:rsidRPr="005144E4">
        <w:rPr>
          <w:b w:val="0"/>
          <w:bCs/>
        </w:rPr>
        <w:t xml:space="preserve"> (blue rectangle) and the therapist self (orange rectangle)</w:t>
      </w:r>
      <w:r w:rsidR="00405D9D" w:rsidRPr="005144E4">
        <w:rPr>
          <w:b w:val="0"/>
          <w:bCs/>
        </w:rPr>
        <w:t>.</w:t>
      </w:r>
      <w:r w:rsidR="00E8427F" w:rsidRPr="005144E4">
        <w:rPr>
          <w:b w:val="0"/>
          <w:bCs/>
        </w:rPr>
        <w:t xml:space="preserve"> </w:t>
      </w:r>
      <w:r w:rsidR="00C5043F" w:rsidRPr="005144E4">
        <w:rPr>
          <w:b w:val="0"/>
          <w:bCs/>
        </w:rPr>
        <w:t xml:space="preserve">Both selves are impacted by </w:t>
      </w:r>
      <w:r w:rsidR="00674151" w:rsidRPr="005144E4">
        <w:rPr>
          <w:b w:val="0"/>
          <w:bCs/>
        </w:rPr>
        <w:t>4 domains</w:t>
      </w:r>
      <w:r w:rsidR="005E61FD" w:rsidRPr="005144E4">
        <w:rPr>
          <w:b w:val="0"/>
          <w:bCs/>
        </w:rPr>
        <w:t>:</w:t>
      </w:r>
      <w:r w:rsidR="00674151" w:rsidRPr="005144E4">
        <w:rPr>
          <w:b w:val="0"/>
          <w:bCs/>
        </w:rPr>
        <w:t xml:space="preserve"> personal development, self</w:t>
      </w:r>
      <w:r w:rsidR="00B70DED" w:rsidRPr="005144E4">
        <w:rPr>
          <w:b w:val="0"/>
          <w:bCs/>
        </w:rPr>
        <w:t>-</w:t>
      </w:r>
      <w:r w:rsidR="00674151" w:rsidRPr="005144E4">
        <w:rPr>
          <w:b w:val="0"/>
          <w:bCs/>
        </w:rPr>
        <w:t>awareness, beliefs</w:t>
      </w:r>
      <w:r w:rsidR="004D255E" w:rsidRPr="005144E4">
        <w:rPr>
          <w:b w:val="0"/>
          <w:bCs/>
        </w:rPr>
        <w:t>/attitudes</w:t>
      </w:r>
      <w:r w:rsidR="00674151" w:rsidRPr="005144E4">
        <w:rPr>
          <w:b w:val="0"/>
          <w:bCs/>
        </w:rPr>
        <w:t xml:space="preserve">  and </w:t>
      </w:r>
      <w:r w:rsidR="00B70DED" w:rsidRPr="005144E4">
        <w:rPr>
          <w:b w:val="0"/>
          <w:bCs/>
        </w:rPr>
        <w:t>conceptual/technical skills.</w:t>
      </w:r>
      <w:r w:rsidR="00572F64" w:rsidRPr="005144E4">
        <w:rPr>
          <w:b w:val="0"/>
          <w:bCs/>
        </w:rPr>
        <w:t xml:space="preserve"> </w:t>
      </w:r>
      <w:r w:rsidR="001322EB" w:rsidRPr="005144E4">
        <w:rPr>
          <w:b w:val="0"/>
          <w:bCs/>
        </w:rPr>
        <w:t>The model shows how personal practice</w:t>
      </w:r>
      <w:r w:rsidR="00A771ED" w:rsidRPr="005144E4">
        <w:rPr>
          <w:b w:val="0"/>
          <w:bCs/>
        </w:rPr>
        <w:t>, training</w:t>
      </w:r>
      <w:r w:rsidR="00662F44" w:rsidRPr="005144E4">
        <w:rPr>
          <w:b w:val="0"/>
          <w:bCs/>
        </w:rPr>
        <w:t xml:space="preserve">, feedback and supervision directly impact on </w:t>
      </w:r>
      <w:r w:rsidR="0024475D" w:rsidRPr="005144E4">
        <w:rPr>
          <w:b w:val="0"/>
          <w:bCs/>
        </w:rPr>
        <w:t>a therapist’s self</w:t>
      </w:r>
      <w:r w:rsidR="00486CF0" w:rsidRPr="005144E4">
        <w:rPr>
          <w:b w:val="0"/>
          <w:bCs/>
        </w:rPr>
        <w:t>-</w:t>
      </w:r>
      <w:r w:rsidR="0024475D" w:rsidRPr="005144E4">
        <w:rPr>
          <w:b w:val="0"/>
          <w:bCs/>
        </w:rPr>
        <w:t>awareness</w:t>
      </w:r>
      <w:r w:rsidR="00306801" w:rsidRPr="005144E4">
        <w:rPr>
          <w:b w:val="0"/>
          <w:bCs/>
        </w:rPr>
        <w:t>, beliefs and skills</w:t>
      </w:r>
      <w:r w:rsidR="00406250" w:rsidRPr="005144E4">
        <w:rPr>
          <w:b w:val="0"/>
          <w:bCs/>
        </w:rPr>
        <w:t xml:space="preserve"> when therapists </w:t>
      </w:r>
      <w:r w:rsidR="00CB6B98" w:rsidRPr="005144E4">
        <w:rPr>
          <w:b w:val="0"/>
          <w:bCs/>
        </w:rPr>
        <w:t xml:space="preserve">are able to </w:t>
      </w:r>
      <w:r w:rsidR="00406250" w:rsidRPr="005144E4">
        <w:rPr>
          <w:b w:val="0"/>
          <w:bCs/>
        </w:rPr>
        <w:t>reflect</w:t>
      </w:r>
      <w:r w:rsidR="00CB6B98" w:rsidRPr="005144E4">
        <w:rPr>
          <w:b w:val="0"/>
          <w:bCs/>
        </w:rPr>
        <w:t xml:space="preserve"> on learning</w:t>
      </w:r>
      <w:r w:rsidR="00386F5B" w:rsidRPr="005144E4">
        <w:rPr>
          <w:b w:val="0"/>
          <w:bCs/>
        </w:rPr>
        <w:t>. This process aims to improve therapist effectiveness.</w:t>
      </w:r>
      <w:bookmarkEnd w:id="134"/>
    </w:p>
    <w:p w14:paraId="7DE39998" w14:textId="73F4733E" w:rsidR="007F596B" w:rsidRDefault="00460A60" w:rsidP="007F596B">
      <w:pPr>
        <w:spacing w:line="480" w:lineRule="auto"/>
        <w:rPr>
          <w:rFonts w:ascii="Arial" w:hAnsi="Arial" w:cs="Arial"/>
          <w:sz w:val="22"/>
          <w:szCs w:val="22"/>
        </w:rPr>
      </w:pPr>
      <w:r>
        <w:rPr>
          <w:rFonts w:ascii="Arial" w:hAnsi="Arial" w:cs="Arial"/>
          <w:noProof/>
          <w:sz w:val="22"/>
          <w:szCs w:val="22"/>
        </w:rPr>
        <w:drawing>
          <wp:inline distT="0" distB="0" distL="0" distR="0" wp14:anchorId="03F616D3" wp14:editId="1A7785AB">
            <wp:extent cx="6567201" cy="5722620"/>
            <wp:effectExtent l="0" t="0" r="0" b="5080"/>
            <wp:docPr id="57" name="Picture 57" descr="P77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P779#yIS1"/>
                    <pic:cNvPicPr/>
                  </pic:nvPicPr>
                  <pic:blipFill>
                    <a:blip r:embed="rId30"/>
                    <a:stretch>
                      <a:fillRect/>
                    </a:stretch>
                  </pic:blipFill>
                  <pic:spPr>
                    <a:xfrm>
                      <a:off x="0" y="0"/>
                      <a:ext cx="6611349" cy="5761090"/>
                    </a:xfrm>
                    <a:prstGeom prst="rect">
                      <a:avLst/>
                    </a:prstGeom>
                  </pic:spPr>
                </pic:pic>
              </a:graphicData>
            </a:graphic>
          </wp:inline>
        </w:drawing>
      </w:r>
    </w:p>
    <w:p w14:paraId="1F885AA0" w14:textId="77777777" w:rsidR="007F596B" w:rsidRDefault="007F596B" w:rsidP="007F596B">
      <w:pPr>
        <w:spacing w:line="480" w:lineRule="auto"/>
        <w:rPr>
          <w:rFonts w:ascii="Arial" w:hAnsi="Arial" w:cs="Arial"/>
          <w:sz w:val="22"/>
          <w:szCs w:val="22"/>
        </w:rPr>
      </w:pPr>
    </w:p>
    <w:p w14:paraId="0EDA722B" w14:textId="77777777" w:rsidR="00C94464" w:rsidRDefault="00C94464" w:rsidP="007F596B">
      <w:pPr>
        <w:spacing w:line="480" w:lineRule="auto"/>
        <w:rPr>
          <w:rFonts w:ascii="Arial" w:hAnsi="Arial" w:cs="Arial"/>
          <w:sz w:val="22"/>
          <w:szCs w:val="22"/>
        </w:rPr>
      </w:pPr>
    </w:p>
    <w:p w14:paraId="1F990C4F" w14:textId="77777777" w:rsidR="004A0120" w:rsidRDefault="004A0120">
      <w:pPr>
        <w:rPr>
          <w:rFonts w:ascii="Arial" w:hAnsi="Arial" w:cs="Arial"/>
          <w:sz w:val="22"/>
          <w:szCs w:val="22"/>
        </w:rPr>
      </w:pPr>
      <w:r>
        <w:rPr>
          <w:rFonts w:ascii="Arial" w:hAnsi="Arial" w:cs="Arial"/>
          <w:sz w:val="22"/>
          <w:szCs w:val="22"/>
        </w:rPr>
        <w:br w:type="page"/>
      </w:r>
    </w:p>
    <w:p w14:paraId="4D097016" w14:textId="11E77F63" w:rsidR="007F596B" w:rsidRDefault="007F596B" w:rsidP="007F596B">
      <w:pPr>
        <w:spacing w:line="480" w:lineRule="auto"/>
        <w:rPr>
          <w:rFonts w:ascii="Arial" w:hAnsi="Arial" w:cs="Arial"/>
          <w:sz w:val="22"/>
          <w:szCs w:val="22"/>
        </w:rPr>
      </w:pPr>
      <w:r>
        <w:rPr>
          <w:rFonts w:ascii="Arial" w:hAnsi="Arial" w:cs="Arial"/>
          <w:sz w:val="22"/>
          <w:szCs w:val="22"/>
        </w:rPr>
        <w:lastRenderedPageBreak/>
        <w:t>Whilst therapist self-reflection has been demonstrated to enhance practice (Bennett-Levy and Thwaites 2007) it might be argued that it is somewhat unilateral in that therapists may not be aware of their own training needs and may have ‘blindspots’ (</w:t>
      </w:r>
      <w:r w:rsidR="00CA5DFA">
        <w:rPr>
          <w:rFonts w:ascii="Arial" w:hAnsi="Arial" w:cs="Arial"/>
          <w:sz w:val="22"/>
          <w:szCs w:val="22"/>
        </w:rPr>
        <w:t>Mathieson, Barnfield and Beaumont, 2008, Brosan, Reynolds and Moore, 2008</w:t>
      </w:r>
      <w:r>
        <w:rPr>
          <w:rFonts w:ascii="Arial" w:hAnsi="Arial" w:cs="Arial"/>
          <w:sz w:val="22"/>
          <w:szCs w:val="22"/>
        </w:rPr>
        <w:t xml:space="preserve">). Therefore, the IECBT model includes supervisory feedback and learnings derived from clinical outcomes. </w:t>
      </w:r>
      <w:r w:rsidR="00CA5DFA">
        <w:rPr>
          <w:rFonts w:ascii="Arial" w:hAnsi="Arial" w:cs="Arial"/>
          <w:sz w:val="22"/>
          <w:szCs w:val="22"/>
        </w:rPr>
        <w:t>T</w:t>
      </w:r>
      <w:r>
        <w:rPr>
          <w:rFonts w:ascii="Arial" w:hAnsi="Arial" w:cs="Arial"/>
          <w:sz w:val="22"/>
          <w:szCs w:val="22"/>
        </w:rPr>
        <w:t xml:space="preserve">herapists are encouraged to use their own self-reflections in collaboration with the feedback and support from their supervisor and the data that has been derived from the patients they have treated.  This cyclical model is shown in figure </w:t>
      </w:r>
      <w:r w:rsidR="00CA5DFA">
        <w:rPr>
          <w:rFonts w:ascii="Arial" w:hAnsi="Arial" w:cs="Arial"/>
          <w:sz w:val="22"/>
          <w:szCs w:val="22"/>
        </w:rPr>
        <w:t>2.</w:t>
      </w:r>
      <w:r w:rsidR="00330A9A">
        <w:rPr>
          <w:rFonts w:ascii="Arial" w:hAnsi="Arial" w:cs="Arial"/>
          <w:sz w:val="22"/>
          <w:szCs w:val="22"/>
        </w:rPr>
        <w:t>8</w:t>
      </w:r>
      <w:r w:rsidR="00CA5DFA">
        <w:rPr>
          <w:rFonts w:ascii="Arial" w:hAnsi="Arial" w:cs="Arial"/>
          <w:sz w:val="22"/>
          <w:szCs w:val="22"/>
        </w:rPr>
        <w:t>.</w:t>
      </w:r>
    </w:p>
    <w:p w14:paraId="790EB8BA" w14:textId="77777777" w:rsidR="00616CE3" w:rsidRDefault="00616CE3" w:rsidP="007F596B">
      <w:pPr>
        <w:spacing w:line="480" w:lineRule="auto"/>
        <w:rPr>
          <w:rFonts w:ascii="Arial" w:hAnsi="Arial" w:cs="Arial"/>
          <w:sz w:val="22"/>
          <w:szCs w:val="22"/>
        </w:rPr>
      </w:pPr>
    </w:p>
    <w:p w14:paraId="2EC80624" w14:textId="1ECA4948" w:rsidR="00CA5DFA" w:rsidRDefault="00CA5DFA" w:rsidP="00CA5DFA">
      <w:pPr>
        <w:pStyle w:val="Heading3"/>
        <w:rPr>
          <w:rFonts w:cs="Arial"/>
          <w:color w:val="000000" w:themeColor="text1"/>
          <w:szCs w:val="22"/>
        </w:rPr>
      </w:pPr>
      <w:bookmarkStart w:id="135" w:name="_Toc46770743"/>
      <w:bookmarkStart w:id="136" w:name="_Toc79414154"/>
      <w:r>
        <w:rPr>
          <w:rFonts w:cs="Arial"/>
          <w:color w:val="000000" w:themeColor="text1"/>
          <w:szCs w:val="22"/>
        </w:rPr>
        <w:t>2.1</w:t>
      </w:r>
      <w:r w:rsidR="00702ED5">
        <w:rPr>
          <w:rFonts w:cs="Arial"/>
          <w:color w:val="000000" w:themeColor="text1"/>
          <w:szCs w:val="22"/>
        </w:rPr>
        <w:t>1</w:t>
      </w:r>
      <w:r>
        <w:rPr>
          <w:rFonts w:cs="Arial"/>
          <w:color w:val="000000" w:themeColor="text1"/>
          <w:szCs w:val="22"/>
        </w:rPr>
        <w:t>.3</w:t>
      </w:r>
      <w:r w:rsidRPr="00791362">
        <w:rPr>
          <w:rFonts w:cs="Arial"/>
          <w:color w:val="000000" w:themeColor="text1"/>
          <w:szCs w:val="22"/>
        </w:rPr>
        <w:t xml:space="preserve"> Clinical decision support</w:t>
      </w:r>
      <w:r>
        <w:rPr>
          <w:rFonts w:cs="Arial"/>
          <w:color w:val="000000" w:themeColor="text1"/>
          <w:szCs w:val="22"/>
        </w:rPr>
        <w:t xml:space="preserve"> tools (CDS)</w:t>
      </w:r>
      <w:bookmarkEnd w:id="135"/>
      <w:bookmarkEnd w:id="136"/>
    </w:p>
    <w:p w14:paraId="4AA05FCE" w14:textId="77777777" w:rsidR="00CA5DFA" w:rsidRDefault="00CA5DFA" w:rsidP="00CA5DFA"/>
    <w:p w14:paraId="4D3CC114" w14:textId="5CFEC1C8" w:rsidR="00CA5DFA" w:rsidRDefault="00CA5DFA" w:rsidP="00CA5DFA">
      <w:pPr>
        <w:spacing w:line="480" w:lineRule="auto"/>
        <w:rPr>
          <w:rFonts w:ascii="Arial" w:hAnsi="Arial" w:cs="Arial"/>
          <w:sz w:val="22"/>
          <w:szCs w:val="22"/>
        </w:rPr>
      </w:pPr>
      <w:r>
        <w:rPr>
          <w:rFonts w:ascii="Arial" w:hAnsi="Arial" w:cs="Arial"/>
          <w:sz w:val="22"/>
          <w:szCs w:val="22"/>
        </w:rPr>
        <w:t>In addition to continuing professional development and supervision and individual feedback based on outcome data and review of therapy transcripts, t</w:t>
      </w:r>
      <w:r w:rsidRPr="00BE2941">
        <w:rPr>
          <w:rFonts w:ascii="Arial" w:hAnsi="Arial" w:cs="Arial"/>
          <w:sz w:val="22"/>
          <w:szCs w:val="22"/>
        </w:rPr>
        <w:t>he IECBT method employs further methodology to support therapists whilst working with their patients</w:t>
      </w:r>
      <w:r w:rsidR="00505B1B">
        <w:rPr>
          <w:rFonts w:ascii="Arial" w:hAnsi="Arial" w:cs="Arial"/>
          <w:sz w:val="22"/>
          <w:szCs w:val="22"/>
        </w:rPr>
        <w:t>.</w:t>
      </w:r>
      <w:r w:rsidRPr="00BE2941">
        <w:rPr>
          <w:rFonts w:ascii="Arial" w:hAnsi="Arial" w:cs="Arial"/>
          <w:sz w:val="22"/>
          <w:szCs w:val="22"/>
        </w:rPr>
        <w:t xml:space="preserve">  This includes the early development of clinical decision support tools.  Just as not all therapists are able to make best use of self-reflection and may have significant blindspots regarding their practice (Mathieson, Barnfield and Beaumont) it is likely that not all therapists possess the ability to make effective clinical decisions (Barkham, Margison, Leach, Lucock, Mellor-Clark, Evans et al., 2001).  This issue may significantly impact on the effective delivery psychological therapies (Borkovec, Echemendia, Ragusea and Ruiz 2001).  Clinical Decision Support tools (CDS) have been described as a computerised process of providing clinicians with patient specific information, at the moment when it is required, in order to improves the quality of care that is provided (Klonoff and True, 2009). </w:t>
      </w:r>
    </w:p>
    <w:p w14:paraId="7E1DCC29" w14:textId="77777777" w:rsidR="007F596B" w:rsidRDefault="007F596B" w:rsidP="007F596B">
      <w:pPr>
        <w:spacing w:line="480" w:lineRule="auto"/>
        <w:rPr>
          <w:rFonts w:ascii="Arial" w:hAnsi="Arial" w:cs="Arial"/>
          <w:sz w:val="22"/>
          <w:szCs w:val="22"/>
        </w:rPr>
      </w:pPr>
    </w:p>
    <w:p w14:paraId="582E4EBC" w14:textId="77777777" w:rsidR="007F596B" w:rsidRDefault="007F596B" w:rsidP="007F596B">
      <w:pPr>
        <w:spacing w:line="480" w:lineRule="auto"/>
        <w:rPr>
          <w:rFonts w:ascii="Arial" w:hAnsi="Arial" w:cs="Arial"/>
          <w:sz w:val="22"/>
          <w:szCs w:val="22"/>
        </w:rPr>
      </w:pPr>
    </w:p>
    <w:p w14:paraId="038F564C" w14:textId="77777777" w:rsidR="007F596B" w:rsidRDefault="007F596B" w:rsidP="007F596B">
      <w:pPr>
        <w:spacing w:line="480" w:lineRule="auto"/>
        <w:rPr>
          <w:rFonts w:ascii="Arial" w:hAnsi="Arial" w:cs="Arial"/>
          <w:sz w:val="22"/>
          <w:szCs w:val="22"/>
        </w:rPr>
      </w:pPr>
    </w:p>
    <w:p w14:paraId="2CEE467A" w14:textId="77777777" w:rsidR="007F596B" w:rsidRDefault="007F596B" w:rsidP="007F596B">
      <w:pPr>
        <w:spacing w:line="480" w:lineRule="auto"/>
        <w:rPr>
          <w:rFonts w:ascii="Arial" w:hAnsi="Arial" w:cs="Arial"/>
          <w:sz w:val="22"/>
          <w:szCs w:val="22"/>
        </w:rPr>
      </w:pPr>
    </w:p>
    <w:p w14:paraId="2645E165" w14:textId="77777777" w:rsidR="00DB2FFC" w:rsidRDefault="00DB2FFC">
      <w:pPr>
        <w:rPr>
          <w:rFonts w:ascii="Arial" w:hAnsi="Arial" w:cs="Arial"/>
          <w:b/>
          <w:sz w:val="22"/>
          <w:szCs w:val="22"/>
        </w:rPr>
      </w:pPr>
      <w:r>
        <w:rPr>
          <w:rFonts w:ascii="Arial" w:hAnsi="Arial" w:cs="Arial"/>
          <w:b/>
          <w:sz w:val="22"/>
          <w:szCs w:val="22"/>
        </w:rPr>
        <w:br w:type="page"/>
      </w:r>
    </w:p>
    <w:p w14:paraId="78459B1D" w14:textId="40C8B8D7" w:rsidR="00DB2FFC" w:rsidRDefault="00DB2FFC" w:rsidP="002A3735">
      <w:pPr>
        <w:pStyle w:val="Figures"/>
        <w:rPr>
          <w:b w:val="0"/>
        </w:rPr>
      </w:pPr>
      <w:bookmarkStart w:id="137" w:name="_Toc28339123"/>
      <w:bookmarkStart w:id="138" w:name="_Toc28339965"/>
      <w:bookmarkStart w:id="139" w:name="_Toc46770937"/>
      <w:r w:rsidRPr="00DB2FFC">
        <w:lastRenderedPageBreak/>
        <w:t>Figure 2.8</w:t>
      </w:r>
      <w:r w:rsidRPr="008E66D4">
        <w:t xml:space="preserve"> </w:t>
      </w:r>
      <w:r w:rsidRPr="002A3735">
        <w:rPr>
          <w:b w:val="0"/>
        </w:rPr>
        <w:t>The IECBT model of continuing professional development</w:t>
      </w:r>
      <w:bookmarkEnd w:id="137"/>
      <w:bookmarkEnd w:id="138"/>
      <w:r w:rsidR="00184997">
        <w:rPr>
          <w:b w:val="0"/>
        </w:rPr>
        <w:t xml:space="preserve">. </w:t>
      </w:r>
      <w:r w:rsidR="00184997" w:rsidRPr="005144E4">
        <w:rPr>
          <w:b w:val="0"/>
        </w:rPr>
        <w:t>The figure</w:t>
      </w:r>
      <w:r w:rsidR="00867053" w:rsidRPr="005144E4">
        <w:rPr>
          <w:b w:val="0"/>
        </w:rPr>
        <w:t xml:space="preserve"> show</w:t>
      </w:r>
      <w:r w:rsidR="00184997" w:rsidRPr="005144E4">
        <w:rPr>
          <w:b w:val="0"/>
        </w:rPr>
        <w:t>s</w:t>
      </w:r>
      <w:r w:rsidR="00867053" w:rsidRPr="005144E4">
        <w:rPr>
          <w:b w:val="0"/>
        </w:rPr>
        <w:t xml:space="preserve"> how </w:t>
      </w:r>
      <w:r w:rsidR="00A95C81" w:rsidRPr="005144E4">
        <w:rPr>
          <w:b w:val="0"/>
        </w:rPr>
        <w:t>the learning management system (LMS)</w:t>
      </w:r>
      <w:r w:rsidR="00FD612E" w:rsidRPr="005144E4">
        <w:rPr>
          <w:b w:val="0"/>
        </w:rPr>
        <w:t xml:space="preserve"> support</w:t>
      </w:r>
      <w:r w:rsidR="00184997" w:rsidRPr="005144E4">
        <w:rPr>
          <w:b w:val="0"/>
        </w:rPr>
        <w:t xml:space="preserve">s </w:t>
      </w:r>
      <w:r w:rsidR="00FD612E" w:rsidRPr="005144E4">
        <w:rPr>
          <w:b w:val="0"/>
        </w:rPr>
        <w:t>therapists to transfer theoretical knowled</w:t>
      </w:r>
      <w:r w:rsidR="00184997" w:rsidRPr="005144E4">
        <w:rPr>
          <w:b w:val="0"/>
        </w:rPr>
        <w:t>ge</w:t>
      </w:r>
      <w:r w:rsidR="00E77049" w:rsidRPr="005144E4">
        <w:rPr>
          <w:b w:val="0"/>
        </w:rPr>
        <w:t xml:space="preserve"> into </w:t>
      </w:r>
      <w:r w:rsidR="00E25DA0" w:rsidRPr="005144E4">
        <w:rPr>
          <w:b w:val="0"/>
        </w:rPr>
        <w:t xml:space="preserve">clinical practice and then receive feedback (therapy insights) on their ability to demonstrate </w:t>
      </w:r>
      <w:r w:rsidR="002E39DB" w:rsidRPr="005144E4">
        <w:rPr>
          <w:b w:val="0"/>
        </w:rPr>
        <w:t>that they have met the learning objectives</w:t>
      </w:r>
      <w:r w:rsidR="003C6E6C" w:rsidRPr="005144E4">
        <w:rPr>
          <w:b w:val="0"/>
        </w:rPr>
        <w:t xml:space="preserve"> whilst treating a patient.</w:t>
      </w:r>
      <w:bookmarkEnd w:id="139"/>
    </w:p>
    <w:p w14:paraId="0B08BB4A" w14:textId="77777777" w:rsidR="00034586" w:rsidRDefault="00034586" w:rsidP="002A3735">
      <w:pPr>
        <w:pStyle w:val="Figures"/>
      </w:pPr>
    </w:p>
    <w:p w14:paraId="776E72B1" w14:textId="77777777" w:rsidR="007F596B" w:rsidRDefault="007F596B" w:rsidP="007F596B">
      <w:pPr>
        <w:spacing w:line="480" w:lineRule="auto"/>
        <w:rPr>
          <w:rFonts w:ascii="Arial" w:hAnsi="Arial" w:cs="Arial"/>
          <w:sz w:val="22"/>
          <w:szCs w:val="22"/>
        </w:rPr>
      </w:pPr>
      <w:r>
        <w:rPr>
          <w:rFonts w:ascii="Arial" w:hAnsi="Arial" w:cs="Arial"/>
          <w:noProof/>
          <w:sz w:val="22"/>
          <w:szCs w:val="22"/>
        </w:rPr>
        <w:drawing>
          <wp:inline distT="0" distB="0" distL="0" distR="0" wp14:anchorId="380728D1" wp14:editId="06FC69ED">
            <wp:extent cx="5727700" cy="3658870"/>
            <wp:effectExtent l="0" t="0" r="0" b="0"/>
            <wp:docPr id="18" name="Picture 18" descr="P79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P795#yIS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27700" cy="3658870"/>
                    </a:xfrm>
                    <a:prstGeom prst="rect">
                      <a:avLst/>
                    </a:prstGeom>
                  </pic:spPr>
                </pic:pic>
              </a:graphicData>
            </a:graphic>
          </wp:inline>
        </w:drawing>
      </w:r>
    </w:p>
    <w:p w14:paraId="6332E6C3" w14:textId="77777777" w:rsidR="007F596B" w:rsidRDefault="007F596B" w:rsidP="007F596B">
      <w:pPr>
        <w:spacing w:line="480" w:lineRule="auto"/>
        <w:rPr>
          <w:rFonts w:ascii="Arial" w:hAnsi="Arial" w:cs="Arial"/>
          <w:sz w:val="22"/>
          <w:szCs w:val="22"/>
        </w:rPr>
      </w:pPr>
    </w:p>
    <w:p w14:paraId="32CBA76C" w14:textId="77777777" w:rsidR="007F596B" w:rsidRDefault="007F596B" w:rsidP="007F596B">
      <w:pPr>
        <w:spacing w:line="480" w:lineRule="auto"/>
        <w:rPr>
          <w:rFonts w:ascii="Arial" w:hAnsi="Arial" w:cs="Arial"/>
          <w:sz w:val="22"/>
          <w:szCs w:val="22"/>
        </w:rPr>
      </w:pPr>
    </w:p>
    <w:p w14:paraId="50238F3F" w14:textId="77777777" w:rsidR="00CA5DFA" w:rsidRDefault="00CA5DFA" w:rsidP="007F596B">
      <w:pPr>
        <w:spacing w:line="480" w:lineRule="auto"/>
        <w:rPr>
          <w:rFonts w:ascii="Arial" w:hAnsi="Arial" w:cs="Arial"/>
          <w:sz w:val="22"/>
          <w:szCs w:val="22"/>
        </w:rPr>
      </w:pPr>
    </w:p>
    <w:p w14:paraId="21F1F542" w14:textId="77777777" w:rsidR="00CA5DFA" w:rsidRDefault="00CA5DFA" w:rsidP="007F596B">
      <w:pPr>
        <w:spacing w:line="480" w:lineRule="auto"/>
        <w:rPr>
          <w:rFonts w:ascii="Arial" w:hAnsi="Arial" w:cs="Arial"/>
          <w:sz w:val="22"/>
          <w:szCs w:val="22"/>
        </w:rPr>
      </w:pPr>
    </w:p>
    <w:p w14:paraId="621E5A39" w14:textId="77777777" w:rsidR="00CA5DFA" w:rsidRDefault="00CA5DFA" w:rsidP="007F596B">
      <w:pPr>
        <w:spacing w:line="480" w:lineRule="auto"/>
        <w:rPr>
          <w:rFonts w:ascii="Arial" w:hAnsi="Arial" w:cs="Arial"/>
          <w:sz w:val="22"/>
          <w:szCs w:val="22"/>
        </w:rPr>
      </w:pPr>
    </w:p>
    <w:p w14:paraId="39337171" w14:textId="77777777" w:rsidR="00CA5DFA" w:rsidRDefault="00CA5DFA" w:rsidP="007F596B">
      <w:pPr>
        <w:spacing w:line="480" w:lineRule="auto"/>
        <w:rPr>
          <w:rFonts w:ascii="Arial" w:hAnsi="Arial" w:cs="Arial"/>
          <w:sz w:val="22"/>
          <w:szCs w:val="22"/>
        </w:rPr>
      </w:pPr>
    </w:p>
    <w:p w14:paraId="145BD3AD" w14:textId="77777777" w:rsidR="00CA5DFA" w:rsidRDefault="00CA5DFA" w:rsidP="007F596B">
      <w:pPr>
        <w:spacing w:line="480" w:lineRule="auto"/>
        <w:rPr>
          <w:rFonts w:ascii="Arial" w:hAnsi="Arial" w:cs="Arial"/>
          <w:sz w:val="22"/>
          <w:szCs w:val="22"/>
        </w:rPr>
      </w:pPr>
    </w:p>
    <w:p w14:paraId="66BE5876" w14:textId="77777777" w:rsidR="00CA5DFA" w:rsidRDefault="00CA5DFA" w:rsidP="007F596B">
      <w:pPr>
        <w:spacing w:line="480" w:lineRule="auto"/>
        <w:rPr>
          <w:rFonts w:ascii="Arial" w:hAnsi="Arial" w:cs="Arial"/>
          <w:sz w:val="22"/>
          <w:szCs w:val="22"/>
        </w:rPr>
      </w:pPr>
    </w:p>
    <w:p w14:paraId="5BA045F9" w14:textId="77777777" w:rsidR="00CA5DFA" w:rsidRDefault="00CA5DFA" w:rsidP="007F596B">
      <w:pPr>
        <w:spacing w:line="480" w:lineRule="auto"/>
        <w:rPr>
          <w:rFonts w:ascii="Arial" w:hAnsi="Arial" w:cs="Arial"/>
          <w:sz w:val="22"/>
          <w:szCs w:val="22"/>
        </w:rPr>
      </w:pPr>
    </w:p>
    <w:p w14:paraId="4B142BD7" w14:textId="77777777" w:rsidR="00505B1B" w:rsidRDefault="00505B1B" w:rsidP="007F596B">
      <w:pPr>
        <w:spacing w:line="480" w:lineRule="auto"/>
        <w:rPr>
          <w:rFonts w:ascii="Arial" w:hAnsi="Arial" w:cs="Arial"/>
          <w:sz w:val="22"/>
          <w:szCs w:val="22"/>
        </w:rPr>
      </w:pPr>
    </w:p>
    <w:p w14:paraId="14D95A8A" w14:textId="77777777" w:rsidR="00505B1B" w:rsidRDefault="00505B1B" w:rsidP="007F596B">
      <w:pPr>
        <w:spacing w:line="480" w:lineRule="auto"/>
        <w:rPr>
          <w:rFonts w:ascii="Arial" w:hAnsi="Arial" w:cs="Arial"/>
          <w:sz w:val="22"/>
          <w:szCs w:val="22"/>
        </w:rPr>
      </w:pPr>
    </w:p>
    <w:p w14:paraId="7CF6B120" w14:textId="77777777" w:rsidR="00DB2FFC" w:rsidRDefault="00DB2FFC">
      <w:pPr>
        <w:rPr>
          <w:rFonts w:ascii="Arial" w:hAnsi="Arial" w:cs="Arial"/>
          <w:sz w:val="22"/>
          <w:szCs w:val="22"/>
        </w:rPr>
      </w:pPr>
      <w:r>
        <w:rPr>
          <w:rFonts w:ascii="Arial" w:hAnsi="Arial" w:cs="Arial"/>
          <w:sz w:val="22"/>
          <w:szCs w:val="22"/>
        </w:rPr>
        <w:br w:type="page"/>
      </w:r>
    </w:p>
    <w:p w14:paraId="29ED8140" w14:textId="7C379FB4" w:rsidR="007F596B" w:rsidRPr="00BE2941" w:rsidRDefault="00CB48DD" w:rsidP="007F596B">
      <w:pPr>
        <w:spacing w:line="480" w:lineRule="auto"/>
        <w:rPr>
          <w:rFonts w:ascii="Arial" w:hAnsi="Arial" w:cs="Arial"/>
          <w:sz w:val="22"/>
          <w:szCs w:val="22"/>
        </w:rPr>
      </w:pPr>
      <w:r>
        <w:rPr>
          <w:rFonts w:ascii="Arial" w:hAnsi="Arial" w:cs="Arial"/>
          <w:sz w:val="22"/>
          <w:szCs w:val="22"/>
        </w:rPr>
        <w:lastRenderedPageBreak/>
        <w:t xml:space="preserve">This </w:t>
      </w:r>
      <w:r w:rsidR="00CA5DFA">
        <w:rPr>
          <w:rFonts w:ascii="Arial" w:hAnsi="Arial" w:cs="Arial"/>
          <w:sz w:val="22"/>
          <w:szCs w:val="22"/>
        </w:rPr>
        <w:t>clinical decision support process</w:t>
      </w:r>
      <w:r>
        <w:rPr>
          <w:rFonts w:ascii="Arial" w:hAnsi="Arial" w:cs="Arial"/>
          <w:sz w:val="22"/>
          <w:szCs w:val="22"/>
        </w:rPr>
        <w:t xml:space="preserve"> might be defined as live digital supervision. </w:t>
      </w:r>
      <w:r w:rsidR="007F596B" w:rsidRPr="00BE2941">
        <w:rPr>
          <w:rFonts w:ascii="Arial" w:hAnsi="Arial" w:cs="Arial"/>
          <w:sz w:val="22"/>
          <w:szCs w:val="22"/>
        </w:rPr>
        <w:t>Clinical Decision Support (CDS) tools work effectively on computer-based symptoms where data is generated or transmitted electronically (Klonoff and True, 2009).  As the IECBT method is a computer-based system whereby the data (transcripts, patient outcome, patient demographics) is generated electronically it follows that CDS tools can be developed to support therapist</w:t>
      </w:r>
      <w:r w:rsidR="009B782E">
        <w:rPr>
          <w:rFonts w:ascii="Arial" w:hAnsi="Arial" w:cs="Arial"/>
          <w:sz w:val="22"/>
          <w:szCs w:val="22"/>
        </w:rPr>
        <w:t>s</w:t>
      </w:r>
      <w:r w:rsidR="007F596B" w:rsidRPr="00BE2941">
        <w:rPr>
          <w:rFonts w:ascii="Arial" w:hAnsi="Arial" w:cs="Arial"/>
          <w:sz w:val="22"/>
          <w:szCs w:val="22"/>
        </w:rPr>
        <w:t xml:space="preserve"> when making clinical decisions.  The CDS tools use machine learning and algorithms to make predictions about patient characteristics including likelihood of recovery, expected trajectory of recovery, possible diagnosis, severity</w:t>
      </w:r>
      <w:r w:rsidR="009B782E">
        <w:rPr>
          <w:rFonts w:ascii="Arial" w:hAnsi="Arial" w:cs="Arial"/>
          <w:sz w:val="22"/>
          <w:szCs w:val="22"/>
        </w:rPr>
        <w:t>,</w:t>
      </w:r>
      <w:r w:rsidR="007F596B" w:rsidRPr="00BE2941">
        <w:rPr>
          <w:rFonts w:ascii="Arial" w:hAnsi="Arial" w:cs="Arial"/>
          <w:sz w:val="22"/>
          <w:szCs w:val="22"/>
        </w:rPr>
        <w:t xml:space="preserve"> and likelihood of the patient dropping out of treatment (Lutz et al., 2006).  The first iteration of CDS in the IECBT platform is guidance and suggestions relating to the possible diagnosis of the patient, the severity and the likelihood that the patient will drop out (</w:t>
      </w:r>
      <w:r w:rsidR="00814D2A">
        <w:rPr>
          <w:rFonts w:ascii="Arial" w:hAnsi="Arial" w:cs="Arial"/>
          <w:sz w:val="22"/>
          <w:szCs w:val="22"/>
        </w:rPr>
        <w:t>Evening</w:t>
      </w:r>
      <w:r w:rsidR="007F596B" w:rsidRPr="00BE2941">
        <w:rPr>
          <w:rFonts w:ascii="Arial" w:hAnsi="Arial" w:cs="Arial"/>
          <w:sz w:val="22"/>
          <w:szCs w:val="22"/>
        </w:rPr>
        <w:t xml:space="preserve"> Standard, 2019). Figure </w:t>
      </w:r>
      <w:r w:rsidR="00CA5DFA">
        <w:rPr>
          <w:rFonts w:ascii="Arial" w:hAnsi="Arial" w:cs="Arial"/>
          <w:sz w:val="22"/>
          <w:szCs w:val="22"/>
        </w:rPr>
        <w:t>2.</w:t>
      </w:r>
      <w:r w:rsidR="00330A9A">
        <w:rPr>
          <w:rFonts w:ascii="Arial" w:hAnsi="Arial" w:cs="Arial"/>
          <w:sz w:val="22"/>
          <w:szCs w:val="22"/>
        </w:rPr>
        <w:t>9</w:t>
      </w:r>
      <w:r w:rsidR="007F596B" w:rsidRPr="00BE2941">
        <w:rPr>
          <w:rFonts w:ascii="Arial" w:hAnsi="Arial" w:cs="Arial"/>
          <w:sz w:val="22"/>
          <w:szCs w:val="22"/>
        </w:rPr>
        <w:t xml:space="preserve"> shows the IECBT tool on the IECBT platform.</w:t>
      </w:r>
    </w:p>
    <w:p w14:paraId="178435F7" w14:textId="77777777" w:rsidR="007F596B" w:rsidRDefault="007F596B" w:rsidP="007F596B">
      <w:pPr>
        <w:spacing w:line="480" w:lineRule="auto"/>
      </w:pPr>
    </w:p>
    <w:p w14:paraId="461703AC" w14:textId="256ABE09" w:rsidR="007F596B" w:rsidRPr="009B5F12" w:rsidRDefault="007F596B" w:rsidP="007F596B">
      <w:pPr>
        <w:spacing w:line="480" w:lineRule="auto"/>
        <w:rPr>
          <w:rFonts w:ascii="Arial" w:hAnsi="Arial" w:cs="Arial"/>
          <w:sz w:val="22"/>
          <w:szCs w:val="22"/>
        </w:rPr>
      </w:pPr>
      <w:r>
        <w:rPr>
          <w:rFonts w:ascii="Arial" w:hAnsi="Arial" w:cs="Arial"/>
          <w:sz w:val="22"/>
          <w:szCs w:val="22"/>
        </w:rPr>
        <w:t>It should be noted that it is yet to be understood to what extent therapists engage with clinical decision support tools and whether they have any impact on clinical outcomes. For example, one study suggests therapist attitudes towards the guidance they receive from clinical decision support tools (whether they like it, or agree with it) has an impact on how they engage with the guidance that has been received (Lutz, Rubel, Schiefele, Zimmermann, Bohnke and Wittman 2015). Further research and modifications will be required in order to understand these factors (Lutz et al., 2015).</w:t>
      </w:r>
      <w:r w:rsidR="005B59BC">
        <w:rPr>
          <w:rFonts w:ascii="Arial" w:hAnsi="Arial" w:cs="Arial"/>
          <w:sz w:val="22"/>
          <w:szCs w:val="22"/>
        </w:rPr>
        <w:t xml:space="preserve"> Clinical decision support tools are currently not used in face-to-face IAPT services.</w:t>
      </w:r>
    </w:p>
    <w:p w14:paraId="7BF4A723" w14:textId="77777777" w:rsidR="007F596B" w:rsidRDefault="007F596B" w:rsidP="007F596B">
      <w:pPr>
        <w:spacing w:line="480" w:lineRule="auto"/>
      </w:pPr>
    </w:p>
    <w:p w14:paraId="73BCD8C1" w14:textId="77777777" w:rsidR="007F596B" w:rsidRDefault="007F596B" w:rsidP="007F596B">
      <w:pPr>
        <w:spacing w:line="480" w:lineRule="auto"/>
      </w:pPr>
    </w:p>
    <w:p w14:paraId="2ED46BCF" w14:textId="77777777" w:rsidR="007F596B" w:rsidRDefault="007F596B" w:rsidP="007F596B">
      <w:pPr>
        <w:spacing w:line="480" w:lineRule="auto"/>
      </w:pPr>
    </w:p>
    <w:p w14:paraId="2638BC3E" w14:textId="77777777" w:rsidR="007F596B" w:rsidRDefault="007F596B" w:rsidP="007F596B">
      <w:pPr>
        <w:spacing w:line="480" w:lineRule="auto"/>
      </w:pPr>
    </w:p>
    <w:p w14:paraId="699A5A68" w14:textId="77777777" w:rsidR="007F596B" w:rsidRDefault="007F596B" w:rsidP="007F596B">
      <w:pPr>
        <w:spacing w:line="480" w:lineRule="auto"/>
        <w:rPr>
          <w:b/>
        </w:rPr>
      </w:pPr>
    </w:p>
    <w:p w14:paraId="58DFED1F" w14:textId="77777777" w:rsidR="004D1CEF" w:rsidRDefault="004D1CEF" w:rsidP="007F596B">
      <w:pPr>
        <w:spacing w:line="480" w:lineRule="auto"/>
        <w:rPr>
          <w:b/>
        </w:rPr>
      </w:pPr>
    </w:p>
    <w:p w14:paraId="722ACC71" w14:textId="52D00F92" w:rsidR="00DB2FFC" w:rsidRDefault="00DB2FFC" w:rsidP="002A3735">
      <w:pPr>
        <w:pStyle w:val="Figures"/>
      </w:pPr>
      <w:bookmarkStart w:id="140" w:name="_Toc28339124"/>
      <w:bookmarkStart w:id="141" w:name="_Toc28339966"/>
      <w:bookmarkStart w:id="142" w:name="_Toc46770938"/>
      <w:r w:rsidRPr="00DB2FFC">
        <w:lastRenderedPageBreak/>
        <w:t>Figure 2.9</w:t>
      </w:r>
      <w:r w:rsidRPr="00227F90">
        <w:t xml:space="preserve"> </w:t>
      </w:r>
      <w:r w:rsidRPr="002A3735">
        <w:rPr>
          <w:b w:val="0"/>
        </w:rPr>
        <w:t>A Clinical Decision Support tool on the IECBT platform</w:t>
      </w:r>
      <w:bookmarkEnd w:id="140"/>
      <w:bookmarkEnd w:id="141"/>
      <w:bookmarkEnd w:id="142"/>
    </w:p>
    <w:p w14:paraId="12F22E55" w14:textId="77777777" w:rsidR="00DB2FFC" w:rsidRPr="00DB2FFC" w:rsidRDefault="00DB2FFC" w:rsidP="00DB2FFC"/>
    <w:p w14:paraId="56A8F682" w14:textId="77777777" w:rsidR="007F596B" w:rsidRDefault="007F596B" w:rsidP="007F596B">
      <w:pPr>
        <w:spacing w:line="480" w:lineRule="auto"/>
      </w:pPr>
      <w:r>
        <w:rPr>
          <w:noProof/>
        </w:rPr>
        <w:drawing>
          <wp:inline distT="0" distB="0" distL="0" distR="0" wp14:anchorId="260EDFC4" wp14:editId="720FE3FA">
            <wp:extent cx="5727700" cy="4072890"/>
            <wp:effectExtent l="19050" t="19050" r="25400" b="22860"/>
            <wp:docPr id="19" name="Picture 19" descr="P81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P819#yIS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27700" cy="4072890"/>
                    </a:xfrm>
                    <a:prstGeom prst="rect">
                      <a:avLst/>
                    </a:prstGeom>
                    <a:ln w="3175">
                      <a:solidFill>
                        <a:schemeClr val="tx1"/>
                      </a:solidFill>
                    </a:ln>
                  </pic:spPr>
                </pic:pic>
              </a:graphicData>
            </a:graphic>
          </wp:inline>
        </w:drawing>
      </w:r>
    </w:p>
    <w:p w14:paraId="00D88A98" w14:textId="77777777" w:rsidR="00D238AD" w:rsidRDefault="00D238AD">
      <w:pPr>
        <w:rPr>
          <w:rFonts w:ascii="Arial" w:eastAsiaTheme="majorEastAsia" w:hAnsi="Arial" w:cs="Arial"/>
          <w:b/>
          <w:bCs/>
          <w:color w:val="000000" w:themeColor="text1"/>
          <w:sz w:val="22"/>
          <w:szCs w:val="22"/>
        </w:rPr>
      </w:pPr>
      <w:bookmarkStart w:id="143" w:name="_Toc46770744"/>
      <w:r>
        <w:rPr>
          <w:rFonts w:ascii="Arial" w:hAnsi="Arial" w:cs="Arial"/>
          <w:color w:val="000000" w:themeColor="text1"/>
          <w:sz w:val="22"/>
          <w:szCs w:val="22"/>
        </w:rPr>
        <w:br w:type="page"/>
      </w:r>
    </w:p>
    <w:p w14:paraId="4402F01E" w14:textId="78341362" w:rsidR="007F596B" w:rsidRDefault="006C5B70" w:rsidP="007F596B">
      <w:pPr>
        <w:pStyle w:val="Heading2"/>
        <w:rPr>
          <w:rFonts w:ascii="Arial" w:hAnsi="Arial" w:cs="Arial"/>
          <w:color w:val="000000" w:themeColor="text1"/>
          <w:sz w:val="22"/>
          <w:szCs w:val="22"/>
        </w:rPr>
      </w:pPr>
      <w:bookmarkStart w:id="144" w:name="_Toc79414155"/>
      <w:r>
        <w:rPr>
          <w:rFonts w:ascii="Arial" w:hAnsi="Arial" w:cs="Arial"/>
          <w:color w:val="000000" w:themeColor="text1"/>
          <w:sz w:val="22"/>
          <w:szCs w:val="22"/>
        </w:rPr>
        <w:lastRenderedPageBreak/>
        <w:t>2.1</w:t>
      </w:r>
      <w:r w:rsidR="00E2371E">
        <w:rPr>
          <w:rFonts w:ascii="Arial" w:hAnsi="Arial" w:cs="Arial"/>
          <w:color w:val="000000" w:themeColor="text1"/>
          <w:sz w:val="22"/>
          <w:szCs w:val="22"/>
        </w:rPr>
        <w:t>2</w:t>
      </w:r>
      <w:r w:rsidR="007F596B" w:rsidRPr="00BE2941">
        <w:rPr>
          <w:rFonts w:ascii="Arial" w:hAnsi="Arial" w:cs="Arial"/>
          <w:color w:val="000000" w:themeColor="text1"/>
          <w:sz w:val="22"/>
          <w:szCs w:val="22"/>
        </w:rPr>
        <w:t xml:space="preserve"> IECBT AND TRADITIONAL FACE-TO-FACE CBT</w:t>
      </w:r>
      <w:bookmarkEnd w:id="143"/>
      <w:bookmarkEnd w:id="144"/>
    </w:p>
    <w:p w14:paraId="3FC28571" w14:textId="77777777" w:rsidR="007F596B" w:rsidRDefault="007F596B" w:rsidP="007F596B"/>
    <w:p w14:paraId="24861206" w14:textId="767D26DD" w:rsidR="007F596B" w:rsidRDefault="007F596B" w:rsidP="007F596B">
      <w:pPr>
        <w:spacing w:line="480" w:lineRule="auto"/>
        <w:rPr>
          <w:rFonts w:ascii="Arial" w:hAnsi="Arial" w:cs="Arial"/>
          <w:sz w:val="22"/>
          <w:szCs w:val="22"/>
        </w:rPr>
      </w:pPr>
      <w:r w:rsidRPr="00E00F8C">
        <w:rPr>
          <w:rFonts w:ascii="Arial" w:hAnsi="Arial" w:cs="Arial"/>
          <w:sz w:val="22"/>
          <w:szCs w:val="22"/>
        </w:rPr>
        <w:t xml:space="preserve">Section </w:t>
      </w:r>
      <w:r w:rsidR="00CA5DFA">
        <w:rPr>
          <w:rFonts w:ascii="Arial" w:hAnsi="Arial" w:cs="Arial"/>
          <w:sz w:val="22"/>
          <w:szCs w:val="22"/>
        </w:rPr>
        <w:t>2.</w:t>
      </w:r>
      <w:r w:rsidR="002516F2">
        <w:rPr>
          <w:rFonts w:ascii="Arial" w:hAnsi="Arial" w:cs="Arial"/>
          <w:sz w:val="22"/>
          <w:szCs w:val="22"/>
        </w:rPr>
        <w:t>10.3</w:t>
      </w:r>
      <w:r w:rsidRPr="00E00F8C">
        <w:rPr>
          <w:rFonts w:ascii="Arial" w:hAnsi="Arial" w:cs="Arial"/>
          <w:sz w:val="22"/>
          <w:szCs w:val="22"/>
        </w:rPr>
        <w:t>, earlier in this chapter</w:t>
      </w:r>
      <w:r>
        <w:rPr>
          <w:rFonts w:ascii="Arial" w:hAnsi="Arial" w:cs="Arial"/>
          <w:sz w:val="22"/>
          <w:szCs w:val="22"/>
        </w:rPr>
        <w:t>,</w:t>
      </w:r>
      <w:r w:rsidRPr="00E00F8C">
        <w:rPr>
          <w:rFonts w:ascii="Arial" w:hAnsi="Arial" w:cs="Arial"/>
          <w:sz w:val="22"/>
          <w:szCs w:val="22"/>
        </w:rPr>
        <w:t xml:space="preserve"> discussed the </w:t>
      </w:r>
      <w:r w:rsidR="00BA7545">
        <w:rPr>
          <w:rFonts w:ascii="Arial" w:hAnsi="Arial" w:cs="Arial"/>
          <w:sz w:val="22"/>
          <w:szCs w:val="22"/>
        </w:rPr>
        <w:t>similarities</w:t>
      </w:r>
      <w:r w:rsidRPr="00E00F8C">
        <w:rPr>
          <w:rFonts w:ascii="Arial" w:hAnsi="Arial" w:cs="Arial"/>
          <w:sz w:val="22"/>
          <w:szCs w:val="22"/>
        </w:rPr>
        <w:t xml:space="preserve"> in clinical outcomes</w:t>
      </w:r>
      <w:r>
        <w:rPr>
          <w:rFonts w:ascii="Arial" w:hAnsi="Arial" w:cs="Arial"/>
          <w:sz w:val="22"/>
          <w:szCs w:val="22"/>
        </w:rPr>
        <w:t xml:space="preserve"> </w:t>
      </w:r>
      <w:r w:rsidRPr="00E00F8C">
        <w:rPr>
          <w:rFonts w:ascii="Arial" w:hAnsi="Arial" w:cs="Arial"/>
          <w:sz w:val="22"/>
          <w:szCs w:val="22"/>
        </w:rPr>
        <w:t>between IECBT and traditional face-to-face CBT</w:t>
      </w:r>
      <w:r>
        <w:rPr>
          <w:rFonts w:ascii="Arial" w:hAnsi="Arial" w:cs="Arial"/>
          <w:sz w:val="22"/>
          <w:szCs w:val="22"/>
        </w:rPr>
        <w:t xml:space="preserve"> in IAPT</w:t>
      </w:r>
      <w:r w:rsidRPr="005144E4">
        <w:rPr>
          <w:rFonts w:ascii="Arial" w:hAnsi="Arial" w:cs="Arial"/>
          <w:sz w:val="22"/>
          <w:szCs w:val="22"/>
        </w:rPr>
        <w:t xml:space="preserve">.  Both IECBT (provided by the company Ieso Digital Health) </w:t>
      </w:r>
      <w:r w:rsidR="00920D9C" w:rsidRPr="005144E4">
        <w:rPr>
          <w:rFonts w:ascii="Arial" w:hAnsi="Arial" w:cs="Arial"/>
          <w:sz w:val="22"/>
          <w:szCs w:val="22"/>
        </w:rPr>
        <w:t xml:space="preserve">and face-to-face services </w:t>
      </w:r>
      <w:r w:rsidRPr="005144E4">
        <w:rPr>
          <w:rFonts w:ascii="Arial" w:hAnsi="Arial" w:cs="Arial"/>
          <w:sz w:val="22"/>
          <w:szCs w:val="22"/>
        </w:rPr>
        <w:t>deliver CBT at step 3 in IAPT for patients who present with common mental health disorders such as anxiety and depression (Layard and Clark, 2014).</w:t>
      </w:r>
      <w:r>
        <w:rPr>
          <w:rFonts w:ascii="Arial" w:hAnsi="Arial" w:cs="Arial"/>
          <w:sz w:val="22"/>
          <w:szCs w:val="22"/>
        </w:rPr>
        <w:t xml:space="preserve"> </w:t>
      </w:r>
    </w:p>
    <w:p w14:paraId="466E3F14" w14:textId="77777777" w:rsidR="007F596B" w:rsidRDefault="007F596B" w:rsidP="007F596B">
      <w:pPr>
        <w:spacing w:line="480" w:lineRule="auto"/>
        <w:rPr>
          <w:rFonts w:ascii="Arial" w:hAnsi="Arial" w:cs="Arial"/>
          <w:sz w:val="22"/>
          <w:szCs w:val="22"/>
        </w:rPr>
      </w:pPr>
    </w:p>
    <w:p w14:paraId="0E76C660" w14:textId="44C4DA6F" w:rsidR="007F596B" w:rsidRDefault="006C5B70" w:rsidP="007F596B">
      <w:pPr>
        <w:pStyle w:val="Heading3"/>
        <w:rPr>
          <w:rFonts w:cs="Arial"/>
          <w:color w:val="000000" w:themeColor="text1"/>
          <w:szCs w:val="22"/>
        </w:rPr>
      </w:pPr>
      <w:bookmarkStart w:id="145" w:name="_Toc46770745"/>
      <w:bookmarkStart w:id="146" w:name="_Toc79414156"/>
      <w:r>
        <w:rPr>
          <w:rFonts w:cs="Arial"/>
          <w:color w:val="000000" w:themeColor="text1"/>
          <w:szCs w:val="22"/>
        </w:rPr>
        <w:t>2.1</w:t>
      </w:r>
      <w:r w:rsidR="00E2371E">
        <w:rPr>
          <w:rFonts w:cs="Arial"/>
          <w:color w:val="000000" w:themeColor="text1"/>
          <w:szCs w:val="22"/>
        </w:rPr>
        <w:t>2</w:t>
      </w:r>
      <w:r>
        <w:rPr>
          <w:rFonts w:cs="Arial"/>
          <w:color w:val="000000" w:themeColor="text1"/>
          <w:szCs w:val="22"/>
        </w:rPr>
        <w:t>.1</w:t>
      </w:r>
      <w:r w:rsidR="007F596B" w:rsidRPr="00143913">
        <w:rPr>
          <w:rFonts w:cs="Arial"/>
          <w:color w:val="000000" w:themeColor="text1"/>
          <w:szCs w:val="22"/>
        </w:rPr>
        <w:t xml:space="preserve"> </w:t>
      </w:r>
      <w:r w:rsidR="00BA7545">
        <w:rPr>
          <w:rFonts w:cs="Arial"/>
          <w:color w:val="000000" w:themeColor="text1"/>
          <w:szCs w:val="22"/>
        </w:rPr>
        <w:t>P</w:t>
      </w:r>
      <w:r w:rsidR="007F596B" w:rsidRPr="00143913">
        <w:rPr>
          <w:rFonts w:cs="Arial"/>
          <w:color w:val="000000" w:themeColor="text1"/>
          <w:szCs w:val="22"/>
        </w:rPr>
        <w:t>atient demographics</w:t>
      </w:r>
      <w:bookmarkEnd w:id="145"/>
      <w:bookmarkEnd w:id="146"/>
    </w:p>
    <w:p w14:paraId="7DA4F7C2" w14:textId="77777777" w:rsidR="007F596B" w:rsidRPr="00143913" w:rsidRDefault="007F596B" w:rsidP="007F596B"/>
    <w:p w14:paraId="3CC1D818" w14:textId="1DC1F5B6" w:rsidR="007F596B" w:rsidRDefault="007F596B" w:rsidP="007F596B">
      <w:pPr>
        <w:spacing w:line="480" w:lineRule="auto"/>
        <w:rPr>
          <w:rFonts w:ascii="Arial" w:hAnsi="Arial" w:cs="Arial"/>
          <w:sz w:val="22"/>
          <w:szCs w:val="22"/>
        </w:rPr>
      </w:pPr>
      <w:r>
        <w:rPr>
          <w:rFonts w:ascii="Arial" w:hAnsi="Arial" w:cs="Arial"/>
          <w:sz w:val="22"/>
          <w:szCs w:val="22"/>
        </w:rPr>
        <w:t xml:space="preserve">Both IECBT and face-to-face CBT services in IAPT treat patients with similar presentations.  Tables </w:t>
      </w:r>
      <w:r w:rsidR="004D1CEF">
        <w:rPr>
          <w:rFonts w:ascii="Arial" w:hAnsi="Arial" w:cs="Arial"/>
          <w:sz w:val="22"/>
          <w:szCs w:val="22"/>
        </w:rPr>
        <w:t>2</w:t>
      </w:r>
      <w:r>
        <w:rPr>
          <w:rFonts w:ascii="Arial" w:hAnsi="Arial" w:cs="Arial"/>
          <w:sz w:val="22"/>
          <w:szCs w:val="22"/>
        </w:rPr>
        <w:t xml:space="preserve">.1, </w:t>
      </w:r>
      <w:r w:rsidR="004D1CEF">
        <w:rPr>
          <w:rFonts w:ascii="Arial" w:hAnsi="Arial" w:cs="Arial"/>
          <w:sz w:val="22"/>
          <w:szCs w:val="22"/>
        </w:rPr>
        <w:t>2</w:t>
      </w:r>
      <w:r>
        <w:rPr>
          <w:rFonts w:ascii="Arial" w:hAnsi="Arial" w:cs="Arial"/>
          <w:sz w:val="22"/>
          <w:szCs w:val="22"/>
        </w:rPr>
        <w:t xml:space="preserve">.2 and </w:t>
      </w:r>
      <w:r w:rsidR="004D1CEF">
        <w:rPr>
          <w:rFonts w:ascii="Arial" w:hAnsi="Arial" w:cs="Arial"/>
          <w:sz w:val="22"/>
          <w:szCs w:val="22"/>
        </w:rPr>
        <w:t>2</w:t>
      </w:r>
      <w:r>
        <w:rPr>
          <w:rFonts w:ascii="Arial" w:hAnsi="Arial" w:cs="Arial"/>
          <w:sz w:val="22"/>
          <w:szCs w:val="22"/>
        </w:rPr>
        <w:t xml:space="preserve">.3 show the age, reported ethnicity and clinical profile of IAPT patients respectively. </w:t>
      </w:r>
      <w:r w:rsidRPr="005144E4">
        <w:rPr>
          <w:rFonts w:ascii="Arial" w:hAnsi="Arial" w:cs="Arial"/>
          <w:sz w:val="22"/>
          <w:szCs w:val="22"/>
        </w:rPr>
        <w:t xml:space="preserve">The data relating to face-to-face IAPT was reported </w:t>
      </w:r>
      <w:r w:rsidR="0027649D" w:rsidRPr="005144E4">
        <w:rPr>
          <w:rFonts w:ascii="Arial" w:hAnsi="Arial" w:cs="Arial"/>
          <w:sz w:val="22"/>
          <w:szCs w:val="22"/>
        </w:rPr>
        <w:t xml:space="preserve">in </w:t>
      </w:r>
      <w:r w:rsidRPr="005144E4">
        <w:rPr>
          <w:rFonts w:ascii="Arial" w:hAnsi="Arial" w:cs="Arial"/>
          <w:sz w:val="22"/>
          <w:szCs w:val="22"/>
        </w:rPr>
        <w:t>the second round of the UK National Audit of Psychological Therapy</w:t>
      </w:r>
      <w:r w:rsidR="003A2E93" w:rsidRPr="005144E4">
        <w:rPr>
          <w:rFonts w:ascii="Arial" w:hAnsi="Arial" w:cs="Arial"/>
          <w:sz w:val="22"/>
          <w:szCs w:val="22"/>
        </w:rPr>
        <w:t xml:space="preserve">, </w:t>
      </w:r>
      <w:r w:rsidRPr="005144E4">
        <w:rPr>
          <w:rFonts w:ascii="Arial" w:hAnsi="Arial" w:cs="Arial"/>
          <w:sz w:val="22"/>
          <w:szCs w:val="22"/>
        </w:rPr>
        <w:t>2013</w:t>
      </w:r>
      <w:r w:rsidR="003A2E93" w:rsidRPr="005144E4">
        <w:rPr>
          <w:rFonts w:ascii="Arial" w:hAnsi="Arial" w:cs="Arial"/>
          <w:sz w:val="22"/>
          <w:szCs w:val="22"/>
        </w:rPr>
        <w:t xml:space="preserve"> (Data.gov.uk</w:t>
      </w:r>
      <w:r w:rsidR="00BE24E4" w:rsidRPr="005144E4">
        <w:rPr>
          <w:rFonts w:ascii="Arial" w:hAnsi="Arial" w:cs="Arial"/>
          <w:sz w:val="22"/>
          <w:szCs w:val="22"/>
        </w:rPr>
        <w:t>., 2016)</w:t>
      </w:r>
      <w:r>
        <w:rPr>
          <w:rFonts w:ascii="Arial" w:hAnsi="Arial" w:cs="Arial"/>
          <w:sz w:val="22"/>
          <w:szCs w:val="22"/>
        </w:rPr>
        <w:t xml:space="preserve"> and compared to the demographic and clinical profile of patients who have had IECBT. The National Audit of Psychological Therapy (2013) reported that 65% of patients in face-to-face IAPT were female and 35% were male, compared to 69.8%, female, 28.4% male and 1.8% who declined to answer in the IECBT IAPT method.</w:t>
      </w:r>
    </w:p>
    <w:p w14:paraId="738BEC0E" w14:textId="77777777" w:rsidR="007F596B" w:rsidRDefault="007F596B" w:rsidP="007F596B">
      <w:pPr>
        <w:spacing w:line="480" w:lineRule="auto"/>
        <w:rPr>
          <w:rFonts w:ascii="Arial" w:hAnsi="Arial" w:cs="Arial"/>
          <w:sz w:val="22"/>
          <w:szCs w:val="22"/>
        </w:rPr>
      </w:pPr>
    </w:p>
    <w:p w14:paraId="2B7EB571" w14:textId="5CD8CB6B" w:rsidR="00D419A6" w:rsidRDefault="00D419A6" w:rsidP="00187387">
      <w:pPr>
        <w:pStyle w:val="Tables"/>
      </w:pPr>
      <w:bookmarkStart w:id="147" w:name="_Toc28339125"/>
      <w:bookmarkStart w:id="148" w:name="_Toc28339967"/>
      <w:bookmarkStart w:id="149" w:name="_Toc28347768"/>
      <w:bookmarkStart w:id="150" w:name="_Toc46770969"/>
      <w:r w:rsidRPr="00D419A6">
        <w:t>Table 2.1</w:t>
      </w:r>
      <w:r w:rsidRPr="00065F59">
        <w:t xml:space="preserve"> </w:t>
      </w:r>
      <w:r w:rsidRPr="00187387">
        <w:rPr>
          <w:b w:val="0"/>
        </w:rPr>
        <w:t>Patient age (as a %) in face-to-face CBT and IECBT</w:t>
      </w:r>
      <w:bookmarkEnd w:id="147"/>
      <w:bookmarkEnd w:id="148"/>
      <w:bookmarkEnd w:id="149"/>
      <w:bookmarkEnd w:id="150"/>
    </w:p>
    <w:tbl>
      <w:tblPr>
        <w:tblStyle w:val="TableGrid"/>
        <w:tblW w:w="0" w:type="auto"/>
        <w:tblLook w:val="04A0" w:firstRow="1" w:lastRow="0" w:firstColumn="1" w:lastColumn="0" w:noHBand="0" w:noVBand="1"/>
      </w:tblPr>
      <w:tblGrid>
        <w:gridCol w:w="3003"/>
        <w:gridCol w:w="3003"/>
        <w:gridCol w:w="3004"/>
      </w:tblGrid>
      <w:tr w:rsidR="007F596B" w14:paraId="00ECF9EE" w14:textId="77777777" w:rsidTr="007F596B">
        <w:tc>
          <w:tcPr>
            <w:tcW w:w="3003" w:type="dxa"/>
          </w:tcPr>
          <w:p w14:paraId="440C901D" w14:textId="77777777" w:rsidR="007F596B" w:rsidRDefault="007F596B" w:rsidP="007F596B">
            <w:pPr>
              <w:spacing w:line="480" w:lineRule="auto"/>
              <w:rPr>
                <w:rFonts w:ascii="Arial" w:hAnsi="Arial" w:cs="Arial"/>
                <w:sz w:val="22"/>
                <w:szCs w:val="22"/>
              </w:rPr>
            </w:pPr>
            <w:r>
              <w:rPr>
                <w:rFonts w:ascii="Arial" w:hAnsi="Arial" w:cs="Arial"/>
                <w:sz w:val="22"/>
                <w:szCs w:val="22"/>
              </w:rPr>
              <w:t>Age Group</w:t>
            </w:r>
          </w:p>
        </w:tc>
        <w:tc>
          <w:tcPr>
            <w:tcW w:w="3003" w:type="dxa"/>
          </w:tcPr>
          <w:p w14:paraId="31018C31" w14:textId="766A0267" w:rsidR="007F596B" w:rsidRDefault="007F596B" w:rsidP="007F596B">
            <w:pPr>
              <w:spacing w:line="480" w:lineRule="auto"/>
              <w:rPr>
                <w:rFonts w:ascii="Arial" w:hAnsi="Arial" w:cs="Arial"/>
                <w:sz w:val="22"/>
                <w:szCs w:val="22"/>
              </w:rPr>
            </w:pPr>
            <w:r>
              <w:rPr>
                <w:rFonts w:ascii="Arial" w:hAnsi="Arial" w:cs="Arial"/>
                <w:sz w:val="22"/>
                <w:szCs w:val="22"/>
              </w:rPr>
              <w:t>Face-to-face</w:t>
            </w:r>
            <w:r w:rsidR="00CA5DFA">
              <w:rPr>
                <w:rFonts w:ascii="Arial" w:hAnsi="Arial" w:cs="Arial"/>
                <w:sz w:val="22"/>
                <w:szCs w:val="22"/>
              </w:rPr>
              <w:t xml:space="preserve"> </w:t>
            </w:r>
            <w:r>
              <w:rPr>
                <w:rFonts w:ascii="Arial" w:hAnsi="Arial" w:cs="Arial"/>
                <w:sz w:val="22"/>
                <w:szCs w:val="22"/>
              </w:rPr>
              <w:t>%</w:t>
            </w:r>
          </w:p>
        </w:tc>
        <w:tc>
          <w:tcPr>
            <w:tcW w:w="3004" w:type="dxa"/>
          </w:tcPr>
          <w:p w14:paraId="236BFD9B" w14:textId="77777777" w:rsidR="007F596B" w:rsidRDefault="007F596B" w:rsidP="007F596B">
            <w:pPr>
              <w:spacing w:line="480" w:lineRule="auto"/>
              <w:rPr>
                <w:rFonts w:ascii="Arial" w:hAnsi="Arial" w:cs="Arial"/>
                <w:sz w:val="22"/>
                <w:szCs w:val="22"/>
              </w:rPr>
            </w:pPr>
            <w:r>
              <w:rPr>
                <w:rFonts w:ascii="Arial" w:hAnsi="Arial" w:cs="Arial"/>
                <w:sz w:val="22"/>
                <w:szCs w:val="22"/>
              </w:rPr>
              <w:t>IECBT %</w:t>
            </w:r>
          </w:p>
        </w:tc>
      </w:tr>
      <w:tr w:rsidR="007F596B" w14:paraId="681E5400" w14:textId="77777777" w:rsidTr="007F596B">
        <w:tc>
          <w:tcPr>
            <w:tcW w:w="3003" w:type="dxa"/>
          </w:tcPr>
          <w:p w14:paraId="1E3CD20A" w14:textId="77777777" w:rsidR="007F596B" w:rsidRDefault="007F596B" w:rsidP="007F596B">
            <w:pPr>
              <w:spacing w:line="480" w:lineRule="auto"/>
              <w:rPr>
                <w:rFonts w:ascii="Arial" w:hAnsi="Arial" w:cs="Arial"/>
                <w:sz w:val="22"/>
                <w:szCs w:val="22"/>
              </w:rPr>
            </w:pPr>
            <w:r>
              <w:rPr>
                <w:rFonts w:ascii="Arial" w:hAnsi="Arial" w:cs="Arial"/>
                <w:sz w:val="22"/>
                <w:szCs w:val="22"/>
              </w:rPr>
              <w:t>18-24</w:t>
            </w:r>
          </w:p>
        </w:tc>
        <w:tc>
          <w:tcPr>
            <w:tcW w:w="3003" w:type="dxa"/>
          </w:tcPr>
          <w:p w14:paraId="1E52946A" w14:textId="77777777" w:rsidR="007F596B" w:rsidRDefault="007F596B" w:rsidP="007F596B">
            <w:pPr>
              <w:spacing w:line="480" w:lineRule="auto"/>
              <w:rPr>
                <w:rFonts w:ascii="Arial" w:hAnsi="Arial" w:cs="Arial"/>
                <w:sz w:val="22"/>
                <w:szCs w:val="22"/>
              </w:rPr>
            </w:pPr>
            <w:r>
              <w:rPr>
                <w:rFonts w:ascii="Arial" w:hAnsi="Arial" w:cs="Arial"/>
                <w:sz w:val="22"/>
                <w:szCs w:val="22"/>
              </w:rPr>
              <w:t>13</w:t>
            </w:r>
          </w:p>
        </w:tc>
        <w:tc>
          <w:tcPr>
            <w:tcW w:w="3004" w:type="dxa"/>
          </w:tcPr>
          <w:p w14:paraId="61147020" w14:textId="578BDA68" w:rsidR="007F596B" w:rsidRDefault="005B39C6" w:rsidP="007F596B">
            <w:pPr>
              <w:spacing w:line="480" w:lineRule="auto"/>
              <w:rPr>
                <w:rFonts w:ascii="Arial" w:hAnsi="Arial" w:cs="Arial"/>
                <w:sz w:val="22"/>
                <w:szCs w:val="22"/>
              </w:rPr>
            </w:pPr>
            <w:r>
              <w:rPr>
                <w:rFonts w:ascii="Arial" w:hAnsi="Arial" w:cs="Arial"/>
                <w:sz w:val="22"/>
                <w:szCs w:val="22"/>
              </w:rPr>
              <w:t>12</w:t>
            </w:r>
          </w:p>
        </w:tc>
      </w:tr>
      <w:tr w:rsidR="007F596B" w14:paraId="24F745ED" w14:textId="77777777" w:rsidTr="007F596B">
        <w:tc>
          <w:tcPr>
            <w:tcW w:w="3003" w:type="dxa"/>
          </w:tcPr>
          <w:p w14:paraId="6E897A62" w14:textId="77777777" w:rsidR="007F596B" w:rsidRDefault="007F596B" w:rsidP="007F596B">
            <w:pPr>
              <w:spacing w:line="480" w:lineRule="auto"/>
              <w:rPr>
                <w:rFonts w:ascii="Arial" w:hAnsi="Arial" w:cs="Arial"/>
                <w:sz w:val="22"/>
                <w:szCs w:val="22"/>
              </w:rPr>
            </w:pPr>
            <w:r>
              <w:rPr>
                <w:rFonts w:ascii="Arial" w:hAnsi="Arial" w:cs="Arial"/>
                <w:sz w:val="22"/>
                <w:szCs w:val="22"/>
              </w:rPr>
              <w:t>25-44</w:t>
            </w:r>
          </w:p>
        </w:tc>
        <w:tc>
          <w:tcPr>
            <w:tcW w:w="3003" w:type="dxa"/>
          </w:tcPr>
          <w:p w14:paraId="2B290181" w14:textId="77777777" w:rsidR="007F596B" w:rsidRDefault="007F596B" w:rsidP="007F596B">
            <w:pPr>
              <w:spacing w:line="480" w:lineRule="auto"/>
              <w:rPr>
                <w:rFonts w:ascii="Arial" w:hAnsi="Arial" w:cs="Arial"/>
                <w:sz w:val="22"/>
                <w:szCs w:val="22"/>
              </w:rPr>
            </w:pPr>
            <w:r>
              <w:rPr>
                <w:rFonts w:ascii="Arial" w:hAnsi="Arial" w:cs="Arial"/>
                <w:sz w:val="22"/>
                <w:szCs w:val="22"/>
              </w:rPr>
              <w:t>44</w:t>
            </w:r>
          </w:p>
        </w:tc>
        <w:tc>
          <w:tcPr>
            <w:tcW w:w="3004" w:type="dxa"/>
          </w:tcPr>
          <w:p w14:paraId="5F2B8E19" w14:textId="5DDE68C8" w:rsidR="007F596B" w:rsidRDefault="005B39C6" w:rsidP="007F596B">
            <w:pPr>
              <w:spacing w:line="480" w:lineRule="auto"/>
              <w:rPr>
                <w:rFonts w:ascii="Arial" w:hAnsi="Arial" w:cs="Arial"/>
                <w:sz w:val="22"/>
                <w:szCs w:val="22"/>
              </w:rPr>
            </w:pPr>
            <w:r>
              <w:rPr>
                <w:rFonts w:ascii="Arial" w:hAnsi="Arial" w:cs="Arial"/>
                <w:sz w:val="22"/>
                <w:szCs w:val="22"/>
              </w:rPr>
              <w:t>48</w:t>
            </w:r>
          </w:p>
        </w:tc>
      </w:tr>
      <w:tr w:rsidR="007F596B" w14:paraId="2864D7A7" w14:textId="77777777" w:rsidTr="007F596B">
        <w:tc>
          <w:tcPr>
            <w:tcW w:w="3003" w:type="dxa"/>
          </w:tcPr>
          <w:p w14:paraId="3D425DB4" w14:textId="77777777" w:rsidR="007F596B" w:rsidRDefault="007F596B" w:rsidP="007F596B">
            <w:pPr>
              <w:spacing w:line="480" w:lineRule="auto"/>
              <w:rPr>
                <w:rFonts w:ascii="Arial" w:hAnsi="Arial" w:cs="Arial"/>
                <w:sz w:val="22"/>
                <w:szCs w:val="22"/>
              </w:rPr>
            </w:pPr>
            <w:r>
              <w:rPr>
                <w:rFonts w:ascii="Arial" w:hAnsi="Arial" w:cs="Arial"/>
                <w:sz w:val="22"/>
                <w:szCs w:val="22"/>
              </w:rPr>
              <w:t>45-64</w:t>
            </w:r>
          </w:p>
        </w:tc>
        <w:tc>
          <w:tcPr>
            <w:tcW w:w="3003" w:type="dxa"/>
          </w:tcPr>
          <w:p w14:paraId="36119C9B" w14:textId="3BEC1373" w:rsidR="007F596B" w:rsidRDefault="007F596B" w:rsidP="007F596B">
            <w:pPr>
              <w:spacing w:line="480" w:lineRule="auto"/>
              <w:rPr>
                <w:rFonts w:ascii="Arial" w:hAnsi="Arial" w:cs="Arial"/>
                <w:sz w:val="22"/>
                <w:szCs w:val="22"/>
              </w:rPr>
            </w:pPr>
            <w:r>
              <w:rPr>
                <w:rFonts w:ascii="Arial" w:hAnsi="Arial" w:cs="Arial"/>
                <w:sz w:val="22"/>
                <w:szCs w:val="22"/>
              </w:rPr>
              <w:t>3</w:t>
            </w:r>
            <w:r w:rsidR="005B39C6">
              <w:rPr>
                <w:rFonts w:ascii="Arial" w:hAnsi="Arial" w:cs="Arial"/>
                <w:sz w:val="22"/>
                <w:szCs w:val="22"/>
              </w:rPr>
              <w:t>5</w:t>
            </w:r>
          </w:p>
        </w:tc>
        <w:tc>
          <w:tcPr>
            <w:tcW w:w="3004" w:type="dxa"/>
          </w:tcPr>
          <w:p w14:paraId="5CB1B475" w14:textId="37B816D7" w:rsidR="007F596B" w:rsidRDefault="005B39C6" w:rsidP="007F596B">
            <w:pPr>
              <w:spacing w:line="480" w:lineRule="auto"/>
              <w:rPr>
                <w:rFonts w:ascii="Arial" w:hAnsi="Arial" w:cs="Arial"/>
                <w:sz w:val="22"/>
                <w:szCs w:val="22"/>
              </w:rPr>
            </w:pPr>
            <w:r>
              <w:rPr>
                <w:rFonts w:ascii="Arial" w:hAnsi="Arial" w:cs="Arial"/>
                <w:sz w:val="22"/>
                <w:szCs w:val="22"/>
              </w:rPr>
              <w:t>34</w:t>
            </w:r>
          </w:p>
        </w:tc>
      </w:tr>
      <w:tr w:rsidR="007F596B" w14:paraId="5889FAC7" w14:textId="77777777" w:rsidTr="007F596B">
        <w:tc>
          <w:tcPr>
            <w:tcW w:w="3003" w:type="dxa"/>
          </w:tcPr>
          <w:p w14:paraId="3FB1F1C4" w14:textId="77777777" w:rsidR="007F596B" w:rsidRDefault="007F596B" w:rsidP="007F596B">
            <w:pPr>
              <w:spacing w:line="480" w:lineRule="auto"/>
              <w:rPr>
                <w:rFonts w:ascii="Arial" w:hAnsi="Arial" w:cs="Arial"/>
                <w:sz w:val="22"/>
                <w:szCs w:val="22"/>
              </w:rPr>
            </w:pPr>
            <w:r>
              <w:rPr>
                <w:rFonts w:ascii="Arial" w:hAnsi="Arial" w:cs="Arial"/>
                <w:sz w:val="22"/>
                <w:szCs w:val="22"/>
              </w:rPr>
              <w:t>65-74</w:t>
            </w:r>
          </w:p>
        </w:tc>
        <w:tc>
          <w:tcPr>
            <w:tcW w:w="3003" w:type="dxa"/>
          </w:tcPr>
          <w:p w14:paraId="2894CCB6" w14:textId="6FA34A4B" w:rsidR="007F596B" w:rsidRDefault="005B39C6" w:rsidP="007F596B">
            <w:pPr>
              <w:spacing w:line="480" w:lineRule="auto"/>
              <w:rPr>
                <w:rFonts w:ascii="Arial" w:hAnsi="Arial" w:cs="Arial"/>
                <w:sz w:val="22"/>
                <w:szCs w:val="22"/>
              </w:rPr>
            </w:pPr>
            <w:r>
              <w:rPr>
                <w:rFonts w:ascii="Arial" w:hAnsi="Arial" w:cs="Arial"/>
                <w:sz w:val="22"/>
                <w:szCs w:val="22"/>
              </w:rPr>
              <w:t>6</w:t>
            </w:r>
          </w:p>
        </w:tc>
        <w:tc>
          <w:tcPr>
            <w:tcW w:w="3004" w:type="dxa"/>
          </w:tcPr>
          <w:p w14:paraId="6F7E3A28" w14:textId="4F6E2589" w:rsidR="007F596B" w:rsidRDefault="005B39C6" w:rsidP="007F596B">
            <w:pPr>
              <w:spacing w:line="480" w:lineRule="auto"/>
              <w:rPr>
                <w:rFonts w:ascii="Arial" w:hAnsi="Arial" w:cs="Arial"/>
                <w:sz w:val="22"/>
                <w:szCs w:val="22"/>
              </w:rPr>
            </w:pPr>
            <w:r>
              <w:rPr>
                <w:rFonts w:ascii="Arial" w:hAnsi="Arial" w:cs="Arial"/>
                <w:sz w:val="22"/>
                <w:szCs w:val="22"/>
              </w:rPr>
              <w:t>5</w:t>
            </w:r>
          </w:p>
        </w:tc>
      </w:tr>
      <w:tr w:rsidR="007F596B" w14:paraId="7BC9BD78" w14:textId="77777777" w:rsidTr="007F596B">
        <w:tc>
          <w:tcPr>
            <w:tcW w:w="3003" w:type="dxa"/>
          </w:tcPr>
          <w:p w14:paraId="40669403" w14:textId="77777777" w:rsidR="007F596B" w:rsidRDefault="007F596B" w:rsidP="007F596B">
            <w:pPr>
              <w:spacing w:line="480" w:lineRule="auto"/>
              <w:rPr>
                <w:rFonts w:ascii="Arial" w:hAnsi="Arial" w:cs="Arial"/>
                <w:sz w:val="22"/>
                <w:szCs w:val="22"/>
              </w:rPr>
            </w:pPr>
            <w:r>
              <w:rPr>
                <w:rFonts w:ascii="Arial" w:hAnsi="Arial" w:cs="Arial"/>
                <w:sz w:val="22"/>
                <w:szCs w:val="22"/>
              </w:rPr>
              <w:t>75+</w:t>
            </w:r>
          </w:p>
        </w:tc>
        <w:tc>
          <w:tcPr>
            <w:tcW w:w="3003" w:type="dxa"/>
          </w:tcPr>
          <w:p w14:paraId="3A490A43" w14:textId="77777777" w:rsidR="007F596B" w:rsidRDefault="007F596B" w:rsidP="007F596B">
            <w:pPr>
              <w:spacing w:line="480" w:lineRule="auto"/>
              <w:rPr>
                <w:rFonts w:ascii="Arial" w:hAnsi="Arial" w:cs="Arial"/>
                <w:sz w:val="22"/>
                <w:szCs w:val="22"/>
              </w:rPr>
            </w:pPr>
            <w:r>
              <w:rPr>
                <w:rFonts w:ascii="Arial" w:hAnsi="Arial" w:cs="Arial"/>
                <w:sz w:val="22"/>
                <w:szCs w:val="22"/>
              </w:rPr>
              <w:t>2</w:t>
            </w:r>
          </w:p>
        </w:tc>
        <w:tc>
          <w:tcPr>
            <w:tcW w:w="3004" w:type="dxa"/>
          </w:tcPr>
          <w:p w14:paraId="1F1B77A5" w14:textId="2B469FD3" w:rsidR="007F596B" w:rsidRDefault="005B39C6" w:rsidP="007F596B">
            <w:pPr>
              <w:spacing w:line="480" w:lineRule="auto"/>
              <w:rPr>
                <w:rFonts w:ascii="Arial" w:hAnsi="Arial" w:cs="Arial"/>
                <w:sz w:val="22"/>
                <w:szCs w:val="22"/>
              </w:rPr>
            </w:pPr>
            <w:r>
              <w:rPr>
                <w:rFonts w:ascii="Arial" w:hAnsi="Arial" w:cs="Arial"/>
                <w:sz w:val="22"/>
                <w:szCs w:val="22"/>
              </w:rPr>
              <w:t>1</w:t>
            </w:r>
          </w:p>
        </w:tc>
      </w:tr>
    </w:tbl>
    <w:p w14:paraId="05769E35" w14:textId="77777777" w:rsidR="007F596B" w:rsidRDefault="007F596B" w:rsidP="007F596B">
      <w:pPr>
        <w:spacing w:line="480" w:lineRule="auto"/>
        <w:rPr>
          <w:rFonts w:ascii="Arial" w:hAnsi="Arial" w:cs="Arial"/>
          <w:b/>
          <w:bCs/>
          <w:sz w:val="22"/>
          <w:szCs w:val="22"/>
        </w:rPr>
      </w:pPr>
    </w:p>
    <w:p w14:paraId="32A0033D" w14:textId="77777777" w:rsidR="007F596B" w:rsidRDefault="007F596B" w:rsidP="007F596B">
      <w:pPr>
        <w:spacing w:line="480" w:lineRule="auto"/>
        <w:rPr>
          <w:rFonts w:ascii="Arial" w:hAnsi="Arial" w:cs="Arial"/>
          <w:b/>
          <w:bCs/>
          <w:sz w:val="22"/>
          <w:szCs w:val="22"/>
        </w:rPr>
      </w:pPr>
    </w:p>
    <w:p w14:paraId="389A0F19" w14:textId="77777777" w:rsidR="00E2371E" w:rsidRDefault="00E2371E" w:rsidP="007F596B">
      <w:pPr>
        <w:spacing w:line="480" w:lineRule="auto"/>
        <w:rPr>
          <w:rFonts w:ascii="Arial" w:hAnsi="Arial" w:cs="Arial"/>
          <w:b/>
          <w:bCs/>
          <w:sz w:val="22"/>
          <w:szCs w:val="22"/>
        </w:rPr>
      </w:pPr>
    </w:p>
    <w:p w14:paraId="7B0D7B39" w14:textId="7E66DB5D" w:rsidR="00523316" w:rsidRPr="002F6CC5" w:rsidRDefault="00DB2FFC" w:rsidP="002F6CC5">
      <w:pPr>
        <w:pStyle w:val="Tables"/>
        <w:rPr>
          <w:rFonts w:cs="Arial"/>
          <w:b w:val="0"/>
          <w:bCs/>
          <w:szCs w:val="22"/>
        </w:rPr>
      </w:pPr>
      <w:r>
        <w:rPr>
          <w:rFonts w:cs="Arial"/>
          <w:bCs/>
          <w:szCs w:val="22"/>
        </w:rPr>
        <w:br w:type="page"/>
      </w:r>
      <w:bookmarkStart w:id="151" w:name="_Toc28347769"/>
      <w:bookmarkStart w:id="152" w:name="_Toc46770970"/>
      <w:r w:rsidR="00523316" w:rsidRPr="007D06E0">
        <w:lastRenderedPageBreak/>
        <w:t xml:space="preserve">Table 2.2 </w:t>
      </w:r>
      <w:r w:rsidR="00523316" w:rsidRPr="002F6CC5">
        <w:rPr>
          <w:b w:val="0"/>
          <w:bCs/>
        </w:rPr>
        <w:t>Patient ethnicity in face-to-face CBT and IECBT</w:t>
      </w:r>
      <w:bookmarkEnd w:id="151"/>
      <w:bookmarkEnd w:id="152"/>
    </w:p>
    <w:tbl>
      <w:tblPr>
        <w:tblStyle w:val="TableGrid"/>
        <w:tblW w:w="0" w:type="auto"/>
        <w:tblLook w:val="04A0" w:firstRow="1" w:lastRow="0" w:firstColumn="1" w:lastColumn="0" w:noHBand="0" w:noVBand="1"/>
      </w:tblPr>
      <w:tblGrid>
        <w:gridCol w:w="3003"/>
        <w:gridCol w:w="3003"/>
        <w:gridCol w:w="3004"/>
      </w:tblGrid>
      <w:tr w:rsidR="007F596B" w14:paraId="418F157B" w14:textId="77777777" w:rsidTr="007F596B">
        <w:tc>
          <w:tcPr>
            <w:tcW w:w="3003" w:type="dxa"/>
          </w:tcPr>
          <w:p w14:paraId="526CABA2" w14:textId="77777777" w:rsidR="007F596B" w:rsidRDefault="007F596B" w:rsidP="007F596B">
            <w:pPr>
              <w:spacing w:line="480" w:lineRule="auto"/>
              <w:rPr>
                <w:rFonts w:ascii="Arial" w:hAnsi="Arial" w:cs="Arial"/>
                <w:sz w:val="22"/>
                <w:szCs w:val="22"/>
              </w:rPr>
            </w:pPr>
            <w:r>
              <w:rPr>
                <w:rFonts w:ascii="Arial" w:hAnsi="Arial" w:cs="Arial"/>
                <w:sz w:val="22"/>
                <w:szCs w:val="22"/>
              </w:rPr>
              <w:t>Ethnicity</w:t>
            </w:r>
          </w:p>
        </w:tc>
        <w:tc>
          <w:tcPr>
            <w:tcW w:w="3003" w:type="dxa"/>
          </w:tcPr>
          <w:p w14:paraId="2E0134FA" w14:textId="77777777" w:rsidR="007F596B" w:rsidRDefault="007F596B" w:rsidP="007F596B">
            <w:pPr>
              <w:spacing w:line="480" w:lineRule="auto"/>
              <w:rPr>
                <w:rFonts w:ascii="Arial" w:hAnsi="Arial" w:cs="Arial"/>
                <w:sz w:val="22"/>
                <w:szCs w:val="22"/>
              </w:rPr>
            </w:pPr>
            <w:r>
              <w:rPr>
                <w:rFonts w:ascii="Arial" w:hAnsi="Arial" w:cs="Arial"/>
                <w:sz w:val="22"/>
                <w:szCs w:val="22"/>
              </w:rPr>
              <w:t>Face-to-face %</w:t>
            </w:r>
          </w:p>
        </w:tc>
        <w:tc>
          <w:tcPr>
            <w:tcW w:w="3004" w:type="dxa"/>
          </w:tcPr>
          <w:p w14:paraId="7F5A2D76" w14:textId="77777777" w:rsidR="007F596B" w:rsidRDefault="007F596B" w:rsidP="007F596B">
            <w:pPr>
              <w:spacing w:line="480" w:lineRule="auto"/>
              <w:rPr>
                <w:rFonts w:ascii="Arial" w:hAnsi="Arial" w:cs="Arial"/>
                <w:sz w:val="22"/>
                <w:szCs w:val="22"/>
              </w:rPr>
            </w:pPr>
            <w:r>
              <w:rPr>
                <w:rFonts w:ascii="Arial" w:hAnsi="Arial" w:cs="Arial"/>
                <w:sz w:val="22"/>
                <w:szCs w:val="22"/>
              </w:rPr>
              <w:t>IECBT %</w:t>
            </w:r>
          </w:p>
        </w:tc>
      </w:tr>
      <w:tr w:rsidR="007F596B" w14:paraId="16A85ADA" w14:textId="77777777" w:rsidTr="007F596B">
        <w:tc>
          <w:tcPr>
            <w:tcW w:w="3003" w:type="dxa"/>
          </w:tcPr>
          <w:p w14:paraId="2937F537" w14:textId="77777777" w:rsidR="007F596B" w:rsidRDefault="007F596B" w:rsidP="007F596B">
            <w:pPr>
              <w:spacing w:line="480" w:lineRule="auto"/>
              <w:rPr>
                <w:rFonts w:ascii="Arial" w:hAnsi="Arial" w:cs="Arial"/>
                <w:sz w:val="22"/>
                <w:szCs w:val="22"/>
              </w:rPr>
            </w:pPr>
            <w:r>
              <w:rPr>
                <w:rFonts w:ascii="Arial" w:hAnsi="Arial" w:cs="Arial"/>
                <w:sz w:val="22"/>
                <w:szCs w:val="22"/>
              </w:rPr>
              <w:t>White British</w:t>
            </w:r>
          </w:p>
        </w:tc>
        <w:tc>
          <w:tcPr>
            <w:tcW w:w="3003" w:type="dxa"/>
          </w:tcPr>
          <w:p w14:paraId="62C6F72D" w14:textId="77777777" w:rsidR="007F596B" w:rsidRDefault="007F596B" w:rsidP="007F596B">
            <w:pPr>
              <w:spacing w:line="480" w:lineRule="auto"/>
              <w:rPr>
                <w:rFonts w:ascii="Arial" w:hAnsi="Arial" w:cs="Arial"/>
                <w:sz w:val="22"/>
                <w:szCs w:val="22"/>
              </w:rPr>
            </w:pPr>
            <w:r>
              <w:rPr>
                <w:rFonts w:ascii="Arial" w:hAnsi="Arial" w:cs="Arial"/>
                <w:sz w:val="22"/>
                <w:szCs w:val="22"/>
              </w:rPr>
              <w:t>83</w:t>
            </w:r>
          </w:p>
        </w:tc>
        <w:tc>
          <w:tcPr>
            <w:tcW w:w="3004" w:type="dxa"/>
          </w:tcPr>
          <w:p w14:paraId="06055C08" w14:textId="77777777" w:rsidR="007F596B" w:rsidRDefault="007F596B" w:rsidP="007F596B">
            <w:pPr>
              <w:spacing w:line="480" w:lineRule="auto"/>
              <w:rPr>
                <w:rFonts w:ascii="Arial" w:hAnsi="Arial" w:cs="Arial"/>
                <w:sz w:val="22"/>
                <w:szCs w:val="22"/>
              </w:rPr>
            </w:pPr>
            <w:r>
              <w:rPr>
                <w:rFonts w:ascii="Arial" w:hAnsi="Arial" w:cs="Arial"/>
                <w:sz w:val="22"/>
                <w:szCs w:val="22"/>
              </w:rPr>
              <w:t>81</w:t>
            </w:r>
          </w:p>
        </w:tc>
      </w:tr>
      <w:tr w:rsidR="007F596B" w14:paraId="73240F79" w14:textId="77777777" w:rsidTr="007F596B">
        <w:tc>
          <w:tcPr>
            <w:tcW w:w="3003" w:type="dxa"/>
          </w:tcPr>
          <w:p w14:paraId="53B21CA9" w14:textId="77777777" w:rsidR="007F596B" w:rsidRDefault="007F596B" w:rsidP="007F596B">
            <w:pPr>
              <w:spacing w:line="480" w:lineRule="auto"/>
              <w:rPr>
                <w:rFonts w:ascii="Arial" w:hAnsi="Arial" w:cs="Arial"/>
                <w:sz w:val="22"/>
                <w:szCs w:val="22"/>
              </w:rPr>
            </w:pPr>
            <w:r>
              <w:rPr>
                <w:rFonts w:ascii="Arial" w:hAnsi="Arial" w:cs="Arial"/>
                <w:sz w:val="22"/>
                <w:szCs w:val="22"/>
              </w:rPr>
              <w:t>White other</w:t>
            </w:r>
          </w:p>
        </w:tc>
        <w:tc>
          <w:tcPr>
            <w:tcW w:w="3003" w:type="dxa"/>
          </w:tcPr>
          <w:p w14:paraId="73025376" w14:textId="77777777" w:rsidR="007F596B" w:rsidRDefault="007F596B" w:rsidP="007F596B">
            <w:pPr>
              <w:spacing w:line="480" w:lineRule="auto"/>
              <w:rPr>
                <w:rFonts w:ascii="Arial" w:hAnsi="Arial" w:cs="Arial"/>
                <w:sz w:val="22"/>
                <w:szCs w:val="22"/>
              </w:rPr>
            </w:pPr>
            <w:r>
              <w:rPr>
                <w:rFonts w:ascii="Arial" w:hAnsi="Arial" w:cs="Arial"/>
                <w:sz w:val="22"/>
                <w:szCs w:val="22"/>
              </w:rPr>
              <w:t>5</w:t>
            </w:r>
          </w:p>
        </w:tc>
        <w:tc>
          <w:tcPr>
            <w:tcW w:w="3004" w:type="dxa"/>
          </w:tcPr>
          <w:p w14:paraId="3B48CE6D" w14:textId="77777777" w:rsidR="007F596B" w:rsidRDefault="007F596B" w:rsidP="007F596B">
            <w:pPr>
              <w:spacing w:line="480" w:lineRule="auto"/>
              <w:rPr>
                <w:rFonts w:ascii="Arial" w:hAnsi="Arial" w:cs="Arial"/>
                <w:sz w:val="22"/>
                <w:szCs w:val="22"/>
              </w:rPr>
            </w:pPr>
            <w:r>
              <w:rPr>
                <w:rFonts w:ascii="Arial" w:hAnsi="Arial" w:cs="Arial"/>
                <w:sz w:val="22"/>
                <w:szCs w:val="22"/>
              </w:rPr>
              <w:t>3</w:t>
            </w:r>
          </w:p>
        </w:tc>
      </w:tr>
      <w:tr w:rsidR="007F596B" w14:paraId="7D1D8A94" w14:textId="77777777" w:rsidTr="007F596B">
        <w:tc>
          <w:tcPr>
            <w:tcW w:w="3003" w:type="dxa"/>
          </w:tcPr>
          <w:p w14:paraId="49729A08" w14:textId="77777777" w:rsidR="007F596B" w:rsidRDefault="007F596B" w:rsidP="007F596B">
            <w:pPr>
              <w:spacing w:line="480" w:lineRule="auto"/>
              <w:rPr>
                <w:rFonts w:ascii="Arial" w:hAnsi="Arial" w:cs="Arial"/>
                <w:sz w:val="22"/>
                <w:szCs w:val="22"/>
              </w:rPr>
            </w:pPr>
            <w:r>
              <w:rPr>
                <w:rFonts w:ascii="Arial" w:hAnsi="Arial" w:cs="Arial"/>
                <w:sz w:val="22"/>
                <w:szCs w:val="22"/>
              </w:rPr>
              <w:t>Asian or Asian British</w:t>
            </w:r>
          </w:p>
        </w:tc>
        <w:tc>
          <w:tcPr>
            <w:tcW w:w="3003" w:type="dxa"/>
          </w:tcPr>
          <w:p w14:paraId="4C8BEF29" w14:textId="77777777" w:rsidR="007F596B" w:rsidRDefault="007F596B" w:rsidP="007F596B">
            <w:pPr>
              <w:spacing w:line="480" w:lineRule="auto"/>
              <w:rPr>
                <w:rFonts w:ascii="Arial" w:hAnsi="Arial" w:cs="Arial"/>
                <w:sz w:val="22"/>
                <w:szCs w:val="22"/>
              </w:rPr>
            </w:pPr>
            <w:r>
              <w:rPr>
                <w:rFonts w:ascii="Arial" w:hAnsi="Arial" w:cs="Arial"/>
                <w:sz w:val="22"/>
                <w:szCs w:val="22"/>
              </w:rPr>
              <w:t>2</w:t>
            </w:r>
          </w:p>
        </w:tc>
        <w:tc>
          <w:tcPr>
            <w:tcW w:w="3004" w:type="dxa"/>
          </w:tcPr>
          <w:p w14:paraId="2F62D1F6" w14:textId="77777777" w:rsidR="007F596B" w:rsidRDefault="007F596B" w:rsidP="007F596B">
            <w:pPr>
              <w:spacing w:line="480" w:lineRule="auto"/>
              <w:rPr>
                <w:rFonts w:ascii="Arial" w:hAnsi="Arial" w:cs="Arial"/>
                <w:sz w:val="22"/>
                <w:szCs w:val="22"/>
              </w:rPr>
            </w:pPr>
            <w:r>
              <w:rPr>
                <w:rFonts w:ascii="Arial" w:hAnsi="Arial" w:cs="Arial"/>
                <w:sz w:val="22"/>
                <w:szCs w:val="22"/>
              </w:rPr>
              <w:t>2</w:t>
            </w:r>
          </w:p>
        </w:tc>
      </w:tr>
      <w:tr w:rsidR="007F596B" w14:paraId="70DBD8A4" w14:textId="77777777" w:rsidTr="007F596B">
        <w:tc>
          <w:tcPr>
            <w:tcW w:w="3003" w:type="dxa"/>
          </w:tcPr>
          <w:p w14:paraId="715A4327" w14:textId="77777777" w:rsidR="007F596B" w:rsidRDefault="007F596B" w:rsidP="007F596B">
            <w:pPr>
              <w:spacing w:line="480" w:lineRule="auto"/>
              <w:rPr>
                <w:rFonts w:ascii="Arial" w:hAnsi="Arial" w:cs="Arial"/>
                <w:sz w:val="22"/>
                <w:szCs w:val="22"/>
              </w:rPr>
            </w:pPr>
            <w:r>
              <w:rPr>
                <w:rFonts w:ascii="Arial" w:hAnsi="Arial" w:cs="Arial"/>
                <w:sz w:val="22"/>
                <w:szCs w:val="22"/>
              </w:rPr>
              <w:t>Black or black British Caribbean</w:t>
            </w:r>
          </w:p>
        </w:tc>
        <w:tc>
          <w:tcPr>
            <w:tcW w:w="3003" w:type="dxa"/>
          </w:tcPr>
          <w:p w14:paraId="2ECF24E2" w14:textId="77777777" w:rsidR="007F596B" w:rsidRDefault="007F596B" w:rsidP="007F596B">
            <w:pPr>
              <w:spacing w:line="480" w:lineRule="auto"/>
              <w:rPr>
                <w:rFonts w:ascii="Arial" w:hAnsi="Arial" w:cs="Arial"/>
                <w:sz w:val="22"/>
                <w:szCs w:val="22"/>
              </w:rPr>
            </w:pPr>
            <w:r>
              <w:rPr>
                <w:rFonts w:ascii="Arial" w:hAnsi="Arial" w:cs="Arial"/>
                <w:sz w:val="22"/>
                <w:szCs w:val="22"/>
              </w:rPr>
              <w:t>2</w:t>
            </w:r>
          </w:p>
        </w:tc>
        <w:tc>
          <w:tcPr>
            <w:tcW w:w="3004" w:type="dxa"/>
          </w:tcPr>
          <w:p w14:paraId="5BC6B35D" w14:textId="77777777" w:rsidR="007F596B" w:rsidRDefault="007F596B" w:rsidP="007F596B">
            <w:pPr>
              <w:spacing w:line="480" w:lineRule="auto"/>
              <w:rPr>
                <w:rFonts w:ascii="Arial" w:hAnsi="Arial" w:cs="Arial"/>
                <w:sz w:val="22"/>
                <w:szCs w:val="22"/>
              </w:rPr>
            </w:pPr>
            <w:r>
              <w:rPr>
                <w:rFonts w:ascii="Arial" w:hAnsi="Arial" w:cs="Arial"/>
                <w:sz w:val="22"/>
                <w:szCs w:val="22"/>
              </w:rPr>
              <w:t>3</w:t>
            </w:r>
          </w:p>
        </w:tc>
      </w:tr>
      <w:tr w:rsidR="007F596B" w14:paraId="4C3A6FB2" w14:textId="77777777" w:rsidTr="007F596B">
        <w:tc>
          <w:tcPr>
            <w:tcW w:w="3003" w:type="dxa"/>
          </w:tcPr>
          <w:p w14:paraId="3D12EDF6" w14:textId="77777777" w:rsidR="007F596B" w:rsidRDefault="007F596B" w:rsidP="007F596B">
            <w:pPr>
              <w:spacing w:line="480" w:lineRule="auto"/>
              <w:rPr>
                <w:rFonts w:ascii="Arial" w:hAnsi="Arial" w:cs="Arial"/>
                <w:sz w:val="22"/>
                <w:szCs w:val="22"/>
              </w:rPr>
            </w:pPr>
            <w:r>
              <w:rPr>
                <w:rFonts w:ascii="Arial" w:hAnsi="Arial" w:cs="Arial"/>
                <w:sz w:val="22"/>
                <w:szCs w:val="22"/>
              </w:rPr>
              <w:t>Black or black British African</w:t>
            </w:r>
          </w:p>
        </w:tc>
        <w:tc>
          <w:tcPr>
            <w:tcW w:w="3003" w:type="dxa"/>
          </w:tcPr>
          <w:p w14:paraId="1A3FBCE1" w14:textId="77777777" w:rsidR="007F596B" w:rsidRDefault="007F596B" w:rsidP="007F596B">
            <w:pPr>
              <w:spacing w:line="480" w:lineRule="auto"/>
              <w:rPr>
                <w:rFonts w:ascii="Arial" w:hAnsi="Arial" w:cs="Arial"/>
                <w:sz w:val="22"/>
                <w:szCs w:val="22"/>
              </w:rPr>
            </w:pPr>
            <w:r>
              <w:rPr>
                <w:rFonts w:ascii="Arial" w:hAnsi="Arial" w:cs="Arial"/>
                <w:sz w:val="22"/>
                <w:szCs w:val="22"/>
              </w:rPr>
              <w:t>1</w:t>
            </w:r>
          </w:p>
        </w:tc>
        <w:tc>
          <w:tcPr>
            <w:tcW w:w="3004" w:type="dxa"/>
          </w:tcPr>
          <w:p w14:paraId="1A3DB44B" w14:textId="77777777" w:rsidR="007F596B" w:rsidRDefault="007F596B" w:rsidP="007F596B">
            <w:pPr>
              <w:spacing w:line="480" w:lineRule="auto"/>
              <w:rPr>
                <w:rFonts w:ascii="Arial" w:hAnsi="Arial" w:cs="Arial"/>
                <w:sz w:val="22"/>
                <w:szCs w:val="22"/>
              </w:rPr>
            </w:pPr>
            <w:r>
              <w:rPr>
                <w:rFonts w:ascii="Arial" w:hAnsi="Arial" w:cs="Arial"/>
                <w:sz w:val="22"/>
                <w:szCs w:val="22"/>
              </w:rPr>
              <w:t>2</w:t>
            </w:r>
          </w:p>
        </w:tc>
      </w:tr>
      <w:tr w:rsidR="007F596B" w14:paraId="71DBA570" w14:textId="77777777" w:rsidTr="007F596B">
        <w:tc>
          <w:tcPr>
            <w:tcW w:w="3003" w:type="dxa"/>
          </w:tcPr>
          <w:p w14:paraId="78DBE052" w14:textId="77777777" w:rsidR="007F596B" w:rsidRDefault="007F596B" w:rsidP="007F596B">
            <w:pPr>
              <w:spacing w:line="480" w:lineRule="auto"/>
              <w:rPr>
                <w:rFonts w:ascii="Arial" w:hAnsi="Arial" w:cs="Arial"/>
                <w:sz w:val="22"/>
                <w:szCs w:val="22"/>
              </w:rPr>
            </w:pPr>
            <w:r>
              <w:rPr>
                <w:rFonts w:ascii="Arial" w:hAnsi="Arial" w:cs="Arial"/>
                <w:sz w:val="22"/>
                <w:szCs w:val="22"/>
              </w:rPr>
              <w:t>Other including…</w:t>
            </w:r>
          </w:p>
        </w:tc>
        <w:tc>
          <w:tcPr>
            <w:tcW w:w="3003" w:type="dxa"/>
          </w:tcPr>
          <w:p w14:paraId="26398FC5" w14:textId="77777777" w:rsidR="007F596B" w:rsidRDefault="007F596B" w:rsidP="007F596B">
            <w:pPr>
              <w:spacing w:line="480" w:lineRule="auto"/>
              <w:rPr>
                <w:rFonts w:ascii="Arial" w:hAnsi="Arial" w:cs="Arial"/>
                <w:sz w:val="22"/>
                <w:szCs w:val="22"/>
              </w:rPr>
            </w:pPr>
            <w:r>
              <w:rPr>
                <w:rFonts w:ascii="Arial" w:hAnsi="Arial" w:cs="Arial"/>
                <w:sz w:val="22"/>
                <w:szCs w:val="22"/>
              </w:rPr>
              <w:t>7</w:t>
            </w:r>
          </w:p>
        </w:tc>
        <w:tc>
          <w:tcPr>
            <w:tcW w:w="3004" w:type="dxa"/>
          </w:tcPr>
          <w:p w14:paraId="094D344A" w14:textId="77777777" w:rsidR="007F596B" w:rsidRDefault="007F596B" w:rsidP="007F596B">
            <w:pPr>
              <w:spacing w:line="480" w:lineRule="auto"/>
              <w:rPr>
                <w:rFonts w:ascii="Arial" w:hAnsi="Arial" w:cs="Arial"/>
                <w:sz w:val="22"/>
                <w:szCs w:val="22"/>
              </w:rPr>
            </w:pPr>
            <w:r>
              <w:rPr>
                <w:rFonts w:ascii="Arial" w:hAnsi="Arial" w:cs="Arial"/>
                <w:sz w:val="22"/>
                <w:szCs w:val="22"/>
              </w:rPr>
              <w:t>9</w:t>
            </w:r>
          </w:p>
        </w:tc>
      </w:tr>
    </w:tbl>
    <w:p w14:paraId="0AF32633" w14:textId="574481C8" w:rsidR="007F596B" w:rsidRDefault="007F596B" w:rsidP="007F596B">
      <w:pPr>
        <w:spacing w:line="480" w:lineRule="auto"/>
        <w:rPr>
          <w:rFonts w:ascii="Arial" w:hAnsi="Arial" w:cs="Arial"/>
          <w:sz w:val="22"/>
          <w:szCs w:val="22"/>
        </w:rPr>
      </w:pPr>
    </w:p>
    <w:p w14:paraId="46BFD650" w14:textId="068ED5C0" w:rsidR="008C1CBF" w:rsidRPr="008C1CBF" w:rsidRDefault="008C1CBF" w:rsidP="008C1CBF">
      <w:pPr>
        <w:pStyle w:val="Tables"/>
        <w:rPr>
          <w:b w:val="0"/>
        </w:rPr>
      </w:pPr>
      <w:bookmarkStart w:id="153" w:name="_Toc28347770"/>
      <w:bookmarkStart w:id="154" w:name="_Toc46770971"/>
      <w:r w:rsidRPr="00322C41">
        <w:t xml:space="preserve">Table 2.3 </w:t>
      </w:r>
      <w:r w:rsidRPr="008C1CBF">
        <w:rPr>
          <w:b w:val="0"/>
        </w:rPr>
        <w:t>Reported primary presenting problem in face-to-face CBT and IECBT</w:t>
      </w:r>
      <w:bookmarkEnd w:id="153"/>
      <w:bookmarkEnd w:id="154"/>
    </w:p>
    <w:tbl>
      <w:tblPr>
        <w:tblStyle w:val="TableGrid"/>
        <w:tblW w:w="0" w:type="auto"/>
        <w:tblLook w:val="04A0" w:firstRow="1" w:lastRow="0" w:firstColumn="1" w:lastColumn="0" w:noHBand="0" w:noVBand="1"/>
      </w:tblPr>
      <w:tblGrid>
        <w:gridCol w:w="3003"/>
        <w:gridCol w:w="3003"/>
        <w:gridCol w:w="3004"/>
      </w:tblGrid>
      <w:tr w:rsidR="007F596B" w14:paraId="7DB95437" w14:textId="77777777" w:rsidTr="007F596B">
        <w:tc>
          <w:tcPr>
            <w:tcW w:w="3003" w:type="dxa"/>
          </w:tcPr>
          <w:p w14:paraId="2D0D1B24" w14:textId="77777777" w:rsidR="007F596B" w:rsidRDefault="007F596B" w:rsidP="007F596B">
            <w:pPr>
              <w:spacing w:line="480" w:lineRule="auto"/>
              <w:rPr>
                <w:rFonts w:ascii="Arial" w:hAnsi="Arial" w:cs="Arial"/>
                <w:sz w:val="22"/>
                <w:szCs w:val="22"/>
              </w:rPr>
            </w:pPr>
            <w:r>
              <w:rPr>
                <w:rFonts w:ascii="Arial" w:hAnsi="Arial" w:cs="Arial"/>
                <w:sz w:val="22"/>
                <w:szCs w:val="22"/>
              </w:rPr>
              <w:t>Primary presenting problem</w:t>
            </w:r>
          </w:p>
        </w:tc>
        <w:tc>
          <w:tcPr>
            <w:tcW w:w="3003" w:type="dxa"/>
          </w:tcPr>
          <w:p w14:paraId="6AD6F8C9" w14:textId="77777777" w:rsidR="007F596B" w:rsidRDefault="007F596B" w:rsidP="007F596B">
            <w:pPr>
              <w:spacing w:line="480" w:lineRule="auto"/>
              <w:rPr>
                <w:rFonts w:ascii="Arial" w:hAnsi="Arial" w:cs="Arial"/>
                <w:sz w:val="22"/>
                <w:szCs w:val="22"/>
              </w:rPr>
            </w:pPr>
            <w:r>
              <w:rPr>
                <w:rFonts w:ascii="Arial" w:hAnsi="Arial" w:cs="Arial"/>
                <w:sz w:val="22"/>
                <w:szCs w:val="22"/>
              </w:rPr>
              <w:t>Face-to-face %</w:t>
            </w:r>
          </w:p>
        </w:tc>
        <w:tc>
          <w:tcPr>
            <w:tcW w:w="3004" w:type="dxa"/>
          </w:tcPr>
          <w:p w14:paraId="54132683" w14:textId="77777777" w:rsidR="007F596B" w:rsidRDefault="007F596B" w:rsidP="007F596B">
            <w:pPr>
              <w:spacing w:line="480" w:lineRule="auto"/>
              <w:rPr>
                <w:rFonts w:ascii="Arial" w:hAnsi="Arial" w:cs="Arial"/>
                <w:sz w:val="22"/>
                <w:szCs w:val="22"/>
              </w:rPr>
            </w:pPr>
            <w:r>
              <w:rPr>
                <w:rFonts w:ascii="Arial" w:hAnsi="Arial" w:cs="Arial"/>
                <w:sz w:val="22"/>
                <w:szCs w:val="22"/>
              </w:rPr>
              <w:t>IECBT %</w:t>
            </w:r>
          </w:p>
        </w:tc>
      </w:tr>
      <w:tr w:rsidR="007F596B" w14:paraId="1CEA7C6C" w14:textId="77777777" w:rsidTr="007F596B">
        <w:tc>
          <w:tcPr>
            <w:tcW w:w="3003" w:type="dxa"/>
          </w:tcPr>
          <w:p w14:paraId="49E0C002" w14:textId="77777777" w:rsidR="007F596B" w:rsidRDefault="007F596B" w:rsidP="007F596B">
            <w:pPr>
              <w:spacing w:line="480" w:lineRule="auto"/>
              <w:rPr>
                <w:rFonts w:ascii="Arial" w:hAnsi="Arial" w:cs="Arial"/>
                <w:sz w:val="22"/>
                <w:szCs w:val="22"/>
              </w:rPr>
            </w:pPr>
            <w:r>
              <w:rPr>
                <w:rFonts w:ascii="Arial" w:hAnsi="Arial" w:cs="Arial"/>
                <w:sz w:val="22"/>
                <w:szCs w:val="22"/>
              </w:rPr>
              <w:t>Depression</w:t>
            </w:r>
          </w:p>
        </w:tc>
        <w:tc>
          <w:tcPr>
            <w:tcW w:w="3003" w:type="dxa"/>
          </w:tcPr>
          <w:p w14:paraId="4E32FAA5" w14:textId="77777777" w:rsidR="007F596B" w:rsidRDefault="007F596B" w:rsidP="007F596B">
            <w:pPr>
              <w:spacing w:line="480" w:lineRule="auto"/>
              <w:rPr>
                <w:rFonts w:ascii="Arial" w:hAnsi="Arial" w:cs="Arial"/>
                <w:sz w:val="22"/>
                <w:szCs w:val="22"/>
              </w:rPr>
            </w:pPr>
            <w:r>
              <w:rPr>
                <w:rFonts w:ascii="Arial" w:hAnsi="Arial" w:cs="Arial"/>
                <w:sz w:val="22"/>
                <w:szCs w:val="22"/>
              </w:rPr>
              <w:t>36</w:t>
            </w:r>
          </w:p>
        </w:tc>
        <w:tc>
          <w:tcPr>
            <w:tcW w:w="3004" w:type="dxa"/>
          </w:tcPr>
          <w:p w14:paraId="14C677B1" w14:textId="77777777" w:rsidR="007F596B" w:rsidRDefault="007F596B" w:rsidP="007F596B">
            <w:pPr>
              <w:spacing w:line="480" w:lineRule="auto"/>
              <w:rPr>
                <w:rFonts w:ascii="Arial" w:hAnsi="Arial" w:cs="Arial"/>
                <w:sz w:val="22"/>
                <w:szCs w:val="22"/>
              </w:rPr>
            </w:pPr>
            <w:r>
              <w:rPr>
                <w:rFonts w:ascii="Arial" w:hAnsi="Arial" w:cs="Arial"/>
                <w:sz w:val="22"/>
                <w:szCs w:val="22"/>
              </w:rPr>
              <w:t>37</w:t>
            </w:r>
          </w:p>
        </w:tc>
      </w:tr>
      <w:tr w:rsidR="007F596B" w14:paraId="592F85CD" w14:textId="77777777" w:rsidTr="007F596B">
        <w:tc>
          <w:tcPr>
            <w:tcW w:w="3003" w:type="dxa"/>
          </w:tcPr>
          <w:p w14:paraId="6AB3FAC5" w14:textId="77777777" w:rsidR="007F596B" w:rsidRDefault="007F596B" w:rsidP="007F596B">
            <w:pPr>
              <w:spacing w:line="480" w:lineRule="auto"/>
              <w:rPr>
                <w:rFonts w:ascii="Arial" w:hAnsi="Arial" w:cs="Arial"/>
                <w:sz w:val="22"/>
                <w:szCs w:val="22"/>
              </w:rPr>
            </w:pPr>
            <w:r>
              <w:rPr>
                <w:rFonts w:ascii="Arial" w:hAnsi="Arial" w:cs="Arial"/>
                <w:sz w:val="22"/>
                <w:szCs w:val="22"/>
              </w:rPr>
              <w:t>Mixed anxiety and depression</w:t>
            </w:r>
          </w:p>
        </w:tc>
        <w:tc>
          <w:tcPr>
            <w:tcW w:w="3003" w:type="dxa"/>
          </w:tcPr>
          <w:p w14:paraId="15A858F8" w14:textId="77777777" w:rsidR="007F596B" w:rsidRDefault="007F596B" w:rsidP="007F596B">
            <w:pPr>
              <w:spacing w:line="480" w:lineRule="auto"/>
              <w:rPr>
                <w:rFonts w:ascii="Arial" w:hAnsi="Arial" w:cs="Arial"/>
                <w:sz w:val="22"/>
                <w:szCs w:val="22"/>
              </w:rPr>
            </w:pPr>
            <w:r>
              <w:rPr>
                <w:rFonts w:ascii="Arial" w:hAnsi="Arial" w:cs="Arial"/>
                <w:sz w:val="22"/>
                <w:szCs w:val="22"/>
              </w:rPr>
              <w:t>31</w:t>
            </w:r>
          </w:p>
        </w:tc>
        <w:tc>
          <w:tcPr>
            <w:tcW w:w="3004" w:type="dxa"/>
          </w:tcPr>
          <w:p w14:paraId="7669F02B" w14:textId="77777777" w:rsidR="007F596B" w:rsidRDefault="007F596B" w:rsidP="007F596B">
            <w:pPr>
              <w:spacing w:line="480" w:lineRule="auto"/>
              <w:rPr>
                <w:rFonts w:ascii="Arial" w:hAnsi="Arial" w:cs="Arial"/>
                <w:sz w:val="22"/>
                <w:szCs w:val="22"/>
              </w:rPr>
            </w:pPr>
            <w:r>
              <w:rPr>
                <w:rFonts w:ascii="Arial" w:hAnsi="Arial" w:cs="Arial"/>
                <w:sz w:val="22"/>
                <w:szCs w:val="22"/>
              </w:rPr>
              <w:t>5.5</w:t>
            </w:r>
          </w:p>
        </w:tc>
      </w:tr>
      <w:tr w:rsidR="007F596B" w14:paraId="5A84FD28" w14:textId="77777777" w:rsidTr="007F596B">
        <w:tc>
          <w:tcPr>
            <w:tcW w:w="3003" w:type="dxa"/>
          </w:tcPr>
          <w:p w14:paraId="0F2CDDC5" w14:textId="77777777" w:rsidR="007F596B" w:rsidRDefault="007F596B" w:rsidP="007F596B">
            <w:pPr>
              <w:spacing w:line="480" w:lineRule="auto"/>
              <w:rPr>
                <w:rFonts w:ascii="Arial" w:hAnsi="Arial" w:cs="Arial"/>
                <w:sz w:val="22"/>
                <w:szCs w:val="22"/>
              </w:rPr>
            </w:pPr>
            <w:r>
              <w:rPr>
                <w:rFonts w:ascii="Arial" w:hAnsi="Arial" w:cs="Arial"/>
                <w:sz w:val="22"/>
                <w:szCs w:val="22"/>
              </w:rPr>
              <w:t>Generalised Anxiety Dis.</w:t>
            </w:r>
          </w:p>
        </w:tc>
        <w:tc>
          <w:tcPr>
            <w:tcW w:w="3003" w:type="dxa"/>
          </w:tcPr>
          <w:p w14:paraId="47448F4E" w14:textId="77777777" w:rsidR="007F596B" w:rsidRDefault="007F596B" w:rsidP="007F596B">
            <w:pPr>
              <w:spacing w:line="480" w:lineRule="auto"/>
              <w:rPr>
                <w:rFonts w:ascii="Arial" w:hAnsi="Arial" w:cs="Arial"/>
                <w:sz w:val="22"/>
                <w:szCs w:val="22"/>
              </w:rPr>
            </w:pPr>
            <w:r>
              <w:rPr>
                <w:rFonts w:ascii="Arial" w:hAnsi="Arial" w:cs="Arial"/>
                <w:sz w:val="22"/>
                <w:szCs w:val="22"/>
              </w:rPr>
              <w:t>14</w:t>
            </w:r>
          </w:p>
        </w:tc>
        <w:tc>
          <w:tcPr>
            <w:tcW w:w="3004" w:type="dxa"/>
          </w:tcPr>
          <w:p w14:paraId="2C3A7AC7" w14:textId="77777777" w:rsidR="007F596B" w:rsidRDefault="007F596B" w:rsidP="007F596B">
            <w:pPr>
              <w:spacing w:line="480" w:lineRule="auto"/>
              <w:rPr>
                <w:rFonts w:ascii="Arial" w:hAnsi="Arial" w:cs="Arial"/>
                <w:sz w:val="22"/>
                <w:szCs w:val="22"/>
              </w:rPr>
            </w:pPr>
            <w:r>
              <w:rPr>
                <w:rFonts w:ascii="Arial" w:hAnsi="Arial" w:cs="Arial"/>
                <w:sz w:val="22"/>
                <w:szCs w:val="22"/>
              </w:rPr>
              <w:t>18.3</w:t>
            </w:r>
          </w:p>
        </w:tc>
      </w:tr>
      <w:tr w:rsidR="007F596B" w14:paraId="383C86A9" w14:textId="77777777" w:rsidTr="007F596B">
        <w:tc>
          <w:tcPr>
            <w:tcW w:w="3003" w:type="dxa"/>
          </w:tcPr>
          <w:p w14:paraId="3AF0D1B5" w14:textId="77777777" w:rsidR="007F596B" w:rsidRDefault="007F596B" w:rsidP="007F596B">
            <w:pPr>
              <w:spacing w:line="480" w:lineRule="auto"/>
              <w:rPr>
                <w:rFonts w:ascii="Arial" w:hAnsi="Arial" w:cs="Arial"/>
                <w:sz w:val="22"/>
                <w:szCs w:val="22"/>
              </w:rPr>
            </w:pPr>
            <w:r>
              <w:rPr>
                <w:rFonts w:ascii="Arial" w:hAnsi="Arial" w:cs="Arial"/>
                <w:sz w:val="22"/>
                <w:szCs w:val="22"/>
              </w:rPr>
              <w:t>Other</w:t>
            </w:r>
          </w:p>
        </w:tc>
        <w:tc>
          <w:tcPr>
            <w:tcW w:w="3003" w:type="dxa"/>
          </w:tcPr>
          <w:p w14:paraId="43A9CEFE" w14:textId="77777777" w:rsidR="007F596B" w:rsidRDefault="007F596B" w:rsidP="007F596B">
            <w:pPr>
              <w:spacing w:line="480" w:lineRule="auto"/>
              <w:rPr>
                <w:rFonts w:ascii="Arial" w:hAnsi="Arial" w:cs="Arial"/>
                <w:sz w:val="22"/>
                <w:szCs w:val="22"/>
              </w:rPr>
            </w:pPr>
            <w:r>
              <w:rPr>
                <w:rFonts w:ascii="Arial" w:hAnsi="Arial" w:cs="Arial"/>
                <w:sz w:val="22"/>
                <w:szCs w:val="22"/>
              </w:rPr>
              <w:t>14</w:t>
            </w:r>
          </w:p>
        </w:tc>
        <w:tc>
          <w:tcPr>
            <w:tcW w:w="3004" w:type="dxa"/>
          </w:tcPr>
          <w:p w14:paraId="6476AFA0" w14:textId="77777777" w:rsidR="007F596B" w:rsidRDefault="007F596B" w:rsidP="007F596B">
            <w:pPr>
              <w:spacing w:line="480" w:lineRule="auto"/>
              <w:rPr>
                <w:rFonts w:ascii="Arial" w:hAnsi="Arial" w:cs="Arial"/>
                <w:sz w:val="22"/>
                <w:szCs w:val="22"/>
              </w:rPr>
            </w:pPr>
            <w:r>
              <w:rPr>
                <w:rFonts w:ascii="Arial" w:hAnsi="Arial" w:cs="Arial"/>
                <w:sz w:val="22"/>
                <w:szCs w:val="22"/>
              </w:rPr>
              <w:t>15.9</w:t>
            </w:r>
          </w:p>
        </w:tc>
      </w:tr>
      <w:tr w:rsidR="007F596B" w14:paraId="4D359C83" w14:textId="77777777" w:rsidTr="007F596B">
        <w:tc>
          <w:tcPr>
            <w:tcW w:w="3003" w:type="dxa"/>
          </w:tcPr>
          <w:p w14:paraId="0506CCB4" w14:textId="77777777" w:rsidR="007F596B" w:rsidRDefault="007F596B" w:rsidP="007F596B">
            <w:pPr>
              <w:spacing w:line="480" w:lineRule="auto"/>
              <w:rPr>
                <w:rFonts w:ascii="Arial" w:hAnsi="Arial" w:cs="Arial"/>
                <w:sz w:val="22"/>
                <w:szCs w:val="22"/>
              </w:rPr>
            </w:pPr>
            <w:r>
              <w:rPr>
                <w:rFonts w:ascii="Arial" w:hAnsi="Arial" w:cs="Arial"/>
                <w:sz w:val="22"/>
                <w:szCs w:val="22"/>
              </w:rPr>
              <w:t>Panic Disorder</w:t>
            </w:r>
          </w:p>
        </w:tc>
        <w:tc>
          <w:tcPr>
            <w:tcW w:w="3003" w:type="dxa"/>
          </w:tcPr>
          <w:p w14:paraId="70E7B78E" w14:textId="77777777" w:rsidR="007F596B" w:rsidRDefault="007F596B" w:rsidP="007F596B">
            <w:pPr>
              <w:spacing w:line="480" w:lineRule="auto"/>
              <w:rPr>
                <w:rFonts w:ascii="Arial" w:hAnsi="Arial" w:cs="Arial"/>
                <w:sz w:val="22"/>
                <w:szCs w:val="22"/>
              </w:rPr>
            </w:pPr>
            <w:r>
              <w:rPr>
                <w:rFonts w:ascii="Arial" w:hAnsi="Arial" w:cs="Arial"/>
                <w:sz w:val="22"/>
                <w:szCs w:val="22"/>
              </w:rPr>
              <w:t>5</w:t>
            </w:r>
          </w:p>
        </w:tc>
        <w:tc>
          <w:tcPr>
            <w:tcW w:w="3004" w:type="dxa"/>
          </w:tcPr>
          <w:p w14:paraId="0479BC33" w14:textId="77777777" w:rsidR="007F596B" w:rsidRDefault="007F596B" w:rsidP="007F596B">
            <w:pPr>
              <w:spacing w:line="480" w:lineRule="auto"/>
              <w:rPr>
                <w:rFonts w:ascii="Arial" w:hAnsi="Arial" w:cs="Arial"/>
                <w:sz w:val="22"/>
                <w:szCs w:val="22"/>
              </w:rPr>
            </w:pPr>
            <w:r>
              <w:rPr>
                <w:rFonts w:ascii="Arial" w:hAnsi="Arial" w:cs="Arial"/>
                <w:sz w:val="22"/>
                <w:szCs w:val="22"/>
              </w:rPr>
              <w:t>4.5</w:t>
            </w:r>
          </w:p>
        </w:tc>
      </w:tr>
      <w:tr w:rsidR="007F596B" w14:paraId="3FE7799D" w14:textId="77777777" w:rsidTr="007F596B">
        <w:tc>
          <w:tcPr>
            <w:tcW w:w="3003" w:type="dxa"/>
          </w:tcPr>
          <w:p w14:paraId="1CC218F8" w14:textId="77777777" w:rsidR="007F596B" w:rsidRDefault="007F596B" w:rsidP="007F596B">
            <w:pPr>
              <w:spacing w:line="480" w:lineRule="auto"/>
              <w:rPr>
                <w:rFonts w:ascii="Arial" w:hAnsi="Arial" w:cs="Arial"/>
                <w:sz w:val="22"/>
                <w:szCs w:val="22"/>
              </w:rPr>
            </w:pPr>
            <w:r>
              <w:rPr>
                <w:rFonts w:ascii="Arial" w:hAnsi="Arial" w:cs="Arial"/>
                <w:sz w:val="22"/>
                <w:szCs w:val="22"/>
              </w:rPr>
              <w:t>Other anxiety</w:t>
            </w:r>
          </w:p>
        </w:tc>
        <w:tc>
          <w:tcPr>
            <w:tcW w:w="3003" w:type="dxa"/>
          </w:tcPr>
          <w:p w14:paraId="5D44B197" w14:textId="77777777" w:rsidR="007F596B" w:rsidRDefault="007F596B" w:rsidP="007F596B">
            <w:pPr>
              <w:spacing w:line="480" w:lineRule="auto"/>
              <w:rPr>
                <w:rFonts w:ascii="Arial" w:hAnsi="Arial" w:cs="Arial"/>
                <w:sz w:val="22"/>
                <w:szCs w:val="22"/>
              </w:rPr>
            </w:pPr>
            <w:r>
              <w:rPr>
                <w:rFonts w:ascii="Arial" w:hAnsi="Arial" w:cs="Arial"/>
                <w:sz w:val="22"/>
                <w:szCs w:val="22"/>
              </w:rPr>
              <w:t>3</w:t>
            </w:r>
          </w:p>
        </w:tc>
        <w:tc>
          <w:tcPr>
            <w:tcW w:w="3004" w:type="dxa"/>
          </w:tcPr>
          <w:p w14:paraId="2F5DE358" w14:textId="77777777" w:rsidR="007F596B" w:rsidRDefault="007F596B" w:rsidP="007F596B">
            <w:pPr>
              <w:spacing w:line="480" w:lineRule="auto"/>
              <w:rPr>
                <w:rFonts w:ascii="Arial" w:hAnsi="Arial" w:cs="Arial"/>
                <w:sz w:val="22"/>
                <w:szCs w:val="22"/>
              </w:rPr>
            </w:pPr>
            <w:r>
              <w:rPr>
                <w:rFonts w:ascii="Arial" w:hAnsi="Arial" w:cs="Arial"/>
                <w:sz w:val="22"/>
                <w:szCs w:val="22"/>
              </w:rPr>
              <w:t>2.7</w:t>
            </w:r>
          </w:p>
        </w:tc>
      </w:tr>
      <w:tr w:rsidR="007F596B" w14:paraId="5E36FD45" w14:textId="77777777" w:rsidTr="007F596B">
        <w:tc>
          <w:tcPr>
            <w:tcW w:w="3003" w:type="dxa"/>
          </w:tcPr>
          <w:p w14:paraId="2E31634A" w14:textId="77777777" w:rsidR="007F596B" w:rsidRDefault="007F596B" w:rsidP="007F596B">
            <w:pPr>
              <w:spacing w:line="480" w:lineRule="auto"/>
              <w:rPr>
                <w:rFonts w:ascii="Arial" w:hAnsi="Arial" w:cs="Arial"/>
                <w:sz w:val="22"/>
                <w:szCs w:val="22"/>
              </w:rPr>
            </w:pPr>
            <w:r>
              <w:rPr>
                <w:rFonts w:ascii="Arial" w:hAnsi="Arial" w:cs="Arial"/>
                <w:sz w:val="22"/>
                <w:szCs w:val="22"/>
              </w:rPr>
              <w:t>PTSD</w:t>
            </w:r>
          </w:p>
        </w:tc>
        <w:tc>
          <w:tcPr>
            <w:tcW w:w="3003" w:type="dxa"/>
          </w:tcPr>
          <w:p w14:paraId="37BACCE6" w14:textId="77777777" w:rsidR="007F596B" w:rsidRDefault="007F596B" w:rsidP="007F596B">
            <w:pPr>
              <w:spacing w:line="480" w:lineRule="auto"/>
              <w:rPr>
                <w:rFonts w:ascii="Arial" w:hAnsi="Arial" w:cs="Arial"/>
                <w:sz w:val="22"/>
                <w:szCs w:val="22"/>
              </w:rPr>
            </w:pPr>
            <w:r>
              <w:rPr>
                <w:rFonts w:ascii="Arial" w:hAnsi="Arial" w:cs="Arial"/>
                <w:sz w:val="22"/>
                <w:szCs w:val="22"/>
              </w:rPr>
              <w:t>2</w:t>
            </w:r>
          </w:p>
        </w:tc>
        <w:tc>
          <w:tcPr>
            <w:tcW w:w="3004" w:type="dxa"/>
          </w:tcPr>
          <w:p w14:paraId="1453642E" w14:textId="77777777" w:rsidR="007F596B" w:rsidRDefault="007F596B" w:rsidP="007F596B">
            <w:pPr>
              <w:spacing w:line="480" w:lineRule="auto"/>
              <w:rPr>
                <w:rFonts w:ascii="Arial" w:hAnsi="Arial" w:cs="Arial"/>
                <w:sz w:val="22"/>
                <w:szCs w:val="22"/>
              </w:rPr>
            </w:pPr>
            <w:r>
              <w:rPr>
                <w:rFonts w:ascii="Arial" w:hAnsi="Arial" w:cs="Arial"/>
                <w:sz w:val="22"/>
                <w:szCs w:val="22"/>
              </w:rPr>
              <w:t>3.5</w:t>
            </w:r>
          </w:p>
        </w:tc>
      </w:tr>
      <w:tr w:rsidR="007F596B" w14:paraId="297521E4" w14:textId="77777777" w:rsidTr="007F596B">
        <w:tc>
          <w:tcPr>
            <w:tcW w:w="3003" w:type="dxa"/>
          </w:tcPr>
          <w:p w14:paraId="7E9F219F" w14:textId="77777777" w:rsidR="007F596B" w:rsidRDefault="007F596B" w:rsidP="007F596B">
            <w:pPr>
              <w:spacing w:line="480" w:lineRule="auto"/>
              <w:rPr>
                <w:rFonts w:ascii="Arial" w:hAnsi="Arial" w:cs="Arial"/>
                <w:sz w:val="22"/>
                <w:szCs w:val="22"/>
              </w:rPr>
            </w:pPr>
            <w:r>
              <w:rPr>
                <w:rFonts w:ascii="Arial" w:hAnsi="Arial" w:cs="Arial"/>
                <w:sz w:val="22"/>
                <w:szCs w:val="22"/>
              </w:rPr>
              <w:t>OCD</w:t>
            </w:r>
          </w:p>
        </w:tc>
        <w:tc>
          <w:tcPr>
            <w:tcW w:w="3003" w:type="dxa"/>
          </w:tcPr>
          <w:p w14:paraId="39D9BDA2" w14:textId="77777777" w:rsidR="007F596B" w:rsidRDefault="007F596B" w:rsidP="007F596B">
            <w:pPr>
              <w:spacing w:line="480" w:lineRule="auto"/>
              <w:rPr>
                <w:rFonts w:ascii="Arial" w:hAnsi="Arial" w:cs="Arial"/>
                <w:sz w:val="22"/>
                <w:szCs w:val="22"/>
              </w:rPr>
            </w:pPr>
            <w:r>
              <w:rPr>
                <w:rFonts w:ascii="Arial" w:hAnsi="Arial" w:cs="Arial"/>
                <w:sz w:val="22"/>
                <w:szCs w:val="22"/>
              </w:rPr>
              <w:t>2</w:t>
            </w:r>
          </w:p>
        </w:tc>
        <w:tc>
          <w:tcPr>
            <w:tcW w:w="3004" w:type="dxa"/>
          </w:tcPr>
          <w:p w14:paraId="714CC6D7" w14:textId="77777777" w:rsidR="007F596B" w:rsidRDefault="007F596B" w:rsidP="007F596B">
            <w:pPr>
              <w:spacing w:line="480" w:lineRule="auto"/>
              <w:rPr>
                <w:rFonts w:ascii="Arial" w:hAnsi="Arial" w:cs="Arial"/>
                <w:sz w:val="22"/>
                <w:szCs w:val="22"/>
              </w:rPr>
            </w:pPr>
            <w:r>
              <w:rPr>
                <w:rFonts w:ascii="Arial" w:hAnsi="Arial" w:cs="Arial"/>
                <w:sz w:val="22"/>
                <w:szCs w:val="22"/>
              </w:rPr>
              <w:t>3.6</w:t>
            </w:r>
          </w:p>
        </w:tc>
      </w:tr>
      <w:tr w:rsidR="007F596B" w14:paraId="6DB0BB6C" w14:textId="77777777" w:rsidTr="007F596B">
        <w:tc>
          <w:tcPr>
            <w:tcW w:w="3003" w:type="dxa"/>
          </w:tcPr>
          <w:p w14:paraId="0DA1DE01" w14:textId="77777777" w:rsidR="007F596B" w:rsidRDefault="007F596B" w:rsidP="007F596B">
            <w:pPr>
              <w:spacing w:line="480" w:lineRule="auto"/>
              <w:rPr>
                <w:rFonts w:ascii="Arial" w:hAnsi="Arial" w:cs="Arial"/>
                <w:sz w:val="22"/>
                <w:szCs w:val="22"/>
              </w:rPr>
            </w:pPr>
            <w:r>
              <w:rPr>
                <w:rFonts w:ascii="Arial" w:hAnsi="Arial" w:cs="Arial"/>
                <w:sz w:val="22"/>
                <w:szCs w:val="22"/>
              </w:rPr>
              <w:t>Specific phobia</w:t>
            </w:r>
          </w:p>
        </w:tc>
        <w:tc>
          <w:tcPr>
            <w:tcW w:w="3003" w:type="dxa"/>
          </w:tcPr>
          <w:p w14:paraId="15CE8C5B" w14:textId="77777777" w:rsidR="007F596B" w:rsidRDefault="007F596B" w:rsidP="007F596B">
            <w:pPr>
              <w:spacing w:line="480" w:lineRule="auto"/>
              <w:rPr>
                <w:rFonts w:ascii="Arial" w:hAnsi="Arial" w:cs="Arial"/>
                <w:sz w:val="22"/>
                <w:szCs w:val="22"/>
              </w:rPr>
            </w:pPr>
            <w:r>
              <w:rPr>
                <w:rFonts w:ascii="Arial" w:hAnsi="Arial" w:cs="Arial"/>
                <w:sz w:val="22"/>
                <w:szCs w:val="22"/>
              </w:rPr>
              <w:t>1</w:t>
            </w:r>
          </w:p>
        </w:tc>
        <w:tc>
          <w:tcPr>
            <w:tcW w:w="3004" w:type="dxa"/>
          </w:tcPr>
          <w:p w14:paraId="2FEB372E" w14:textId="77777777" w:rsidR="007F596B" w:rsidRDefault="007F596B" w:rsidP="007F596B">
            <w:pPr>
              <w:spacing w:line="480" w:lineRule="auto"/>
              <w:rPr>
                <w:rFonts w:ascii="Arial" w:hAnsi="Arial" w:cs="Arial"/>
                <w:sz w:val="22"/>
                <w:szCs w:val="22"/>
              </w:rPr>
            </w:pPr>
            <w:r>
              <w:rPr>
                <w:rFonts w:ascii="Arial" w:hAnsi="Arial" w:cs="Arial"/>
                <w:sz w:val="22"/>
                <w:szCs w:val="22"/>
              </w:rPr>
              <w:t>1.5</w:t>
            </w:r>
          </w:p>
        </w:tc>
      </w:tr>
      <w:tr w:rsidR="007F596B" w14:paraId="0C5EF7EE" w14:textId="77777777" w:rsidTr="007F596B">
        <w:tc>
          <w:tcPr>
            <w:tcW w:w="3003" w:type="dxa"/>
          </w:tcPr>
          <w:p w14:paraId="301304AA" w14:textId="77777777" w:rsidR="007F596B" w:rsidRDefault="007F596B" w:rsidP="007F596B">
            <w:pPr>
              <w:spacing w:line="480" w:lineRule="auto"/>
              <w:rPr>
                <w:rFonts w:ascii="Arial" w:hAnsi="Arial" w:cs="Arial"/>
                <w:sz w:val="22"/>
                <w:szCs w:val="22"/>
              </w:rPr>
            </w:pPr>
            <w:r>
              <w:rPr>
                <w:rFonts w:ascii="Arial" w:hAnsi="Arial" w:cs="Arial"/>
                <w:sz w:val="22"/>
                <w:szCs w:val="22"/>
              </w:rPr>
              <w:t>Social Anxiety Disorder</w:t>
            </w:r>
          </w:p>
        </w:tc>
        <w:tc>
          <w:tcPr>
            <w:tcW w:w="3003" w:type="dxa"/>
          </w:tcPr>
          <w:p w14:paraId="64A6ACEC" w14:textId="77777777" w:rsidR="007F596B" w:rsidRDefault="007F596B" w:rsidP="007F596B">
            <w:pPr>
              <w:spacing w:line="480" w:lineRule="auto"/>
              <w:rPr>
                <w:rFonts w:ascii="Arial" w:hAnsi="Arial" w:cs="Arial"/>
                <w:sz w:val="22"/>
                <w:szCs w:val="22"/>
              </w:rPr>
            </w:pPr>
            <w:r>
              <w:rPr>
                <w:rFonts w:ascii="Arial" w:hAnsi="Arial" w:cs="Arial"/>
                <w:sz w:val="22"/>
                <w:szCs w:val="22"/>
              </w:rPr>
              <w:t>&lt;1</w:t>
            </w:r>
          </w:p>
        </w:tc>
        <w:tc>
          <w:tcPr>
            <w:tcW w:w="3004" w:type="dxa"/>
          </w:tcPr>
          <w:p w14:paraId="6944B84B" w14:textId="77777777" w:rsidR="007F596B" w:rsidRDefault="007F596B" w:rsidP="007F596B">
            <w:pPr>
              <w:spacing w:line="480" w:lineRule="auto"/>
              <w:rPr>
                <w:rFonts w:ascii="Arial" w:hAnsi="Arial" w:cs="Arial"/>
                <w:sz w:val="22"/>
                <w:szCs w:val="22"/>
              </w:rPr>
            </w:pPr>
            <w:r>
              <w:rPr>
                <w:rFonts w:ascii="Arial" w:hAnsi="Arial" w:cs="Arial"/>
                <w:sz w:val="22"/>
                <w:szCs w:val="22"/>
              </w:rPr>
              <w:t>7.5</w:t>
            </w:r>
          </w:p>
        </w:tc>
      </w:tr>
      <w:tr w:rsidR="007F596B" w14:paraId="77EA9F32" w14:textId="77777777" w:rsidTr="007F596B">
        <w:tc>
          <w:tcPr>
            <w:tcW w:w="3003" w:type="dxa"/>
          </w:tcPr>
          <w:p w14:paraId="325A2168" w14:textId="77777777" w:rsidR="007F596B" w:rsidRDefault="007F596B" w:rsidP="007F596B">
            <w:pPr>
              <w:spacing w:line="480" w:lineRule="auto"/>
              <w:rPr>
                <w:rFonts w:ascii="Arial" w:hAnsi="Arial" w:cs="Arial"/>
                <w:sz w:val="22"/>
                <w:szCs w:val="22"/>
              </w:rPr>
            </w:pPr>
            <w:r>
              <w:rPr>
                <w:rFonts w:ascii="Arial" w:hAnsi="Arial" w:cs="Arial"/>
                <w:sz w:val="22"/>
                <w:szCs w:val="22"/>
              </w:rPr>
              <w:t>Body Dysmorphic Disorder</w:t>
            </w:r>
          </w:p>
        </w:tc>
        <w:tc>
          <w:tcPr>
            <w:tcW w:w="3003" w:type="dxa"/>
          </w:tcPr>
          <w:p w14:paraId="46C0523F" w14:textId="77777777" w:rsidR="007F596B" w:rsidRDefault="007F596B" w:rsidP="007F596B">
            <w:pPr>
              <w:spacing w:line="480" w:lineRule="auto"/>
              <w:rPr>
                <w:rFonts w:ascii="Arial" w:hAnsi="Arial" w:cs="Arial"/>
                <w:sz w:val="22"/>
                <w:szCs w:val="22"/>
              </w:rPr>
            </w:pPr>
            <w:r>
              <w:rPr>
                <w:rFonts w:ascii="Arial" w:hAnsi="Arial" w:cs="Arial"/>
                <w:sz w:val="22"/>
                <w:szCs w:val="22"/>
              </w:rPr>
              <w:t>&lt;1</w:t>
            </w:r>
          </w:p>
        </w:tc>
        <w:tc>
          <w:tcPr>
            <w:tcW w:w="3004" w:type="dxa"/>
          </w:tcPr>
          <w:p w14:paraId="5B200EF4" w14:textId="77777777" w:rsidR="007F596B" w:rsidRDefault="007F596B" w:rsidP="007F596B">
            <w:pPr>
              <w:spacing w:line="480" w:lineRule="auto"/>
              <w:rPr>
                <w:rFonts w:ascii="Arial" w:hAnsi="Arial" w:cs="Arial"/>
                <w:sz w:val="22"/>
                <w:szCs w:val="22"/>
              </w:rPr>
            </w:pPr>
            <w:r>
              <w:rPr>
                <w:rFonts w:ascii="Arial" w:hAnsi="Arial" w:cs="Arial"/>
                <w:sz w:val="22"/>
                <w:szCs w:val="22"/>
              </w:rPr>
              <w:t>0</w:t>
            </w:r>
          </w:p>
        </w:tc>
      </w:tr>
    </w:tbl>
    <w:p w14:paraId="7EEA4B54" w14:textId="77777777" w:rsidR="007F596B" w:rsidRDefault="007F596B" w:rsidP="007F596B">
      <w:pPr>
        <w:spacing w:line="480" w:lineRule="auto"/>
        <w:rPr>
          <w:rFonts w:ascii="Arial" w:hAnsi="Arial" w:cs="Arial"/>
          <w:sz w:val="22"/>
          <w:szCs w:val="22"/>
        </w:rPr>
      </w:pPr>
    </w:p>
    <w:p w14:paraId="7D58D39E" w14:textId="77777777" w:rsidR="007F596B" w:rsidRDefault="007F596B" w:rsidP="007F596B">
      <w:pPr>
        <w:spacing w:line="480" w:lineRule="auto"/>
        <w:rPr>
          <w:rFonts w:ascii="Arial" w:hAnsi="Arial" w:cs="Arial"/>
          <w:sz w:val="22"/>
          <w:szCs w:val="22"/>
        </w:rPr>
      </w:pPr>
    </w:p>
    <w:p w14:paraId="53BB4936" w14:textId="4E92B45A" w:rsidR="007F596B" w:rsidRDefault="006C5B70" w:rsidP="007F596B">
      <w:pPr>
        <w:pStyle w:val="Heading3"/>
        <w:rPr>
          <w:rFonts w:cs="Arial"/>
          <w:color w:val="000000" w:themeColor="text1"/>
          <w:szCs w:val="22"/>
        </w:rPr>
      </w:pPr>
      <w:bookmarkStart w:id="155" w:name="_Toc46770746"/>
      <w:bookmarkStart w:id="156" w:name="_Toc79414157"/>
      <w:r>
        <w:rPr>
          <w:rFonts w:cs="Arial"/>
          <w:color w:val="000000" w:themeColor="text1"/>
          <w:szCs w:val="22"/>
        </w:rPr>
        <w:lastRenderedPageBreak/>
        <w:t>2.1</w:t>
      </w:r>
      <w:r w:rsidR="00E2371E">
        <w:rPr>
          <w:rFonts w:cs="Arial"/>
          <w:color w:val="000000" w:themeColor="text1"/>
          <w:szCs w:val="22"/>
        </w:rPr>
        <w:t>2</w:t>
      </w:r>
      <w:r>
        <w:rPr>
          <w:rFonts w:cs="Arial"/>
          <w:color w:val="000000" w:themeColor="text1"/>
          <w:szCs w:val="22"/>
        </w:rPr>
        <w:t>.2</w:t>
      </w:r>
      <w:r w:rsidR="007F596B" w:rsidRPr="00AF562B">
        <w:rPr>
          <w:rFonts w:cs="Arial"/>
          <w:color w:val="000000" w:themeColor="text1"/>
          <w:szCs w:val="22"/>
        </w:rPr>
        <w:t xml:space="preserve"> </w:t>
      </w:r>
      <w:r w:rsidR="00BA7545">
        <w:rPr>
          <w:rFonts w:cs="Arial"/>
          <w:color w:val="000000" w:themeColor="text1"/>
          <w:szCs w:val="22"/>
        </w:rPr>
        <w:t xml:space="preserve">Waiting </w:t>
      </w:r>
      <w:r w:rsidR="007F596B" w:rsidRPr="00AF562B">
        <w:rPr>
          <w:rFonts w:cs="Arial"/>
          <w:color w:val="000000" w:themeColor="text1"/>
          <w:szCs w:val="22"/>
        </w:rPr>
        <w:t>times</w:t>
      </w:r>
      <w:r w:rsidR="00BA7545">
        <w:rPr>
          <w:rFonts w:cs="Arial"/>
          <w:color w:val="000000" w:themeColor="text1"/>
          <w:szCs w:val="22"/>
        </w:rPr>
        <w:t xml:space="preserve"> to start treatment</w:t>
      </w:r>
      <w:bookmarkEnd w:id="155"/>
      <w:bookmarkEnd w:id="156"/>
    </w:p>
    <w:p w14:paraId="52F47D59" w14:textId="77777777" w:rsidR="007F596B" w:rsidRPr="00AF562B" w:rsidRDefault="007F596B" w:rsidP="007F596B"/>
    <w:p w14:paraId="0879AC48" w14:textId="345CF5A4" w:rsidR="007F596B" w:rsidRDefault="007F596B" w:rsidP="007F596B">
      <w:pPr>
        <w:spacing w:line="480" w:lineRule="auto"/>
        <w:rPr>
          <w:rFonts w:ascii="Arial" w:hAnsi="Arial" w:cs="Arial"/>
          <w:sz w:val="22"/>
          <w:szCs w:val="22"/>
        </w:rPr>
      </w:pPr>
      <w:r>
        <w:rPr>
          <w:rFonts w:ascii="Arial" w:hAnsi="Arial" w:cs="Arial"/>
          <w:sz w:val="22"/>
          <w:szCs w:val="22"/>
        </w:rPr>
        <w:t>One of the overarching aims of IAPT is to provide timely access to evidence-based psychological interventions.  Therefore, the waiting time to start treatment is one of the reportable key performance indicators in IAPT (NHS England</w:t>
      </w:r>
      <w:r w:rsidR="00B57E44">
        <w:rPr>
          <w:rFonts w:ascii="Arial" w:hAnsi="Arial" w:cs="Arial"/>
          <w:sz w:val="22"/>
          <w:szCs w:val="22"/>
        </w:rPr>
        <w:t>,</w:t>
      </w:r>
      <w:r>
        <w:rPr>
          <w:rFonts w:ascii="Arial" w:hAnsi="Arial" w:cs="Arial"/>
          <w:sz w:val="22"/>
          <w:szCs w:val="22"/>
        </w:rPr>
        <w:t xml:space="preserve"> 2018).  The mean waiting time to assessment in face-to-face services in the reporting year 2017-2018 was 20.7 days (NHS Digital 2018) compared to 14 days in IECBT.</w:t>
      </w:r>
    </w:p>
    <w:p w14:paraId="3ED2FDAE" w14:textId="77777777" w:rsidR="007F596B" w:rsidRDefault="007F596B" w:rsidP="007F596B">
      <w:pPr>
        <w:spacing w:line="480" w:lineRule="auto"/>
        <w:rPr>
          <w:rFonts w:ascii="Arial" w:hAnsi="Arial" w:cs="Arial"/>
          <w:sz w:val="22"/>
          <w:szCs w:val="22"/>
        </w:rPr>
      </w:pPr>
    </w:p>
    <w:p w14:paraId="3F5AC68A" w14:textId="29840031" w:rsidR="007F596B" w:rsidRDefault="006C5B70" w:rsidP="007F596B">
      <w:pPr>
        <w:pStyle w:val="Heading3"/>
        <w:rPr>
          <w:rFonts w:cs="Arial"/>
          <w:color w:val="000000" w:themeColor="text1"/>
          <w:szCs w:val="22"/>
        </w:rPr>
      </w:pPr>
      <w:bookmarkStart w:id="157" w:name="_Toc46770747"/>
      <w:bookmarkStart w:id="158" w:name="_Toc79414158"/>
      <w:r>
        <w:rPr>
          <w:rFonts w:cs="Arial"/>
          <w:color w:val="000000" w:themeColor="text1"/>
          <w:szCs w:val="22"/>
        </w:rPr>
        <w:t>2.1</w:t>
      </w:r>
      <w:r w:rsidR="00E2371E">
        <w:rPr>
          <w:rFonts w:cs="Arial"/>
          <w:color w:val="000000" w:themeColor="text1"/>
          <w:szCs w:val="22"/>
        </w:rPr>
        <w:t>2</w:t>
      </w:r>
      <w:r>
        <w:rPr>
          <w:rFonts w:cs="Arial"/>
          <w:color w:val="000000" w:themeColor="text1"/>
          <w:szCs w:val="22"/>
        </w:rPr>
        <w:t>.3</w:t>
      </w:r>
      <w:r w:rsidR="007F596B" w:rsidRPr="00F06BE5">
        <w:rPr>
          <w:rFonts w:cs="Arial"/>
          <w:color w:val="000000" w:themeColor="text1"/>
          <w:szCs w:val="22"/>
        </w:rPr>
        <w:t xml:space="preserve"> </w:t>
      </w:r>
      <w:r w:rsidR="00BA7545">
        <w:rPr>
          <w:rFonts w:cs="Arial"/>
          <w:color w:val="000000" w:themeColor="text1"/>
          <w:szCs w:val="22"/>
        </w:rPr>
        <w:t>Therapist</w:t>
      </w:r>
      <w:r w:rsidR="007F596B" w:rsidRPr="00F06BE5">
        <w:rPr>
          <w:rFonts w:cs="Arial"/>
          <w:color w:val="000000" w:themeColor="text1"/>
          <w:szCs w:val="22"/>
        </w:rPr>
        <w:t xml:space="preserve"> demographics</w:t>
      </w:r>
      <w:bookmarkEnd w:id="157"/>
      <w:bookmarkEnd w:id="158"/>
    </w:p>
    <w:p w14:paraId="187F7D2B" w14:textId="77777777" w:rsidR="007F596B" w:rsidRPr="00F06BE5" w:rsidRDefault="007F596B" w:rsidP="007F596B"/>
    <w:p w14:paraId="6DF196B6" w14:textId="3956B9A2" w:rsidR="007F596B" w:rsidRDefault="007F596B" w:rsidP="007F596B">
      <w:pPr>
        <w:spacing w:line="480" w:lineRule="auto"/>
        <w:rPr>
          <w:rFonts w:ascii="Arial" w:hAnsi="Arial" w:cs="Arial"/>
          <w:sz w:val="22"/>
          <w:szCs w:val="22"/>
        </w:rPr>
      </w:pPr>
      <w:r>
        <w:rPr>
          <w:rFonts w:ascii="Arial" w:hAnsi="Arial" w:cs="Arial"/>
          <w:sz w:val="22"/>
          <w:szCs w:val="22"/>
        </w:rPr>
        <w:t xml:space="preserve">Both IECBT and face-to-face provision of CBT within IAPT are delivered by British Association of Behavioural and Cognitive Psychotherapy (BABCP) accredited CBT therapists. </w:t>
      </w:r>
      <w:r w:rsidR="004D1CEF">
        <w:rPr>
          <w:rFonts w:ascii="Arial" w:hAnsi="Arial" w:cs="Arial"/>
          <w:sz w:val="22"/>
          <w:szCs w:val="22"/>
        </w:rPr>
        <w:t xml:space="preserve">The </w:t>
      </w:r>
      <w:r>
        <w:rPr>
          <w:rFonts w:ascii="Arial" w:hAnsi="Arial" w:cs="Arial"/>
          <w:sz w:val="22"/>
          <w:szCs w:val="22"/>
        </w:rPr>
        <w:t>minimum training standards required by the BABCP in order to become accredited</w:t>
      </w:r>
      <w:r w:rsidR="004D1CEF">
        <w:rPr>
          <w:rFonts w:ascii="Arial" w:hAnsi="Arial" w:cs="Arial"/>
          <w:sz w:val="22"/>
          <w:szCs w:val="22"/>
        </w:rPr>
        <w:t xml:space="preserve"> were outlined earlier in this chapter.</w:t>
      </w:r>
      <w:r>
        <w:rPr>
          <w:rFonts w:ascii="Arial" w:hAnsi="Arial" w:cs="Arial"/>
          <w:sz w:val="22"/>
          <w:szCs w:val="22"/>
        </w:rPr>
        <w:t xml:space="preserve"> Therefore, it would not be expected that there was significant variance between therapists delivering CBT face-to-face and via IECBT. Furthermore, 75% of therapists delivering CBT via IECBT are also delivering CBT in face-to-face IAPT services. The most recent IAPT workforce census reports that 79% of IAPT therapists are female and 21% are </w:t>
      </w:r>
      <w:r w:rsidR="00CB48DD">
        <w:rPr>
          <w:rFonts w:ascii="Arial" w:hAnsi="Arial" w:cs="Arial"/>
          <w:sz w:val="22"/>
          <w:szCs w:val="22"/>
        </w:rPr>
        <w:t>male</w:t>
      </w:r>
      <w:r>
        <w:rPr>
          <w:rFonts w:ascii="Arial" w:hAnsi="Arial" w:cs="Arial"/>
          <w:sz w:val="22"/>
          <w:szCs w:val="22"/>
        </w:rPr>
        <w:t xml:space="preserve"> (NHS England, 2015) compared to </w:t>
      </w:r>
      <w:r w:rsidR="005B39C6">
        <w:rPr>
          <w:rFonts w:ascii="Arial" w:hAnsi="Arial" w:cs="Arial"/>
          <w:sz w:val="22"/>
          <w:szCs w:val="22"/>
        </w:rPr>
        <w:t>81.5%</w:t>
      </w:r>
      <w:r>
        <w:rPr>
          <w:rFonts w:ascii="Arial" w:hAnsi="Arial" w:cs="Arial"/>
          <w:sz w:val="22"/>
          <w:szCs w:val="22"/>
        </w:rPr>
        <w:t xml:space="preserve"> female therapists and </w:t>
      </w:r>
      <w:r w:rsidR="005B39C6">
        <w:rPr>
          <w:rFonts w:ascii="Arial" w:hAnsi="Arial" w:cs="Arial"/>
          <w:sz w:val="22"/>
          <w:szCs w:val="22"/>
        </w:rPr>
        <w:t xml:space="preserve">18.5% </w:t>
      </w:r>
      <w:r>
        <w:rPr>
          <w:rFonts w:ascii="Arial" w:hAnsi="Arial" w:cs="Arial"/>
          <w:sz w:val="22"/>
          <w:szCs w:val="22"/>
        </w:rPr>
        <w:t xml:space="preserve">male therapists in IECBT. Of these, 88% of therapists had completed an IAPT training programme and 12% has become accredited prior to IAPT in face-to-face services compared to </w:t>
      </w:r>
      <w:r w:rsidR="005B39C6">
        <w:rPr>
          <w:rFonts w:ascii="Arial" w:hAnsi="Arial" w:cs="Arial"/>
          <w:sz w:val="22"/>
          <w:szCs w:val="22"/>
        </w:rPr>
        <w:t>73%</w:t>
      </w:r>
      <w:r>
        <w:rPr>
          <w:rFonts w:ascii="Arial" w:hAnsi="Arial" w:cs="Arial"/>
          <w:sz w:val="22"/>
          <w:szCs w:val="22"/>
        </w:rPr>
        <w:t xml:space="preserve"> having completed an IAPT training programme and </w:t>
      </w:r>
      <w:r w:rsidR="005B39C6">
        <w:rPr>
          <w:rFonts w:ascii="Arial" w:hAnsi="Arial" w:cs="Arial"/>
          <w:sz w:val="22"/>
          <w:szCs w:val="22"/>
        </w:rPr>
        <w:t>27</w:t>
      </w:r>
      <w:r>
        <w:rPr>
          <w:rFonts w:ascii="Arial" w:hAnsi="Arial" w:cs="Arial"/>
          <w:sz w:val="22"/>
          <w:szCs w:val="22"/>
        </w:rPr>
        <w:t xml:space="preserve">% having been accredited prior to IAPT in IECBT.  Table </w:t>
      </w:r>
      <w:r w:rsidR="004D1CEF">
        <w:rPr>
          <w:rFonts w:ascii="Arial" w:hAnsi="Arial" w:cs="Arial"/>
          <w:sz w:val="22"/>
          <w:szCs w:val="22"/>
        </w:rPr>
        <w:t>2.4</w:t>
      </w:r>
      <w:r>
        <w:rPr>
          <w:rFonts w:ascii="Arial" w:hAnsi="Arial" w:cs="Arial"/>
          <w:sz w:val="22"/>
          <w:szCs w:val="22"/>
        </w:rPr>
        <w:t xml:space="preserve"> shows the ages of therapists working in face-to-face IAPT services, taken from the most recent IAPT work force census (NHS England 2015) compared to the therapists who participated in this research. </w:t>
      </w:r>
    </w:p>
    <w:p w14:paraId="682FB7E1" w14:textId="77777777" w:rsidR="007F596B" w:rsidRDefault="007F596B" w:rsidP="007F596B">
      <w:pPr>
        <w:spacing w:line="480" w:lineRule="auto"/>
        <w:rPr>
          <w:rFonts w:ascii="Arial" w:hAnsi="Arial" w:cs="Arial"/>
          <w:sz w:val="22"/>
          <w:szCs w:val="22"/>
        </w:rPr>
      </w:pPr>
    </w:p>
    <w:p w14:paraId="09AE2502" w14:textId="77777777" w:rsidR="007F596B" w:rsidRDefault="007F596B" w:rsidP="007F596B">
      <w:pPr>
        <w:spacing w:line="480" w:lineRule="auto"/>
        <w:rPr>
          <w:rFonts w:ascii="Arial" w:hAnsi="Arial" w:cs="Arial"/>
          <w:sz w:val="22"/>
          <w:szCs w:val="22"/>
        </w:rPr>
      </w:pPr>
    </w:p>
    <w:p w14:paraId="78CE7146" w14:textId="77777777" w:rsidR="007F596B" w:rsidRDefault="007F596B" w:rsidP="007F596B">
      <w:pPr>
        <w:spacing w:line="480" w:lineRule="auto"/>
        <w:rPr>
          <w:rFonts w:ascii="Arial" w:hAnsi="Arial" w:cs="Arial"/>
          <w:sz w:val="22"/>
          <w:szCs w:val="22"/>
        </w:rPr>
      </w:pPr>
    </w:p>
    <w:p w14:paraId="22DC896F" w14:textId="77777777" w:rsidR="007F596B" w:rsidRDefault="007F596B" w:rsidP="007F596B">
      <w:pPr>
        <w:spacing w:line="480" w:lineRule="auto"/>
        <w:rPr>
          <w:rFonts w:ascii="Arial" w:hAnsi="Arial" w:cs="Arial"/>
          <w:sz w:val="22"/>
          <w:szCs w:val="22"/>
        </w:rPr>
      </w:pPr>
    </w:p>
    <w:p w14:paraId="01913CAC" w14:textId="77777777" w:rsidR="007F596B" w:rsidRDefault="007F596B" w:rsidP="007F596B">
      <w:pPr>
        <w:spacing w:line="480" w:lineRule="auto"/>
        <w:rPr>
          <w:rFonts w:ascii="Arial" w:hAnsi="Arial" w:cs="Arial"/>
          <w:sz w:val="22"/>
          <w:szCs w:val="22"/>
        </w:rPr>
      </w:pPr>
    </w:p>
    <w:p w14:paraId="0AAE8961" w14:textId="397842AD" w:rsidR="008C1CBF" w:rsidRDefault="008C1CBF" w:rsidP="008C1CBF">
      <w:pPr>
        <w:pStyle w:val="Tables"/>
      </w:pPr>
      <w:bookmarkStart w:id="159" w:name="_Toc28347771"/>
      <w:bookmarkStart w:id="160" w:name="_Toc46770972"/>
      <w:r w:rsidRPr="002D57ED">
        <w:lastRenderedPageBreak/>
        <w:t xml:space="preserve">Table 2.4 </w:t>
      </w:r>
      <w:r w:rsidRPr="008C1CBF">
        <w:rPr>
          <w:b w:val="0"/>
        </w:rPr>
        <w:t>Therapist age in face-to-face CBT and IECBT (whole cohort of therapists providing IECBT)</w:t>
      </w:r>
      <w:bookmarkEnd w:id="159"/>
      <w:bookmarkEnd w:id="160"/>
    </w:p>
    <w:tbl>
      <w:tblPr>
        <w:tblStyle w:val="TableGrid"/>
        <w:tblW w:w="0" w:type="auto"/>
        <w:tblLook w:val="04A0" w:firstRow="1" w:lastRow="0" w:firstColumn="1" w:lastColumn="0" w:noHBand="0" w:noVBand="1"/>
      </w:tblPr>
      <w:tblGrid>
        <w:gridCol w:w="3003"/>
        <w:gridCol w:w="3003"/>
        <w:gridCol w:w="3004"/>
      </w:tblGrid>
      <w:tr w:rsidR="007F596B" w14:paraId="4A856B2D" w14:textId="77777777" w:rsidTr="007F596B">
        <w:tc>
          <w:tcPr>
            <w:tcW w:w="3003" w:type="dxa"/>
          </w:tcPr>
          <w:p w14:paraId="40A790B8" w14:textId="77777777" w:rsidR="007F596B" w:rsidRDefault="007F596B" w:rsidP="007F596B">
            <w:pPr>
              <w:spacing w:line="480" w:lineRule="auto"/>
              <w:rPr>
                <w:rFonts w:ascii="Arial" w:hAnsi="Arial" w:cs="Arial"/>
                <w:sz w:val="22"/>
                <w:szCs w:val="22"/>
              </w:rPr>
            </w:pPr>
            <w:r>
              <w:rPr>
                <w:rFonts w:ascii="Arial" w:hAnsi="Arial" w:cs="Arial"/>
                <w:sz w:val="22"/>
                <w:szCs w:val="22"/>
              </w:rPr>
              <w:t>Therapist Age</w:t>
            </w:r>
          </w:p>
        </w:tc>
        <w:tc>
          <w:tcPr>
            <w:tcW w:w="3003" w:type="dxa"/>
          </w:tcPr>
          <w:p w14:paraId="7767BA0F" w14:textId="5125FCA3" w:rsidR="007F596B" w:rsidRDefault="007F596B" w:rsidP="007F596B">
            <w:pPr>
              <w:spacing w:line="480" w:lineRule="auto"/>
              <w:rPr>
                <w:rFonts w:ascii="Arial" w:hAnsi="Arial" w:cs="Arial"/>
                <w:sz w:val="22"/>
                <w:szCs w:val="22"/>
              </w:rPr>
            </w:pPr>
            <w:r>
              <w:rPr>
                <w:rFonts w:ascii="Arial" w:hAnsi="Arial" w:cs="Arial"/>
                <w:sz w:val="22"/>
                <w:szCs w:val="22"/>
              </w:rPr>
              <w:t>Face-to-face</w:t>
            </w:r>
            <w:r w:rsidR="002B03CC">
              <w:rPr>
                <w:rFonts w:ascii="Arial" w:hAnsi="Arial" w:cs="Arial"/>
                <w:sz w:val="22"/>
                <w:szCs w:val="22"/>
              </w:rPr>
              <w:t xml:space="preserve"> %</w:t>
            </w:r>
          </w:p>
        </w:tc>
        <w:tc>
          <w:tcPr>
            <w:tcW w:w="3004" w:type="dxa"/>
          </w:tcPr>
          <w:p w14:paraId="6159BBC5" w14:textId="46758C96" w:rsidR="007F596B" w:rsidRDefault="007F596B" w:rsidP="007F596B">
            <w:pPr>
              <w:spacing w:line="480" w:lineRule="auto"/>
              <w:rPr>
                <w:rFonts w:ascii="Arial" w:hAnsi="Arial" w:cs="Arial"/>
                <w:sz w:val="22"/>
                <w:szCs w:val="22"/>
              </w:rPr>
            </w:pPr>
            <w:r>
              <w:rPr>
                <w:rFonts w:ascii="Arial" w:hAnsi="Arial" w:cs="Arial"/>
                <w:sz w:val="22"/>
                <w:szCs w:val="22"/>
              </w:rPr>
              <w:t>IECBT</w:t>
            </w:r>
            <w:r w:rsidR="002B03CC">
              <w:rPr>
                <w:rFonts w:ascii="Arial" w:hAnsi="Arial" w:cs="Arial"/>
                <w:sz w:val="22"/>
                <w:szCs w:val="22"/>
              </w:rPr>
              <w:t xml:space="preserve"> %</w:t>
            </w:r>
          </w:p>
        </w:tc>
      </w:tr>
      <w:tr w:rsidR="007F596B" w14:paraId="4BFB172B" w14:textId="77777777" w:rsidTr="007F596B">
        <w:tc>
          <w:tcPr>
            <w:tcW w:w="3003" w:type="dxa"/>
          </w:tcPr>
          <w:p w14:paraId="7B6D8BCA" w14:textId="77777777" w:rsidR="007F596B" w:rsidRDefault="007F596B" w:rsidP="007F596B">
            <w:pPr>
              <w:spacing w:line="480" w:lineRule="auto"/>
              <w:rPr>
                <w:rFonts w:ascii="Arial" w:hAnsi="Arial" w:cs="Arial"/>
                <w:sz w:val="22"/>
                <w:szCs w:val="22"/>
              </w:rPr>
            </w:pPr>
            <m:oMathPara>
              <m:oMath>
                <m:r>
                  <w:rPr>
                    <w:rFonts w:ascii="Cambria Math" w:hAnsi="Cambria Math" w:cs="Arial"/>
                    <w:sz w:val="22"/>
                    <w:szCs w:val="22"/>
                  </w:rPr>
                  <m:t>≤25</m:t>
                </m:r>
              </m:oMath>
            </m:oMathPara>
          </w:p>
        </w:tc>
        <w:tc>
          <w:tcPr>
            <w:tcW w:w="3003" w:type="dxa"/>
          </w:tcPr>
          <w:p w14:paraId="3498BA8C" w14:textId="77777777" w:rsidR="007F596B" w:rsidRDefault="007F596B" w:rsidP="007F596B">
            <w:pPr>
              <w:spacing w:line="480" w:lineRule="auto"/>
              <w:rPr>
                <w:rFonts w:ascii="Arial" w:hAnsi="Arial" w:cs="Arial"/>
                <w:sz w:val="22"/>
                <w:szCs w:val="22"/>
              </w:rPr>
            </w:pPr>
            <w:r>
              <w:rPr>
                <w:rFonts w:ascii="Arial" w:hAnsi="Arial" w:cs="Arial"/>
                <w:sz w:val="22"/>
                <w:szCs w:val="22"/>
              </w:rPr>
              <w:t xml:space="preserve">                8</w:t>
            </w:r>
          </w:p>
        </w:tc>
        <w:tc>
          <w:tcPr>
            <w:tcW w:w="3004" w:type="dxa"/>
          </w:tcPr>
          <w:p w14:paraId="62395191" w14:textId="77777777" w:rsidR="007F596B" w:rsidRDefault="007F596B" w:rsidP="007F596B">
            <w:pPr>
              <w:spacing w:line="480" w:lineRule="auto"/>
              <w:rPr>
                <w:rFonts w:ascii="Arial" w:hAnsi="Arial" w:cs="Arial"/>
                <w:sz w:val="22"/>
                <w:szCs w:val="22"/>
              </w:rPr>
            </w:pPr>
            <w:r>
              <w:rPr>
                <w:rFonts w:ascii="Arial" w:hAnsi="Arial" w:cs="Arial"/>
                <w:sz w:val="22"/>
                <w:szCs w:val="22"/>
              </w:rPr>
              <w:t>7</w:t>
            </w:r>
          </w:p>
        </w:tc>
      </w:tr>
      <w:tr w:rsidR="007F596B" w14:paraId="73F588D8" w14:textId="77777777" w:rsidTr="007F596B">
        <w:tc>
          <w:tcPr>
            <w:tcW w:w="3003" w:type="dxa"/>
          </w:tcPr>
          <w:p w14:paraId="7AB4B13F" w14:textId="77777777" w:rsidR="007F596B" w:rsidRDefault="007F596B" w:rsidP="007F596B">
            <w:pPr>
              <w:spacing w:line="480" w:lineRule="auto"/>
              <w:rPr>
                <w:rFonts w:ascii="Arial" w:hAnsi="Arial" w:cs="Arial"/>
                <w:sz w:val="22"/>
                <w:szCs w:val="22"/>
              </w:rPr>
            </w:pPr>
            <w:r>
              <w:rPr>
                <w:rFonts w:ascii="Arial" w:hAnsi="Arial" w:cs="Arial"/>
                <w:sz w:val="22"/>
                <w:szCs w:val="22"/>
              </w:rPr>
              <w:t xml:space="preserve">                  26-45</w:t>
            </w:r>
          </w:p>
        </w:tc>
        <w:tc>
          <w:tcPr>
            <w:tcW w:w="3003" w:type="dxa"/>
          </w:tcPr>
          <w:p w14:paraId="0100BBEC" w14:textId="77777777" w:rsidR="007F596B" w:rsidRDefault="007F596B" w:rsidP="007F596B">
            <w:pPr>
              <w:spacing w:line="480" w:lineRule="auto"/>
              <w:rPr>
                <w:rFonts w:ascii="Arial" w:hAnsi="Arial" w:cs="Arial"/>
                <w:sz w:val="22"/>
                <w:szCs w:val="22"/>
              </w:rPr>
            </w:pPr>
            <w:r>
              <w:rPr>
                <w:rFonts w:ascii="Arial" w:hAnsi="Arial" w:cs="Arial"/>
                <w:sz w:val="22"/>
                <w:szCs w:val="22"/>
              </w:rPr>
              <w:t xml:space="preserve">               58</w:t>
            </w:r>
          </w:p>
        </w:tc>
        <w:tc>
          <w:tcPr>
            <w:tcW w:w="3004" w:type="dxa"/>
          </w:tcPr>
          <w:p w14:paraId="1435EDEE" w14:textId="77777777" w:rsidR="007F596B" w:rsidRDefault="007F596B" w:rsidP="007F596B">
            <w:pPr>
              <w:spacing w:line="480" w:lineRule="auto"/>
              <w:rPr>
                <w:rFonts w:ascii="Arial" w:hAnsi="Arial" w:cs="Arial"/>
                <w:sz w:val="22"/>
                <w:szCs w:val="22"/>
              </w:rPr>
            </w:pPr>
            <w:r>
              <w:rPr>
                <w:rFonts w:ascii="Arial" w:hAnsi="Arial" w:cs="Arial"/>
                <w:sz w:val="22"/>
                <w:szCs w:val="22"/>
              </w:rPr>
              <w:t>65</w:t>
            </w:r>
          </w:p>
        </w:tc>
      </w:tr>
      <w:tr w:rsidR="007F596B" w14:paraId="7469BFC8" w14:textId="77777777" w:rsidTr="007F596B">
        <w:tc>
          <w:tcPr>
            <w:tcW w:w="3003" w:type="dxa"/>
          </w:tcPr>
          <w:p w14:paraId="2D8FB374" w14:textId="77777777" w:rsidR="007F596B" w:rsidRDefault="007F596B" w:rsidP="007F596B">
            <w:pPr>
              <w:spacing w:line="480" w:lineRule="auto"/>
              <w:rPr>
                <w:rFonts w:ascii="Arial" w:hAnsi="Arial" w:cs="Arial"/>
                <w:sz w:val="22"/>
                <w:szCs w:val="22"/>
              </w:rPr>
            </w:pPr>
            <w:r>
              <w:rPr>
                <w:rFonts w:ascii="Arial" w:hAnsi="Arial" w:cs="Arial"/>
                <w:sz w:val="22"/>
                <w:szCs w:val="22"/>
              </w:rPr>
              <w:t xml:space="preserve">                  46-60</w:t>
            </w:r>
          </w:p>
        </w:tc>
        <w:tc>
          <w:tcPr>
            <w:tcW w:w="3003" w:type="dxa"/>
          </w:tcPr>
          <w:p w14:paraId="7CE43770" w14:textId="77777777" w:rsidR="007F596B" w:rsidRDefault="007F596B" w:rsidP="007F596B">
            <w:pPr>
              <w:spacing w:line="480" w:lineRule="auto"/>
              <w:rPr>
                <w:rFonts w:ascii="Arial" w:hAnsi="Arial" w:cs="Arial"/>
                <w:sz w:val="22"/>
                <w:szCs w:val="22"/>
              </w:rPr>
            </w:pPr>
            <w:r>
              <w:rPr>
                <w:rFonts w:ascii="Arial" w:hAnsi="Arial" w:cs="Arial"/>
                <w:sz w:val="22"/>
                <w:szCs w:val="22"/>
              </w:rPr>
              <w:t xml:space="preserve">               31</w:t>
            </w:r>
          </w:p>
        </w:tc>
        <w:tc>
          <w:tcPr>
            <w:tcW w:w="3004" w:type="dxa"/>
          </w:tcPr>
          <w:p w14:paraId="5A2FBCC5" w14:textId="77777777" w:rsidR="007F596B" w:rsidRDefault="007F596B" w:rsidP="007F596B">
            <w:pPr>
              <w:spacing w:line="480" w:lineRule="auto"/>
              <w:rPr>
                <w:rFonts w:ascii="Arial" w:hAnsi="Arial" w:cs="Arial"/>
                <w:sz w:val="22"/>
                <w:szCs w:val="22"/>
              </w:rPr>
            </w:pPr>
            <w:r>
              <w:rPr>
                <w:rFonts w:ascii="Arial" w:hAnsi="Arial" w:cs="Arial"/>
                <w:sz w:val="22"/>
                <w:szCs w:val="22"/>
              </w:rPr>
              <w:t>27</w:t>
            </w:r>
          </w:p>
        </w:tc>
      </w:tr>
      <w:tr w:rsidR="007F596B" w14:paraId="7701BEC0" w14:textId="77777777" w:rsidTr="007F596B">
        <w:tc>
          <w:tcPr>
            <w:tcW w:w="3003" w:type="dxa"/>
          </w:tcPr>
          <w:p w14:paraId="17EF6347" w14:textId="77777777" w:rsidR="007F596B" w:rsidRDefault="007F596B" w:rsidP="007F596B">
            <w:pPr>
              <w:spacing w:line="480" w:lineRule="auto"/>
              <w:rPr>
                <w:rFonts w:ascii="Arial" w:hAnsi="Arial" w:cs="Arial"/>
                <w:sz w:val="22"/>
                <w:szCs w:val="22"/>
              </w:rPr>
            </w:pPr>
            <m:oMathPara>
              <m:oMath>
                <m:r>
                  <w:rPr>
                    <w:rFonts w:ascii="Cambria Math" w:hAnsi="Cambria Math" w:cs="Arial"/>
                    <w:sz w:val="22"/>
                    <w:szCs w:val="22"/>
                  </w:rPr>
                  <m:t>≥61</m:t>
                </m:r>
              </m:oMath>
            </m:oMathPara>
          </w:p>
        </w:tc>
        <w:tc>
          <w:tcPr>
            <w:tcW w:w="3003" w:type="dxa"/>
          </w:tcPr>
          <w:p w14:paraId="55C06BF0" w14:textId="77777777" w:rsidR="007F596B" w:rsidRDefault="007F596B" w:rsidP="007F596B">
            <w:pPr>
              <w:spacing w:line="480" w:lineRule="auto"/>
              <w:rPr>
                <w:rFonts w:ascii="Arial" w:hAnsi="Arial" w:cs="Arial"/>
                <w:sz w:val="22"/>
                <w:szCs w:val="22"/>
              </w:rPr>
            </w:pPr>
            <w:r>
              <w:rPr>
                <w:rFonts w:ascii="Arial" w:hAnsi="Arial" w:cs="Arial"/>
                <w:sz w:val="22"/>
                <w:szCs w:val="22"/>
              </w:rPr>
              <w:t xml:space="preserve">               4</w:t>
            </w:r>
          </w:p>
        </w:tc>
        <w:tc>
          <w:tcPr>
            <w:tcW w:w="3004" w:type="dxa"/>
          </w:tcPr>
          <w:p w14:paraId="51F9CB86" w14:textId="77777777" w:rsidR="007F596B" w:rsidRDefault="007F596B" w:rsidP="007F596B">
            <w:pPr>
              <w:spacing w:line="480" w:lineRule="auto"/>
              <w:rPr>
                <w:rFonts w:ascii="Arial" w:hAnsi="Arial" w:cs="Arial"/>
                <w:sz w:val="22"/>
                <w:szCs w:val="22"/>
              </w:rPr>
            </w:pPr>
            <w:r>
              <w:rPr>
                <w:rFonts w:ascii="Arial" w:hAnsi="Arial" w:cs="Arial"/>
                <w:sz w:val="22"/>
                <w:szCs w:val="22"/>
              </w:rPr>
              <w:t>1</w:t>
            </w:r>
          </w:p>
        </w:tc>
      </w:tr>
    </w:tbl>
    <w:p w14:paraId="18FFBB3F" w14:textId="77777777" w:rsidR="007F596B" w:rsidRDefault="007F596B" w:rsidP="007F596B">
      <w:pPr>
        <w:spacing w:line="480" w:lineRule="auto"/>
        <w:rPr>
          <w:rFonts w:ascii="Arial" w:hAnsi="Arial" w:cs="Arial"/>
          <w:sz w:val="22"/>
          <w:szCs w:val="22"/>
        </w:rPr>
      </w:pPr>
    </w:p>
    <w:p w14:paraId="25BF1E27" w14:textId="7B5A09C9" w:rsidR="007F596B" w:rsidRDefault="006C5B70" w:rsidP="007F596B">
      <w:pPr>
        <w:pStyle w:val="Heading3"/>
        <w:rPr>
          <w:rFonts w:cs="Arial"/>
          <w:color w:val="000000" w:themeColor="text1"/>
          <w:szCs w:val="22"/>
        </w:rPr>
      </w:pPr>
      <w:bookmarkStart w:id="161" w:name="_Toc46770748"/>
      <w:bookmarkStart w:id="162" w:name="_Toc79414159"/>
      <w:r>
        <w:rPr>
          <w:rFonts w:cs="Arial"/>
          <w:color w:val="000000" w:themeColor="text1"/>
          <w:szCs w:val="22"/>
        </w:rPr>
        <w:t>2.1</w:t>
      </w:r>
      <w:r w:rsidR="00E2371E">
        <w:rPr>
          <w:rFonts w:cs="Arial"/>
          <w:color w:val="000000" w:themeColor="text1"/>
          <w:szCs w:val="22"/>
        </w:rPr>
        <w:t>2</w:t>
      </w:r>
      <w:r w:rsidR="007F596B" w:rsidRPr="00A46242">
        <w:rPr>
          <w:rFonts w:cs="Arial"/>
          <w:color w:val="000000" w:themeColor="text1"/>
          <w:szCs w:val="22"/>
        </w:rPr>
        <w:t>.4 Summary</w:t>
      </w:r>
      <w:bookmarkEnd w:id="161"/>
      <w:bookmarkEnd w:id="162"/>
    </w:p>
    <w:p w14:paraId="2FF495D6" w14:textId="77777777" w:rsidR="007F596B" w:rsidRPr="00A46242" w:rsidRDefault="007F596B" w:rsidP="007F596B"/>
    <w:p w14:paraId="5524FA26" w14:textId="69E43D8D" w:rsidR="007F596B" w:rsidRDefault="007F596B" w:rsidP="007F596B">
      <w:pPr>
        <w:spacing w:line="480" w:lineRule="auto"/>
        <w:rPr>
          <w:rFonts w:ascii="Arial" w:hAnsi="Arial" w:cs="Arial"/>
          <w:sz w:val="22"/>
          <w:szCs w:val="22"/>
        </w:rPr>
      </w:pPr>
      <w:r>
        <w:rPr>
          <w:rFonts w:ascii="Arial" w:hAnsi="Arial" w:cs="Arial"/>
          <w:sz w:val="22"/>
          <w:szCs w:val="22"/>
        </w:rPr>
        <w:t xml:space="preserve">This section has examined the </w:t>
      </w:r>
      <w:r w:rsidR="00BA7545">
        <w:rPr>
          <w:rFonts w:ascii="Arial" w:hAnsi="Arial" w:cs="Arial"/>
          <w:sz w:val="22"/>
          <w:szCs w:val="22"/>
        </w:rPr>
        <w:t>differences between</w:t>
      </w:r>
      <w:r>
        <w:rPr>
          <w:rFonts w:ascii="Arial" w:hAnsi="Arial" w:cs="Arial"/>
          <w:sz w:val="22"/>
          <w:szCs w:val="22"/>
        </w:rPr>
        <w:t xml:space="preserve"> traditional face-to-face CBT and IECBT in terms of the patients that are treated via both methods, the mean waiting times for both methods and the therapists who are working in each method. Not only are there no significant differences between therapists in both methods but 75% of the therapists working using the IECBT method for the company known as Ieso Digital Health (see </w:t>
      </w:r>
      <w:hyperlink r:id="rId33" w:history="1">
        <w:r w:rsidRPr="00142FC4">
          <w:rPr>
            <w:rStyle w:val="Hyperlink"/>
            <w:rFonts w:ascii="Arial" w:hAnsi="Arial" w:cs="Arial"/>
            <w:sz w:val="22"/>
            <w:szCs w:val="22"/>
          </w:rPr>
          <w:t>www.iesohealth.com</w:t>
        </w:r>
      </w:hyperlink>
      <w:r>
        <w:rPr>
          <w:rFonts w:ascii="Arial" w:hAnsi="Arial" w:cs="Arial"/>
          <w:sz w:val="22"/>
          <w:szCs w:val="22"/>
        </w:rPr>
        <w:t>)  also work part-time as face-to-face therapists in IAPT. Therefore, it is likely that the cohort of therapists</w:t>
      </w:r>
      <w:r w:rsidR="00834B38">
        <w:rPr>
          <w:rFonts w:ascii="Arial" w:hAnsi="Arial" w:cs="Arial"/>
          <w:sz w:val="22"/>
          <w:szCs w:val="22"/>
        </w:rPr>
        <w:t>, using the IECBT method,</w:t>
      </w:r>
      <w:r>
        <w:rPr>
          <w:rFonts w:ascii="Arial" w:hAnsi="Arial" w:cs="Arial"/>
          <w:sz w:val="22"/>
          <w:szCs w:val="22"/>
        </w:rPr>
        <w:t xml:space="preserve"> are representative of High Intensity BABCP accredited IAPT therapists. </w:t>
      </w:r>
    </w:p>
    <w:p w14:paraId="069D619E" w14:textId="77777777" w:rsidR="007F596B" w:rsidRDefault="007F596B" w:rsidP="007F596B">
      <w:pPr>
        <w:spacing w:line="480" w:lineRule="auto"/>
        <w:rPr>
          <w:rFonts w:ascii="Arial" w:hAnsi="Arial" w:cs="Arial"/>
          <w:sz w:val="22"/>
          <w:szCs w:val="22"/>
        </w:rPr>
      </w:pPr>
    </w:p>
    <w:p w14:paraId="0115ED9E" w14:textId="5C6A7897" w:rsidR="00BA7545" w:rsidRDefault="007F596B" w:rsidP="007F596B">
      <w:pPr>
        <w:spacing w:line="480" w:lineRule="auto"/>
        <w:rPr>
          <w:rFonts w:ascii="Arial" w:hAnsi="Arial" w:cs="Arial"/>
          <w:sz w:val="22"/>
          <w:szCs w:val="22"/>
        </w:rPr>
      </w:pPr>
      <w:r>
        <w:rPr>
          <w:rFonts w:ascii="Arial" w:hAnsi="Arial" w:cs="Arial"/>
          <w:sz w:val="22"/>
          <w:szCs w:val="22"/>
        </w:rPr>
        <w:t xml:space="preserve">Whilst there is </w:t>
      </w:r>
      <w:r w:rsidR="00BA7545">
        <w:rPr>
          <w:rFonts w:ascii="Arial" w:hAnsi="Arial" w:cs="Arial"/>
          <w:sz w:val="22"/>
          <w:szCs w:val="22"/>
        </w:rPr>
        <w:t>some similarity</w:t>
      </w:r>
      <w:r>
        <w:rPr>
          <w:rFonts w:ascii="Arial" w:hAnsi="Arial" w:cs="Arial"/>
          <w:sz w:val="22"/>
          <w:szCs w:val="22"/>
        </w:rPr>
        <w:t xml:space="preserve"> in the demographic of patients treated by face-to-face therapists and IECBT therapists, there is a difference in the reported primary presenting problem. In the IECBT method </w:t>
      </w:r>
      <w:r w:rsidR="00BF0E03">
        <w:rPr>
          <w:rFonts w:ascii="Arial" w:hAnsi="Arial" w:cs="Arial"/>
          <w:sz w:val="22"/>
          <w:szCs w:val="22"/>
        </w:rPr>
        <w:t xml:space="preserve">only </w:t>
      </w:r>
      <w:r>
        <w:rPr>
          <w:rFonts w:ascii="Arial" w:hAnsi="Arial" w:cs="Arial"/>
          <w:sz w:val="22"/>
          <w:szCs w:val="22"/>
        </w:rPr>
        <w:t xml:space="preserve">5.5% of therapists recorded the primary presenting problem of ‘mixed anxiety and depression’ </w:t>
      </w:r>
      <w:r w:rsidR="00BF0E03">
        <w:rPr>
          <w:rFonts w:ascii="Arial" w:hAnsi="Arial" w:cs="Arial"/>
          <w:sz w:val="22"/>
          <w:szCs w:val="22"/>
        </w:rPr>
        <w:t xml:space="preserve">compared to 31% </w:t>
      </w:r>
      <w:r w:rsidR="00834B38">
        <w:rPr>
          <w:rFonts w:ascii="Arial" w:hAnsi="Arial" w:cs="Arial"/>
          <w:sz w:val="22"/>
          <w:szCs w:val="22"/>
        </w:rPr>
        <w:t>recorded by</w:t>
      </w:r>
      <w:r w:rsidR="00BF0E03">
        <w:rPr>
          <w:rFonts w:ascii="Arial" w:hAnsi="Arial" w:cs="Arial"/>
          <w:sz w:val="22"/>
          <w:szCs w:val="22"/>
        </w:rPr>
        <w:t xml:space="preserve"> face-to-face therapists. In addition,</w:t>
      </w:r>
      <w:r>
        <w:rPr>
          <w:rFonts w:ascii="Arial" w:hAnsi="Arial" w:cs="Arial"/>
          <w:sz w:val="22"/>
          <w:szCs w:val="22"/>
        </w:rPr>
        <w:t xml:space="preserve"> there were significantly more patients who were treated</w:t>
      </w:r>
      <w:r w:rsidR="00BF0E03">
        <w:rPr>
          <w:rFonts w:ascii="Arial" w:hAnsi="Arial" w:cs="Arial"/>
          <w:sz w:val="22"/>
          <w:szCs w:val="22"/>
        </w:rPr>
        <w:t xml:space="preserve">, using the IECBT method, </w:t>
      </w:r>
      <w:r>
        <w:rPr>
          <w:rFonts w:ascii="Arial" w:hAnsi="Arial" w:cs="Arial"/>
          <w:sz w:val="22"/>
          <w:szCs w:val="22"/>
        </w:rPr>
        <w:t xml:space="preserve">for the reported conditions of generalised anxiety disorder </w:t>
      </w:r>
      <w:r w:rsidR="00BF0E03">
        <w:rPr>
          <w:rFonts w:ascii="Arial" w:hAnsi="Arial" w:cs="Arial"/>
          <w:sz w:val="22"/>
          <w:szCs w:val="22"/>
        </w:rPr>
        <w:t xml:space="preserve">and </w:t>
      </w:r>
      <w:r>
        <w:rPr>
          <w:rFonts w:ascii="Arial" w:hAnsi="Arial" w:cs="Arial"/>
          <w:sz w:val="22"/>
          <w:szCs w:val="22"/>
        </w:rPr>
        <w:t>social anxiety disorder</w:t>
      </w:r>
      <w:r w:rsidR="00385AB6">
        <w:rPr>
          <w:rFonts w:ascii="Arial" w:hAnsi="Arial" w:cs="Arial"/>
          <w:sz w:val="22"/>
          <w:szCs w:val="22"/>
        </w:rPr>
        <w:t>.</w:t>
      </w:r>
      <w:r>
        <w:rPr>
          <w:rFonts w:ascii="Arial" w:hAnsi="Arial" w:cs="Arial"/>
          <w:sz w:val="22"/>
          <w:szCs w:val="22"/>
        </w:rPr>
        <w:t xml:space="preserve"> The smaller numbers of ‘mixed anxiety and depression’</w:t>
      </w:r>
      <w:r w:rsidR="00BF0E03">
        <w:rPr>
          <w:rFonts w:ascii="Arial" w:hAnsi="Arial" w:cs="Arial"/>
          <w:sz w:val="22"/>
          <w:szCs w:val="22"/>
        </w:rPr>
        <w:t xml:space="preserve">, in the IECBT method, might </w:t>
      </w:r>
      <w:r>
        <w:rPr>
          <w:rFonts w:ascii="Arial" w:hAnsi="Arial" w:cs="Arial"/>
          <w:sz w:val="22"/>
          <w:szCs w:val="22"/>
        </w:rPr>
        <w:t xml:space="preserve">be explained by </w:t>
      </w:r>
      <w:r w:rsidR="00BF0E03">
        <w:rPr>
          <w:rFonts w:ascii="Arial" w:hAnsi="Arial" w:cs="Arial"/>
          <w:sz w:val="22"/>
          <w:szCs w:val="22"/>
        </w:rPr>
        <w:t>differences in</w:t>
      </w:r>
      <w:r w:rsidR="004926DD">
        <w:rPr>
          <w:rFonts w:ascii="Arial" w:hAnsi="Arial" w:cs="Arial"/>
          <w:sz w:val="22"/>
          <w:szCs w:val="22"/>
        </w:rPr>
        <w:t xml:space="preserve"> continuing professional development between the two methods. Therapists, using the </w:t>
      </w:r>
      <w:r>
        <w:rPr>
          <w:rFonts w:ascii="Arial" w:hAnsi="Arial" w:cs="Arial"/>
          <w:sz w:val="22"/>
          <w:szCs w:val="22"/>
        </w:rPr>
        <w:t>IECBT method</w:t>
      </w:r>
      <w:r w:rsidR="00385AB6">
        <w:rPr>
          <w:rFonts w:ascii="Arial" w:hAnsi="Arial" w:cs="Arial"/>
          <w:sz w:val="22"/>
          <w:szCs w:val="22"/>
        </w:rPr>
        <w:t>,</w:t>
      </w:r>
      <w:r>
        <w:rPr>
          <w:rFonts w:ascii="Arial" w:hAnsi="Arial" w:cs="Arial"/>
          <w:sz w:val="22"/>
          <w:szCs w:val="22"/>
        </w:rPr>
        <w:t xml:space="preserve"> </w:t>
      </w:r>
      <w:r w:rsidR="004926DD">
        <w:rPr>
          <w:rFonts w:ascii="Arial" w:hAnsi="Arial" w:cs="Arial"/>
          <w:sz w:val="22"/>
          <w:szCs w:val="22"/>
        </w:rPr>
        <w:t xml:space="preserve">are encouraged </w:t>
      </w:r>
      <w:r>
        <w:rPr>
          <w:rFonts w:ascii="Arial" w:hAnsi="Arial" w:cs="Arial"/>
          <w:sz w:val="22"/>
          <w:szCs w:val="22"/>
        </w:rPr>
        <w:t>to consider an alternative, or differential, diagnosis (most usually depression or generalised anxiety disorder</w:t>
      </w:r>
      <w:r w:rsidR="004926DD">
        <w:rPr>
          <w:rFonts w:ascii="Arial" w:hAnsi="Arial" w:cs="Arial"/>
          <w:sz w:val="22"/>
          <w:szCs w:val="22"/>
        </w:rPr>
        <w:t xml:space="preserve">) rather than </w:t>
      </w:r>
      <w:r w:rsidR="004926DD">
        <w:rPr>
          <w:rFonts w:ascii="Arial" w:hAnsi="Arial" w:cs="Arial"/>
          <w:sz w:val="22"/>
          <w:szCs w:val="22"/>
        </w:rPr>
        <w:lastRenderedPageBreak/>
        <w:t>use the problem descriptor of ‘mixed anxiety and depression’.</w:t>
      </w:r>
      <w:r>
        <w:rPr>
          <w:rFonts w:ascii="Arial" w:hAnsi="Arial" w:cs="Arial"/>
          <w:sz w:val="22"/>
          <w:szCs w:val="22"/>
        </w:rPr>
        <w:t xml:space="preserve"> </w:t>
      </w:r>
      <w:r w:rsidR="00834B38">
        <w:rPr>
          <w:rFonts w:ascii="Arial" w:hAnsi="Arial" w:cs="Arial"/>
          <w:sz w:val="22"/>
          <w:szCs w:val="22"/>
        </w:rPr>
        <w:t xml:space="preserve">This is because there is no disorder specific protocol for mixed anxiety and depression. </w:t>
      </w:r>
      <w:r w:rsidR="00BA7545">
        <w:rPr>
          <w:rFonts w:ascii="Arial" w:hAnsi="Arial" w:cs="Arial"/>
          <w:sz w:val="22"/>
          <w:szCs w:val="22"/>
        </w:rPr>
        <w:t>These operational changes to service delivery in the IECBT method are at odds with face-to-face services as IECBT has the significant advantage of having the ability to check the therapists’ clinical decision making by viewing the relevant therapy transcript. Additionally, the</w:t>
      </w:r>
      <w:r>
        <w:rPr>
          <w:rFonts w:ascii="Arial" w:hAnsi="Arial" w:cs="Arial"/>
          <w:sz w:val="22"/>
          <w:szCs w:val="22"/>
        </w:rPr>
        <w:t xml:space="preserve"> higher numbers of patients being treated for Social Anxiety Disorder, using the IECBT method might be explained by the online method</w:t>
      </w:r>
      <w:r w:rsidR="00BA7545">
        <w:rPr>
          <w:rFonts w:ascii="Arial" w:hAnsi="Arial" w:cs="Arial"/>
          <w:sz w:val="22"/>
          <w:szCs w:val="22"/>
        </w:rPr>
        <w:t xml:space="preserve"> too</w:t>
      </w:r>
      <w:r w:rsidR="00834B38">
        <w:rPr>
          <w:rFonts w:ascii="Arial" w:hAnsi="Arial" w:cs="Arial"/>
          <w:sz w:val="22"/>
          <w:szCs w:val="22"/>
        </w:rPr>
        <w:t>. It might be argued that</w:t>
      </w:r>
      <w:r>
        <w:rPr>
          <w:rFonts w:ascii="Arial" w:hAnsi="Arial" w:cs="Arial"/>
          <w:sz w:val="22"/>
          <w:szCs w:val="22"/>
        </w:rPr>
        <w:t xml:space="preserve"> patients with </w:t>
      </w:r>
      <w:r w:rsidR="00834B38">
        <w:rPr>
          <w:rFonts w:ascii="Arial" w:hAnsi="Arial" w:cs="Arial"/>
          <w:sz w:val="22"/>
          <w:szCs w:val="22"/>
        </w:rPr>
        <w:t>social anxiety disorder</w:t>
      </w:r>
      <w:r>
        <w:rPr>
          <w:rFonts w:ascii="Arial" w:hAnsi="Arial" w:cs="Arial"/>
          <w:sz w:val="22"/>
          <w:szCs w:val="22"/>
        </w:rPr>
        <w:t xml:space="preserve"> may prefer not to attend face-to-face CBT </w:t>
      </w:r>
      <w:r w:rsidR="00834B38">
        <w:rPr>
          <w:rFonts w:ascii="Arial" w:hAnsi="Arial" w:cs="Arial"/>
          <w:sz w:val="22"/>
          <w:szCs w:val="22"/>
        </w:rPr>
        <w:t xml:space="preserve">sessions </w:t>
      </w:r>
      <w:r>
        <w:rPr>
          <w:rFonts w:ascii="Arial" w:hAnsi="Arial" w:cs="Arial"/>
          <w:sz w:val="22"/>
          <w:szCs w:val="22"/>
        </w:rPr>
        <w:t xml:space="preserve">because </w:t>
      </w:r>
      <w:r w:rsidR="004926DD">
        <w:rPr>
          <w:rFonts w:ascii="Arial" w:hAnsi="Arial" w:cs="Arial"/>
          <w:sz w:val="22"/>
          <w:szCs w:val="22"/>
        </w:rPr>
        <w:t>being in the social presence of another perso</w:t>
      </w:r>
      <w:r w:rsidR="005B39C6">
        <w:rPr>
          <w:rFonts w:ascii="Arial" w:hAnsi="Arial" w:cs="Arial"/>
          <w:sz w:val="22"/>
          <w:szCs w:val="22"/>
        </w:rPr>
        <w:t>n</w:t>
      </w:r>
      <w:r w:rsidR="00F70119">
        <w:rPr>
          <w:rFonts w:ascii="Arial" w:hAnsi="Arial" w:cs="Arial"/>
          <w:sz w:val="22"/>
          <w:szCs w:val="22"/>
        </w:rPr>
        <w:t xml:space="preserve"> </w:t>
      </w:r>
      <w:r w:rsidR="004926DD">
        <w:rPr>
          <w:rFonts w:ascii="Arial" w:hAnsi="Arial" w:cs="Arial"/>
          <w:sz w:val="22"/>
          <w:szCs w:val="22"/>
        </w:rPr>
        <w:t>or sitting in a waiting room with other people is</w:t>
      </w:r>
      <w:r>
        <w:rPr>
          <w:rFonts w:ascii="Arial" w:hAnsi="Arial" w:cs="Arial"/>
          <w:sz w:val="22"/>
          <w:szCs w:val="22"/>
        </w:rPr>
        <w:t xml:space="preserve"> anxiety provoking</w:t>
      </w:r>
      <w:r w:rsidR="004926DD">
        <w:rPr>
          <w:rFonts w:ascii="Arial" w:hAnsi="Arial" w:cs="Arial"/>
          <w:sz w:val="22"/>
          <w:szCs w:val="22"/>
        </w:rPr>
        <w:t xml:space="preserve"> in itself</w:t>
      </w:r>
      <w:r>
        <w:rPr>
          <w:rFonts w:ascii="Arial" w:hAnsi="Arial" w:cs="Arial"/>
          <w:sz w:val="22"/>
          <w:szCs w:val="22"/>
        </w:rPr>
        <w:t>.  IECBT offers patients the opportunity to have CBT without the need to be in the physical presence of their therapist</w:t>
      </w:r>
      <w:r w:rsidR="004926DD">
        <w:rPr>
          <w:rFonts w:ascii="Arial" w:hAnsi="Arial" w:cs="Arial"/>
          <w:sz w:val="22"/>
          <w:szCs w:val="22"/>
        </w:rPr>
        <w:t xml:space="preserve"> or any other person.</w:t>
      </w:r>
      <w:r w:rsidR="00385AB6">
        <w:rPr>
          <w:rFonts w:ascii="Arial" w:hAnsi="Arial" w:cs="Arial"/>
          <w:sz w:val="22"/>
          <w:szCs w:val="22"/>
        </w:rPr>
        <w:t xml:space="preserve"> </w:t>
      </w:r>
      <w:r w:rsidR="00BA7545">
        <w:rPr>
          <w:rFonts w:ascii="Arial" w:hAnsi="Arial" w:cs="Arial"/>
          <w:sz w:val="22"/>
          <w:szCs w:val="22"/>
        </w:rPr>
        <w:t>It might therefore be argued that</w:t>
      </w:r>
      <w:r w:rsidR="004926DD">
        <w:rPr>
          <w:rFonts w:ascii="Arial" w:hAnsi="Arial" w:cs="Arial"/>
          <w:sz w:val="22"/>
          <w:szCs w:val="22"/>
        </w:rPr>
        <w:t xml:space="preserve"> IECBT method affords some advantages for patients with a diagnosis of Social Anxiety Disorder</w:t>
      </w:r>
      <w:r w:rsidR="00BA7545">
        <w:rPr>
          <w:rFonts w:ascii="Arial" w:hAnsi="Arial" w:cs="Arial"/>
          <w:sz w:val="22"/>
          <w:szCs w:val="22"/>
        </w:rPr>
        <w:t xml:space="preserve"> and this may account for differences between patient</w:t>
      </w:r>
      <w:r w:rsidR="00385AB6">
        <w:rPr>
          <w:rFonts w:ascii="Arial" w:hAnsi="Arial" w:cs="Arial"/>
          <w:sz w:val="22"/>
          <w:szCs w:val="22"/>
        </w:rPr>
        <w:t>s</w:t>
      </w:r>
      <w:r w:rsidR="00BA7545">
        <w:rPr>
          <w:rFonts w:ascii="Arial" w:hAnsi="Arial" w:cs="Arial"/>
          <w:sz w:val="22"/>
          <w:szCs w:val="22"/>
        </w:rPr>
        <w:t xml:space="preserve"> treated using IECBT and face-to-face. T</w:t>
      </w:r>
      <w:r w:rsidR="004926DD">
        <w:rPr>
          <w:rFonts w:ascii="Arial" w:hAnsi="Arial" w:cs="Arial"/>
          <w:sz w:val="22"/>
          <w:szCs w:val="22"/>
        </w:rPr>
        <w:t>here may</w:t>
      </w:r>
      <w:r w:rsidR="00BA7545">
        <w:rPr>
          <w:rFonts w:ascii="Arial" w:hAnsi="Arial" w:cs="Arial"/>
          <w:sz w:val="22"/>
          <w:szCs w:val="22"/>
        </w:rPr>
        <w:t xml:space="preserve"> also</w:t>
      </w:r>
      <w:r w:rsidR="004926DD">
        <w:rPr>
          <w:rFonts w:ascii="Arial" w:hAnsi="Arial" w:cs="Arial"/>
          <w:sz w:val="22"/>
          <w:szCs w:val="22"/>
        </w:rPr>
        <w:t xml:space="preserve"> be differences in how therapists select a primary presenting problem </w:t>
      </w:r>
      <w:r w:rsidR="00BA7545">
        <w:rPr>
          <w:rFonts w:ascii="Arial" w:hAnsi="Arial" w:cs="Arial"/>
          <w:sz w:val="22"/>
          <w:szCs w:val="22"/>
        </w:rPr>
        <w:t xml:space="preserve">between the two methods. </w:t>
      </w:r>
    </w:p>
    <w:p w14:paraId="02963D81" w14:textId="77777777" w:rsidR="00BA7545" w:rsidRDefault="00BA7545" w:rsidP="007F596B">
      <w:pPr>
        <w:spacing w:line="480" w:lineRule="auto"/>
        <w:rPr>
          <w:rFonts w:ascii="Arial" w:hAnsi="Arial" w:cs="Arial"/>
          <w:sz w:val="22"/>
          <w:szCs w:val="22"/>
        </w:rPr>
      </w:pPr>
    </w:p>
    <w:p w14:paraId="33062E6F" w14:textId="76B0310D" w:rsidR="00BA7545" w:rsidRDefault="00BA7545" w:rsidP="007F596B">
      <w:pPr>
        <w:spacing w:line="480" w:lineRule="auto"/>
        <w:rPr>
          <w:rFonts w:ascii="Arial" w:hAnsi="Arial" w:cs="Arial"/>
          <w:sz w:val="22"/>
          <w:szCs w:val="22"/>
        </w:rPr>
      </w:pPr>
      <w:r>
        <w:rPr>
          <w:rFonts w:ascii="Arial" w:hAnsi="Arial" w:cs="Arial"/>
          <w:sz w:val="22"/>
          <w:szCs w:val="22"/>
        </w:rPr>
        <w:t xml:space="preserve">It should be pointed out that whilst </w:t>
      </w:r>
      <w:r w:rsidR="00834B38">
        <w:rPr>
          <w:rFonts w:ascii="Arial" w:hAnsi="Arial" w:cs="Arial"/>
          <w:sz w:val="22"/>
          <w:szCs w:val="22"/>
        </w:rPr>
        <w:t xml:space="preserve">clinical outcomes reported by both methods are roughly </w:t>
      </w:r>
      <w:r>
        <w:rPr>
          <w:rFonts w:ascii="Arial" w:hAnsi="Arial" w:cs="Arial"/>
          <w:sz w:val="22"/>
          <w:szCs w:val="22"/>
        </w:rPr>
        <w:t>similar, and both patient and therapist demographics appear broadly comparable, that equivalence between the two methods has yet to be demonstrated. However</w:t>
      </w:r>
      <w:r w:rsidR="00330A9A">
        <w:rPr>
          <w:rFonts w:ascii="Arial" w:hAnsi="Arial" w:cs="Arial"/>
          <w:sz w:val="22"/>
          <w:szCs w:val="22"/>
        </w:rPr>
        <w:t>,</w:t>
      </w:r>
      <w:r>
        <w:rPr>
          <w:rFonts w:ascii="Arial" w:hAnsi="Arial" w:cs="Arial"/>
          <w:sz w:val="22"/>
          <w:szCs w:val="22"/>
        </w:rPr>
        <w:t xml:space="preserve"> study of the descriptive statistics would suggest that there are similarities between the two methods.</w:t>
      </w:r>
    </w:p>
    <w:p w14:paraId="475A62EC" w14:textId="77777777" w:rsidR="00BA7545" w:rsidRDefault="00BA7545" w:rsidP="007F596B">
      <w:pPr>
        <w:spacing w:line="480" w:lineRule="auto"/>
        <w:rPr>
          <w:rFonts w:ascii="Arial" w:hAnsi="Arial" w:cs="Arial"/>
          <w:sz w:val="22"/>
          <w:szCs w:val="22"/>
        </w:rPr>
      </w:pPr>
    </w:p>
    <w:p w14:paraId="4B4C1C8C" w14:textId="772565D9" w:rsidR="007F596B" w:rsidRPr="00BE2941" w:rsidRDefault="007B683C" w:rsidP="007F596B">
      <w:pPr>
        <w:spacing w:line="480" w:lineRule="auto"/>
        <w:rPr>
          <w:rFonts w:ascii="Arial" w:hAnsi="Arial" w:cs="Arial"/>
          <w:sz w:val="22"/>
          <w:szCs w:val="22"/>
        </w:rPr>
      </w:pPr>
      <w:r>
        <w:rPr>
          <w:rFonts w:ascii="Arial" w:hAnsi="Arial" w:cs="Arial"/>
          <w:sz w:val="22"/>
          <w:szCs w:val="22"/>
        </w:rPr>
        <w:t xml:space="preserve">The next section of this chapter </w:t>
      </w:r>
      <w:r w:rsidR="007F596B" w:rsidRPr="00BE2941">
        <w:rPr>
          <w:rFonts w:ascii="Arial" w:hAnsi="Arial" w:cs="Arial"/>
          <w:sz w:val="22"/>
          <w:szCs w:val="22"/>
        </w:rPr>
        <w:t xml:space="preserve">will discuss the </w:t>
      </w:r>
      <w:r w:rsidR="004926DD">
        <w:rPr>
          <w:rFonts w:ascii="Arial" w:hAnsi="Arial" w:cs="Arial"/>
          <w:sz w:val="22"/>
          <w:szCs w:val="22"/>
        </w:rPr>
        <w:t>clinical outcomes reported to NHS England</w:t>
      </w:r>
      <w:r w:rsidR="007F596B" w:rsidRPr="00BE2941">
        <w:rPr>
          <w:rFonts w:ascii="Arial" w:hAnsi="Arial" w:cs="Arial"/>
          <w:sz w:val="22"/>
          <w:szCs w:val="22"/>
        </w:rPr>
        <w:t xml:space="preserve"> </w:t>
      </w:r>
      <w:r w:rsidR="00834B38">
        <w:rPr>
          <w:rFonts w:ascii="Arial" w:hAnsi="Arial" w:cs="Arial"/>
          <w:sz w:val="22"/>
          <w:szCs w:val="22"/>
        </w:rPr>
        <w:t xml:space="preserve">in more detail and will outline the </w:t>
      </w:r>
      <w:r w:rsidR="00BC4F1D">
        <w:rPr>
          <w:rFonts w:ascii="Arial" w:hAnsi="Arial" w:cs="Arial"/>
          <w:sz w:val="22"/>
          <w:szCs w:val="22"/>
        </w:rPr>
        <w:t>problem of variance in outcomes between IAPT services and between therapists.</w:t>
      </w:r>
    </w:p>
    <w:p w14:paraId="41F00C2A" w14:textId="77777777" w:rsidR="007F596B" w:rsidRPr="00324FF4" w:rsidRDefault="007F596B" w:rsidP="007F596B">
      <w:pPr>
        <w:spacing w:line="480" w:lineRule="auto"/>
      </w:pPr>
    </w:p>
    <w:p w14:paraId="2381F7EA" w14:textId="77777777" w:rsidR="00D61429" w:rsidRDefault="00D61429">
      <w:pPr>
        <w:rPr>
          <w:rFonts w:ascii="Arial" w:eastAsiaTheme="majorEastAsia" w:hAnsi="Arial" w:cs="Arial"/>
          <w:b/>
          <w:bCs/>
          <w:color w:val="000000" w:themeColor="text1"/>
          <w:sz w:val="22"/>
          <w:szCs w:val="22"/>
        </w:rPr>
      </w:pPr>
      <w:r>
        <w:rPr>
          <w:rFonts w:ascii="Arial" w:hAnsi="Arial" w:cs="Arial"/>
          <w:color w:val="000000" w:themeColor="text1"/>
          <w:sz w:val="22"/>
          <w:szCs w:val="22"/>
        </w:rPr>
        <w:br w:type="page"/>
      </w:r>
    </w:p>
    <w:p w14:paraId="2FAA2E7B" w14:textId="18663167" w:rsidR="007F596B" w:rsidRPr="00724E08" w:rsidRDefault="005B3C1D" w:rsidP="00724E08">
      <w:pPr>
        <w:pStyle w:val="Heading2"/>
        <w:rPr>
          <w:rFonts w:ascii="Arial" w:hAnsi="Arial" w:cs="Arial"/>
          <w:sz w:val="22"/>
          <w:szCs w:val="22"/>
        </w:rPr>
      </w:pPr>
      <w:bookmarkStart w:id="163" w:name="_Toc46770749"/>
      <w:bookmarkStart w:id="164" w:name="_Toc79414160"/>
      <w:r w:rsidRPr="00724E08">
        <w:rPr>
          <w:rFonts w:ascii="Arial" w:hAnsi="Arial" w:cs="Arial"/>
          <w:color w:val="000000" w:themeColor="text1"/>
          <w:sz w:val="22"/>
          <w:szCs w:val="22"/>
        </w:rPr>
        <w:lastRenderedPageBreak/>
        <w:t>2.1</w:t>
      </w:r>
      <w:r w:rsidR="00E2371E" w:rsidRPr="00724E08">
        <w:rPr>
          <w:rFonts w:ascii="Arial" w:hAnsi="Arial" w:cs="Arial"/>
          <w:color w:val="000000" w:themeColor="text1"/>
          <w:sz w:val="22"/>
          <w:szCs w:val="22"/>
        </w:rPr>
        <w:t>3</w:t>
      </w:r>
      <w:r w:rsidR="007F596B" w:rsidRPr="00724E08">
        <w:rPr>
          <w:rFonts w:ascii="Arial" w:hAnsi="Arial" w:cs="Arial"/>
          <w:color w:val="000000" w:themeColor="text1"/>
          <w:sz w:val="22"/>
          <w:szCs w:val="22"/>
        </w:rPr>
        <w:t xml:space="preserve">: IAPT </w:t>
      </w:r>
      <w:r w:rsidRPr="00724E08">
        <w:rPr>
          <w:rFonts w:ascii="Arial" w:hAnsi="Arial" w:cs="Arial"/>
          <w:color w:val="000000" w:themeColor="text1"/>
          <w:sz w:val="22"/>
          <w:szCs w:val="22"/>
        </w:rPr>
        <w:t>OUTCOME DATA: OUTLINING THE PROBLEM</w:t>
      </w:r>
      <w:bookmarkEnd w:id="163"/>
      <w:bookmarkEnd w:id="164"/>
      <w:r w:rsidRPr="00724E08">
        <w:rPr>
          <w:rFonts w:ascii="Arial" w:hAnsi="Arial" w:cs="Arial"/>
          <w:color w:val="000000" w:themeColor="text1"/>
          <w:sz w:val="22"/>
          <w:szCs w:val="22"/>
        </w:rPr>
        <w:t xml:space="preserve"> </w:t>
      </w:r>
    </w:p>
    <w:p w14:paraId="2EC5F323" w14:textId="77777777" w:rsidR="007F596B" w:rsidRDefault="007F596B" w:rsidP="007F596B"/>
    <w:p w14:paraId="7B0D4001" w14:textId="19303D1B" w:rsidR="007F596B" w:rsidRPr="00ED0F27" w:rsidRDefault="005B3C1D" w:rsidP="007F596B">
      <w:pPr>
        <w:spacing w:line="480" w:lineRule="auto"/>
        <w:rPr>
          <w:rFonts w:ascii="Arial" w:hAnsi="Arial" w:cs="Arial"/>
          <w:sz w:val="22"/>
          <w:szCs w:val="22"/>
        </w:rPr>
      </w:pPr>
      <w:r>
        <w:rPr>
          <w:rFonts w:ascii="Arial" w:hAnsi="Arial" w:cs="Arial"/>
          <w:sz w:val="22"/>
          <w:szCs w:val="22"/>
        </w:rPr>
        <w:t>Earlier sections of this chapter</w:t>
      </w:r>
      <w:r w:rsidR="007F596B" w:rsidRPr="00ED0F27">
        <w:rPr>
          <w:rFonts w:ascii="Arial" w:hAnsi="Arial" w:cs="Arial"/>
          <w:sz w:val="22"/>
          <w:szCs w:val="22"/>
        </w:rPr>
        <w:t xml:space="preserve"> discussed the development of the Improving Access to Psychological Therapy programme (IAPT) and its focus on the delivery of evidence</w:t>
      </w:r>
      <w:r w:rsidR="00385AB6">
        <w:rPr>
          <w:rFonts w:ascii="Arial" w:hAnsi="Arial" w:cs="Arial"/>
          <w:sz w:val="22"/>
          <w:szCs w:val="22"/>
        </w:rPr>
        <w:t>-</w:t>
      </w:r>
      <w:r w:rsidR="007F596B" w:rsidRPr="00ED0F27">
        <w:rPr>
          <w:rFonts w:ascii="Arial" w:hAnsi="Arial" w:cs="Arial"/>
          <w:sz w:val="22"/>
          <w:szCs w:val="22"/>
        </w:rPr>
        <w:t>based psychological therapies using an outcomes</w:t>
      </w:r>
      <w:r>
        <w:rPr>
          <w:rFonts w:ascii="Arial" w:hAnsi="Arial" w:cs="Arial"/>
          <w:sz w:val="22"/>
          <w:szCs w:val="22"/>
        </w:rPr>
        <w:t>-</w:t>
      </w:r>
      <w:r w:rsidR="007F596B" w:rsidRPr="00ED0F27">
        <w:rPr>
          <w:rFonts w:ascii="Arial" w:hAnsi="Arial" w:cs="Arial"/>
          <w:sz w:val="22"/>
          <w:szCs w:val="22"/>
        </w:rPr>
        <w:t>based framework. Methods of deliver</w:t>
      </w:r>
      <w:r w:rsidR="00385AB6">
        <w:rPr>
          <w:rFonts w:ascii="Arial" w:hAnsi="Arial" w:cs="Arial"/>
          <w:sz w:val="22"/>
          <w:szCs w:val="22"/>
        </w:rPr>
        <w:t>ing</w:t>
      </w:r>
      <w:r w:rsidR="007F596B" w:rsidRPr="00ED0F27">
        <w:rPr>
          <w:rFonts w:ascii="Arial" w:hAnsi="Arial" w:cs="Arial"/>
          <w:sz w:val="22"/>
          <w:szCs w:val="22"/>
        </w:rPr>
        <w:t xml:space="preserve"> cognitive behavioural therapy were discussed</w:t>
      </w:r>
      <w:r w:rsidR="00385AB6">
        <w:rPr>
          <w:rFonts w:ascii="Arial" w:hAnsi="Arial" w:cs="Arial"/>
          <w:sz w:val="22"/>
          <w:szCs w:val="22"/>
        </w:rPr>
        <w:t>,</w:t>
      </w:r>
      <w:r w:rsidR="007F596B" w:rsidRPr="00ED0F27">
        <w:rPr>
          <w:rFonts w:ascii="Arial" w:hAnsi="Arial" w:cs="Arial"/>
          <w:sz w:val="22"/>
          <w:szCs w:val="22"/>
        </w:rPr>
        <w:t xml:space="preserve"> including face-to-face and online methods. </w:t>
      </w:r>
      <w:r>
        <w:rPr>
          <w:rFonts w:ascii="Arial" w:hAnsi="Arial" w:cs="Arial"/>
          <w:sz w:val="22"/>
          <w:szCs w:val="22"/>
        </w:rPr>
        <w:t xml:space="preserve">It has been established that </w:t>
      </w:r>
      <w:r w:rsidR="007F596B" w:rsidRPr="00ED0F27">
        <w:rPr>
          <w:rFonts w:ascii="Arial" w:hAnsi="Arial" w:cs="Arial"/>
          <w:sz w:val="22"/>
          <w:szCs w:val="22"/>
        </w:rPr>
        <w:t>face-to-face CBT and IECBT</w:t>
      </w:r>
      <w:r>
        <w:rPr>
          <w:rFonts w:ascii="Arial" w:hAnsi="Arial" w:cs="Arial"/>
          <w:sz w:val="22"/>
          <w:szCs w:val="22"/>
        </w:rPr>
        <w:t xml:space="preserve"> are broadly similar</w:t>
      </w:r>
      <w:r w:rsidR="007F596B" w:rsidRPr="00ED0F27">
        <w:rPr>
          <w:rFonts w:ascii="Arial" w:hAnsi="Arial" w:cs="Arial"/>
          <w:sz w:val="22"/>
          <w:szCs w:val="22"/>
        </w:rPr>
        <w:t xml:space="preserve"> in that they both use British Association of Behavioural and Cognitive Psychotherapy (BABCP) accredited CBT therapists to deliver therapy, therapists are required to deliver treatments that conform to National Institution of Health and Care Excellence (NICE) guidance and that the clinical outcomes from both methods are broadly the same. This </w:t>
      </w:r>
      <w:r>
        <w:rPr>
          <w:rFonts w:ascii="Arial" w:hAnsi="Arial" w:cs="Arial"/>
          <w:sz w:val="22"/>
          <w:szCs w:val="22"/>
        </w:rPr>
        <w:t>section</w:t>
      </w:r>
      <w:r w:rsidR="007F596B" w:rsidRPr="00ED0F27">
        <w:rPr>
          <w:rFonts w:ascii="Arial" w:hAnsi="Arial" w:cs="Arial"/>
          <w:sz w:val="22"/>
          <w:szCs w:val="22"/>
        </w:rPr>
        <w:t xml:space="preserve"> will </w:t>
      </w:r>
      <w:r>
        <w:rPr>
          <w:rFonts w:ascii="Arial" w:hAnsi="Arial" w:cs="Arial"/>
          <w:sz w:val="22"/>
          <w:szCs w:val="22"/>
        </w:rPr>
        <w:t>now discuss</w:t>
      </w:r>
      <w:r w:rsidR="007F596B" w:rsidRPr="00ED0F27">
        <w:rPr>
          <w:rFonts w:ascii="Arial" w:hAnsi="Arial" w:cs="Arial"/>
          <w:sz w:val="22"/>
          <w:szCs w:val="22"/>
        </w:rPr>
        <w:t xml:space="preserve"> the </w:t>
      </w:r>
      <w:r>
        <w:rPr>
          <w:rFonts w:ascii="Arial" w:hAnsi="Arial" w:cs="Arial"/>
          <w:sz w:val="22"/>
          <w:szCs w:val="22"/>
        </w:rPr>
        <w:t xml:space="preserve">clinical </w:t>
      </w:r>
      <w:r w:rsidR="007F596B" w:rsidRPr="00ED0F27">
        <w:rPr>
          <w:rFonts w:ascii="Arial" w:hAnsi="Arial" w:cs="Arial"/>
          <w:sz w:val="22"/>
          <w:szCs w:val="22"/>
        </w:rPr>
        <w:t>outcomes reported</w:t>
      </w:r>
      <w:r>
        <w:rPr>
          <w:rFonts w:ascii="Arial" w:hAnsi="Arial" w:cs="Arial"/>
          <w:sz w:val="22"/>
          <w:szCs w:val="22"/>
        </w:rPr>
        <w:t xml:space="preserve"> to NHS England</w:t>
      </w:r>
      <w:r w:rsidR="007F596B" w:rsidRPr="00ED0F27">
        <w:rPr>
          <w:rFonts w:ascii="Arial" w:hAnsi="Arial" w:cs="Arial"/>
          <w:sz w:val="22"/>
          <w:szCs w:val="22"/>
        </w:rPr>
        <w:t xml:space="preserve"> by IAPT services for patients treated at step 3.</w:t>
      </w:r>
      <w:r w:rsidR="004805A9">
        <w:rPr>
          <w:rFonts w:ascii="Arial" w:hAnsi="Arial" w:cs="Arial"/>
          <w:sz w:val="22"/>
          <w:szCs w:val="22"/>
        </w:rPr>
        <w:t xml:space="preserve"> It will be argued that </w:t>
      </w:r>
      <w:r w:rsidR="00C0387E">
        <w:rPr>
          <w:rFonts w:ascii="Arial" w:hAnsi="Arial" w:cs="Arial"/>
          <w:sz w:val="22"/>
          <w:szCs w:val="22"/>
        </w:rPr>
        <w:t>a problem has been identified relating to a significant variance in clinical outcomes between services and between therapists.</w:t>
      </w:r>
    </w:p>
    <w:p w14:paraId="465D72B4" w14:textId="77777777" w:rsidR="007F596B" w:rsidRPr="00ED0F27" w:rsidRDefault="007F596B" w:rsidP="007F596B">
      <w:pPr>
        <w:spacing w:line="480" w:lineRule="auto"/>
        <w:rPr>
          <w:rFonts w:ascii="Arial" w:hAnsi="Arial" w:cs="Arial"/>
          <w:sz w:val="22"/>
          <w:szCs w:val="22"/>
        </w:rPr>
      </w:pPr>
    </w:p>
    <w:p w14:paraId="780B9374" w14:textId="7C1D141D" w:rsidR="007F596B" w:rsidRPr="00BC4F1D" w:rsidRDefault="00BC4F1D" w:rsidP="00BC4F1D">
      <w:pPr>
        <w:pStyle w:val="Heading3"/>
        <w:rPr>
          <w:rFonts w:cs="Arial"/>
          <w:szCs w:val="22"/>
        </w:rPr>
      </w:pPr>
      <w:bookmarkStart w:id="165" w:name="_Toc46770750"/>
      <w:bookmarkStart w:id="166" w:name="_Toc79414161"/>
      <w:r w:rsidRPr="00BC4F1D">
        <w:rPr>
          <w:rFonts w:cs="Arial"/>
          <w:color w:val="000000" w:themeColor="text1"/>
          <w:szCs w:val="22"/>
        </w:rPr>
        <w:t>2.1</w:t>
      </w:r>
      <w:r w:rsidR="00684F27">
        <w:rPr>
          <w:rFonts w:cs="Arial"/>
          <w:color w:val="000000" w:themeColor="text1"/>
          <w:szCs w:val="22"/>
        </w:rPr>
        <w:t>3</w:t>
      </w:r>
      <w:r w:rsidRPr="00BC4F1D">
        <w:rPr>
          <w:rFonts w:cs="Arial"/>
          <w:color w:val="000000" w:themeColor="text1"/>
          <w:szCs w:val="22"/>
        </w:rPr>
        <w:t>.</w:t>
      </w:r>
      <w:r w:rsidR="00684F27">
        <w:rPr>
          <w:rFonts w:cs="Arial"/>
          <w:color w:val="000000" w:themeColor="text1"/>
          <w:szCs w:val="22"/>
        </w:rPr>
        <w:t>1</w:t>
      </w:r>
      <w:r w:rsidRPr="00BC4F1D">
        <w:rPr>
          <w:rFonts w:cs="Arial"/>
          <w:color w:val="000000" w:themeColor="text1"/>
          <w:szCs w:val="22"/>
        </w:rPr>
        <w:t xml:space="preserve"> </w:t>
      </w:r>
      <w:r w:rsidR="007F596B" w:rsidRPr="00BC4F1D">
        <w:rPr>
          <w:rFonts w:cs="Arial"/>
          <w:color w:val="000000" w:themeColor="text1"/>
          <w:szCs w:val="22"/>
        </w:rPr>
        <w:t>IAPT</w:t>
      </w:r>
      <w:r w:rsidRPr="00BC4F1D">
        <w:rPr>
          <w:rFonts w:cs="Arial"/>
          <w:color w:val="000000" w:themeColor="text1"/>
          <w:szCs w:val="22"/>
        </w:rPr>
        <w:t xml:space="preserve"> outcome-based monitoring</w:t>
      </w:r>
      <w:bookmarkEnd w:id="165"/>
      <w:bookmarkEnd w:id="166"/>
      <w:r w:rsidR="007F596B" w:rsidRPr="00BC4F1D">
        <w:rPr>
          <w:rFonts w:cs="Arial"/>
          <w:color w:val="000000" w:themeColor="text1"/>
          <w:szCs w:val="22"/>
        </w:rPr>
        <w:t xml:space="preserve"> </w:t>
      </w:r>
    </w:p>
    <w:p w14:paraId="6F24B855" w14:textId="77777777" w:rsidR="007F596B" w:rsidRPr="00B737AF" w:rsidRDefault="007F596B" w:rsidP="007F596B"/>
    <w:p w14:paraId="6EC083FF" w14:textId="560AEC30" w:rsidR="007F596B" w:rsidRPr="00B737AF" w:rsidRDefault="007F596B" w:rsidP="007F596B">
      <w:pPr>
        <w:spacing w:line="480" w:lineRule="auto"/>
        <w:rPr>
          <w:rFonts w:ascii="Arial" w:hAnsi="Arial"/>
          <w:sz w:val="22"/>
          <w:szCs w:val="22"/>
        </w:rPr>
      </w:pPr>
      <w:r w:rsidRPr="00B737AF">
        <w:rPr>
          <w:rFonts w:ascii="Arial" w:hAnsi="Arial" w:cs="Arial"/>
          <w:sz w:val="22"/>
          <w:szCs w:val="22"/>
        </w:rPr>
        <w:t xml:space="preserve">IAPT </w:t>
      </w:r>
      <w:r>
        <w:rPr>
          <w:rFonts w:ascii="Arial" w:hAnsi="Arial" w:cs="Arial"/>
          <w:sz w:val="22"/>
          <w:szCs w:val="22"/>
        </w:rPr>
        <w:t xml:space="preserve">services are mandated to report the clinical outcomes for all patients who have had two treatment sessions or more (Clark et al., 2017). Outcomes are monitored by asking patients to complete a series of self-administered questionnaires before each therapy appointment. </w:t>
      </w:r>
      <w:r w:rsidR="00DD4366">
        <w:rPr>
          <w:rFonts w:ascii="Arial" w:hAnsi="Arial" w:cs="Arial"/>
          <w:sz w:val="22"/>
          <w:szCs w:val="22"/>
        </w:rPr>
        <w:t xml:space="preserve">This process is arguably subject to human error in that face-to-face services use paper copies of the outcome measures and the therapist is required to add up the scores. Additionally, there is an element of trust that the therapist will give the patient the outcome measures before the therapy appointment and not after.  It might be argued that where a patient completes the measures after the appointment, they are likely to score more highly than before the appointment. Conversely, in the IECBT methods the outcome measures are completed online (via the patient’s smartphone, tablet or computer) before the therapy appointment. Unlike face-to-face CBT the therapist does not need to add up the scores as these are all calculated digitally with no requirement from the therapist. </w:t>
      </w:r>
      <w:r>
        <w:rPr>
          <w:rFonts w:ascii="Arial" w:hAnsi="Arial" w:cs="Arial"/>
          <w:sz w:val="22"/>
          <w:szCs w:val="22"/>
        </w:rPr>
        <w:t xml:space="preserve">The </w:t>
      </w:r>
      <w:r>
        <w:rPr>
          <w:rFonts w:ascii="Arial" w:hAnsi="Arial" w:cs="Arial"/>
          <w:sz w:val="22"/>
          <w:szCs w:val="22"/>
        </w:rPr>
        <w:lastRenderedPageBreak/>
        <w:t xml:space="preserve">results </w:t>
      </w:r>
      <w:r w:rsidR="00DD4366">
        <w:rPr>
          <w:rFonts w:ascii="Arial" w:hAnsi="Arial" w:cs="Arial"/>
          <w:sz w:val="22"/>
          <w:szCs w:val="22"/>
        </w:rPr>
        <w:t xml:space="preserve">from both methods </w:t>
      </w:r>
      <w:r>
        <w:rPr>
          <w:rFonts w:ascii="Arial" w:hAnsi="Arial" w:cs="Arial"/>
          <w:sz w:val="22"/>
          <w:szCs w:val="22"/>
        </w:rPr>
        <w:t>are recorded on an electronic medical records system and reported</w:t>
      </w:r>
      <w:r w:rsidR="00385AB6">
        <w:rPr>
          <w:rFonts w:ascii="Arial" w:hAnsi="Arial" w:cs="Arial"/>
          <w:sz w:val="22"/>
          <w:szCs w:val="22"/>
        </w:rPr>
        <w:t xml:space="preserve"> to</w:t>
      </w:r>
      <w:r>
        <w:rPr>
          <w:rFonts w:ascii="Arial" w:hAnsi="Arial" w:cs="Arial"/>
          <w:sz w:val="22"/>
          <w:szCs w:val="22"/>
        </w:rPr>
        <w:t xml:space="preserve"> NHS England each month.  The data set which holds the outcomes for every IAPT service (both face-to-face and IECBT) is held by NHS Digital (Clark et al., 2017). Most of the data is in the public domain and can be viewed online in the Public Health England’s Common Mental Health Disorders Profiling Tool (Clark et al., 2017).</w:t>
      </w:r>
    </w:p>
    <w:p w14:paraId="3EAAE0E3" w14:textId="77777777" w:rsidR="009537DC" w:rsidRDefault="009537DC" w:rsidP="007F596B">
      <w:pPr>
        <w:spacing w:line="480" w:lineRule="auto"/>
        <w:rPr>
          <w:rFonts w:ascii="Arial" w:hAnsi="Arial"/>
        </w:rPr>
      </w:pPr>
    </w:p>
    <w:p w14:paraId="0B40F65A" w14:textId="39E73EE2" w:rsidR="007F596B" w:rsidRDefault="007F596B" w:rsidP="007F596B">
      <w:pPr>
        <w:spacing w:line="480" w:lineRule="auto"/>
        <w:rPr>
          <w:rFonts w:ascii="Arial" w:hAnsi="Arial"/>
          <w:sz w:val="22"/>
          <w:szCs w:val="22"/>
        </w:rPr>
      </w:pPr>
      <w:r w:rsidRPr="00BF407B">
        <w:rPr>
          <w:rFonts w:ascii="Arial" w:hAnsi="Arial" w:cs="Arial"/>
          <w:sz w:val="22"/>
          <w:szCs w:val="22"/>
        </w:rPr>
        <w:t>IAPT mandate</w:t>
      </w:r>
      <w:r w:rsidR="00385AB6">
        <w:rPr>
          <w:rFonts w:ascii="Arial" w:hAnsi="Arial" w:cs="Arial"/>
          <w:sz w:val="22"/>
          <w:szCs w:val="22"/>
        </w:rPr>
        <w:t>s</w:t>
      </w:r>
      <w:r w:rsidRPr="00BF407B">
        <w:rPr>
          <w:rFonts w:ascii="Arial" w:hAnsi="Arial" w:cs="Arial"/>
          <w:sz w:val="22"/>
          <w:szCs w:val="22"/>
        </w:rPr>
        <w:t xml:space="preserve"> that a service collects a minimum data set at every appointment for every patient (Clark et al., 2017). The minimum data set consists of a series of self-administered questionnaires that the patient is asked to complete before each appointment. The questionnaires include the PHQ-9</w:t>
      </w:r>
      <w:r w:rsidRPr="00BF407B">
        <w:rPr>
          <w:rFonts w:ascii="Arial" w:hAnsi="Arial"/>
          <w:sz w:val="22"/>
          <w:szCs w:val="22"/>
        </w:rPr>
        <w:t xml:space="preserve"> (Kroenke et al., 2001)</w:t>
      </w:r>
      <w:r>
        <w:rPr>
          <w:rFonts w:ascii="Arial" w:hAnsi="Arial"/>
          <w:sz w:val="22"/>
          <w:szCs w:val="22"/>
        </w:rPr>
        <w:t xml:space="preserve"> and GAD-7 (Spitzer et al., 2006).</w:t>
      </w:r>
      <w:r w:rsidRPr="00BF407B">
        <w:rPr>
          <w:rFonts w:ascii="Arial" w:hAnsi="Arial"/>
          <w:sz w:val="22"/>
          <w:szCs w:val="22"/>
        </w:rPr>
        <w:t xml:space="preserve"> The PHQ-9 is a nine-item</w:t>
      </w:r>
      <w:r w:rsidR="00DE3A20">
        <w:rPr>
          <w:rFonts w:ascii="Arial" w:hAnsi="Arial"/>
          <w:sz w:val="22"/>
          <w:szCs w:val="22"/>
        </w:rPr>
        <w:t>,</w:t>
      </w:r>
      <w:r w:rsidRPr="00BF407B">
        <w:rPr>
          <w:rFonts w:ascii="Arial" w:hAnsi="Arial"/>
          <w:sz w:val="22"/>
          <w:szCs w:val="22"/>
        </w:rPr>
        <w:t xml:space="preserve"> </w:t>
      </w:r>
      <w:r w:rsidR="00DE3A20">
        <w:rPr>
          <w:rFonts w:ascii="Arial" w:hAnsi="Arial"/>
          <w:sz w:val="22"/>
          <w:szCs w:val="22"/>
        </w:rPr>
        <w:t xml:space="preserve">self-administered </w:t>
      </w:r>
      <w:r w:rsidRPr="00BF407B">
        <w:rPr>
          <w:rFonts w:ascii="Arial" w:hAnsi="Arial"/>
          <w:sz w:val="22"/>
          <w:szCs w:val="22"/>
        </w:rPr>
        <w:t>measure for depression using a 4-point Likert scale (0-3, where 0 indicates the absence of a symptom and 3 indicates greater severity). A cut off point of ≥ ten is used to indicate a diagnosis of depression in a primary care population</w:t>
      </w:r>
      <w:r>
        <w:rPr>
          <w:rFonts w:ascii="Arial" w:hAnsi="Arial"/>
          <w:sz w:val="22"/>
          <w:szCs w:val="22"/>
        </w:rPr>
        <w:t xml:space="preserve">. </w:t>
      </w:r>
      <w:r w:rsidR="00DE3A20">
        <w:rPr>
          <w:rFonts w:ascii="Arial" w:hAnsi="Arial"/>
          <w:sz w:val="22"/>
          <w:szCs w:val="22"/>
        </w:rPr>
        <w:t xml:space="preserve">The PHQ-9 has been demonstrated to good reliability with a reported Cronbach’s alpha of 0.89 and sensitivity and specificity of 88% (Kroenke, Spitzer and Williams, 2001). </w:t>
      </w:r>
      <w:r w:rsidRPr="00BF407B">
        <w:rPr>
          <w:rFonts w:ascii="Arial" w:hAnsi="Arial"/>
          <w:sz w:val="22"/>
          <w:szCs w:val="22"/>
        </w:rPr>
        <w:t>The GAD-7, is a seven-item</w:t>
      </w:r>
      <w:r w:rsidR="00DE3A20">
        <w:rPr>
          <w:rFonts w:ascii="Arial" w:hAnsi="Arial"/>
          <w:sz w:val="22"/>
          <w:szCs w:val="22"/>
        </w:rPr>
        <w:t xml:space="preserve">, self-administered, </w:t>
      </w:r>
      <w:r w:rsidRPr="00BF407B">
        <w:rPr>
          <w:rFonts w:ascii="Arial" w:hAnsi="Arial"/>
          <w:sz w:val="22"/>
          <w:szCs w:val="22"/>
        </w:rPr>
        <w:t>measure for anxiety using a 4-point Likert scale (0-3, where 0 indicates the absence of a symptom and 3 indicates greater severity). A cut</w:t>
      </w:r>
      <w:r w:rsidR="00385AB6">
        <w:rPr>
          <w:rFonts w:ascii="Arial" w:hAnsi="Arial"/>
          <w:sz w:val="22"/>
          <w:szCs w:val="22"/>
        </w:rPr>
        <w:t>-</w:t>
      </w:r>
      <w:r w:rsidRPr="00BF407B">
        <w:rPr>
          <w:rFonts w:ascii="Arial" w:hAnsi="Arial"/>
          <w:sz w:val="22"/>
          <w:szCs w:val="22"/>
        </w:rPr>
        <w:t xml:space="preserve">off point of ≥ eight indicates greatest sensitivity and a clinical case in a primary care population. A cut of ≥ 15 indicates severe symptoms. </w:t>
      </w:r>
      <w:r w:rsidR="00DE3A20">
        <w:rPr>
          <w:rFonts w:ascii="Arial" w:hAnsi="Arial"/>
          <w:sz w:val="22"/>
          <w:szCs w:val="22"/>
        </w:rPr>
        <w:t>The GAD-7 has been demonstrated to have good reliability with a Cronbach’s alpha of 0.92, specificity of 82% and sensitivity of 89% (Spitzer, Kroenke, Williams and Lowe, 2006).</w:t>
      </w:r>
      <w:r w:rsidR="00330A9A">
        <w:rPr>
          <w:rFonts w:ascii="Arial" w:hAnsi="Arial"/>
          <w:sz w:val="22"/>
          <w:szCs w:val="22"/>
        </w:rPr>
        <w:t xml:space="preserve"> </w:t>
      </w:r>
      <w:r>
        <w:rPr>
          <w:rFonts w:ascii="Arial" w:hAnsi="Arial"/>
          <w:sz w:val="22"/>
          <w:szCs w:val="22"/>
        </w:rPr>
        <w:t>In addition, therapist</w:t>
      </w:r>
      <w:r w:rsidR="00D77FB0">
        <w:rPr>
          <w:rFonts w:ascii="Arial" w:hAnsi="Arial"/>
          <w:sz w:val="22"/>
          <w:szCs w:val="22"/>
        </w:rPr>
        <w:t xml:space="preserve">s </w:t>
      </w:r>
      <w:r>
        <w:rPr>
          <w:rFonts w:ascii="Arial" w:hAnsi="Arial"/>
          <w:sz w:val="22"/>
          <w:szCs w:val="22"/>
        </w:rPr>
        <w:t>may use an Anxiety Disorder Specific measure (ADSM) where they believe that the PHQ-9 or GAD-7 are not sensitive to the patient’s presenting problem (Clark et al., 2017). Examples of ADSMs are the Obsessive-Compulsive Inventory (</w:t>
      </w:r>
      <w:r w:rsidR="00D77FB0">
        <w:rPr>
          <w:rFonts w:ascii="Arial" w:hAnsi="Arial"/>
          <w:sz w:val="22"/>
          <w:szCs w:val="22"/>
        </w:rPr>
        <w:t>Foa, Kozak, Salkovskis, Coles and Amir, 1998</w:t>
      </w:r>
      <w:r>
        <w:rPr>
          <w:rFonts w:ascii="Arial" w:hAnsi="Arial"/>
          <w:sz w:val="22"/>
          <w:szCs w:val="22"/>
        </w:rPr>
        <w:t>) sometimes used for patients with Obsessive Compulsive Disorder and the Impact of Events Scale (</w:t>
      </w:r>
      <w:r w:rsidR="00D77FB0">
        <w:rPr>
          <w:rFonts w:ascii="Arial" w:hAnsi="Arial"/>
          <w:sz w:val="22"/>
          <w:szCs w:val="22"/>
        </w:rPr>
        <w:t>Weiss, 2007</w:t>
      </w:r>
      <w:r>
        <w:rPr>
          <w:rFonts w:ascii="Arial" w:hAnsi="Arial"/>
          <w:sz w:val="22"/>
          <w:szCs w:val="22"/>
        </w:rPr>
        <w:t>), used for patients who present with Post-Traumatic Stress Disorder (PTSD).</w:t>
      </w:r>
    </w:p>
    <w:p w14:paraId="56379E5B" w14:textId="0497199E" w:rsidR="007F596B" w:rsidRDefault="00BC4F1D" w:rsidP="007F596B">
      <w:pPr>
        <w:pStyle w:val="Heading3"/>
        <w:rPr>
          <w:rFonts w:cs="Arial"/>
          <w:b w:val="0"/>
          <w:color w:val="000000" w:themeColor="text1"/>
          <w:szCs w:val="22"/>
        </w:rPr>
      </w:pPr>
      <w:bookmarkStart w:id="167" w:name="_Toc46770751"/>
      <w:bookmarkStart w:id="168" w:name="_Toc79414162"/>
      <w:r>
        <w:rPr>
          <w:rFonts w:cs="Arial"/>
          <w:color w:val="000000" w:themeColor="text1"/>
          <w:szCs w:val="22"/>
        </w:rPr>
        <w:lastRenderedPageBreak/>
        <w:t>2.1</w:t>
      </w:r>
      <w:r w:rsidR="009537DC">
        <w:rPr>
          <w:rFonts w:cs="Arial"/>
          <w:color w:val="000000" w:themeColor="text1"/>
          <w:szCs w:val="22"/>
        </w:rPr>
        <w:t>3</w:t>
      </w:r>
      <w:r>
        <w:rPr>
          <w:rFonts w:cs="Arial"/>
          <w:color w:val="000000" w:themeColor="text1"/>
          <w:szCs w:val="22"/>
        </w:rPr>
        <w:t>.</w:t>
      </w:r>
      <w:r w:rsidR="00637040">
        <w:rPr>
          <w:rFonts w:cs="Arial"/>
          <w:color w:val="000000" w:themeColor="text1"/>
          <w:szCs w:val="22"/>
        </w:rPr>
        <w:t>2</w:t>
      </w:r>
      <w:r w:rsidR="007F596B" w:rsidRPr="00B737AF">
        <w:rPr>
          <w:rFonts w:cs="Arial"/>
          <w:color w:val="000000" w:themeColor="text1"/>
          <w:szCs w:val="22"/>
        </w:rPr>
        <w:t xml:space="preserve"> Definition of recovery</w:t>
      </w:r>
      <w:bookmarkEnd w:id="167"/>
      <w:bookmarkEnd w:id="168"/>
    </w:p>
    <w:p w14:paraId="2EC2E3B9" w14:textId="77777777" w:rsidR="007F596B" w:rsidRPr="00B737AF" w:rsidRDefault="007F596B" w:rsidP="007F596B"/>
    <w:p w14:paraId="05A701CF" w14:textId="504FB36E" w:rsidR="007F596B" w:rsidRPr="00ED0F27" w:rsidRDefault="007F596B" w:rsidP="007F596B">
      <w:pPr>
        <w:spacing w:line="480" w:lineRule="auto"/>
        <w:rPr>
          <w:rFonts w:ascii="Arial" w:hAnsi="Arial" w:cs="Arial"/>
          <w:sz w:val="22"/>
          <w:szCs w:val="22"/>
        </w:rPr>
      </w:pPr>
      <w:r w:rsidRPr="00B737AF">
        <w:rPr>
          <w:rFonts w:ascii="Arial" w:hAnsi="Arial" w:cs="Arial"/>
          <w:sz w:val="22"/>
          <w:szCs w:val="22"/>
        </w:rPr>
        <w:t xml:space="preserve">The </w:t>
      </w:r>
      <w:r>
        <w:rPr>
          <w:rFonts w:ascii="Arial" w:hAnsi="Arial" w:cs="Arial"/>
          <w:sz w:val="22"/>
          <w:szCs w:val="22"/>
        </w:rPr>
        <w:t xml:space="preserve">IAPT definition of recovery is based on a </w:t>
      </w:r>
      <w:r w:rsidRPr="00B737AF">
        <w:rPr>
          <w:rFonts w:ascii="Arial" w:hAnsi="Arial" w:cs="Arial"/>
          <w:sz w:val="22"/>
          <w:szCs w:val="22"/>
        </w:rPr>
        <w:t xml:space="preserve">calculation </w:t>
      </w:r>
      <w:r>
        <w:rPr>
          <w:rFonts w:ascii="Arial" w:hAnsi="Arial" w:cs="Arial"/>
          <w:sz w:val="22"/>
          <w:szCs w:val="22"/>
        </w:rPr>
        <w:t>using</w:t>
      </w:r>
      <w:r w:rsidRPr="00B737AF">
        <w:rPr>
          <w:rFonts w:ascii="Arial" w:hAnsi="Arial" w:cs="Arial"/>
          <w:sz w:val="22"/>
          <w:szCs w:val="22"/>
        </w:rPr>
        <w:t xml:space="preserve"> the pre</w:t>
      </w:r>
      <w:r w:rsidR="00385AB6">
        <w:rPr>
          <w:rFonts w:ascii="Arial" w:hAnsi="Arial" w:cs="Arial"/>
          <w:sz w:val="22"/>
          <w:szCs w:val="22"/>
        </w:rPr>
        <w:t>-</w:t>
      </w:r>
      <w:r w:rsidRPr="00B737AF">
        <w:rPr>
          <w:rFonts w:ascii="Arial" w:hAnsi="Arial" w:cs="Arial"/>
          <w:sz w:val="22"/>
          <w:szCs w:val="22"/>
        </w:rPr>
        <w:t xml:space="preserve"> and post</w:t>
      </w:r>
      <w:r w:rsidR="00385AB6">
        <w:rPr>
          <w:rFonts w:ascii="Arial" w:hAnsi="Arial" w:cs="Arial"/>
          <w:sz w:val="22"/>
          <w:szCs w:val="22"/>
        </w:rPr>
        <w:t>-</w:t>
      </w:r>
      <w:r w:rsidRPr="00B737AF">
        <w:rPr>
          <w:rFonts w:ascii="Arial" w:hAnsi="Arial" w:cs="Arial"/>
          <w:sz w:val="22"/>
          <w:szCs w:val="22"/>
        </w:rPr>
        <w:t>intervention scores using the PHQ-9, GAD-7 and ADSM (if used).</w:t>
      </w:r>
      <w:r>
        <w:rPr>
          <w:rFonts w:ascii="Arial" w:hAnsi="Arial" w:cs="Arial"/>
          <w:sz w:val="22"/>
          <w:szCs w:val="22"/>
        </w:rPr>
        <w:t xml:space="preserve"> </w:t>
      </w:r>
      <w:r w:rsidRPr="00B737AF">
        <w:rPr>
          <w:rFonts w:ascii="Arial" w:hAnsi="Arial" w:cs="Arial"/>
          <w:sz w:val="22"/>
          <w:szCs w:val="22"/>
        </w:rPr>
        <w:t>IAPT measures clinical improvement in terms of whether a patient meets “caseness” (NHS Digital</w:t>
      </w:r>
      <w:r w:rsidR="00B57E44">
        <w:rPr>
          <w:rFonts w:ascii="Arial" w:hAnsi="Arial" w:cs="Arial"/>
          <w:sz w:val="22"/>
          <w:szCs w:val="22"/>
        </w:rPr>
        <w:t>,</w:t>
      </w:r>
      <w:r w:rsidRPr="00B737AF">
        <w:rPr>
          <w:rFonts w:ascii="Arial" w:hAnsi="Arial" w:cs="Arial"/>
          <w:sz w:val="22"/>
          <w:szCs w:val="22"/>
        </w:rPr>
        <w:t xml:space="preserve"> 2016). Caseness is a term that is used to describe a patient who has sufficient symptoms to be considered a clinical case. </w:t>
      </w:r>
      <w:r>
        <w:rPr>
          <w:rFonts w:ascii="Arial" w:hAnsi="Arial" w:cs="Arial"/>
          <w:sz w:val="22"/>
          <w:szCs w:val="22"/>
        </w:rPr>
        <w:t>The cut off, to be considered a clinical case (and therefore in caseness), on the PHQ-9 is</w:t>
      </w:r>
      <w:r w:rsidRPr="00B737AF">
        <w:rPr>
          <w:rFonts w:ascii="Arial" w:hAnsi="Arial" w:cs="Arial"/>
          <w:sz w:val="22"/>
          <w:szCs w:val="22"/>
        </w:rPr>
        <w:t xml:space="preserve"> </w:t>
      </w:r>
      <w:r>
        <w:rPr>
          <w:rFonts w:ascii="Arial" w:hAnsi="Arial" w:cs="Arial"/>
          <w:sz w:val="22"/>
          <w:szCs w:val="22"/>
        </w:rPr>
        <w:t xml:space="preserve">a score of </w:t>
      </w:r>
      <w:r w:rsidRPr="000B1D4A">
        <w:rPr>
          <w:rFonts w:ascii="Arial" w:hAnsi="Arial"/>
          <w:sz w:val="22"/>
          <w:szCs w:val="22"/>
        </w:rPr>
        <w:t>≥10</w:t>
      </w:r>
      <w:r>
        <w:rPr>
          <w:rFonts w:ascii="Arial" w:hAnsi="Arial" w:cs="Arial"/>
          <w:sz w:val="22"/>
          <w:szCs w:val="22"/>
        </w:rPr>
        <w:t>. The cut</w:t>
      </w:r>
      <w:r w:rsidR="00385AB6">
        <w:rPr>
          <w:rFonts w:ascii="Arial" w:hAnsi="Arial" w:cs="Arial"/>
          <w:sz w:val="22"/>
          <w:szCs w:val="22"/>
        </w:rPr>
        <w:t>-</w:t>
      </w:r>
      <w:r>
        <w:rPr>
          <w:rFonts w:ascii="Arial" w:hAnsi="Arial" w:cs="Arial"/>
          <w:sz w:val="22"/>
          <w:szCs w:val="22"/>
        </w:rPr>
        <w:t>off, to be considered a clinical case (and therefore in caseness), on the GAD-7 is</w:t>
      </w:r>
      <w:r w:rsidRPr="000B1D4A">
        <w:rPr>
          <w:rFonts w:ascii="Arial" w:hAnsi="Arial" w:cs="Arial"/>
          <w:sz w:val="22"/>
          <w:szCs w:val="22"/>
        </w:rPr>
        <w:t xml:space="preserve"> </w:t>
      </w:r>
      <w:r w:rsidRPr="000B1D4A">
        <w:rPr>
          <w:rFonts w:ascii="Arial" w:hAnsi="Arial"/>
          <w:sz w:val="22"/>
          <w:szCs w:val="22"/>
        </w:rPr>
        <w:t>≥8</w:t>
      </w:r>
      <w:r>
        <w:rPr>
          <w:rFonts w:ascii="Arial" w:hAnsi="Arial"/>
          <w:b/>
        </w:rPr>
        <w:t xml:space="preserve">. </w:t>
      </w:r>
      <w:r w:rsidRPr="00B737AF">
        <w:rPr>
          <w:rFonts w:ascii="Arial" w:hAnsi="Arial" w:cs="Arial"/>
          <w:sz w:val="22"/>
          <w:szCs w:val="22"/>
        </w:rPr>
        <w:t>A patient is described as being recovered if they were a clinical case at the start of treatment but fell below the threshold to be considered a clinical case at the end of treatment.</w:t>
      </w:r>
    </w:p>
    <w:p w14:paraId="72FD0E41" w14:textId="77777777" w:rsidR="007F596B" w:rsidRPr="00ED0F27" w:rsidRDefault="007F596B" w:rsidP="007F596B">
      <w:pPr>
        <w:spacing w:line="480" w:lineRule="auto"/>
        <w:rPr>
          <w:rFonts w:ascii="Arial" w:hAnsi="Arial" w:cs="Arial"/>
          <w:sz w:val="22"/>
          <w:szCs w:val="22"/>
        </w:rPr>
      </w:pPr>
    </w:p>
    <w:p w14:paraId="7118CC52" w14:textId="3E2C37AD" w:rsidR="007F596B" w:rsidRDefault="00BC4F1D" w:rsidP="007F596B">
      <w:pPr>
        <w:pStyle w:val="Heading3"/>
        <w:rPr>
          <w:rFonts w:cs="Arial"/>
          <w:b w:val="0"/>
          <w:color w:val="000000" w:themeColor="text1"/>
          <w:szCs w:val="22"/>
        </w:rPr>
      </w:pPr>
      <w:bookmarkStart w:id="169" w:name="_Toc46770752"/>
      <w:bookmarkStart w:id="170" w:name="_Toc79414163"/>
      <w:r>
        <w:rPr>
          <w:rFonts w:cs="Arial"/>
          <w:color w:val="000000" w:themeColor="text1"/>
          <w:szCs w:val="22"/>
        </w:rPr>
        <w:t>2.1</w:t>
      </w:r>
      <w:r w:rsidR="00637040">
        <w:rPr>
          <w:rFonts w:cs="Arial"/>
          <w:color w:val="000000" w:themeColor="text1"/>
          <w:szCs w:val="22"/>
        </w:rPr>
        <w:t>3</w:t>
      </w:r>
      <w:r>
        <w:rPr>
          <w:rFonts w:cs="Arial"/>
          <w:color w:val="000000" w:themeColor="text1"/>
          <w:szCs w:val="22"/>
        </w:rPr>
        <w:t>.</w:t>
      </w:r>
      <w:r w:rsidR="00637040">
        <w:rPr>
          <w:rFonts w:cs="Arial"/>
          <w:color w:val="000000" w:themeColor="text1"/>
          <w:szCs w:val="22"/>
        </w:rPr>
        <w:t>3</w:t>
      </w:r>
      <w:r w:rsidR="007F596B" w:rsidRPr="000B1D4A">
        <w:rPr>
          <w:rFonts w:cs="Arial"/>
          <w:color w:val="000000" w:themeColor="text1"/>
          <w:szCs w:val="22"/>
        </w:rPr>
        <w:t xml:space="preserve"> Definition of reliable improvement</w:t>
      </w:r>
      <w:bookmarkEnd w:id="169"/>
      <w:bookmarkEnd w:id="170"/>
    </w:p>
    <w:p w14:paraId="5F63579B" w14:textId="77777777" w:rsidR="007F596B" w:rsidRPr="000B1D4A" w:rsidRDefault="007F596B" w:rsidP="007F596B"/>
    <w:p w14:paraId="0124ABDB" w14:textId="43A48534" w:rsidR="007F596B" w:rsidRDefault="007F596B" w:rsidP="007F596B">
      <w:pPr>
        <w:spacing w:line="480" w:lineRule="auto"/>
        <w:rPr>
          <w:rFonts w:ascii="Arial" w:hAnsi="Arial"/>
          <w:sz w:val="22"/>
          <w:szCs w:val="22"/>
        </w:rPr>
      </w:pPr>
      <w:r w:rsidRPr="00B737AF">
        <w:rPr>
          <w:rFonts w:ascii="Arial" w:hAnsi="Arial" w:cs="Arial"/>
          <w:sz w:val="22"/>
          <w:szCs w:val="22"/>
        </w:rPr>
        <w:t xml:space="preserve">Another measure of clinical improvement is </w:t>
      </w:r>
      <w:r>
        <w:rPr>
          <w:rFonts w:ascii="Arial" w:hAnsi="Arial" w:cs="Arial"/>
          <w:sz w:val="22"/>
          <w:szCs w:val="22"/>
        </w:rPr>
        <w:t xml:space="preserve">the IAPT definition of reliable improvement (Clark et al., 2017).  The calculation for reliable improvement also </w:t>
      </w:r>
      <w:r w:rsidRPr="00B737AF">
        <w:rPr>
          <w:rFonts w:ascii="Arial" w:hAnsi="Arial" w:cs="Arial"/>
          <w:sz w:val="22"/>
          <w:szCs w:val="22"/>
        </w:rPr>
        <w:t>uses the pre</w:t>
      </w:r>
      <w:r w:rsidR="00385AB6">
        <w:rPr>
          <w:rFonts w:ascii="Arial" w:hAnsi="Arial" w:cs="Arial"/>
          <w:sz w:val="22"/>
          <w:szCs w:val="22"/>
        </w:rPr>
        <w:t>-</w:t>
      </w:r>
      <w:r w:rsidRPr="00B737AF">
        <w:rPr>
          <w:rFonts w:ascii="Arial" w:hAnsi="Arial" w:cs="Arial"/>
          <w:sz w:val="22"/>
          <w:szCs w:val="22"/>
        </w:rPr>
        <w:t xml:space="preserve"> and post</w:t>
      </w:r>
      <w:r w:rsidR="00385AB6">
        <w:rPr>
          <w:rFonts w:ascii="Arial" w:hAnsi="Arial" w:cs="Arial"/>
          <w:sz w:val="22"/>
          <w:szCs w:val="22"/>
        </w:rPr>
        <w:t>-</w:t>
      </w:r>
      <w:r w:rsidRPr="00B737AF">
        <w:rPr>
          <w:rFonts w:ascii="Arial" w:hAnsi="Arial" w:cs="Arial"/>
          <w:sz w:val="22"/>
          <w:szCs w:val="22"/>
        </w:rPr>
        <w:t>intervention scores</w:t>
      </w:r>
      <w:r>
        <w:rPr>
          <w:rFonts w:ascii="Arial" w:hAnsi="Arial" w:cs="Arial"/>
          <w:sz w:val="22"/>
          <w:szCs w:val="22"/>
        </w:rPr>
        <w:t xml:space="preserve"> </w:t>
      </w:r>
      <w:r w:rsidRPr="00B737AF">
        <w:rPr>
          <w:rFonts w:ascii="Arial" w:hAnsi="Arial" w:cs="Arial"/>
          <w:sz w:val="22"/>
          <w:szCs w:val="22"/>
        </w:rPr>
        <w:t>o</w:t>
      </w:r>
      <w:r>
        <w:rPr>
          <w:rFonts w:ascii="Arial" w:hAnsi="Arial" w:cs="Arial"/>
          <w:sz w:val="22"/>
          <w:szCs w:val="22"/>
        </w:rPr>
        <w:t xml:space="preserve">f </w:t>
      </w:r>
      <w:r w:rsidRPr="00B737AF">
        <w:rPr>
          <w:rFonts w:ascii="Arial" w:hAnsi="Arial" w:cs="Arial"/>
          <w:sz w:val="22"/>
          <w:szCs w:val="22"/>
        </w:rPr>
        <w:t>the PHQ-9 and GAD-7</w:t>
      </w:r>
      <w:r>
        <w:rPr>
          <w:rFonts w:ascii="Arial" w:hAnsi="Arial" w:cs="Arial"/>
          <w:sz w:val="22"/>
          <w:szCs w:val="22"/>
        </w:rPr>
        <w:t xml:space="preserve">. </w:t>
      </w:r>
      <w:r w:rsidRPr="00B737AF">
        <w:rPr>
          <w:rFonts w:ascii="Arial" w:hAnsi="Arial" w:cs="Arial"/>
          <w:sz w:val="22"/>
          <w:szCs w:val="22"/>
        </w:rPr>
        <w:t xml:space="preserve"> </w:t>
      </w:r>
      <w:r>
        <w:rPr>
          <w:rFonts w:ascii="Arial" w:hAnsi="Arial" w:cs="Arial"/>
          <w:sz w:val="22"/>
          <w:szCs w:val="22"/>
        </w:rPr>
        <w:t>A patient is said to reliabl</w:t>
      </w:r>
      <w:r w:rsidR="00385AB6">
        <w:rPr>
          <w:rFonts w:ascii="Arial" w:hAnsi="Arial" w:cs="Arial"/>
          <w:sz w:val="22"/>
          <w:szCs w:val="22"/>
        </w:rPr>
        <w:t>y</w:t>
      </w:r>
      <w:r>
        <w:rPr>
          <w:rFonts w:ascii="Arial" w:hAnsi="Arial" w:cs="Arial"/>
          <w:sz w:val="22"/>
          <w:szCs w:val="22"/>
        </w:rPr>
        <w:t xml:space="preserve"> improved where they achieve </w:t>
      </w:r>
      <w:r w:rsidRPr="00B737AF">
        <w:rPr>
          <w:rFonts w:ascii="Arial" w:hAnsi="Arial" w:cs="Arial"/>
          <w:sz w:val="22"/>
          <w:szCs w:val="22"/>
        </w:rPr>
        <w:t>anything in excess of a change of</w:t>
      </w:r>
      <w:r w:rsidRPr="00B737AF">
        <w:rPr>
          <w:rFonts w:ascii="Arial" w:hAnsi="Arial"/>
          <w:sz w:val="22"/>
          <w:szCs w:val="22"/>
        </w:rPr>
        <w:t xml:space="preserve"> 6</w:t>
      </w:r>
      <w:r w:rsidR="007E229E">
        <w:rPr>
          <w:rFonts w:ascii="Arial" w:hAnsi="Arial"/>
          <w:sz w:val="22"/>
          <w:szCs w:val="22"/>
        </w:rPr>
        <w:t xml:space="preserve"> points</w:t>
      </w:r>
      <w:r w:rsidRPr="00B737AF">
        <w:rPr>
          <w:rFonts w:ascii="Arial" w:hAnsi="Arial"/>
          <w:sz w:val="22"/>
          <w:szCs w:val="22"/>
        </w:rPr>
        <w:t xml:space="preserve">, on the </w:t>
      </w:r>
      <w:r w:rsidR="007E229E">
        <w:rPr>
          <w:rFonts w:ascii="Arial" w:hAnsi="Arial"/>
          <w:sz w:val="22"/>
          <w:szCs w:val="22"/>
        </w:rPr>
        <w:t xml:space="preserve">global </w:t>
      </w:r>
      <w:r w:rsidRPr="00B737AF">
        <w:rPr>
          <w:rFonts w:ascii="Arial" w:hAnsi="Arial"/>
          <w:sz w:val="22"/>
          <w:szCs w:val="22"/>
        </w:rPr>
        <w:t xml:space="preserve">PHQ-9 </w:t>
      </w:r>
      <w:r w:rsidR="007E229E">
        <w:rPr>
          <w:rFonts w:ascii="Arial" w:hAnsi="Arial"/>
          <w:sz w:val="22"/>
          <w:szCs w:val="22"/>
        </w:rPr>
        <w:t xml:space="preserve">score </w:t>
      </w:r>
      <w:r w:rsidRPr="00B737AF">
        <w:rPr>
          <w:rFonts w:ascii="Arial" w:hAnsi="Arial"/>
          <w:sz w:val="22"/>
          <w:szCs w:val="22"/>
        </w:rPr>
        <w:t xml:space="preserve">and 4 </w:t>
      </w:r>
      <w:r w:rsidR="007E229E">
        <w:rPr>
          <w:rFonts w:ascii="Arial" w:hAnsi="Arial"/>
          <w:sz w:val="22"/>
          <w:szCs w:val="22"/>
        </w:rPr>
        <w:t xml:space="preserve">points </w:t>
      </w:r>
      <w:r w:rsidRPr="00B737AF">
        <w:rPr>
          <w:rFonts w:ascii="Arial" w:hAnsi="Arial"/>
          <w:sz w:val="22"/>
          <w:szCs w:val="22"/>
        </w:rPr>
        <w:t>on the</w:t>
      </w:r>
      <w:r w:rsidR="007E229E">
        <w:rPr>
          <w:rFonts w:ascii="Arial" w:hAnsi="Arial"/>
          <w:sz w:val="22"/>
          <w:szCs w:val="22"/>
        </w:rPr>
        <w:t xml:space="preserve"> global </w:t>
      </w:r>
      <w:r w:rsidRPr="00B737AF">
        <w:rPr>
          <w:rFonts w:ascii="Arial" w:hAnsi="Arial"/>
          <w:sz w:val="22"/>
          <w:szCs w:val="22"/>
        </w:rPr>
        <w:t>GAD-7</w:t>
      </w:r>
      <w:r>
        <w:rPr>
          <w:rFonts w:ascii="Arial" w:hAnsi="Arial"/>
          <w:sz w:val="22"/>
          <w:szCs w:val="22"/>
        </w:rPr>
        <w:t xml:space="preserve"> </w:t>
      </w:r>
      <w:r w:rsidR="007E229E">
        <w:rPr>
          <w:rFonts w:ascii="Arial" w:hAnsi="Arial"/>
          <w:sz w:val="22"/>
          <w:szCs w:val="22"/>
        </w:rPr>
        <w:t xml:space="preserve">score </w:t>
      </w:r>
      <w:r w:rsidRPr="00B737AF">
        <w:rPr>
          <w:rFonts w:ascii="Arial" w:hAnsi="Arial"/>
          <w:sz w:val="22"/>
          <w:szCs w:val="22"/>
        </w:rPr>
        <w:t>(Gyani</w:t>
      </w:r>
      <w:r>
        <w:rPr>
          <w:rFonts w:ascii="Arial" w:hAnsi="Arial"/>
          <w:sz w:val="22"/>
          <w:szCs w:val="22"/>
        </w:rPr>
        <w:t xml:space="preserve">, Shafran, Layard and Clark, </w:t>
      </w:r>
      <w:r w:rsidRPr="00B737AF">
        <w:rPr>
          <w:rFonts w:ascii="Arial" w:hAnsi="Arial"/>
          <w:sz w:val="22"/>
          <w:szCs w:val="22"/>
        </w:rPr>
        <w:t>2013).</w:t>
      </w:r>
      <w:r w:rsidR="007E229E">
        <w:rPr>
          <w:rFonts w:ascii="Arial" w:hAnsi="Arial"/>
          <w:sz w:val="22"/>
          <w:szCs w:val="22"/>
        </w:rPr>
        <w:t xml:space="preserve"> For example, where a patient starts treatment with a PHQ-9 score of 21 and a GAD-7 score of 18 and ends treatment with a PHQ-9 score of 14 and a GAD-7 score of 12 they would be deemed to have reliably improved.  However, it should be noted that the patient in this example would not have met the definition for recovery as they had not fallen below the threshold for recovery i.e. </w:t>
      </w:r>
      <m:oMath>
        <m:r>
          <w:rPr>
            <w:rFonts w:ascii="Cambria Math" w:hAnsi="Cambria Math"/>
            <w:sz w:val="22"/>
            <w:szCs w:val="22"/>
          </w:rPr>
          <m:t xml:space="preserve">≤ </m:t>
        </m:r>
      </m:oMath>
      <w:r w:rsidR="007E229E">
        <w:rPr>
          <w:rFonts w:ascii="Arial" w:hAnsi="Arial"/>
          <w:sz w:val="22"/>
          <w:szCs w:val="22"/>
        </w:rPr>
        <w:t xml:space="preserve">9 on the PHQ-9 and </w:t>
      </w:r>
      <m:oMath>
        <m:r>
          <w:rPr>
            <w:rFonts w:ascii="Cambria Math" w:hAnsi="Cambria Math"/>
            <w:sz w:val="22"/>
            <w:szCs w:val="22"/>
          </w:rPr>
          <m:t xml:space="preserve">≤ </m:t>
        </m:r>
      </m:oMath>
      <w:r w:rsidR="007E229E">
        <w:rPr>
          <w:rFonts w:ascii="Arial" w:hAnsi="Arial"/>
          <w:sz w:val="22"/>
          <w:szCs w:val="22"/>
        </w:rPr>
        <w:t>7 on the GAD-7.</w:t>
      </w:r>
    </w:p>
    <w:p w14:paraId="76E19C2A" w14:textId="77777777" w:rsidR="007F596B" w:rsidRDefault="007F596B" w:rsidP="007F596B">
      <w:pPr>
        <w:spacing w:line="480" w:lineRule="auto"/>
        <w:rPr>
          <w:rFonts w:ascii="Arial" w:hAnsi="Arial"/>
          <w:sz w:val="22"/>
          <w:szCs w:val="22"/>
        </w:rPr>
      </w:pPr>
    </w:p>
    <w:p w14:paraId="4830EC86" w14:textId="72ED0105" w:rsidR="007F596B" w:rsidRDefault="007F596B" w:rsidP="007F596B">
      <w:pPr>
        <w:spacing w:line="480" w:lineRule="auto"/>
        <w:rPr>
          <w:rFonts w:ascii="Arial" w:hAnsi="Arial"/>
          <w:sz w:val="22"/>
          <w:szCs w:val="22"/>
        </w:rPr>
      </w:pPr>
      <w:r>
        <w:rPr>
          <w:rFonts w:ascii="Arial" w:hAnsi="Arial"/>
          <w:sz w:val="22"/>
          <w:szCs w:val="22"/>
        </w:rPr>
        <w:t xml:space="preserve">The IAPT definitions of recovery and reliable improvement are also shown in table </w:t>
      </w:r>
      <w:r w:rsidR="004D1CEF">
        <w:rPr>
          <w:rFonts w:ascii="Arial" w:hAnsi="Arial"/>
          <w:sz w:val="22"/>
          <w:szCs w:val="22"/>
        </w:rPr>
        <w:t>2.5</w:t>
      </w:r>
      <w:r>
        <w:rPr>
          <w:rFonts w:ascii="Arial" w:hAnsi="Arial"/>
          <w:sz w:val="22"/>
          <w:szCs w:val="22"/>
        </w:rPr>
        <w:t>, below.</w:t>
      </w:r>
    </w:p>
    <w:p w14:paraId="17EE9A0A" w14:textId="77777777" w:rsidR="007F596B" w:rsidRDefault="007F596B" w:rsidP="007F596B">
      <w:pPr>
        <w:spacing w:line="480" w:lineRule="auto"/>
        <w:rPr>
          <w:rFonts w:ascii="Arial" w:hAnsi="Arial"/>
          <w:sz w:val="22"/>
          <w:szCs w:val="22"/>
        </w:rPr>
      </w:pPr>
    </w:p>
    <w:p w14:paraId="2F57C60B" w14:textId="77777777" w:rsidR="00637040" w:rsidRDefault="00637040" w:rsidP="007F596B">
      <w:pPr>
        <w:spacing w:line="480" w:lineRule="auto"/>
        <w:rPr>
          <w:rFonts w:ascii="Arial" w:hAnsi="Arial"/>
          <w:b/>
          <w:sz w:val="22"/>
          <w:szCs w:val="22"/>
        </w:rPr>
      </w:pPr>
    </w:p>
    <w:p w14:paraId="019239E7" w14:textId="1C759861" w:rsidR="00D61429" w:rsidRDefault="00D61429" w:rsidP="00D61429">
      <w:pPr>
        <w:pStyle w:val="Tables"/>
      </w:pPr>
      <w:bookmarkStart w:id="171" w:name="_Toc28347772"/>
      <w:bookmarkStart w:id="172" w:name="_Toc46770973"/>
      <w:r w:rsidRPr="00C51148">
        <w:lastRenderedPageBreak/>
        <w:t xml:space="preserve">Table 2.5 </w:t>
      </w:r>
      <w:r w:rsidRPr="00D61429">
        <w:rPr>
          <w:b w:val="0"/>
        </w:rPr>
        <w:t>IAPT definitions of recovery and reliable improvement</w:t>
      </w:r>
      <w:bookmarkEnd w:id="171"/>
      <w:bookmarkEnd w:id="172"/>
    </w:p>
    <w:tbl>
      <w:tblPr>
        <w:tblStyle w:val="LightList-Accent1"/>
        <w:tblW w:w="0" w:type="auto"/>
        <w:tblLook w:val="04A0" w:firstRow="1" w:lastRow="0" w:firstColumn="1" w:lastColumn="0" w:noHBand="0" w:noVBand="1"/>
      </w:tblPr>
      <w:tblGrid>
        <w:gridCol w:w="4258"/>
        <w:gridCol w:w="4258"/>
      </w:tblGrid>
      <w:tr w:rsidR="007F596B" w:rsidRPr="00F55674" w14:paraId="09AFF31B" w14:textId="77777777" w:rsidTr="007F59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8" w:type="dxa"/>
          </w:tcPr>
          <w:p w14:paraId="61D4A05A" w14:textId="77777777" w:rsidR="007F596B" w:rsidRPr="00F55674" w:rsidRDefault="007F596B" w:rsidP="007F596B">
            <w:pPr>
              <w:rPr>
                <w:rFonts w:ascii="Arial" w:hAnsi="Arial"/>
              </w:rPr>
            </w:pPr>
            <w:r w:rsidRPr="00F55674">
              <w:rPr>
                <w:rFonts w:ascii="Arial" w:hAnsi="Arial"/>
              </w:rPr>
              <w:t>Clinical Recovery</w:t>
            </w:r>
          </w:p>
        </w:tc>
        <w:tc>
          <w:tcPr>
            <w:tcW w:w="4258" w:type="dxa"/>
          </w:tcPr>
          <w:p w14:paraId="35188B97" w14:textId="77777777" w:rsidR="007F596B" w:rsidRPr="00F55674" w:rsidRDefault="007F596B" w:rsidP="007F596B">
            <w:pPr>
              <w:cnfStyle w:val="100000000000" w:firstRow="1" w:lastRow="0" w:firstColumn="0" w:lastColumn="0" w:oddVBand="0" w:evenVBand="0" w:oddHBand="0" w:evenHBand="0" w:firstRowFirstColumn="0" w:firstRowLastColumn="0" w:lastRowFirstColumn="0" w:lastRowLastColumn="0"/>
              <w:rPr>
                <w:rFonts w:ascii="Arial" w:hAnsi="Arial"/>
              </w:rPr>
            </w:pPr>
            <w:r w:rsidRPr="00F55674">
              <w:rPr>
                <w:rFonts w:ascii="Arial" w:hAnsi="Arial"/>
              </w:rPr>
              <w:t>Reliable Improvement</w:t>
            </w:r>
          </w:p>
        </w:tc>
      </w:tr>
      <w:tr w:rsidR="007F596B" w:rsidRPr="00F55674" w14:paraId="4E6BBE8C" w14:textId="77777777" w:rsidTr="007F59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8" w:type="dxa"/>
          </w:tcPr>
          <w:p w14:paraId="3E0DFEB8" w14:textId="77777777" w:rsidR="007F596B" w:rsidRPr="00F55674" w:rsidRDefault="007F596B" w:rsidP="007F596B">
            <w:pPr>
              <w:rPr>
                <w:rFonts w:ascii="Arial" w:hAnsi="Arial" w:cs="Arial"/>
                <w:bCs w:val="0"/>
              </w:rPr>
            </w:pPr>
            <w:r w:rsidRPr="00F55674">
              <w:rPr>
                <w:rFonts w:ascii="Arial" w:hAnsi="Arial" w:cs="Arial"/>
                <w:b w:val="0"/>
              </w:rPr>
              <w:t xml:space="preserve">Where a patient starts out in therapy as a clinical case on at least one of the measures </w:t>
            </w:r>
            <w:r w:rsidRPr="00F55674">
              <w:rPr>
                <w:rFonts w:ascii="Arial" w:hAnsi="Arial"/>
                <w:b w:val="0"/>
              </w:rPr>
              <w:t>(≥10 on PHQ-9 and ≥ 8 on GAD-7) and their post intervention scores fall out of caseness on both measures at the end of treatment.</w:t>
            </w:r>
          </w:p>
          <w:p w14:paraId="39F19D41" w14:textId="77777777" w:rsidR="007F596B" w:rsidRPr="00F55674" w:rsidRDefault="007F596B" w:rsidP="007F596B">
            <w:pPr>
              <w:rPr>
                <w:rFonts w:ascii="Arial" w:hAnsi="Arial" w:cs="Arial"/>
              </w:rPr>
            </w:pPr>
          </w:p>
        </w:tc>
        <w:tc>
          <w:tcPr>
            <w:tcW w:w="4258" w:type="dxa"/>
          </w:tcPr>
          <w:p w14:paraId="052A9A3D" w14:textId="77777777" w:rsidR="007F596B" w:rsidRPr="00F55674" w:rsidRDefault="007F596B" w:rsidP="007F596B">
            <w:pPr>
              <w:cnfStyle w:val="000000100000" w:firstRow="0" w:lastRow="0" w:firstColumn="0" w:lastColumn="0" w:oddVBand="0" w:evenVBand="0" w:oddHBand="1" w:evenHBand="0" w:firstRowFirstColumn="0" w:firstRowLastColumn="0" w:lastRowFirstColumn="0" w:lastRowLastColumn="0"/>
              <w:rPr>
                <w:rFonts w:ascii="Arial" w:hAnsi="Arial"/>
              </w:rPr>
            </w:pPr>
            <w:r w:rsidRPr="00F55674">
              <w:rPr>
                <w:rFonts w:ascii="Arial" w:hAnsi="Arial"/>
              </w:rPr>
              <w:t>Where a patient starts out in therapy as a clinical case (≥10 on PHQ-9 and ≥ 8 on GAD-7) and their post intervention scores fall ≥ the measurement error of the questionnaire i.e. 6 on the PHQ-9 and 4 on the GAD-7</w:t>
            </w:r>
            <w:r w:rsidRPr="00F55674">
              <w:rPr>
                <w:rFonts w:ascii="Arial" w:hAnsi="Arial"/>
                <w:b/>
              </w:rPr>
              <w:t xml:space="preserve">. </w:t>
            </w:r>
          </w:p>
        </w:tc>
      </w:tr>
    </w:tbl>
    <w:p w14:paraId="1679D708" w14:textId="77777777" w:rsidR="007F596B" w:rsidRPr="00B737AF" w:rsidRDefault="007F596B" w:rsidP="007F596B">
      <w:pPr>
        <w:spacing w:line="480" w:lineRule="auto"/>
        <w:rPr>
          <w:rFonts w:ascii="Arial" w:hAnsi="Arial"/>
          <w:sz w:val="22"/>
          <w:szCs w:val="22"/>
        </w:rPr>
      </w:pPr>
    </w:p>
    <w:p w14:paraId="5B3AFD09" w14:textId="6879070A" w:rsidR="007F596B" w:rsidRDefault="00BC4F1D" w:rsidP="007F596B">
      <w:pPr>
        <w:pStyle w:val="Heading2"/>
        <w:rPr>
          <w:rFonts w:ascii="Arial" w:hAnsi="Arial" w:cs="Arial"/>
          <w:b w:val="0"/>
          <w:color w:val="000000" w:themeColor="text1"/>
          <w:sz w:val="22"/>
          <w:szCs w:val="22"/>
        </w:rPr>
      </w:pPr>
      <w:bookmarkStart w:id="173" w:name="_Toc46770753"/>
      <w:bookmarkStart w:id="174" w:name="_Toc79414164"/>
      <w:r>
        <w:rPr>
          <w:rFonts w:ascii="Arial" w:hAnsi="Arial" w:cs="Arial"/>
          <w:color w:val="000000" w:themeColor="text1"/>
          <w:sz w:val="22"/>
          <w:szCs w:val="22"/>
        </w:rPr>
        <w:t>2.1</w:t>
      </w:r>
      <w:r w:rsidR="00493EAD">
        <w:rPr>
          <w:rFonts w:ascii="Arial" w:hAnsi="Arial" w:cs="Arial"/>
          <w:color w:val="000000" w:themeColor="text1"/>
          <w:sz w:val="22"/>
          <w:szCs w:val="22"/>
        </w:rPr>
        <w:t>4</w:t>
      </w:r>
      <w:r w:rsidR="007F596B" w:rsidRPr="00242C08">
        <w:rPr>
          <w:rFonts w:ascii="Arial" w:hAnsi="Arial" w:cs="Arial"/>
          <w:color w:val="000000" w:themeColor="text1"/>
          <w:sz w:val="22"/>
          <w:szCs w:val="22"/>
        </w:rPr>
        <w:t xml:space="preserve"> IAPT OUTCOMES</w:t>
      </w:r>
      <w:bookmarkEnd w:id="173"/>
      <w:bookmarkEnd w:id="174"/>
    </w:p>
    <w:p w14:paraId="010A25C7" w14:textId="77777777" w:rsidR="007F596B" w:rsidRPr="00242C08" w:rsidRDefault="007F596B" w:rsidP="007F596B"/>
    <w:p w14:paraId="7D57FF28" w14:textId="7BA8D76C" w:rsidR="007F596B" w:rsidRDefault="007F596B" w:rsidP="007F596B">
      <w:pPr>
        <w:spacing w:line="480" w:lineRule="auto"/>
        <w:rPr>
          <w:rFonts w:ascii="Arial" w:hAnsi="Arial" w:cs="Arial"/>
          <w:sz w:val="22"/>
          <w:szCs w:val="22"/>
        </w:rPr>
      </w:pPr>
      <w:r>
        <w:rPr>
          <w:rFonts w:ascii="Arial" w:hAnsi="Arial" w:cs="Arial"/>
          <w:sz w:val="22"/>
          <w:szCs w:val="22"/>
        </w:rPr>
        <w:t>Whilst IAPT services are mandated to report their outcome to NHS England on a monthly basis (Clark et al., 2017) the information is reported in the public domain retrospectively.  Therefore, the last reporting year available, in the public domain, is the IAPT annual report for 2017-2018, which was published in November 2018 (NHS Digital 2018). The report establishes that in this year IAPT received 1.44 million referrals</w:t>
      </w:r>
      <w:r w:rsidR="00CF6414">
        <w:rPr>
          <w:rFonts w:ascii="Arial" w:hAnsi="Arial" w:cs="Arial"/>
          <w:sz w:val="22"/>
          <w:szCs w:val="22"/>
        </w:rPr>
        <w:t>,</w:t>
      </w:r>
      <w:r>
        <w:rPr>
          <w:rFonts w:ascii="Arial" w:hAnsi="Arial" w:cs="Arial"/>
          <w:sz w:val="22"/>
          <w:szCs w:val="22"/>
        </w:rPr>
        <w:t xml:space="preserve"> which was </w:t>
      </w:r>
      <w:r w:rsidR="00CF6414">
        <w:rPr>
          <w:rFonts w:ascii="Arial" w:hAnsi="Arial" w:cs="Arial"/>
          <w:sz w:val="22"/>
          <w:szCs w:val="22"/>
        </w:rPr>
        <w:t xml:space="preserve">an </w:t>
      </w:r>
      <w:r>
        <w:rPr>
          <w:rFonts w:ascii="Arial" w:hAnsi="Arial" w:cs="Arial"/>
          <w:sz w:val="22"/>
          <w:szCs w:val="22"/>
        </w:rPr>
        <w:t>increase of 3.95% from the previous year. Of these referrals</w:t>
      </w:r>
      <w:r w:rsidR="00CF6414">
        <w:rPr>
          <w:rFonts w:ascii="Arial" w:hAnsi="Arial" w:cs="Arial"/>
          <w:sz w:val="22"/>
          <w:szCs w:val="22"/>
        </w:rPr>
        <w:t>,</w:t>
      </w:r>
      <w:r>
        <w:rPr>
          <w:rFonts w:ascii="Arial" w:hAnsi="Arial" w:cs="Arial"/>
          <w:sz w:val="22"/>
          <w:szCs w:val="22"/>
        </w:rPr>
        <w:t xml:space="preserve"> 1.01 million started treatment and 554,709 completed a course of treatment, a reduction of 2.2% from the previous year. The mean recovery rate for all services was 50.8%, an increase from 49.3%, reported the previous year. The outcomes relate to all IAPT services, face-to-face and IAPT.  The report does not differentiate between the method of delivery. The mean recovery rate for IECBT for the same reporting year was 52.7%. </w:t>
      </w:r>
    </w:p>
    <w:p w14:paraId="33E4A6C2" w14:textId="77777777" w:rsidR="007F596B" w:rsidRDefault="007F596B" w:rsidP="007F596B">
      <w:pPr>
        <w:spacing w:line="480" w:lineRule="auto"/>
        <w:rPr>
          <w:rFonts w:ascii="Arial" w:hAnsi="Arial" w:cs="Arial"/>
          <w:sz w:val="22"/>
          <w:szCs w:val="22"/>
        </w:rPr>
      </w:pPr>
    </w:p>
    <w:p w14:paraId="65DE1DD7" w14:textId="1996F283" w:rsidR="007F596B" w:rsidRDefault="007F596B" w:rsidP="007F596B">
      <w:pPr>
        <w:spacing w:line="480" w:lineRule="auto"/>
        <w:rPr>
          <w:rFonts w:ascii="Arial" w:hAnsi="Arial" w:cs="Arial"/>
          <w:sz w:val="22"/>
          <w:szCs w:val="22"/>
        </w:rPr>
      </w:pPr>
      <w:r>
        <w:rPr>
          <w:rFonts w:ascii="Arial" w:hAnsi="Arial" w:cs="Arial"/>
          <w:sz w:val="22"/>
          <w:szCs w:val="22"/>
        </w:rPr>
        <w:t xml:space="preserve">The increase in recovery rates to 50.8% is significant in that IAPT has demonstrated that it is possible </w:t>
      </w:r>
      <w:r w:rsidR="00CF6414">
        <w:rPr>
          <w:rFonts w:ascii="Arial" w:hAnsi="Arial" w:cs="Arial"/>
          <w:sz w:val="22"/>
          <w:szCs w:val="22"/>
        </w:rPr>
        <w:t xml:space="preserve">to </w:t>
      </w:r>
      <w:r>
        <w:rPr>
          <w:rFonts w:ascii="Arial" w:hAnsi="Arial" w:cs="Arial"/>
          <w:sz w:val="22"/>
          <w:szCs w:val="22"/>
        </w:rPr>
        <w:t>achieve recovery rates in excess of 50%.  Layard and Clark (2014) established that national recovery rates would be a key performance indicator</w:t>
      </w:r>
      <w:r w:rsidR="007E229E">
        <w:rPr>
          <w:rFonts w:ascii="Arial" w:hAnsi="Arial" w:cs="Arial"/>
          <w:sz w:val="22"/>
          <w:szCs w:val="22"/>
        </w:rPr>
        <w:t xml:space="preserve"> (KPI)</w:t>
      </w:r>
      <w:r>
        <w:rPr>
          <w:rFonts w:ascii="Arial" w:hAnsi="Arial" w:cs="Arial"/>
          <w:sz w:val="22"/>
          <w:szCs w:val="22"/>
        </w:rPr>
        <w:t xml:space="preserve"> when implementing the IAPT programme. Year on year, since IAPT was launched in 2008, recovery rates have incrementally improved (Clark, Canvin, Green, Layard, Pilling and Janecka, 2017). </w:t>
      </w:r>
      <w:r w:rsidR="009224A0">
        <w:rPr>
          <w:rFonts w:ascii="Arial" w:hAnsi="Arial" w:cs="Arial"/>
          <w:sz w:val="22"/>
          <w:szCs w:val="22"/>
        </w:rPr>
        <w:t xml:space="preserve">This is largely due to initiatives driven by David Clark (Clark et al., 2017, Clark, 2011) whereby learning from services with higher outcomes is disseminated to all IAPT services in an effort to improve outcomes. </w:t>
      </w:r>
      <w:r w:rsidR="007006FC">
        <w:rPr>
          <w:rFonts w:ascii="Arial" w:hAnsi="Arial" w:cs="Arial"/>
          <w:sz w:val="22"/>
          <w:szCs w:val="22"/>
        </w:rPr>
        <w:t>However</w:t>
      </w:r>
      <w:r w:rsidR="00493EAD">
        <w:rPr>
          <w:rFonts w:ascii="Arial" w:hAnsi="Arial" w:cs="Arial"/>
          <w:sz w:val="22"/>
          <w:szCs w:val="22"/>
        </w:rPr>
        <w:t>,</w:t>
      </w:r>
      <w:r w:rsidR="007006FC">
        <w:rPr>
          <w:rFonts w:ascii="Arial" w:hAnsi="Arial" w:cs="Arial"/>
          <w:sz w:val="22"/>
          <w:szCs w:val="22"/>
        </w:rPr>
        <w:t xml:space="preserve"> s</w:t>
      </w:r>
      <w:r w:rsidR="009224A0">
        <w:rPr>
          <w:rFonts w:ascii="Arial" w:hAnsi="Arial" w:cs="Arial"/>
          <w:sz w:val="22"/>
          <w:szCs w:val="22"/>
        </w:rPr>
        <w:t xml:space="preserve">ceptics suggest that outcomes are improving because of </w:t>
      </w:r>
      <w:r w:rsidR="009224A0">
        <w:rPr>
          <w:rFonts w:ascii="Arial" w:hAnsi="Arial" w:cs="Arial"/>
          <w:sz w:val="22"/>
          <w:szCs w:val="22"/>
        </w:rPr>
        <w:lastRenderedPageBreak/>
        <w:t>the creative use of</w:t>
      </w:r>
      <w:r w:rsidR="002919C3">
        <w:rPr>
          <w:rFonts w:ascii="Arial" w:hAnsi="Arial" w:cs="Arial"/>
          <w:sz w:val="22"/>
          <w:szCs w:val="22"/>
        </w:rPr>
        <w:t xml:space="preserve"> data collection and</w:t>
      </w:r>
      <w:r w:rsidR="009224A0">
        <w:rPr>
          <w:rFonts w:ascii="Arial" w:hAnsi="Arial" w:cs="Arial"/>
          <w:sz w:val="22"/>
          <w:szCs w:val="22"/>
        </w:rPr>
        <w:t xml:space="preserve"> statistical analyses </w:t>
      </w:r>
      <w:r w:rsidR="002919C3">
        <w:rPr>
          <w:rFonts w:ascii="Arial" w:hAnsi="Arial" w:cs="Arial"/>
          <w:sz w:val="22"/>
          <w:szCs w:val="22"/>
        </w:rPr>
        <w:t>(Binnie, 2015)</w:t>
      </w:r>
      <w:r w:rsidR="007006FC">
        <w:rPr>
          <w:rFonts w:ascii="Arial" w:hAnsi="Arial" w:cs="Arial"/>
          <w:sz w:val="22"/>
          <w:szCs w:val="22"/>
        </w:rPr>
        <w:t xml:space="preserve"> whilst others (Jorm, Patten, Brugha and Mojtabai, 2017) argue that the incidence of anxiety disorders and depression are increasing rather than reducing.</w:t>
      </w:r>
    </w:p>
    <w:p w14:paraId="152BB83F" w14:textId="77777777" w:rsidR="007F596B" w:rsidRPr="00ED0F27" w:rsidRDefault="007F596B" w:rsidP="007F596B">
      <w:pPr>
        <w:spacing w:line="480" w:lineRule="auto"/>
        <w:rPr>
          <w:rFonts w:ascii="Arial" w:hAnsi="Arial" w:cs="Arial"/>
          <w:sz w:val="22"/>
          <w:szCs w:val="22"/>
        </w:rPr>
      </w:pPr>
      <w:r>
        <w:rPr>
          <w:rFonts w:ascii="Arial" w:hAnsi="Arial" w:cs="Arial"/>
          <w:sz w:val="22"/>
          <w:szCs w:val="22"/>
        </w:rPr>
        <w:t xml:space="preserve"> </w:t>
      </w:r>
    </w:p>
    <w:p w14:paraId="4947F505" w14:textId="10B2AC30" w:rsidR="007F596B" w:rsidRPr="007B4DFC" w:rsidRDefault="00BC4F1D" w:rsidP="007F596B">
      <w:pPr>
        <w:pStyle w:val="Heading3"/>
        <w:rPr>
          <w:rFonts w:cs="Arial"/>
          <w:b w:val="0"/>
          <w:color w:val="000000" w:themeColor="text1"/>
          <w:szCs w:val="22"/>
        </w:rPr>
      </w:pPr>
      <w:bookmarkStart w:id="175" w:name="_Toc46770754"/>
      <w:bookmarkStart w:id="176" w:name="_Toc79414165"/>
      <w:r>
        <w:rPr>
          <w:rFonts w:cs="Arial"/>
          <w:color w:val="000000" w:themeColor="text1"/>
          <w:szCs w:val="22"/>
        </w:rPr>
        <w:t>2.1</w:t>
      </w:r>
      <w:r w:rsidR="00493EAD">
        <w:rPr>
          <w:rFonts w:cs="Arial"/>
          <w:color w:val="000000" w:themeColor="text1"/>
          <w:szCs w:val="22"/>
        </w:rPr>
        <w:t>4</w:t>
      </w:r>
      <w:r>
        <w:rPr>
          <w:rFonts w:cs="Arial"/>
          <w:color w:val="000000" w:themeColor="text1"/>
          <w:szCs w:val="22"/>
        </w:rPr>
        <w:t>.1</w:t>
      </w:r>
      <w:r w:rsidR="007F596B" w:rsidRPr="007B4DFC">
        <w:rPr>
          <w:rFonts w:cs="Arial"/>
          <w:color w:val="000000" w:themeColor="text1"/>
          <w:szCs w:val="22"/>
        </w:rPr>
        <w:t xml:space="preserve"> Variance in outcomes</w:t>
      </w:r>
      <w:bookmarkEnd w:id="175"/>
      <w:bookmarkEnd w:id="176"/>
    </w:p>
    <w:p w14:paraId="688F9A21" w14:textId="77777777" w:rsidR="007F596B" w:rsidRPr="00242C08" w:rsidRDefault="007F596B" w:rsidP="007F596B"/>
    <w:p w14:paraId="6818D19B" w14:textId="77777777" w:rsidR="007F596B" w:rsidRDefault="007F596B" w:rsidP="007F596B">
      <w:pPr>
        <w:spacing w:line="480" w:lineRule="auto"/>
        <w:rPr>
          <w:rFonts w:ascii="Arial" w:hAnsi="Arial" w:cs="Arial"/>
          <w:sz w:val="22"/>
          <w:szCs w:val="22"/>
        </w:rPr>
      </w:pPr>
      <w:r>
        <w:rPr>
          <w:rFonts w:ascii="Arial" w:hAnsi="Arial" w:cs="Arial"/>
          <w:sz w:val="22"/>
          <w:szCs w:val="22"/>
        </w:rPr>
        <w:t xml:space="preserve">Whilst IAPT reports an increase in recovery rates from 49.3% in 2016-17 to 50.8% in </w:t>
      </w:r>
    </w:p>
    <w:p w14:paraId="754FDBF6" w14:textId="4FE469EB" w:rsidR="007006FC" w:rsidRPr="00D238AD" w:rsidRDefault="007F596B" w:rsidP="00D238AD">
      <w:pPr>
        <w:spacing w:line="480" w:lineRule="auto"/>
        <w:rPr>
          <w:rFonts w:ascii="Arial" w:hAnsi="Arial" w:cs="Arial"/>
          <w:sz w:val="22"/>
          <w:szCs w:val="22"/>
        </w:rPr>
      </w:pPr>
      <w:r>
        <w:rPr>
          <w:rFonts w:ascii="Arial" w:hAnsi="Arial" w:cs="Arial"/>
          <w:sz w:val="22"/>
          <w:szCs w:val="22"/>
        </w:rPr>
        <w:t>2017-18 there was a significant variance in outcomes between services with the lowest achieving 20.4% and the highest achieving 58.7% recovery (NHS Digital</w:t>
      </w:r>
      <w:r w:rsidR="00B57E44">
        <w:rPr>
          <w:rFonts w:ascii="Arial" w:hAnsi="Arial" w:cs="Arial"/>
          <w:sz w:val="22"/>
          <w:szCs w:val="22"/>
        </w:rPr>
        <w:t>,</w:t>
      </w:r>
      <w:r>
        <w:rPr>
          <w:rFonts w:ascii="Arial" w:hAnsi="Arial" w:cs="Arial"/>
          <w:sz w:val="22"/>
          <w:szCs w:val="22"/>
        </w:rPr>
        <w:t xml:space="preserve"> 2018). This issue is not new, other reports on IAPT outcomes have established a similar variance in clinical outcomes between services, with one report citing the lowest recovery as 23.9% and the highest as 56.5% (Gyanni, Shafran, Layard and Clark, 2013). A later study cited more significant variance and suggested that the mean recovery rate might be as low as 23% and that if IAPT included all patients who had been referred in its analyses</w:t>
      </w:r>
      <w:r w:rsidR="00CE44EE">
        <w:rPr>
          <w:rFonts w:ascii="Arial" w:hAnsi="Arial" w:cs="Arial"/>
          <w:sz w:val="22"/>
          <w:szCs w:val="22"/>
        </w:rPr>
        <w:t>,</w:t>
      </w:r>
      <w:r>
        <w:rPr>
          <w:rFonts w:ascii="Arial" w:hAnsi="Arial" w:cs="Arial"/>
          <w:sz w:val="22"/>
          <w:szCs w:val="22"/>
        </w:rPr>
        <w:t xml:space="preserve"> the recovery rate could be as low as 12% (Scott, 2018). </w:t>
      </w:r>
      <w:r w:rsidR="00A0477B">
        <w:rPr>
          <w:rFonts w:ascii="Arial" w:hAnsi="Arial" w:cs="Arial"/>
          <w:sz w:val="22"/>
          <w:szCs w:val="22"/>
        </w:rPr>
        <w:t>However, this study looked at only 90 patients who had received treatment in IAPT, all of whom had experienced some type of trauma.  Not only is it possible that these patients are not representative of IAPT patients in general</w:t>
      </w:r>
      <w:r w:rsidR="00525B47">
        <w:rPr>
          <w:rFonts w:ascii="Arial" w:hAnsi="Arial" w:cs="Arial"/>
          <w:sz w:val="22"/>
          <w:szCs w:val="22"/>
        </w:rPr>
        <w:t>,</w:t>
      </w:r>
      <w:r w:rsidR="00A0477B">
        <w:rPr>
          <w:rFonts w:ascii="Arial" w:hAnsi="Arial" w:cs="Arial"/>
          <w:sz w:val="22"/>
          <w:szCs w:val="22"/>
        </w:rPr>
        <w:t xml:space="preserve"> but the author is concerned with the criteria for defining recovery.</w:t>
      </w:r>
      <w:r>
        <w:rPr>
          <w:rFonts w:ascii="Arial" w:hAnsi="Arial" w:cs="Arial"/>
          <w:sz w:val="22"/>
          <w:szCs w:val="22"/>
        </w:rPr>
        <w:t xml:space="preserve"> IAPT currently calculates recovery rates based on those patients who had a minimum of three sessions, i.e. an assessment plus two treatment sessions (Clark et al., 2017).  </w:t>
      </w:r>
      <w:r w:rsidR="00A0477B">
        <w:rPr>
          <w:rFonts w:ascii="Arial" w:hAnsi="Arial" w:cs="Arial"/>
          <w:sz w:val="22"/>
          <w:szCs w:val="22"/>
        </w:rPr>
        <w:t>Whereas Scott is including all patients who were referred</w:t>
      </w:r>
      <w:r w:rsidR="00CE44EE">
        <w:rPr>
          <w:rFonts w:ascii="Arial" w:hAnsi="Arial" w:cs="Arial"/>
          <w:sz w:val="22"/>
          <w:szCs w:val="22"/>
        </w:rPr>
        <w:t>,</w:t>
      </w:r>
      <w:r w:rsidR="00A0477B">
        <w:rPr>
          <w:rFonts w:ascii="Arial" w:hAnsi="Arial" w:cs="Arial"/>
          <w:sz w:val="22"/>
          <w:szCs w:val="22"/>
        </w:rPr>
        <w:t xml:space="preserve"> even those that did not have an appointment. </w:t>
      </w:r>
      <w:r w:rsidR="00030708">
        <w:rPr>
          <w:rFonts w:ascii="Arial" w:hAnsi="Arial" w:cs="Arial"/>
          <w:sz w:val="22"/>
          <w:szCs w:val="22"/>
        </w:rPr>
        <w:t xml:space="preserve">Clearly there needs to be agreed criteria.   </w:t>
      </w:r>
      <w:r w:rsidR="00A0477B">
        <w:rPr>
          <w:rFonts w:ascii="Arial" w:hAnsi="Arial" w:cs="Arial"/>
          <w:sz w:val="22"/>
          <w:szCs w:val="22"/>
        </w:rPr>
        <w:t xml:space="preserve">Further critical </w:t>
      </w:r>
      <w:r>
        <w:rPr>
          <w:rFonts w:ascii="Arial" w:hAnsi="Arial" w:cs="Arial"/>
          <w:sz w:val="22"/>
          <w:szCs w:val="22"/>
        </w:rPr>
        <w:t>investigation of IAPT outcomes is the focus of other studies who share the interest in variance in outcomes in IAPT (Clark et al., 2017). One study, which looked at variance in outcome from a therapist perspective</w:t>
      </w:r>
      <w:r w:rsidR="00CE44EE">
        <w:rPr>
          <w:rFonts w:ascii="Arial" w:hAnsi="Arial" w:cs="Arial"/>
          <w:sz w:val="22"/>
          <w:szCs w:val="22"/>
        </w:rPr>
        <w:t>,</w:t>
      </w:r>
      <w:r>
        <w:rPr>
          <w:rFonts w:ascii="Arial" w:hAnsi="Arial" w:cs="Arial"/>
          <w:sz w:val="22"/>
          <w:szCs w:val="22"/>
        </w:rPr>
        <w:t xml:space="preserve"> looked at 61 therapists providing treatment in IAPT (28 CBT therapists and 33 counsellors)</w:t>
      </w:r>
      <w:r w:rsidR="00CE44EE">
        <w:rPr>
          <w:rFonts w:ascii="Arial" w:hAnsi="Arial" w:cs="Arial"/>
          <w:sz w:val="22"/>
          <w:szCs w:val="22"/>
        </w:rPr>
        <w:t xml:space="preserve"> and</w:t>
      </w:r>
      <w:r>
        <w:rPr>
          <w:rFonts w:ascii="Arial" w:hAnsi="Arial" w:cs="Arial"/>
          <w:sz w:val="22"/>
          <w:szCs w:val="22"/>
        </w:rPr>
        <w:t xml:space="preserve"> demonstrated that therapist recovery rates varied between 16% and 75.8% (Saxon, Firth and Barkham, 2017).  The variance in recovery rates between services and between therapists is an ongoing concern.  Whilst on one hand IAPT has demonstrated that it is possible to achieve its national target </w:t>
      </w:r>
      <w:r>
        <w:rPr>
          <w:rFonts w:ascii="Arial" w:hAnsi="Arial" w:cs="Arial"/>
          <w:sz w:val="22"/>
          <w:szCs w:val="22"/>
        </w:rPr>
        <w:lastRenderedPageBreak/>
        <w:t xml:space="preserve">rate of 50% recovery and the trend appears to be a gradual incremental improvement (Clark et al., 2017) the variance in outcome does not appear to be changing. </w:t>
      </w:r>
      <w:r w:rsidR="00F50786">
        <w:rPr>
          <w:rFonts w:ascii="Arial" w:hAnsi="Arial" w:cs="Arial"/>
          <w:sz w:val="22"/>
          <w:szCs w:val="22"/>
        </w:rPr>
        <w:t>Furthermore, there is little more than a set of hypotheses</w:t>
      </w:r>
      <w:r w:rsidR="00A864E9">
        <w:rPr>
          <w:rFonts w:ascii="Arial" w:hAnsi="Arial" w:cs="Arial"/>
          <w:sz w:val="22"/>
          <w:szCs w:val="22"/>
        </w:rPr>
        <w:t xml:space="preserve"> (Clark et al., 2017)</w:t>
      </w:r>
      <w:r w:rsidR="00F50786">
        <w:rPr>
          <w:rFonts w:ascii="Arial" w:hAnsi="Arial" w:cs="Arial"/>
          <w:sz w:val="22"/>
          <w:szCs w:val="22"/>
        </w:rPr>
        <w:t xml:space="preserve"> that serve to develop an understanding </w:t>
      </w:r>
      <w:r w:rsidR="00A864E9">
        <w:rPr>
          <w:rFonts w:ascii="Arial" w:hAnsi="Arial" w:cs="Arial"/>
          <w:sz w:val="22"/>
          <w:szCs w:val="22"/>
        </w:rPr>
        <w:t xml:space="preserve">of </w:t>
      </w:r>
      <w:r w:rsidR="00F50786">
        <w:rPr>
          <w:rFonts w:ascii="Arial" w:hAnsi="Arial" w:cs="Arial"/>
          <w:sz w:val="22"/>
          <w:szCs w:val="22"/>
        </w:rPr>
        <w:t xml:space="preserve">why variance in outcome continues to be a problem. One of the most significant </w:t>
      </w:r>
      <w:r w:rsidR="00A864E9">
        <w:rPr>
          <w:rFonts w:ascii="Arial" w:hAnsi="Arial" w:cs="Arial"/>
          <w:sz w:val="22"/>
          <w:szCs w:val="22"/>
        </w:rPr>
        <w:t>barriers to understanding variance</w:t>
      </w:r>
      <w:r w:rsidR="00F50786">
        <w:rPr>
          <w:rFonts w:ascii="Arial" w:hAnsi="Arial" w:cs="Arial"/>
          <w:sz w:val="22"/>
          <w:szCs w:val="22"/>
        </w:rPr>
        <w:t xml:space="preserve"> </w:t>
      </w:r>
      <w:r w:rsidR="00A864E9">
        <w:rPr>
          <w:rFonts w:ascii="Arial" w:hAnsi="Arial" w:cs="Arial"/>
          <w:sz w:val="22"/>
          <w:szCs w:val="22"/>
        </w:rPr>
        <w:t>is that it is</w:t>
      </w:r>
      <w:r w:rsidR="00F50786">
        <w:rPr>
          <w:rFonts w:ascii="Arial" w:hAnsi="Arial" w:cs="Arial"/>
          <w:sz w:val="22"/>
          <w:szCs w:val="22"/>
        </w:rPr>
        <w:t xml:space="preserve"> practically impossible to assess or observe individual therapists in the course of their work with patients</w:t>
      </w:r>
      <w:r w:rsidR="00A864E9">
        <w:rPr>
          <w:rFonts w:ascii="Arial" w:hAnsi="Arial" w:cs="Arial"/>
          <w:sz w:val="22"/>
          <w:szCs w:val="22"/>
        </w:rPr>
        <w:t>.</w:t>
      </w:r>
      <w:r w:rsidR="00F50786">
        <w:rPr>
          <w:rFonts w:ascii="Arial" w:hAnsi="Arial" w:cs="Arial"/>
          <w:sz w:val="22"/>
          <w:szCs w:val="22"/>
        </w:rPr>
        <w:t xml:space="preserve"> </w:t>
      </w:r>
      <w:r w:rsidR="00A864E9" w:rsidRPr="005144E4">
        <w:rPr>
          <w:rFonts w:ascii="Arial" w:hAnsi="Arial" w:cs="Arial"/>
          <w:sz w:val="22"/>
          <w:szCs w:val="22"/>
        </w:rPr>
        <w:t>Therefore</w:t>
      </w:r>
      <w:r w:rsidR="00F50786" w:rsidRPr="005144E4">
        <w:rPr>
          <w:rFonts w:ascii="Arial" w:hAnsi="Arial" w:cs="Arial"/>
          <w:sz w:val="22"/>
          <w:szCs w:val="22"/>
        </w:rPr>
        <w:t xml:space="preserve">, the question </w:t>
      </w:r>
      <w:r w:rsidR="00422883" w:rsidRPr="005144E4">
        <w:rPr>
          <w:rFonts w:ascii="Arial" w:hAnsi="Arial" w:cs="Arial"/>
          <w:sz w:val="22"/>
          <w:szCs w:val="22"/>
        </w:rPr>
        <w:t xml:space="preserve">of </w:t>
      </w:r>
      <w:r w:rsidR="00F50786" w:rsidRPr="005144E4">
        <w:rPr>
          <w:rFonts w:ascii="Arial" w:hAnsi="Arial" w:cs="Arial"/>
          <w:sz w:val="22"/>
          <w:szCs w:val="22"/>
        </w:rPr>
        <w:t xml:space="preserve">why </w:t>
      </w:r>
      <w:r w:rsidR="00A864E9" w:rsidRPr="005144E4">
        <w:rPr>
          <w:rFonts w:ascii="Arial" w:hAnsi="Arial" w:cs="Arial"/>
          <w:sz w:val="22"/>
          <w:szCs w:val="22"/>
        </w:rPr>
        <w:t>there is such a significant variance remains.</w:t>
      </w:r>
      <w:r w:rsidRPr="005144E4">
        <w:rPr>
          <w:rFonts w:ascii="Arial" w:hAnsi="Arial" w:cs="Arial"/>
          <w:sz w:val="22"/>
          <w:szCs w:val="22"/>
        </w:rPr>
        <w:t xml:space="preserve"> It is likely that if this is not addressed </w:t>
      </w:r>
      <w:r w:rsidR="00427F88" w:rsidRPr="005144E4">
        <w:rPr>
          <w:rFonts w:ascii="Arial" w:hAnsi="Arial" w:cs="Arial"/>
          <w:sz w:val="22"/>
          <w:szCs w:val="22"/>
        </w:rPr>
        <w:t xml:space="preserve">it </w:t>
      </w:r>
      <w:r w:rsidRPr="005144E4">
        <w:rPr>
          <w:rFonts w:ascii="Arial" w:hAnsi="Arial" w:cs="Arial"/>
          <w:sz w:val="22"/>
          <w:szCs w:val="22"/>
        </w:rPr>
        <w:t>will limit future improvements in IAPT service provision and</w:t>
      </w:r>
      <w:r w:rsidR="00CE44EE" w:rsidRPr="005144E4">
        <w:rPr>
          <w:rFonts w:ascii="Arial" w:hAnsi="Arial" w:cs="Arial"/>
          <w:sz w:val="22"/>
          <w:szCs w:val="22"/>
        </w:rPr>
        <w:t>,</w:t>
      </w:r>
      <w:r w:rsidRPr="005144E4">
        <w:rPr>
          <w:rFonts w:ascii="Arial" w:hAnsi="Arial" w:cs="Arial"/>
          <w:sz w:val="22"/>
          <w:szCs w:val="22"/>
        </w:rPr>
        <w:t xml:space="preserve"> arguably, in other CBT services too.</w:t>
      </w:r>
      <w:r>
        <w:rPr>
          <w:rFonts w:ascii="Arial" w:hAnsi="Arial" w:cs="Arial"/>
          <w:sz w:val="22"/>
          <w:szCs w:val="22"/>
        </w:rPr>
        <w:t xml:space="preserve">  </w:t>
      </w:r>
      <w:r w:rsidR="00D238AD">
        <w:rPr>
          <w:rFonts w:ascii="Arial" w:hAnsi="Arial" w:cs="Arial"/>
          <w:sz w:val="22"/>
          <w:szCs w:val="22"/>
        </w:rPr>
        <w:br/>
      </w:r>
    </w:p>
    <w:p w14:paraId="7F654644" w14:textId="3F1C3BF5" w:rsidR="007F596B" w:rsidRDefault="00BC4F1D" w:rsidP="007F596B">
      <w:pPr>
        <w:pStyle w:val="Heading3"/>
        <w:rPr>
          <w:rFonts w:cs="Arial"/>
          <w:b w:val="0"/>
          <w:color w:val="000000" w:themeColor="text1"/>
          <w:szCs w:val="22"/>
        </w:rPr>
      </w:pPr>
      <w:bookmarkStart w:id="177" w:name="_Toc46770755"/>
      <w:bookmarkStart w:id="178" w:name="_Toc79414166"/>
      <w:r>
        <w:rPr>
          <w:rFonts w:cs="Arial"/>
          <w:color w:val="000000" w:themeColor="text1"/>
          <w:szCs w:val="22"/>
        </w:rPr>
        <w:t>2.1</w:t>
      </w:r>
      <w:r w:rsidR="00493EAD">
        <w:rPr>
          <w:rFonts w:cs="Arial"/>
          <w:color w:val="000000" w:themeColor="text1"/>
          <w:szCs w:val="22"/>
        </w:rPr>
        <w:t>4</w:t>
      </w:r>
      <w:r>
        <w:rPr>
          <w:rFonts w:cs="Arial"/>
          <w:color w:val="000000" w:themeColor="text1"/>
          <w:szCs w:val="22"/>
        </w:rPr>
        <w:t>.2</w:t>
      </w:r>
      <w:r w:rsidR="007F596B" w:rsidRPr="007B4DFC">
        <w:rPr>
          <w:rFonts w:cs="Arial"/>
          <w:color w:val="000000" w:themeColor="text1"/>
          <w:szCs w:val="22"/>
        </w:rPr>
        <w:t xml:space="preserve"> Understanding the problem</w:t>
      </w:r>
      <w:bookmarkEnd w:id="177"/>
      <w:bookmarkEnd w:id="178"/>
    </w:p>
    <w:p w14:paraId="6B45AE30" w14:textId="77777777" w:rsidR="007F596B" w:rsidRPr="007B4DFC" w:rsidRDefault="007F596B" w:rsidP="007F596B"/>
    <w:p w14:paraId="13DD67F9" w14:textId="3299138B" w:rsidR="008B05B8" w:rsidRDefault="007F596B" w:rsidP="007F596B">
      <w:pPr>
        <w:spacing w:line="480" w:lineRule="auto"/>
        <w:rPr>
          <w:rFonts w:ascii="Arial" w:hAnsi="Arial" w:cs="Arial"/>
          <w:sz w:val="22"/>
          <w:szCs w:val="22"/>
        </w:rPr>
      </w:pPr>
      <w:r>
        <w:rPr>
          <w:rFonts w:ascii="Arial" w:hAnsi="Arial" w:cs="Arial"/>
          <w:sz w:val="22"/>
          <w:szCs w:val="22"/>
        </w:rPr>
        <w:t>It has been clearly identified that there is a significant difference in outcome between individual IAPT services (Clark et al.,2017). Various factors have been cited as possible predictors of poor outcomes (Clark et al., 2017). Understanding why some services report better outcomes than others is key to IAPT’s continued success. The key</w:t>
      </w:r>
      <w:r w:rsidR="00A864E9">
        <w:rPr>
          <w:rFonts w:ascii="Arial" w:hAnsi="Arial" w:cs="Arial"/>
          <w:sz w:val="22"/>
          <w:szCs w:val="22"/>
        </w:rPr>
        <w:t xml:space="preserve"> putative</w:t>
      </w:r>
      <w:r>
        <w:rPr>
          <w:rFonts w:ascii="Arial" w:hAnsi="Arial" w:cs="Arial"/>
          <w:sz w:val="22"/>
          <w:szCs w:val="22"/>
        </w:rPr>
        <w:t xml:space="preserve"> factors </w:t>
      </w:r>
      <w:r w:rsidR="00A864E9">
        <w:rPr>
          <w:rFonts w:ascii="Arial" w:hAnsi="Arial" w:cs="Arial"/>
          <w:sz w:val="22"/>
          <w:szCs w:val="22"/>
        </w:rPr>
        <w:t xml:space="preserve">hypothesised </w:t>
      </w:r>
      <w:r>
        <w:rPr>
          <w:rFonts w:ascii="Arial" w:hAnsi="Arial" w:cs="Arial"/>
          <w:sz w:val="22"/>
          <w:szCs w:val="22"/>
        </w:rPr>
        <w:t>that are likely to contribute to outcomes within IAPT have been defined as</w:t>
      </w:r>
      <w:r w:rsidR="00EF6ACB">
        <w:rPr>
          <w:rFonts w:ascii="Arial" w:hAnsi="Arial" w:cs="Arial"/>
          <w:sz w:val="22"/>
          <w:szCs w:val="22"/>
        </w:rPr>
        <w:t xml:space="preserve"> (see Figure 2.10)</w:t>
      </w:r>
      <w:r>
        <w:rPr>
          <w:rFonts w:ascii="Arial" w:hAnsi="Arial" w:cs="Arial"/>
          <w:sz w:val="22"/>
          <w:szCs w:val="22"/>
        </w:rPr>
        <w:t>; patient severity, patient engagement (i.e. numbers of patients who drop out of treatment and those that fail to appointments), service factors (i.e. managerial, culture of a service and processes within a service) and socio-economic factors, for example; patient income, employment status, crime and housing (Clark et al., 2017).</w:t>
      </w:r>
      <w:r w:rsidR="00EF6ACB">
        <w:rPr>
          <w:rFonts w:ascii="Arial" w:hAnsi="Arial" w:cs="Arial"/>
          <w:sz w:val="22"/>
          <w:szCs w:val="22"/>
        </w:rPr>
        <w:t xml:space="preserve"> </w:t>
      </w:r>
      <w:r>
        <w:rPr>
          <w:rFonts w:ascii="Arial" w:hAnsi="Arial" w:cs="Arial"/>
          <w:sz w:val="22"/>
          <w:szCs w:val="22"/>
        </w:rPr>
        <w:t xml:space="preserve"> From these factors it was suggested that patient severity did not vary across services and this was ruled out as a possible predictor of outcomes (Clark et al., 2017). Socio economic factors</w:t>
      </w:r>
      <w:r w:rsidR="00CE44EE">
        <w:rPr>
          <w:rFonts w:ascii="Arial" w:hAnsi="Arial" w:cs="Arial"/>
          <w:sz w:val="22"/>
          <w:szCs w:val="22"/>
        </w:rPr>
        <w:t>,</w:t>
      </w:r>
      <w:r>
        <w:rPr>
          <w:rFonts w:ascii="Arial" w:hAnsi="Arial" w:cs="Arial"/>
          <w:sz w:val="22"/>
          <w:szCs w:val="22"/>
        </w:rPr>
        <w:t xml:space="preserve"> on the other hand</w:t>
      </w:r>
      <w:r w:rsidR="00CE44EE">
        <w:rPr>
          <w:rFonts w:ascii="Arial" w:hAnsi="Arial" w:cs="Arial"/>
          <w:sz w:val="22"/>
          <w:szCs w:val="22"/>
        </w:rPr>
        <w:t>,</w:t>
      </w:r>
      <w:r>
        <w:rPr>
          <w:rFonts w:ascii="Arial" w:hAnsi="Arial" w:cs="Arial"/>
          <w:sz w:val="22"/>
          <w:szCs w:val="22"/>
        </w:rPr>
        <w:t xml:space="preserve"> were a predictor of outcome, although Clark</w:t>
      </w:r>
      <w:r w:rsidR="00CE44EE">
        <w:rPr>
          <w:rFonts w:ascii="Arial" w:hAnsi="Arial" w:cs="Arial"/>
          <w:sz w:val="22"/>
          <w:szCs w:val="22"/>
        </w:rPr>
        <w:t xml:space="preserve"> </w:t>
      </w:r>
      <w:r>
        <w:rPr>
          <w:rFonts w:ascii="Arial" w:hAnsi="Arial" w:cs="Arial"/>
          <w:sz w:val="22"/>
          <w:szCs w:val="22"/>
        </w:rPr>
        <w:t>(2018)</w:t>
      </w:r>
      <w:r w:rsidR="00CE44EE">
        <w:rPr>
          <w:rFonts w:ascii="Arial" w:hAnsi="Arial" w:cs="Arial"/>
          <w:sz w:val="22"/>
          <w:szCs w:val="22"/>
        </w:rPr>
        <w:t>,</w:t>
      </w:r>
      <w:r>
        <w:rPr>
          <w:rFonts w:ascii="Arial" w:hAnsi="Arial" w:cs="Arial"/>
          <w:sz w:val="22"/>
          <w:szCs w:val="22"/>
        </w:rPr>
        <w:t xml:space="preserve"> has argued that some services operate in areas which include communities with high social deprivation and areas with low social deprivation and these services have reported very similar outcomes for both areas. Service factors, including patient engagement, were also reported to be predictors of outcome resulting in Clark et al., (2017) making recommendations for services to follow </w:t>
      </w:r>
      <w:r>
        <w:rPr>
          <w:rFonts w:ascii="Arial" w:hAnsi="Arial" w:cs="Arial"/>
          <w:sz w:val="22"/>
          <w:szCs w:val="22"/>
        </w:rPr>
        <w:lastRenderedPageBreak/>
        <w:t xml:space="preserve">IAPT guidance by ensuring that therapy was delivered in a timely manner in accordance with the evidence base.  Whilst this is sound advice, it would seem that one factor that is common to all the cited </w:t>
      </w:r>
      <w:r w:rsidR="00EF6ACB">
        <w:rPr>
          <w:rFonts w:ascii="Arial" w:hAnsi="Arial" w:cs="Arial"/>
          <w:sz w:val="22"/>
          <w:szCs w:val="22"/>
        </w:rPr>
        <w:t>variables</w:t>
      </w:r>
      <w:r>
        <w:rPr>
          <w:rFonts w:ascii="Arial" w:hAnsi="Arial" w:cs="Arial"/>
          <w:sz w:val="22"/>
          <w:szCs w:val="22"/>
        </w:rPr>
        <w:t xml:space="preserve"> is the therapist. Therapists work in services and</w:t>
      </w:r>
      <w:r w:rsidR="00CE44EE">
        <w:rPr>
          <w:rFonts w:ascii="Arial" w:hAnsi="Arial" w:cs="Arial"/>
          <w:sz w:val="22"/>
          <w:szCs w:val="22"/>
        </w:rPr>
        <w:t>,</w:t>
      </w:r>
      <w:r>
        <w:rPr>
          <w:rFonts w:ascii="Arial" w:hAnsi="Arial" w:cs="Arial"/>
          <w:sz w:val="22"/>
          <w:szCs w:val="22"/>
        </w:rPr>
        <w:t xml:space="preserve"> to a certain extent</w:t>
      </w:r>
      <w:r w:rsidR="00CE44EE">
        <w:rPr>
          <w:rFonts w:ascii="Arial" w:hAnsi="Arial" w:cs="Arial"/>
          <w:sz w:val="22"/>
          <w:szCs w:val="22"/>
        </w:rPr>
        <w:t>,</w:t>
      </w:r>
      <w:r>
        <w:rPr>
          <w:rFonts w:ascii="Arial" w:hAnsi="Arial" w:cs="Arial"/>
          <w:sz w:val="22"/>
          <w:szCs w:val="22"/>
        </w:rPr>
        <w:t xml:space="preserve"> how they operate may influence waiting times</w:t>
      </w:r>
      <w:r w:rsidR="00CE44EE">
        <w:rPr>
          <w:rFonts w:ascii="Arial" w:hAnsi="Arial" w:cs="Arial"/>
          <w:sz w:val="22"/>
          <w:szCs w:val="22"/>
        </w:rPr>
        <w:t>,</w:t>
      </w:r>
      <w:r>
        <w:rPr>
          <w:rFonts w:ascii="Arial" w:hAnsi="Arial" w:cs="Arial"/>
          <w:sz w:val="22"/>
          <w:szCs w:val="22"/>
        </w:rPr>
        <w:t xml:space="preserve"> patient engagement, service culture, service processes and patient outcomes (</w:t>
      </w:r>
      <w:r w:rsidR="002919C3">
        <w:rPr>
          <w:rFonts w:ascii="Arial" w:hAnsi="Arial" w:cs="Arial"/>
          <w:sz w:val="22"/>
          <w:szCs w:val="22"/>
        </w:rPr>
        <w:t>Clark, 2018</w:t>
      </w:r>
      <w:r>
        <w:rPr>
          <w:rFonts w:ascii="Arial" w:hAnsi="Arial" w:cs="Arial"/>
          <w:sz w:val="22"/>
          <w:szCs w:val="22"/>
        </w:rPr>
        <w:t>).  Additionally, it might be argued that the ability of a therapist to work with someone who has greater severity or complexity (i.e. socio-economic factors or co-morbidity) should not vary from one service to another (</w:t>
      </w:r>
      <w:r w:rsidR="002919C3">
        <w:rPr>
          <w:rFonts w:ascii="Arial" w:hAnsi="Arial" w:cs="Arial"/>
          <w:sz w:val="22"/>
          <w:szCs w:val="22"/>
        </w:rPr>
        <w:t>Clark, 2018</w:t>
      </w:r>
      <w:r>
        <w:rPr>
          <w:rFonts w:ascii="Arial" w:hAnsi="Arial" w:cs="Arial"/>
          <w:sz w:val="22"/>
          <w:szCs w:val="22"/>
        </w:rPr>
        <w:t xml:space="preserve">). Therefore, given that the variance in IAPT therapists’ recovery rates is very similar to the variance in whole IAPT service recovery rates and IAPT therapists are situated within IAPT services it would make sense to understand what therapist </w:t>
      </w:r>
      <w:r w:rsidR="00EF6ACB">
        <w:rPr>
          <w:rFonts w:ascii="Arial" w:hAnsi="Arial" w:cs="Arial"/>
          <w:sz w:val="22"/>
          <w:szCs w:val="22"/>
        </w:rPr>
        <w:t xml:space="preserve">variables </w:t>
      </w:r>
      <w:r>
        <w:rPr>
          <w:rFonts w:ascii="Arial" w:hAnsi="Arial" w:cs="Arial"/>
          <w:sz w:val="22"/>
          <w:szCs w:val="22"/>
        </w:rPr>
        <w:t xml:space="preserve">might be influencing clinical outcomes. </w:t>
      </w:r>
    </w:p>
    <w:p w14:paraId="1E731A33" w14:textId="40C0EAAC" w:rsidR="008B05B8" w:rsidRDefault="008B05B8" w:rsidP="007F596B">
      <w:pPr>
        <w:spacing w:line="480" w:lineRule="auto"/>
        <w:rPr>
          <w:rFonts w:ascii="Arial" w:hAnsi="Arial" w:cs="Arial"/>
          <w:sz w:val="22"/>
          <w:szCs w:val="22"/>
        </w:rPr>
      </w:pPr>
    </w:p>
    <w:p w14:paraId="71E3769A" w14:textId="77777777" w:rsidR="00493EAD" w:rsidRDefault="00493EAD" w:rsidP="007F596B">
      <w:pPr>
        <w:spacing w:line="480" w:lineRule="auto"/>
        <w:rPr>
          <w:rFonts w:ascii="Arial" w:hAnsi="Arial" w:cs="Arial"/>
          <w:b/>
          <w:bCs/>
          <w:sz w:val="22"/>
          <w:szCs w:val="22"/>
        </w:rPr>
      </w:pPr>
    </w:p>
    <w:p w14:paraId="12C8FEE8" w14:textId="77777777" w:rsidR="00D61429" w:rsidRDefault="00D61429">
      <w:pPr>
        <w:rPr>
          <w:rFonts w:ascii="Arial" w:hAnsi="Arial" w:cs="Arial"/>
          <w:b/>
          <w:bCs/>
          <w:sz w:val="22"/>
          <w:szCs w:val="22"/>
        </w:rPr>
      </w:pPr>
      <w:r>
        <w:rPr>
          <w:rFonts w:ascii="Arial" w:hAnsi="Arial" w:cs="Arial"/>
          <w:b/>
          <w:bCs/>
          <w:sz w:val="22"/>
          <w:szCs w:val="22"/>
        </w:rPr>
        <w:br w:type="page"/>
      </w:r>
    </w:p>
    <w:p w14:paraId="4056F992" w14:textId="494FDECF" w:rsidR="00D61429" w:rsidRDefault="00D61429" w:rsidP="00D61429">
      <w:pPr>
        <w:pStyle w:val="Figures"/>
        <w:rPr>
          <w:b w:val="0"/>
        </w:rPr>
      </w:pPr>
      <w:bookmarkStart w:id="179" w:name="_Toc46770939"/>
      <w:r w:rsidRPr="00863AED">
        <w:lastRenderedPageBreak/>
        <w:t xml:space="preserve">Figure 2.10 </w:t>
      </w:r>
      <w:r w:rsidRPr="00D61429">
        <w:rPr>
          <w:b w:val="0"/>
        </w:rPr>
        <w:t xml:space="preserve">Variables that have been reported to </w:t>
      </w:r>
      <w:r w:rsidR="0064307A">
        <w:rPr>
          <w:b w:val="0"/>
        </w:rPr>
        <w:t>a</w:t>
      </w:r>
      <w:r w:rsidRPr="00D61429">
        <w:rPr>
          <w:b w:val="0"/>
        </w:rPr>
        <w:t>ffect clinical outcome</w:t>
      </w:r>
      <w:bookmarkEnd w:id="179"/>
    </w:p>
    <w:p w14:paraId="7F18B669" w14:textId="77777777" w:rsidR="00D61429" w:rsidRDefault="00D61429" w:rsidP="00D61429">
      <w:pPr>
        <w:pStyle w:val="Figures"/>
      </w:pPr>
    </w:p>
    <w:p w14:paraId="0AF3E0B7" w14:textId="45D13913" w:rsidR="008B05B8" w:rsidRDefault="008B05B8" w:rsidP="007F596B">
      <w:pPr>
        <w:spacing w:line="480" w:lineRule="auto"/>
        <w:rPr>
          <w:rFonts w:ascii="Arial" w:hAnsi="Arial" w:cs="Arial"/>
          <w:sz w:val="22"/>
          <w:szCs w:val="22"/>
          <w:lang w:val="en-US"/>
        </w:rPr>
      </w:pPr>
      <w:r>
        <w:rPr>
          <w:rFonts w:ascii="Arial" w:hAnsi="Arial" w:cs="Arial"/>
          <w:noProof/>
          <w:sz w:val="22"/>
          <w:szCs w:val="22"/>
          <w:lang w:val="en-US"/>
        </w:rPr>
        <w:drawing>
          <wp:inline distT="0" distB="0" distL="0" distR="0" wp14:anchorId="06875FCE" wp14:editId="097599A2">
            <wp:extent cx="5486400" cy="3200400"/>
            <wp:effectExtent l="19050" t="0" r="38100" b="19050"/>
            <wp:docPr id="28" name="Diagram 28" descr="P1030#yIS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14:paraId="3575B1F1" w14:textId="7F38357A" w:rsidR="008B05B8" w:rsidRDefault="008B05B8" w:rsidP="007F596B">
      <w:pPr>
        <w:spacing w:line="480" w:lineRule="auto"/>
        <w:rPr>
          <w:rFonts w:ascii="Arial" w:hAnsi="Arial" w:cs="Arial"/>
          <w:sz w:val="22"/>
          <w:szCs w:val="22"/>
          <w:lang w:val="en-US"/>
        </w:rPr>
      </w:pPr>
    </w:p>
    <w:p w14:paraId="2C1710C5" w14:textId="77777777" w:rsidR="00D61429" w:rsidRDefault="00D61429">
      <w:pPr>
        <w:rPr>
          <w:rFonts w:ascii="Arial" w:hAnsi="Arial" w:cs="Arial"/>
          <w:sz w:val="22"/>
          <w:szCs w:val="22"/>
        </w:rPr>
      </w:pPr>
      <w:r>
        <w:rPr>
          <w:rFonts w:ascii="Arial" w:hAnsi="Arial" w:cs="Arial"/>
          <w:sz w:val="22"/>
          <w:szCs w:val="22"/>
        </w:rPr>
        <w:br w:type="page"/>
      </w:r>
    </w:p>
    <w:p w14:paraId="61FE77ED" w14:textId="12C7283A" w:rsidR="00EF6ACB" w:rsidRDefault="007F596B" w:rsidP="007F596B">
      <w:pPr>
        <w:spacing w:line="480" w:lineRule="auto"/>
        <w:rPr>
          <w:rFonts w:ascii="Arial" w:hAnsi="Arial" w:cs="Arial"/>
          <w:sz w:val="22"/>
          <w:szCs w:val="22"/>
        </w:rPr>
      </w:pPr>
      <w:r>
        <w:rPr>
          <w:rFonts w:ascii="Arial" w:hAnsi="Arial" w:cs="Arial"/>
          <w:sz w:val="22"/>
          <w:szCs w:val="22"/>
        </w:rPr>
        <w:lastRenderedPageBreak/>
        <w:t>Whilst the variance in therapist recovery rates has been established</w:t>
      </w:r>
      <w:r w:rsidR="00CE44EE">
        <w:rPr>
          <w:rFonts w:ascii="Arial" w:hAnsi="Arial" w:cs="Arial"/>
          <w:sz w:val="22"/>
          <w:szCs w:val="22"/>
        </w:rPr>
        <w:t>,</w:t>
      </w:r>
      <w:r>
        <w:rPr>
          <w:rFonts w:ascii="Arial" w:hAnsi="Arial" w:cs="Arial"/>
          <w:sz w:val="22"/>
          <w:szCs w:val="22"/>
        </w:rPr>
        <w:t xml:space="preserve"> it is unclear why this may be. </w:t>
      </w:r>
      <w:r w:rsidR="00A864E9">
        <w:rPr>
          <w:rFonts w:ascii="Arial" w:hAnsi="Arial" w:cs="Arial"/>
          <w:sz w:val="22"/>
          <w:szCs w:val="22"/>
        </w:rPr>
        <w:t>Despite the transparency of data reporting cited by Clark et al., (2017)</w:t>
      </w:r>
      <w:r w:rsidR="00CE44EE">
        <w:rPr>
          <w:rFonts w:ascii="Arial" w:hAnsi="Arial" w:cs="Arial"/>
          <w:sz w:val="22"/>
          <w:szCs w:val="22"/>
        </w:rPr>
        <w:t xml:space="preserve">, </w:t>
      </w:r>
      <w:r w:rsidR="00E2176D">
        <w:rPr>
          <w:rFonts w:ascii="Arial" w:hAnsi="Arial" w:cs="Arial"/>
          <w:sz w:val="22"/>
          <w:szCs w:val="22"/>
        </w:rPr>
        <w:t>investigations into the relationship between the variables suspected of causing variance in data have yielded little more than conjecture at this stage. Clark et al., (2017) suggest that looking at</w:t>
      </w:r>
      <w:r w:rsidR="00D91F25">
        <w:rPr>
          <w:rFonts w:ascii="Arial" w:hAnsi="Arial" w:cs="Arial"/>
          <w:sz w:val="22"/>
          <w:szCs w:val="22"/>
        </w:rPr>
        <w:t xml:space="preserve"> service variables (the way services are run and managed) “might” be important. Despite having access to a data set that included all patients that had been treated by IAPT services in 211 Clinical Commissioning Groups (CCGs) in the years 2014-15</w:t>
      </w:r>
      <w:r w:rsidR="00A542C9">
        <w:rPr>
          <w:rFonts w:ascii="Arial" w:hAnsi="Arial" w:cs="Arial"/>
          <w:sz w:val="22"/>
          <w:szCs w:val="22"/>
        </w:rPr>
        <w:t xml:space="preserve">, </w:t>
      </w:r>
      <w:r w:rsidR="00D91F25">
        <w:rPr>
          <w:rFonts w:ascii="Arial" w:hAnsi="Arial" w:cs="Arial"/>
          <w:sz w:val="22"/>
          <w:szCs w:val="22"/>
        </w:rPr>
        <w:t xml:space="preserve"> 2015-16</w:t>
      </w:r>
      <w:r w:rsidR="00A542C9">
        <w:rPr>
          <w:rFonts w:ascii="Arial" w:hAnsi="Arial" w:cs="Arial"/>
          <w:sz w:val="22"/>
          <w:szCs w:val="22"/>
        </w:rPr>
        <w:t>, 2017-18 and 2018-19 (see figure 2.11</w:t>
      </w:r>
      <w:r w:rsidR="00781357">
        <w:rPr>
          <w:rFonts w:ascii="Arial" w:hAnsi="Arial" w:cs="Arial"/>
          <w:sz w:val="22"/>
          <w:szCs w:val="22"/>
        </w:rPr>
        <w:t xml:space="preserve"> </w:t>
      </w:r>
      <w:r w:rsidR="00781357" w:rsidRPr="005144E4">
        <w:rPr>
          <w:rFonts w:ascii="Arial" w:hAnsi="Arial" w:cs="Arial"/>
          <w:sz w:val="22"/>
          <w:szCs w:val="22"/>
        </w:rPr>
        <w:t>which shows</w:t>
      </w:r>
      <w:r w:rsidR="00153DE4" w:rsidRPr="005144E4">
        <w:rPr>
          <w:rFonts w:ascii="Arial" w:hAnsi="Arial" w:cs="Arial"/>
          <w:sz w:val="22"/>
          <w:szCs w:val="22"/>
        </w:rPr>
        <w:t xml:space="preserve"> the variance in recovery rates in 2018-19</w:t>
      </w:r>
      <w:r w:rsidR="00A542C9" w:rsidRPr="005144E4">
        <w:rPr>
          <w:rFonts w:ascii="Arial" w:hAnsi="Arial" w:cs="Arial"/>
          <w:sz w:val="22"/>
          <w:szCs w:val="22"/>
        </w:rPr>
        <w:t>)</w:t>
      </w:r>
      <w:r w:rsidR="00A542C9">
        <w:rPr>
          <w:rFonts w:ascii="Arial" w:hAnsi="Arial" w:cs="Arial"/>
          <w:sz w:val="22"/>
          <w:szCs w:val="22"/>
        </w:rPr>
        <w:t xml:space="preserve"> </w:t>
      </w:r>
      <w:r w:rsidR="00D91F25">
        <w:rPr>
          <w:rFonts w:ascii="Arial" w:hAnsi="Arial" w:cs="Arial"/>
          <w:sz w:val="22"/>
          <w:szCs w:val="22"/>
        </w:rPr>
        <w:t>Clark et al., have only been able to make suggestions about why such significant variance exists. Furthermore, the authors fail to identify other variables</w:t>
      </w:r>
      <w:r w:rsidR="00CE44EE">
        <w:rPr>
          <w:rFonts w:ascii="Arial" w:hAnsi="Arial" w:cs="Arial"/>
          <w:sz w:val="22"/>
          <w:szCs w:val="22"/>
        </w:rPr>
        <w:t>,</w:t>
      </w:r>
      <w:r w:rsidR="00D91F25">
        <w:rPr>
          <w:rFonts w:ascii="Arial" w:hAnsi="Arial" w:cs="Arial"/>
          <w:sz w:val="22"/>
          <w:szCs w:val="22"/>
        </w:rPr>
        <w:t xml:space="preserve"> such as therapists</w:t>
      </w:r>
      <w:r w:rsidR="00CE44EE">
        <w:rPr>
          <w:rFonts w:ascii="Arial" w:hAnsi="Arial" w:cs="Arial"/>
          <w:sz w:val="22"/>
          <w:szCs w:val="22"/>
        </w:rPr>
        <w:t>,</w:t>
      </w:r>
      <w:r w:rsidR="00D91F25">
        <w:rPr>
          <w:rFonts w:ascii="Arial" w:hAnsi="Arial" w:cs="Arial"/>
          <w:sz w:val="22"/>
          <w:szCs w:val="22"/>
        </w:rPr>
        <w:t xml:space="preserve"> as one area for further research. Given the significant investment in therapist training</w:t>
      </w:r>
      <w:r w:rsidR="00EF6ACB">
        <w:rPr>
          <w:rFonts w:ascii="Arial" w:hAnsi="Arial" w:cs="Arial"/>
          <w:sz w:val="22"/>
          <w:szCs w:val="22"/>
        </w:rPr>
        <w:t xml:space="preserve"> within IAPT, studying therapist variables may facilitate the development of training initiatives that reduce the variance in outcomes between therapists.</w:t>
      </w:r>
      <w:r w:rsidR="00D91F25">
        <w:rPr>
          <w:rFonts w:ascii="Arial" w:hAnsi="Arial" w:cs="Arial"/>
          <w:sz w:val="22"/>
          <w:szCs w:val="22"/>
        </w:rPr>
        <w:t xml:space="preserve"> The second United Kingdom National Audit of Psychological Therapies (Pybis, Saxon, Hill and Barkham, 2017) also report on the variance in outcomes in IAPT and suggest that</w:t>
      </w:r>
      <w:r w:rsidR="00AC33D6">
        <w:rPr>
          <w:rFonts w:ascii="Arial" w:hAnsi="Arial" w:cs="Arial"/>
          <w:sz w:val="22"/>
          <w:szCs w:val="22"/>
        </w:rPr>
        <w:t xml:space="preserve"> further research is needed to understand the effect that </w:t>
      </w:r>
      <w:r w:rsidR="00D91F25">
        <w:rPr>
          <w:rFonts w:ascii="Arial" w:hAnsi="Arial" w:cs="Arial"/>
          <w:sz w:val="22"/>
          <w:szCs w:val="22"/>
        </w:rPr>
        <w:t xml:space="preserve">therapists </w:t>
      </w:r>
      <w:r w:rsidR="00AC33D6">
        <w:rPr>
          <w:rFonts w:ascii="Arial" w:hAnsi="Arial" w:cs="Arial"/>
          <w:sz w:val="22"/>
          <w:szCs w:val="22"/>
        </w:rPr>
        <w:t>are having on outcomes and what therapist variables may account for this. This significant problem means that some patients may be receiving less than adequate care and is a cause for concern (Pybis et al., 2017)</w:t>
      </w:r>
      <w:r w:rsidR="002919C3">
        <w:rPr>
          <w:rFonts w:ascii="Arial" w:hAnsi="Arial" w:cs="Arial"/>
          <w:sz w:val="22"/>
          <w:szCs w:val="22"/>
        </w:rPr>
        <w:t xml:space="preserve">. </w:t>
      </w:r>
    </w:p>
    <w:p w14:paraId="01B65ED7" w14:textId="77777777" w:rsidR="00493EAD" w:rsidRDefault="00493EAD" w:rsidP="007F596B">
      <w:pPr>
        <w:spacing w:line="480" w:lineRule="auto"/>
        <w:rPr>
          <w:rFonts w:ascii="Arial" w:hAnsi="Arial" w:cs="Arial"/>
          <w:sz w:val="22"/>
          <w:szCs w:val="22"/>
        </w:rPr>
      </w:pPr>
    </w:p>
    <w:p w14:paraId="40966DB4" w14:textId="77777777" w:rsidR="00493EAD" w:rsidRDefault="00493EAD" w:rsidP="007F596B">
      <w:pPr>
        <w:spacing w:line="480" w:lineRule="auto"/>
        <w:rPr>
          <w:rFonts w:ascii="Arial" w:hAnsi="Arial" w:cs="Arial"/>
          <w:sz w:val="22"/>
          <w:szCs w:val="22"/>
        </w:rPr>
      </w:pPr>
    </w:p>
    <w:p w14:paraId="790F49A1" w14:textId="77777777" w:rsidR="00493EAD" w:rsidRDefault="00493EAD" w:rsidP="007F596B">
      <w:pPr>
        <w:spacing w:line="480" w:lineRule="auto"/>
        <w:rPr>
          <w:rFonts w:ascii="Arial" w:hAnsi="Arial" w:cs="Arial"/>
          <w:sz w:val="22"/>
          <w:szCs w:val="22"/>
        </w:rPr>
      </w:pPr>
    </w:p>
    <w:p w14:paraId="45D679CE" w14:textId="77777777" w:rsidR="00493EAD" w:rsidRDefault="00493EAD" w:rsidP="007F596B">
      <w:pPr>
        <w:spacing w:line="480" w:lineRule="auto"/>
        <w:rPr>
          <w:rFonts w:ascii="Arial" w:hAnsi="Arial" w:cs="Arial"/>
          <w:sz w:val="22"/>
          <w:szCs w:val="22"/>
        </w:rPr>
      </w:pPr>
    </w:p>
    <w:p w14:paraId="6C4629AE" w14:textId="77777777" w:rsidR="00493EAD" w:rsidRDefault="00493EAD" w:rsidP="007F596B">
      <w:pPr>
        <w:spacing w:line="480" w:lineRule="auto"/>
        <w:rPr>
          <w:rFonts w:ascii="Arial" w:hAnsi="Arial" w:cs="Arial"/>
          <w:sz w:val="22"/>
          <w:szCs w:val="22"/>
        </w:rPr>
      </w:pPr>
    </w:p>
    <w:p w14:paraId="28934DAD" w14:textId="77777777" w:rsidR="00493EAD" w:rsidRDefault="00493EAD" w:rsidP="007F596B">
      <w:pPr>
        <w:spacing w:line="480" w:lineRule="auto"/>
        <w:rPr>
          <w:rFonts w:ascii="Arial" w:hAnsi="Arial" w:cs="Arial"/>
          <w:sz w:val="22"/>
          <w:szCs w:val="22"/>
        </w:rPr>
      </w:pPr>
    </w:p>
    <w:p w14:paraId="470AC127" w14:textId="77777777" w:rsidR="00493EAD" w:rsidRDefault="00493EAD" w:rsidP="007F596B">
      <w:pPr>
        <w:spacing w:line="480" w:lineRule="auto"/>
        <w:rPr>
          <w:rFonts w:ascii="Arial" w:hAnsi="Arial" w:cs="Arial"/>
          <w:sz w:val="22"/>
          <w:szCs w:val="22"/>
        </w:rPr>
      </w:pPr>
    </w:p>
    <w:p w14:paraId="708B165E" w14:textId="77777777" w:rsidR="00493EAD" w:rsidRDefault="00493EAD" w:rsidP="007F596B">
      <w:pPr>
        <w:spacing w:line="480" w:lineRule="auto"/>
        <w:rPr>
          <w:rFonts w:ascii="Arial" w:hAnsi="Arial" w:cs="Arial"/>
          <w:sz w:val="22"/>
          <w:szCs w:val="22"/>
        </w:rPr>
      </w:pPr>
    </w:p>
    <w:p w14:paraId="6CFE6818" w14:textId="77777777" w:rsidR="00493EAD" w:rsidRDefault="00493EAD" w:rsidP="007F596B">
      <w:pPr>
        <w:spacing w:line="480" w:lineRule="auto"/>
        <w:rPr>
          <w:rFonts w:ascii="Arial" w:hAnsi="Arial" w:cs="Arial"/>
          <w:sz w:val="22"/>
          <w:szCs w:val="22"/>
        </w:rPr>
      </w:pPr>
    </w:p>
    <w:p w14:paraId="64A4E33C" w14:textId="3C2ABD8F" w:rsidR="002A3A42" w:rsidRDefault="002A3A42" w:rsidP="002A3A42">
      <w:pPr>
        <w:pStyle w:val="Figures"/>
      </w:pPr>
      <w:bookmarkStart w:id="180" w:name="_Toc46770940"/>
      <w:r w:rsidRPr="00E97860">
        <w:lastRenderedPageBreak/>
        <w:t xml:space="preserve">Figure 2.11 </w:t>
      </w:r>
      <w:r w:rsidRPr="002A3A42">
        <w:rPr>
          <w:b w:val="0"/>
        </w:rPr>
        <w:t>Variance in recovery rates reported in 2018/19 for patients who had CBT in IAPT (n= 77,983). Source NHS Digital (2019f)</w:t>
      </w:r>
      <w:bookmarkEnd w:id="180"/>
    </w:p>
    <w:p w14:paraId="6A167BDF" w14:textId="7E98A4C1" w:rsidR="00E164C2" w:rsidRPr="00D238AD" w:rsidRDefault="00A542C9" w:rsidP="00D238AD">
      <w:pPr>
        <w:spacing w:line="480" w:lineRule="auto"/>
        <w:rPr>
          <w:rFonts w:ascii="Arial" w:hAnsi="Arial" w:cs="Arial"/>
          <w:sz w:val="22"/>
          <w:szCs w:val="22"/>
        </w:rPr>
      </w:pPr>
      <w:r>
        <w:rPr>
          <w:noProof/>
        </w:rPr>
        <w:drawing>
          <wp:inline distT="0" distB="0" distL="0" distR="0" wp14:anchorId="6BB98C1C" wp14:editId="61A14C1C">
            <wp:extent cx="4572000" cy="2743200"/>
            <wp:effectExtent l="0" t="0" r="12700" b="12700"/>
            <wp:docPr id="29" name="Chart 29" descr="P1044#yIS1">
              <a:extLst xmlns:a="http://schemas.openxmlformats.org/drawingml/2006/main">
                <a:ext uri="{FF2B5EF4-FFF2-40B4-BE49-F238E27FC236}">
                  <a16:creationId xmlns:a16="http://schemas.microsoft.com/office/drawing/2014/main" id="{E8BD79B3-2631-874E-BB74-6344178C7B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00D238AD">
        <w:rPr>
          <w:rFonts w:ascii="Arial" w:hAnsi="Arial" w:cs="Arial"/>
          <w:sz w:val="22"/>
          <w:szCs w:val="22"/>
        </w:rPr>
        <w:br/>
      </w:r>
    </w:p>
    <w:p w14:paraId="001F51C1" w14:textId="271EF7D5" w:rsidR="008B05B8" w:rsidRPr="008B05B8" w:rsidRDefault="008B05B8" w:rsidP="008B05B8">
      <w:pPr>
        <w:pStyle w:val="Heading3"/>
        <w:rPr>
          <w:rFonts w:cs="Arial"/>
          <w:color w:val="000000" w:themeColor="text1"/>
          <w:szCs w:val="22"/>
        </w:rPr>
      </w:pPr>
      <w:bookmarkStart w:id="181" w:name="_Toc46770756"/>
      <w:bookmarkStart w:id="182" w:name="_Toc79414167"/>
      <w:r w:rsidRPr="008B05B8">
        <w:rPr>
          <w:rFonts w:cs="Arial"/>
          <w:color w:val="000000" w:themeColor="text1"/>
          <w:szCs w:val="22"/>
        </w:rPr>
        <w:t>2.1</w:t>
      </w:r>
      <w:r w:rsidR="00CC3CDD">
        <w:rPr>
          <w:rFonts w:cs="Arial"/>
          <w:color w:val="000000" w:themeColor="text1"/>
          <w:szCs w:val="22"/>
        </w:rPr>
        <w:t>4</w:t>
      </w:r>
      <w:r w:rsidRPr="008B05B8">
        <w:rPr>
          <w:rFonts w:cs="Arial"/>
          <w:color w:val="000000" w:themeColor="text1"/>
          <w:szCs w:val="22"/>
        </w:rPr>
        <w:t>.3 Literature review question</w:t>
      </w:r>
      <w:bookmarkEnd w:id="181"/>
      <w:bookmarkEnd w:id="182"/>
    </w:p>
    <w:p w14:paraId="3DE17A87" w14:textId="77777777" w:rsidR="008B05B8" w:rsidRDefault="008B05B8" w:rsidP="007F596B">
      <w:pPr>
        <w:spacing w:line="480" w:lineRule="auto"/>
        <w:rPr>
          <w:rFonts w:ascii="Arial" w:hAnsi="Arial" w:cs="Arial"/>
          <w:sz w:val="22"/>
          <w:szCs w:val="22"/>
        </w:rPr>
      </w:pPr>
    </w:p>
    <w:p w14:paraId="6B3861A5" w14:textId="666AFE6E" w:rsidR="007F596B" w:rsidRDefault="008B05B8" w:rsidP="007F596B">
      <w:pPr>
        <w:spacing w:line="480" w:lineRule="auto"/>
        <w:rPr>
          <w:rFonts w:ascii="Arial" w:hAnsi="Arial" w:cs="Arial"/>
          <w:sz w:val="22"/>
          <w:szCs w:val="22"/>
        </w:rPr>
      </w:pPr>
      <w:r>
        <w:rPr>
          <w:rFonts w:ascii="Arial" w:hAnsi="Arial" w:cs="Arial"/>
          <w:sz w:val="22"/>
          <w:szCs w:val="22"/>
        </w:rPr>
        <w:t xml:space="preserve">The previous sections have illustrated the problem of variance between clinical outcomes in IAPT. </w:t>
      </w:r>
      <w:r w:rsidR="007F596B">
        <w:rPr>
          <w:rFonts w:ascii="Arial" w:hAnsi="Arial" w:cs="Arial"/>
          <w:sz w:val="22"/>
          <w:szCs w:val="22"/>
        </w:rPr>
        <w:t xml:space="preserve">Having identified this </w:t>
      </w:r>
      <w:r>
        <w:rPr>
          <w:rFonts w:ascii="Arial" w:hAnsi="Arial" w:cs="Arial"/>
          <w:sz w:val="22"/>
          <w:szCs w:val="22"/>
        </w:rPr>
        <w:t xml:space="preserve">as a significant </w:t>
      </w:r>
      <w:r w:rsidR="007F596B">
        <w:rPr>
          <w:rFonts w:ascii="Arial" w:hAnsi="Arial" w:cs="Arial"/>
          <w:sz w:val="22"/>
          <w:szCs w:val="22"/>
        </w:rPr>
        <w:t>problem</w:t>
      </w:r>
      <w:r>
        <w:rPr>
          <w:rFonts w:ascii="Arial" w:hAnsi="Arial" w:cs="Arial"/>
          <w:sz w:val="22"/>
          <w:szCs w:val="22"/>
        </w:rPr>
        <w:t xml:space="preserve"> </w:t>
      </w:r>
      <w:r w:rsidR="007F596B">
        <w:rPr>
          <w:rFonts w:ascii="Arial" w:hAnsi="Arial" w:cs="Arial"/>
          <w:sz w:val="22"/>
          <w:szCs w:val="22"/>
        </w:rPr>
        <w:t xml:space="preserve">the following question will used to review the literature: what therapist variables relate to outcome in IAPT? </w:t>
      </w:r>
    </w:p>
    <w:p w14:paraId="6D06DAAB" w14:textId="77777777" w:rsidR="007F596B" w:rsidRPr="00ED0F27" w:rsidRDefault="007F596B" w:rsidP="007F596B">
      <w:pPr>
        <w:spacing w:line="480" w:lineRule="auto"/>
        <w:rPr>
          <w:rFonts w:ascii="Arial" w:hAnsi="Arial" w:cs="Arial"/>
          <w:sz w:val="22"/>
          <w:szCs w:val="22"/>
        </w:rPr>
      </w:pPr>
      <w:r w:rsidRPr="00ED0F27">
        <w:rPr>
          <w:rFonts w:ascii="Arial" w:hAnsi="Arial" w:cs="Arial"/>
          <w:sz w:val="22"/>
          <w:szCs w:val="22"/>
        </w:rPr>
        <w:t xml:space="preserve"> </w:t>
      </w:r>
    </w:p>
    <w:p w14:paraId="3AFFC955" w14:textId="381B22DC" w:rsidR="007F596B" w:rsidRPr="004D1CEF" w:rsidRDefault="00BC4F1D" w:rsidP="00BC4F1D">
      <w:pPr>
        <w:pStyle w:val="Heading2"/>
        <w:rPr>
          <w:rFonts w:ascii="Arial" w:hAnsi="Arial" w:cs="Arial"/>
          <w:color w:val="000000" w:themeColor="text1"/>
          <w:sz w:val="22"/>
          <w:szCs w:val="22"/>
        </w:rPr>
      </w:pPr>
      <w:bookmarkStart w:id="183" w:name="_Toc46770757"/>
      <w:bookmarkStart w:id="184" w:name="_Toc79414168"/>
      <w:r w:rsidRPr="004D1CEF">
        <w:rPr>
          <w:rFonts w:ascii="Arial" w:hAnsi="Arial" w:cs="Arial"/>
          <w:color w:val="000000" w:themeColor="text1"/>
          <w:sz w:val="22"/>
          <w:szCs w:val="22"/>
        </w:rPr>
        <w:t>2.1</w:t>
      </w:r>
      <w:r w:rsidR="00CC3CDD">
        <w:rPr>
          <w:rFonts w:ascii="Arial" w:hAnsi="Arial" w:cs="Arial"/>
          <w:color w:val="000000" w:themeColor="text1"/>
          <w:sz w:val="22"/>
          <w:szCs w:val="22"/>
        </w:rPr>
        <w:t>5</w:t>
      </w:r>
      <w:r w:rsidRPr="004D1CEF">
        <w:rPr>
          <w:rFonts w:ascii="Arial" w:hAnsi="Arial" w:cs="Arial"/>
          <w:color w:val="000000" w:themeColor="text1"/>
          <w:sz w:val="22"/>
          <w:szCs w:val="22"/>
        </w:rPr>
        <w:t xml:space="preserve"> CONCLUSION</w:t>
      </w:r>
      <w:bookmarkEnd w:id="183"/>
      <w:bookmarkEnd w:id="184"/>
    </w:p>
    <w:p w14:paraId="01DB9B6C" w14:textId="77777777" w:rsidR="007F596B" w:rsidRDefault="007F596B" w:rsidP="007F596B"/>
    <w:p w14:paraId="60E63408" w14:textId="36F0BC51" w:rsidR="007F596B" w:rsidRDefault="007F596B" w:rsidP="007F596B">
      <w:pPr>
        <w:spacing w:line="480" w:lineRule="auto"/>
        <w:rPr>
          <w:rFonts w:ascii="Arial" w:hAnsi="Arial" w:cs="Arial"/>
          <w:sz w:val="22"/>
          <w:szCs w:val="22"/>
        </w:rPr>
      </w:pPr>
      <w:r w:rsidRPr="008E7721">
        <w:rPr>
          <w:rFonts w:ascii="Arial" w:hAnsi="Arial" w:cs="Arial"/>
          <w:sz w:val="22"/>
          <w:szCs w:val="22"/>
        </w:rPr>
        <w:t>This chapter has discussed the</w:t>
      </w:r>
      <w:r w:rsidR="00BC4F1D">
        <w:rPr>
          <w:rFonts w:ascii="Arial" w:hAnsi="Arial" w:cs="Arial"/>
          <w:sz w:val="22"/>
          <w:szCs w:val="22"/>
        </w:rPr>
        <w:t xml:space="preserve"> development of the</w:t>
      </w:r>
      <w:r w:rsidRPr="008E7721">
        <w:rPr>
          <w:rFonts w:ascii="Arial" w:hAnsi="Arial" w:cs="Arial"/>
          <w:sz w:val="22"/>
          <w:szCs w:val="22"/>
        </w:rPr>
        <w:t xml:space="preserve"> IAPT</w:t>
      </w:r>
      <w:r w:rsidR="00BC4F1D">
        <w:rPr>
          <w:rFonts w:ascii="Arial" w:hAnsi="Arial" w:cs="Arial"/>
          <w:sz w:val="22"/>
          <w:szCs w:val="22"/>
        </w:rPr>
        <w:t xml:space="preserve"> programme and outlined the overarching aims, objectives and guiding principles of the programme</w:t>
      </w:r>
      <w:r w:rsidR="00CE44EE">
        <w:rPr>
          <w:rFonts w:ascii="Arial" w:hAnsi="Arial" w:cs="Arial"/>
          <w:sz w:val="22"/>
          <w:szCs w:val="22"/>
        </w:rPr>
        <w:t>,</w:t>
      </w:r>
      <w:r w:rsidR="00BC4F1D">
        <w:rPr>
          <w:rFonts w:ascii="Arial" w:hAnsi="Arial" w:cs="Arial"/>
          <w:sz w:val="22"/>
          <w:szCs w:val="22"/>
        </w:rPr>
        <w:t xml:space="preserve"> including the use of digital methods to deliver CB</w:t>
      </w:r>
      <w:r w:rsidR="00E07507">
        <w:rPr>
          <w:rFonts w:ascii="Arial" w:hAnsi="Arial" w:cs="Arial"/>
          <w:sz w:val="22"/>
          <w:szCs w:val="22"/>
        </w:rPr>
        <w:t>T</w:t>
      </w:r>
      <w:r w:rsidR="00A32BD0">
        <w:rPr>
          <w:rFonts w:ascii="Arial" w:hAnsi="Arial" w:cs="Arial"/>
          <w:sz w:val="22"/>
          <w:szCs w:val="22"/>
        </w:rPr>
        <w:t>. The use of an</w:t>
      </w:r>
      <w:r w:rsidR="00BC4F1D">
        <w:rPr>
          <w:rFonts w:ascii="Arial" w:hAnsi="Arial" w:cs="Arial"/>
          <w:sz w:val="22"/>
          <w:szCs w:val="22"/>
        </w:rPr>
        <w:t xml:space="preserve"> </w:t>
      </w:r>
      <w:r w:rsidRPr="008E7721">
        <w:rPr>
          <w:rFonts w:ascii="Arial" w:hAnsi="Arial" w:cs="Arial"/>
          <w:sz w:val="22"/>
          <w:szCs w:val="22"/>
        </w:rPr>
        <w:t>outcomes-based framework including the use of outcome measures and the specific calculations used to define recovery and reliable improvement</w:t>
      </w:r>
      <w:r w:rsidR="00A32BD0">
        <w:rPr>
          <w:rFonts w:ascii="Arial" w:hAnsi="Arial" w:cs="Arial"/>
          <w:sz w:val="22"/>
          <w:szCs w:val="22"/>
        </w:rPr>
        <w:t xml:space="preserve"> have been desc</w:t>
      </w:r>
      <w:r w:rsidR="0071613A">
        <w:rPr>
          <w:rFonts w:ascii="Arial" w:hAnsi="Arial" w:cs="Arial"/>
          <w:sz w:val="22"/>
          <w:szCs w:val="22"/>
        </w:rPr>
        <w:t>ribed.</w:t>
      </w:r>
      <w:r w:rsidRPr="008E7721">
        <w:rPr>
          <w:rFonts w:ascii="Arial" w:hAnsi="Arial" w:cs="Arial"/>
          <w:sz w:val="22"/>
          <w:szCs w:val="22"/>
        </w:rPr>
        <w:t xml:space="preserve"> Whilst it has been identified that IAPT is achieving a mean recovery rate of &gt;50%, this chapter has identified a significant problem that relates to the variance in outcomes between IAPT services and IAPT therapists.  A number of factors have been cited as possible reasons why this variability exists, these include patient </w:t>
      </w:r>
      <w:r w:rsidR="00EF6ACB">
        <w:rPr>
          <w:rFonts w:ascii="Arial" w:hAnsi="Arial" w:cs="Arial"/>
          <w:sz w:val="22"/>
          <w:szCs w:val="22"/>
        </w:rPr>
        <w:t>variables</w:t>
      </w:r>
      <w:r w:rsidRPr="008E7721">
        <w:rPr>
          <w:rFonts w:ascii="Arial" w:hAnsi="Arial" w:cs="Arial"/>
          <w:sz w:val="22"/>
          <w:szCs w:val="22"/>
        </w:rPr>
        <w:t xml:space="preserve">, socio-economic </w:t>
      </w:r>
      <w:r w:rsidR="00EF6ACB">
        <w:rPr>
          <w:rFonts w:ascii="Arial" w:hAnsi="Arial" w:cs="Arial"/>
          <w:sz w:val="22"/>
          <w:szCs w:val="22"/>
        </w:rPr>
        <w:t>variables</w:t>
      </w:r>
      <w:r w:rsidRPr="008E7721">
        <w:rPr>
          <w:rFonts w:ascii="Arial" w:hAnsi="Arial" w:cs="Arial"/>
          <w:sz w:val="22"/>
          <w:szCs w:val="22"/>
        </w:rPr>
        <w:t xml:space="preserve">, service </w:t>
      </w:r>
      <w:r w:rsidR="00EF6ACB">
        <w:rPr>
          <w:rFonts w:ascii="Arial" w:hAnsi="Arial" w:cs="Arial"/>
          <w:sz w:val="22"/>
          <w:szCs w:val="22"/>
        </w:rPr>
        <w:t>variables</w:t>
      </w:r>
      <w:r w:rsidRPr="008E7721">
        <w:rPr>
          <w:rFonts w:ascii="Arial" w:hAnsi="Arial" w:cs="Arial"/>
          <w:sz w:val="22"/>
          <w:szCs w:val="22"/>
        </w:rPr>
        <w:t xml:space="preserve"> and therapist </w:t>
      </w:r>
      <w:r w:rsidR="00EF6ACB">
        <w:rPr>
          <w:rFonts w:ascii="Arial" w:hAnsi="Arial" w:cs="Arial"/>
          <w:sz w:val="22"/>
          <w:szCs w:val="22"/>
        </w:rPr>
        <w:t>variables</w:t>
      </w:r>
      <w:r w:rsidRPr="008E7721">
        <w:rPr>
          <w:rFonts w:ascii="Arial" w:hAnsi="Arial" w:cs="Arial"/>
          <w:sz w:val="22"/>
          <w:szCs w:val="22"/>
        </w:rPr>
        <w:t xml:space="preserve">. This chapter </w:t>
      </w:r>
      <w:r w:rsidRPr="008E7721">
        <w:rPr>
          <w:rFonts w:ascii="Arial" w:hAnsi="Arial" w:cs="Arial"/>
          <w:sz w:val="22"/>
          <w:szCs w:val="22"/>
        </w:rPr>
        <w:lastRenderedPageBreak/>
        <w:t xml:space="preserve">has argued that the common variable in each of these factors is the therapist. Chapter </w:t>
      </w:r>
      <w:r w:rsidR="009622BB">
        <w:rPr>
          <w:rFonts w:ascii="Arial" w:hAnsi="Arial" w:cs="Arial"/>
          <w:sz w:val="22"/>
          <w:szCs w:val="22"/>
        </w:rPr>
        <w:t xml:space="preserve">three </w:t>
      </w:r>
      <w:r w:rsidRPr="008E7721">
        <w:rPr>
          <w:rFonts w:ascii="Arial" w:hAnsi="Arial" w:cs="Arial"/>
          <w:sz w:val="22"/>
          <w:szCs w:val="22"/>
        </w:rPr>
        <w:t xml:space="preserve">of this thesis will </w:t>
      </w:r>
      <w:r w:rsidR="009622BB">
        <w:rPr>
          <w:rFonts w:ascii="Arial" w:hAnsi="Arial" w:cs="Arial"/>
          <w:sz w:val="22"/>
          <w:szCs w:val="22"/>
        </w:rPr>
        <w:t xml:space="preserve">present a </w:t>
      </w:r>
      <w:r w:rsidRPr="008E7721">
        <w:rPr>
          <w:rFonts w:ascii="Arial" w:hAnsi="Arial" w:cs="Arial"/>
          <w:sz w:val="22"/>
          <w:szCs w:val="22"/>
        </w:rPr>
        <w:t xml:space="preserve">review </w:t>
      </w:r>
      <w:r w:rsidR="009622BB">
        <w:rPr>
          <w:rFonts w:ascii="Arial" w:hAnsi="Arial" w:cs="Arial"/>
          <w:sz w:val="22"/>
          <w:szCs w:val="22"/>
        </w:rPr>
        <w:t xml:space="preserve">of </w:t>
      </w:r>
      <w:r w:rsidRPr="008E7721">
        <w:rPr>
          <w:rFonts w:ascii="Arial" w:hAnsi="Arial" w:cs="Arial"/>
          <w:sz w:val="22"/>
          <w:szCs w:val="22"/>
        </w:rPr>
        <w:t xml:space="preserve">the literature in </w:t>
      </w:r>
      <w:r w:rsidR="009622BB">
        <w:rPr>
          <w:rFonts w:ascii="Arial" w:hAnsi="Arial" w:cs="Arial"/>
          <w:sz w:val="22"/>
          <w:szCs w:val="22"/>
        </w:rPr>
        <w:t xml:space="preserve">relation to therapist variables and their relationship with outcome in IAPT.  </w:t>
      </w:r>
      <w:r w:rsidR="00FE5E45">
        <w:rPr>
          <w:rFonts w:ascii="Arial" w:hAnsi="Arial" w:cs="Arial"/>
          <w:sz w:val="22"/>
          <w:szCs w:val="22"/>
        </w:rPr>
        <w:t>The literature review will</w:t>
      </w:r>
      <w:r w:rsidR="009622BB">
        <w:rPr>
          <w:rFonts w:ascii="Arial" w:hAnsi="Arial" w:cs="Arial"/>
          <w:sz w:val="22"/>
          <w:szCs w:val="22"/>
        </w:rPr>
        <w:t xml:space="preserve"> </w:t>
      </w:r>
      <w:r w:rsidR="00FE5E45">
        <w:rPr>
          <w:rFonts w:ascii="Arial" w:hAnsi="Arial" w:cs="Arial"/>
          <w:sz w:val="22"/>
          <w:szCs w:val="22"/>
        </w:rPr>
        <w:t>begin</w:t>
      </w:r>
      <w:r w:rsidR="009622BB">
        <w:rPr>
          <w:rFonts w:ascii="Arial" w:hAnsi="Arial" w:cs="Arial"/>
          <w:sz w:val="22"/>
          <w:szCs w:val="22"/>
        </w:rPr>
        <w:t xml:space="preserve"> with a</w:t>
      </w:r>
      <w:r w:rsidR="00EF6ACB">
        <w:rPr>
          <w:rFonts w:ascii="Arial" w:hAnsi="Arial" w:cs="Arial"/>
          <w:sz w:val="22"/>
          <w:szCs w:val="22"/>
        </w:rPr>
        <w:t>n initial</w:t>
      </w:r>
      <w:r w:rsidR="009622BB">
        <w:rPr>
          <w:rFonts w:ascii="Arial" w:hAnsi="Arial" w:cs="Arial"/>
          <w:sz w:val="22"/>
          <w:szCs w:val="22"/>
        </w:rPr>
        <w:t xml:space="preserve"> </w:t>
      </w:r>
      <w:r w:rsidR="00EF6ACB">
        <w:rPr>
          <w:rFonts w:ascii="Arial" w:hAnsi="Arial" w:cs="Arial"/>
          <w:sz w:val="22"/>
          <w:szCs w:val="22"/>
        </w:rPr>
        <w:t>scoping</w:t>
      </w:r>
      <w:r w:rsidR="009622BB">
        <w:rPr>
          <w:rFonts w:ascii="Arial" w:hAnsi="Arial" w:cs="Arial"/>
          <w:sz w:val="22"/>
          <w:szCs w:val="22"/>
        </w:rPr>
        <w:t xml:space="preserve"> review of the wider literature including the historical context of understanding therapist variables and their relationship with outcomes in psychological therapy </w:t>
      </w:r>
      <w:r w:rsidR="00AB3CF6">
        <w:rPr>
          <w:rFonts w:ascii="Arial" w:hAnsi="Arial" w:cs="Arial"/>
          <w:sz w:val="22"/>
          <w:szCs w:val="22"/>
        </w:rPr>
        <w:t>across English speaking countries. This will be followed by a systematic review of the literature relating to therapist variables and their relationship with outcome in IAPT.</w:t>
      </w:r>
    </w:p>
    <w:p w14:paraId="2A1C41B4" w14:textId="77777777" w:rsidR="00D238AD" w:rsidRDefault="00D238AD">
      <w:pPr>
        <w:rPr>
          <w:rFonts w:ascii="Arial" w:eastAsiaTheme="majorEastAsia" w:hAnsi="Arial" w:cs="Arial"/>
          <w:b/>
          <w:bCs/>
          <w:color w:val="000000" w:themeColor="text1"/>
          <w:sz w:val="22"/>
          <w:szCs w:val="22"/>
        </w:rPr>
      </w:pPr>
      <w:bookmarkStart w:id="185" w:name="_Toc46770758"/>
      <w:r>
        <w:rPr>
          <w:rFonts w:cs="Arial"/>
          <w:color w:val="000000" w:themeColor="text1"/>
          <w:szCs w:val="22"/>
        </w:rPr>
        <w:br w:type="page"/>
      </w:r>
    </w:p>
    <w:p w14:paraId="78470D2E" w14:textId="3D6D6DDB" w:rsidR="00EA08A3" w:rsidRPr="002910BA" w:rsidRDefault="00EA08A3" w:rsidP="00EA08A3">
      <w:pPr>
        <w:pStyle w:val="Heading1"/>
        <w:rPr>
          <w:rFonts w:cs="Arial"/>
          <w:color w:val="000000" w:themeColor="text1"/>
          <w:szCs w:val="22"/>
        </w:rPr>
      </w:pPr>
      <w:bookmarkStart w:id="186" w:name="_Toc79414169"/>
      <w:r w:rsidRPr="002910BA">
        <w:rPr>
          <w:rFonts w:cs="Arial"/>
          <w:color w:val="000000" w:themeColor="text1"/>
          <w:szCs w:val="22"/>
        </w:rPr>
        <w:lastRenderedPageBreak/>
        <w:t xml:space="preserve">CHAPTER </w:t>
      </w:r>
      <w:r>
        <w:rPr>
          <w:rFonts w:cs="Arial"/>
          <w:color w:val="000000" w:themeColor="text1"/>
          <w:szCs w:val="22"/>
        </w:rPr>
        <w:t>THREE</w:t>
      </w:r>
      <w:r w:rsidRPr="002910BA">
        <w:rPr>
          <w:rFonts w:cs="Arial"/>
          <w:color w:val="000000" w:themeColor="text1"/>
          <w:szCs w:val="22"/>
        </w:rPr>
        <w:t xml:space="preserve">: </w:t>
      </w:r>
      <w:r w:rsidR="00525B47">
        <w:rPr>
          <w:rFonts w:cs="Arial"/>
          <w:color w:val="000000" w:themeColor="text1"/>
          <w:szCs w:val="22"/>
        </w:rPr>
        <w:t>LITERATURE REVIEW</w:t>
      </w:r>
      <w:bookmarkEnd w:id="185"/>
      <w:bookmarkEnd w:id="186"/>
    </w:p>
    <w:p w14:paraId="58D1A04F" w14:textId="77777777" w:rsidR="00EA08A3" w:rsidRDefault="00EA08A3" w:rsidP="00EA08A3">
      <w:pPr>
        <w:rPr>
          <w:rFonts w:ascii="Arial" w:hAnsi="Arial" w:cs="Arial"/>
          <w:sz w:val="22"/>
          <w:szCs w:val="22"/>
        </w:rPr>
      </w:pPr>
    </w:p>
    <w:p w14:paraId="7CFFE79D" w14:textId="7B9AFD83" w:rsidR="00EA08A3" w:rsidRDefault="00EA08A3" w:rsidP="00EA08A3">
      <w:pPr>
        <w:widowControl w:val="0"/>
        <w:autoSpaceDE w:val="0"/>
        <w:autoSpaceDN w:val="0"/>
        <w:adjustRightInd w:val="0"/>
        <w:spacing w:after="240" w:line="480" w:lineRule="auto"/>
        <w:rPr>
          <w:rFonts w:ascii="Arial" w:hAnsi="Arial" w:cs="Arial"/>
          <w:sz w:val="22"/>
          <w:szCs w:val="22"/>
          <w:lang w:val="en-US"/>
        </w:rPr>
      </w:pPr>
      <w:r>
        <w:rPr>
          <w:rFonts w:ascii="Arial" w:hAnsi="Arial" w:cs="Arial"/>
          <w:sz w:val="22"/>
          <w:szCs w:val="22"/>
        </w:rPr>
        <w:t xml:space="preserve">Chapter </w:t>
      </w:r>
      <w:r w:rsidR="00D73F9D">
        <w:rPr>
          <w:rFonts w:ascii="Arial" w:hAnsi="Arial" w:cs="Arial"/>
          <w:sz w:val="22"/>
          <w:szCs w:val="22"/>
        </w:rPr>
        <w:t>2</w:t>
      </w:r>
      <w:r>
        <w:rPr>
          <w:rFonts w:ascii="Arial" w:hAnsi="Arial" w:cs="Arial"/>
          <w:sz w:val="22"/>
          <w:szCs w:val="22"/>
        </w:rPr>
        <w:t xml:space="preserve"> of this thesis identified a problem relating to the variance in clinical outcomes between IAPT services. A number of possible causes for this variance were explored.  It was argued that the common factor between each of the potential causes was the therapist, in that therapists are situated in services and should be equally qualified to treat patients with a range of complexities in the context of a step 3 IAPT service. Chapter 2 concluded with the question; what therapist variables relate to clinical outcome in IAPT?  Chapter three will use this question to review the existing literature. The chapter will begin with a </w:t>
      </w:r>
      <w:r w:rsidR="000E0CAB">
        <w:rPr>
          <w:rFonts w:ascii="Arial" w:hAnsi="Arial" w:cs="Arial"/>
          <w:sz w:val="22"/>
          <w:szCs w:val="22"/>
        </w:rPr>
        <w:t>scoping</w:t>
      </w:r>
      <w:r>
        <w:rPr>
          <w:rFonts w:ascii="Arial" w:hAnsi="Arial" w:cs="Arial"/>
          <w:sz w:val="22"/>
          <w:szCs w:val="22"/>
        </w:rPr>
        <w:t xml:space="preserve"> review of the broader literature including the historical context of </w:t>
      </w:r>
      <w:r w:rsidR="00F70119">
        <w:rPr>
          <w:rFonts w:ascii="Arial" w:hAnsi="Arial" w:cs="Arial"/>
          <w:sz w:val="22"/>
          <w:szCs w:val="22"/>
        </w:rPr>
        <w:t xml:space="preserve">research in </w:t>
      </w:r>
      <w:r w:rsidR="00FE5E45">
        <w:rPr>
          <w:rFonts w:ascii="Arial" w:hAnsi="Arial" w:cs="Arial"/>
          <w:sz w:val="22"/>
          <w:szCs w:val="22"/>
        </w:rPr>
        <w:t>relation to</w:t>
      </w:r>
      <w:r w:rsidR="00F70119">
        <w:rPr>
          <w:rFonts w:ascii="Arial" w:hAnsi="Arial" w:cs="Arial"/>
          <w:sz w:val="22"/>
          <w:szCs w:val="22"/>
        </w:rPr>
        <w:t xml:space="preserve"> variance</w:t>
      </w:r>
      <w:r w:rsidR="00FE5E45">
        <w:rPr>
          <w:rFonts w:ascii="Arial" w:hAnsi="Arial" w:cs="Arial"/>
          <w:sz w:val="22"/>
          <w:szCs w:val="22"/>
        </w:rPr>
        <w:t xml:space="preserve"> in outcomes</w:t>
      </w:r>
      <w:r w:rsidR="00F70119">
        <w:rPr>
          <w:rFonts w:ascii="Arial" w:hAnsi="Arial" w:cs="Arial"/>
          <w:sz w:val="22"/>
          <w:szCs w:val="22"/>
        </w:rPr>
        <w:t xml:space="preserve"> between therapists</w:t>
      </w:r>
      <w:r>
        <w:rPr>
          <w:rFonts w:ascii="Arial" w:hAnsi="Arial" w:cs="Arial"/>
          <w:sz w:val="22"/>
          <w:szCs w:val="22"/>
        </w:rPr>
        <w:t xml:space="preserve">. This will be followed by a discussion of the wider literature </w:t>
      </w:r>
      <w:r w:rsidR="00F70119">
        <w:rPr>
          <w:rFonts w:ascii="Arial" w:hAnsi="Arial" w:cs="Arial"/>
          <w:sz w:val="22"/>
          <w:szCs w:val="22"/>
        </w:rPr>
        <w:t>drawing out themes relating to</w:t>
      </w:r>
      <w:r>
        <w:rPr>
          <w:rFonts w:ascii="Arial" w:hAnsi="Arial" w:cs="Arial"/>
          <w:sz w:val="22"/>
          <w:szCs w:val="22"/>
        </w:rPr>
        <w:t xml:space="preserve"> therapist variables and how they relate to outcome.  </w:t>
      </w:r>
      <w:r w:rsidRPr="005144E4">
        <w:rPr>
          <w:rFonts w:ascii="Arial" w:hAnsi="Arial" w:cs="Arial"/>
          <w:sz w:val="22"/>
          <w:szCs w:val="22"/>
        </w:rPr>
        <w:t>The terms therapist variables and therapist effects will be defined</w:t>
      </w:r>
      <w:r>
        <w:rPr>
          <w:rFonts w:ascii="Arial" w:hAnsi="Arial" w:cs="Arial"/>
          <w:sz w:val="22"/>
          <w:szCs w:val="22"/>
        </w:rPr>
        <w:t xml:space="preserve">, as they relate to the literature.  This chapter will conclude with a systematic literature review </w:t>
      </w:r>
      <w:r>
        <w:rPr>
          <w:rFonts w:ascii="Arial" w:hAnsi="Arial" w:cs="Arial"/>
          <w:sz w:val="22"/>
          <w:szCs w:val="22"/>
          <w:lang w:val="en-US"/>
        </w:rPr>
        <w:t>focusing only</w:t>
      </w:r>
      <w:r w:rsidRPr="0022405F">
        <w:rPr>
          <w:rFonts w:ascii="Arial" w:hAnsi="Arial" w:cs="Arial"/>
          <w:sz w:val="22"/>
          <w:szCs w:val="22"/>
          <w:lang w:val="en-US"/>
        </w:rPr>
        <w:t xml:space="preserve"> on </w:t>
      </w:r>
      <w:r>
        <w:rPr>
          <w:rFonts w:ascii="Arial" w:hAnsi="Arial" w:cs="Arial"/>
          <w:sz w:val="22"/>
          <w:szCs w:val="22"/>
          <w:lang w:val="en-US"/>
        </w:rPr>
        <w:t xml:space="preserve">therapist variables as they relate to clinical outcomes in </w:t>
      </w:r>
      <w:r w:rsidRPr="0022405F">
        <w:rPr>
          <w:rFonts w:ascii="Arial" w:hAnsi="Arial" w:cs="Arial"/>
          <w:sz w:val="22"/>
          <w:szCs w:val="22"/>
          <w:lang w:val="en-US"/>
        </w:rPr>
        <w:t xml:space="preserve">cognitive behavioural therapists treating patients at step 3 </w:t>
      </w:r>
      <w:r>
        <w:rPr>
          <w:rFonts w:ascii="Arial" w:hAnsi="Arial" w:cs="Arial"/>
          <w:sz w:val="22"/>
          <w:szCs w:val="22"/>
          <w:lang w:val="en-US"/>
        </w:rPr>
        <w:t xml:space="preserve">in the </w:t>
      </w:r>
      <w:r w:rsidRPr="0022405F">
        <w:rPr>
          <w:rFonts w:ascii="Arial" w:hAnsi="Arial" w:cs="Arial"/>
          <w:sz w:val="22"/>
          <w:szCs w:val="22"/>
          <w:lang w:val="en-US"/>
        </w:rPr>
        <w:t>Improving Access to Psychological Therapy (IAPT) programme.</w:t>
      </w:r>
    </w:p>
    <w:p w14:paraId="03FC9330" w14:textId="77777777" w:rsidR="00E164C2" w:rsidRPr="00976F7D" w:rsidRDefault="00E164C2" w:rsidP="00EA08A3">
      <w:pPr>
        <w:widowControl w:val="0"/>
        <w:autoSpaceDE w:val="0"/>
        <w:autoSpaceDN w:val="0"/>
        <w:adjustRightInd w:val="0"/>
        <w:spacing w:after="240" w:line="480" w:lineRule="auto"/>
        <w:rPr>
          <w:rFonts w:ascii="Arial" w:hAnsi="Arial" w:cs="Arial"/>
          <w:sz w:val="22"/>
          <w:szCs w:val="22"/>
          <w:lang w:val="en-US"/>
        </w:rPr>
      </w:pPr>
    </w:p>
    <w:p w14:paraId="006567FA" w14:textId="3CF66356" w:rsidR="00EA08A3" w:rsidRPr="0022405F" w:rsidRDefault="00EA08A3" w:rsidP="00EA08A3">
      <w:pPr>
        <w:pStyle w:val="Heading2"/>
        <w:rPr>
          <w:rFonts w:ascii="Arial" w:hAnsi="Arial" w:cs="Arial"/>
          <w:color w:val="000000" w:themeColor="text1"/>
          <w:sz w:val="22"/>
          <w:szCs w:val="22"/>
        </w:rPr>
      </w:pPr>
      <w:bookmarkStart w:id="187" w:name="_Toc46770759"/>
      <w:bookmarkStart w:id="188" w:name="_Toc79414170"/>
      <w:r>
        <w:rPr>
          <w:rFonts w:ascii="Arial" w:hAnsi="Arial" w:cs="Arial"/>
          <w:color w:val="000000" w:themeColor="text1"/>
          <w:sz w:val="22"/>
          <w:szCs w:val="22"/>
        </w:rPr>
        <w:t>3</w:t>
      </w:r>
      <w:r w:rsidRPr="0022405F">
        <w:rPr>
          <w:rFonts w:ascii="Arial" w:hAnsi="Arial" w:cs="Arial"/>
          <w:color w:val="000000" w:themeColor="text1"/>
          <w:sz w:val="22"/>
          <w:szCs w:val="22"/>
        </w:rPr>
        <w:t xml:space="preserve">.1 </w:t>
      </w:r>
      <w:r w:rsidR="00441DB8">
        <w:rPr>
          <w:rFonts w:ascii="Arial" w:hAnsi="Arial" w:cs="Arial"/>
          <w:color w:val="000000" w:themeColor="text1"/>
          <w:sz w:val="22"/>
          <w:szCs w:val="22"/>
        </w:rPr>
        <w:t xml:space="preserve">PRELIMINARY </w:t>
      </w:r>
      <w:r w:rsidR="00FE5E45">
        <w:rPr>
          <w:rFonts w:ascii="Arial" w:hAnsi="Arial" w:cs="Arial"/>
          <w:color w:val="000000" w:themeColor="text1"/>
          <w:sz w:val="22"/>
          <w:szCs w:val="22"/>
        </w:rPr>
        <w:t>SCOPING</w:t>
      </w:r>
      <w:r>
        <w:rPr>
          <w:rFonts w:ascii="Arial" w:hAnsi="Arial" w:cs="Arial"/>
          <w:color w:val="000000" w:themeColor="text1"/>
          <w:sz w:val="22"/>
          <w:szCs w:val="22"/>
        </w:rPr>
        <w:t xml:space="preserve"> REVIEW</w:t>
      </w:r>
      <w:bookmarkEnd w:id="187"/>
      <w:bookmarkEnd w:id="188"/>
    </w:p>
    <w:p w14:paraId="4D5291B3" w14:textId="77777777" w:rsidR="00EA08A3" w:rsidRPr="0022405F" w:rsidRDefault="00EA08A3" w:rsidP="00EA08A3"/>
    <w:p w14:paraId="60FBAEE9" w14:textId="4F89D0B2" w:rsidR="00EA08A3" w:rsidRPr="0022405F" w:rsidRDefault="00EA08A3" w:rsidP="00EA08A3">
      <w:pPr>
        <w:widowControl w:val="0"/>
        <w:autoSpaceDE w:val="0"/>
        <w:autoSpaceDN w:val="0"/>
        <w:adjustRightInd w:val="0"/>
        <w:spacing w:after="240" w:line="480" w:lineRule="auto"/>
        <w:rPr>
          <w:rFonts w:ascii="Arial" w:hAnsi="Arial" w:cs="Arial"/>
          <w:sz w:val="22"/>
          <w:szCs w:val="22"/>
          <w:lang w:val="en-US"/>
        </w:rPr>
      </w:pPr>
      <w:r w:rsidRPr="0022405F">
        <w:rPr>
          <w:rFonts w:ascii="Arial" w:hAnsi="Arial" w:cs="Arial"/>
          <w:sz w:val="22"/>
          <w:szCs w:val="22"/>
          <w:lang w:val="en-US"/>
        </w:rPr>
        <w:t xml:space="preserve">The purpose of this </w:t>
      </w:r>
      <w:r w:rsidR="00441DB8">
        <w:rPr>
          <w:rFonts w:ascii="Arial" w:hAnsi="Arial" w:cs="Arial"/>
          <w:sz w:val="22"/>
          <w:szCs w:val="22"/>
          <w:lang w:val="en-US"/>
        </w:rPr>
        <w:t xml:space="preserve">preliminary </w:t>
      </w:r>
      <w:r w:rsidR="00FE5E45">
        <w:rPr>
          <w:rFonts w:ascii="Arial" w:hAnsi="Arial" w:cs="Arial"/>
          <w:sz w:val="22"/>
          <w:szCs w:val="22"/>
          <w:lang w:val="en-US"/>
        </w:rPr>
        <w:t>scoping</w:t>
      </w:r>
      <w:r w:rsidRPr="0022405F">
        <w:rPr>
          <w:rFonts w:ascii="Arial" w:hAnsi="Arial" w:cs="Arial"/>
          <w:sz w:val="22"/>
          <w:szCs w:val="22"/>
          <w:lang w:val="en-US"/>
        </w:rPr>
        <w:t xml:space="preserve"> review </w:t>
      </w:r>
      <w:r w:rsidR="00441DB8">
        <w:rPr>
          <w:rFonts w:ascii="Arial" w:hAnsi="Arial" w:cs="Arial"/>
          <w:sz w:val="22"/>
          <w:szCs w:val="22"/>
          <w:lang w:val="en-US"/>
        </w:rPr>
        <w:t>was</w:t>
      </w:r>
      <w:r w:rsidRPr="0022405F">
        <w:rPr>
          <w:rFonts w:ascii="Arial" w:hAnsi="Arial" w:cs="Arial"/>
          <w:sz w:val="22"/>
          <w:szCs w:val="22"/>
          <w:lang w:val="en-US"/>
        </w:rPr>
        <w:t xml:space="preserve"> to examine </w:t>
      </w:r>
      <w:r>
        <w:rPr>
          <w:rFonts w:ascii="Arial" w:hAnsi="Arial" w:cs="Arial"/>
          <w:sz w:val="22"/>
          <w:szCs w:val="22"/>
          <w:lang w:val="en-US"/>
        </w:rPr>
        <w:t xml:space="preserve">the wider literature in relation to </w:t>
      </w:r>
      <w:r w:rsidRPr="0022405F">
        <w:rPr>
          <w:rFonts w:ascii="Arial" w:hAnsi="Arial" w:cs="Arial"/>
          <w:sz w:val="22"/>
          <w:szCs w:val="22"/>
          <w:lang w:val="en-US"/>
        </w:rPr>
        <w:t>what is currently known about therapist variables</w:t>
      </w:r>
      <w:r w:rsidR="00441DB8">
        <w:rPr>
          <w:rFonts w:ascii="Arial" w:hAnsi="Arial" w:cs="Arial"/>
          <w:sz w:val="22"/>
          <w:szCs w:val="22"/>
          <w:lang w:val="en-US"/>
        </w:rPr>
        <w:t xml:space="preserve"> and their</w:t>
      </w:r>
      <w:r w:rsidRPr="0022405F">
        <w:rPr>
          <w:rFonts w:ascii="Arial" w:hAnsi="Arial" w:cs="Arial"/>
          <w:sz w:val="22"/>
          <w:szCs w:val="22"/>
          <w:lang w:val="en-US"/>
        </w:rPr>
        <w:t xml:space="preserve"> effect </w:t>
      </w:r>
      <w:r w:rsidR="00441DB8">
        <w:rPr>
          <w:rFonts w:ascii="Arial" w:hAnsi="Arial" w:cs="Arial"/>
          <w:sz w:val="22"/>
          <w:szCs w:val="22"/>
          <w:lang w:val="en-US"/>
        </w:rPr>
        <w:t xml:space="preserve">on </w:t>
      </w:r>
      <w:r w:rsidRPr="0022405F">
        <w:rPr>
          <w:rFonts w:ascii="Arial" w:hAnsi="Arial" w:cs="Arial"/>
          <w:sz w:val="22"/>
          <w:szCs w:val="22"/>
          <w:lang w:val="en-US"/>
        </w:rPr>
        <w:t>clinical outcome</w:t>
      </w:r>
      <w:r>
        <w:rPr>
          <w:rFonts w:ascii="Arial" w:hAnsi="Arial" w:cs="Arial"/>
          <w:sz w:val="22"/>
          <w:szCs w:val="22"/>
          <w:lang w:val="en-US"/>
        </w:rPr>
        <w:t>.</w:t>
      </w:r>
      <w:r w:rsidRPr="0022405F">
        <w:rPr>
          <w:rFonts w:ascii="Arial" w:hAnsi="Arial" w:cs="Arial"/>
          <w:sz w:val="22"/>
          <w:szCs w:val="22"/>
          <w:lang w:val="en-US"/>
        </w:rPr>
        <w:t xml:space="preserve"> Hart (</w:t>
      </w:r>
      <w:r w:rsidR="00436338">
        <w:rPr>
          <w:rFonts w:ascii="Arial" w:hAnsi="Arial" w:cs="Arial"/>
          <w:sz w:val="22"/>
          <w:szCs w:val="22"/>
          <w:lang w:val="en-US"/>
        </w:rPr>
        <w:t>2001</w:t>
      </w:r>
      <w:r w:rsidRPr="0022405F">
        <w:rPr>
          <w:rFonts w:ascii="Arial" w:hAnsi="Arial" w:cs="Arial"/>
          <w:sz w:val="22"/>
          <w:szCs w:val="22"/>
          <w:lang w:val="en-US"/>
        </w:rPr>
        <w:t>) and Galvan</w:t>
      </w:r>
      <w:r w:rsidR="00436338">
        <w:rPr>
          <w:rFonts w:ascii="Arial" w:hAnsi="Arial" w:cs="Arial"/>
          <w:sz w:val="22"/>
          <w:szCs w:val="22"/>
          <w:lang w:val="en-US"/>
        </w:rPr>
        <w:t xml:space="preserve"> and Galvan</w:t>
      </w:r>
      <w:r w:rsidRPr="0022405F">
        <w:rPr>
          <w:rFonts w:ascii="Arial" w:hAnsi="Arial" w:cs="Arial"/>
          <w:sz w:val="22"/>
          <w:szCs w:val="22"/>
          <w:lang w:val="en-US"/>
        </w:rPr>
        <w:t xml:space="preserve"> (</w:t>
      </w:r>
      <w:r w:rsidR="00436338">
        <w:rPr>
          <w:rFonts w:ascii="Arial" w:hAnsi="Arial" w:cs="Arial"/>
          <w:sz w:val="22"/>
          <w:szCs w:val="22"/>
          <w:lang w:val="en-US"/>
        </w:rPr>
        <w:t>2017</w:t>
      </w:r>
      <w:r w:rsidRPr="0022405F">
        <w:rPr>
          <w:rFonts w:ascii="Arial" w:hAnsi="Arial" w:cs="Arial"/>
          <w:sz w:val="22"/>
          <w:szCs w:val="22"/>
          <w:lang w:val="en-US"/>
        </w:rPr>
        <w:t>), amongst others, argue that the function of a</w:t>
      </w:r>
      <w:r w:rsidR="00441DB8">
        <w:rPr>
          <w:rFonts w:ascii="Arial" w:hAnsi="Arial" w:cs="Arial"/>
          <w:sz w:val="22"/>
          <w:szCs w:val="22"/>
          <w:lang w:val="en-US"/>
        </w:rPr>
        <w:t xml:space="preserve"> scoping</w:t>
      </w:r>
      <w:r w:rsidRPr="0022405F">
        <w:rPr>
          <w:rFonts w:ascii="Arial" w:hAnsi="Arial" w:cs="Arial"/>
          <w:sz w:val="22"/>
          <w:szCs w:val="22"/>
          <w:lang w:val="en-US"/>
        </w:rPr>
        <w:t xml:space="preserve"> literature review is to:</w:t>
      </w:r>
    </w:p>
    <w:p w14:paraId="327201AE" w14:textId="54582BEA" w:rsidR="00EA08A3" w:rsidRPr="0022405F" w:rsidRDefault="00EA08A3" w:rsidP="00934842">
      <w:pPr>
        <w:pStyle w:val="ListParagraph"/>
        <w:widowControl w:val="0"/>
        <w:numPr>
          <w:ilvl w:val="0"/>
          <w:numId w:val="2"/>
        </w:numPr>
        <w:autoSpaceDE w:val="0"/>
        <w:autoSpaceDN w:val="0"/>
        <w:adjustRightInd w:val="0"/>
        <w:spacing w:after="240" w:line="480" w:lineRule="auto"/>
        <w:rPr>
          <w:rFonts w:ascii="Arial" w:hAnsi="Arial" w:cs="Arial"/>
          <w:sz w:val="22"/>
          <w:szCs w:val="22"/>
          <w:lang w:val="en-US"/>
        </w:rPr>
      </w:pPr>
      <w:r w:rsidRPr="0022405F">
        <w:rPr>
          <w:rFonts w:ascii="Arial" w:hAnsi="Arial" w:cs="Arial"/>
          <w:sz w:val="22"/>
          <w:szCs w:val="22"/>
          <w:lang w:val="en-US"/>
        </w:rPr>
        <w:t>understand how each piece of reviewed work contributes to the understanding of the researcher’s subject area</w:t>
      </w:r>
    </w:p>
    <w:p w14:paraId="5AB72C4D" w14:textId="559995D6" w:rsidR="00EA08A3" w:rsidRPr="0022405F" w:rsidRDefault="00EA08A3" w:rsidP="00934842">
      <w:pPr>
        <w:pStyle w:val="ListParagraph"/>
        <w:widowControl w:val="0"/>
        <w:numPr>
          <w:ilvl w:val="0"/>
          <w:numId w:val="2"/>
        </w:numPr>
        <w:autoSpaceDE w:val="0"/>
        <w:autoSpaceDN w:val="0"/>
        <w:adjustRightInd w:val="0"/>
        <w:spacing w:after="240" w:line="480" w:lineRule="auto"/>
        <w:rPr>
          <w:rFonts w:ascii="Arial" w:hAnsi="Arial" w:cs="Arial"/>
          <w:sz w:val="22"/>
          <w:szCs w:val="22"/>
          <w:lang w:val="en-US"/>
        </w:rPr>
      </w:pPr>
      <w:r w:rsidRPr="0022405F">
        <w:rPr>
          <w:rFonts w:ascii="Arial" w:hAnsi="Arial" w:cs="Arial"/>
          <w:sz w:val="22"/>
          <w:szCs w:val="22"/>
          <w:lang w:val="en-US"/>
        </w:rPr>
        <w:t>define how each piece of reviewed work relates to others</w:t>
      </w:r>
    </w:p>
    <w:p w14:paraId="402B79BD" w14:textId="001606D1" w:rsidR="00EA08A3" w:rsidRPr="0022405F" w:rsidRDefault="00EA08A3" w:rsidP="00934842">
      <w:pPr>
        <w:pStyle w:val="ListParagraph"/>
        <w:widowControl w:val="0"/>
        <w:numPr>
          <w:ilvl w:val="0"/>
          <w:numId w:val="2"/>
        </w:numPr>
        <w:autoSpaceDE w:val="0"/>
        <w:autoSpaceDN w:val="0"/>
        <w:adjustRightInd w:val="0"/>
        <w:spacing w:after="240" w:line="480" w:lineRule="auto"/>
        <w:rPr>
          <w:rFonts w:ascii="Arial" w:hAnsi="Arial" w:cs="Arial"/>
          <w:sz w:val="22"/>
          <w:szCs w:val="22"/>
          <w:lang w:val="en-US"/>
        </w:rPr>
      </w:pPr>
      <w:r w:rsidRPr="0022405F">
        <w:rPr>
          <w:rFonts w:ascii="Arial" w:hAnsi="Arial" w:cs="Arial"/>
          <w:sz w:val="22"/>
          <w:szCs w:val="22"/>
          <w:lang w:val="en-US"/>
        </w:rPr>
        <w:t xml:space="preserve"> shed light on gaps in the literature</w:t>
      </w:r>
    </w:p>
    <w:p w14:paraId="5EEA137C" w14:textId="68102BC2" w:rsidR="00EA08A3" w:rsidRPr="0022405F" w:rsidRDefault="00EA08A3" w:rsidP="00934842">
      <w:pPr>
        <w:pStyle w:val="ListParagraph"/>
        <w:widowControl w:val="0"/>
        <w:numPr>
          <w:ilvl w:val="0"/>
          <w:numId w:val="2"/>
        </w:numPr>
        <w:autoSpaceDE w:val="0"/>
        <w:autoSpaceDN w:val="0"/>
        <w:adjustRightInd w:val="0"/>
        <w:spacing w:after="240" w:line="480" w:lineRule="auto"/>
        <w:rPr>
          <w:rFonts w:ascii="Arial" w:hAnsi="Arial" w:cs="Arial"/>
          <w:sz w:val="22"/>
          <w:szCs w:val="22"/>
          <w:lang w:val="en-US"/>
        </w:rPr>
      </w:pPr>
      <w:r w:rsidRPr="0022405F">
        <w:rPr>
          <w:rFonts w:ascii="Arial" w:hAnsi="Arial" w:cs="Arial"/>
          <w:sz w:val="22"/>
          <w:szCs w:val="22"/>
          <w:lang w:val="en-US"/>
        </w:rPr>
        <w:t xml:space="preserve"> identify significant competing opinions</w:t>
      </w:r>
    </w:p>
    <w:p w14:paraId="54FA755B" w14:textId="4F6B9548" w:rsidR="00EA08A3" w:rsidRPr="0022405F" w:rsidRDefault="00EA08A3" w:rsidP="00934842">
      <w:pPr>
        <w:pStyle w:val="ListParagraph"/>
        <w:widowControl w:val="0"/>
        <w:numPr>
          <w:ilvl w:val="0"/>
          <w:numId w:val="2"/>
        </w:numPr>
        <w:autoSpaceDE w:val="0"/>
        <w:autoSpaceDN w:val="0"/>
        <w:adjustRightInd w:val="0"/>
        <w:spacing w:after="240" w:line="480" w:lineRule="auto"/>
        <w:rPr>
          <w:rFonts w:ascii="Arial" w:hAnsi="Arial" w:cs="Arial"/>
          <w:sz w:val="22"/>
          <w:szCs w:val="22"/>
          <w:lang w:val="en-US"/>
        </w:rPr>
      </w:pPr>
      <w:r w:rsidRPr="0022405F">
        <w:rPr>
          <w:rFonts w:ascii="Arial" w:hAnsi="Arial" w:cs="Arial"/>
          <w:sz w:val="22"/>
          <w:szCs w:val="22"/>
          <w:lang w:val="en-US"/>
        </w:rPr>
        <w:lastRenderedPageBreak/>
        <w:t xml:space="preserve"> identify what is already defined, so as to not repeat areas of research unnecessarily</w:t>
      </w:r>
    </w:p>
    <w:p w14:paraId="277500D2" w14:textId="6D4AD088" w:rsidR="00EA08A3" w:rsidRPr="0022405F" w:rsidRDefault="00EA08A3" w:rsidP="00934842">
      <w:pPr>
        <w:pStyle w:val="ListParagraph"/>
        <w:widowControl w:val="0"/>
        <w:numPr>
          <w:ilvl w:val="0"/>
          <w:numId w:val="2"/>
        </w:numPr>
        <w:autoSpaceDE w:val="0"/>
        <w:autoSpaceDN w:val="0"/>
        <w:adjustRightInd w:val="0"/>
        <w:spacing w:after="240" w:line="480" w:lineRule="auto"/>
        <w:rPr>
          <w:rFonts w:ascii="Arial" w:hAnsi="Arial" w:cs="Arial"/>
          <w:sz w:val="22"/>
          <w:szCs w:val="22"/>
          <w:lang w:val="en-US"/>
        </w:rPr>
      </w:pPr>
      <w:r w:rsidRPr="0022405F">
        <w:rPr>
          <w:rFonts w:ascii="Arial" w:hAnsi="Arial" w:cs="Arial"/>
          <w:sz w:val="22"/>
          <w:szCs w:val="22"/>
          <w:lang w:val="en-US"/>
        </w:rPr>
        <w:t>provide a sense of direction for future research;</w:t>
      </w:r>
    </w:p>
    <w:p w14:paraId="4EAD4D2F" w14:textId="24962F41" w:rsidR="00EA08A3" w:rsidRPr="0022405F" w:rsidRDefault="00EA08A3" w:rsidP="00934842">
      <w:pPr>
        <w:pStyle w:val="ListParagraph"/>
        <w:widowControl w:val="0"/>
        <w:numPr>
          <w:ilvl w:val="0"/>
          <w:numId w:val="2"/>
        </w:numPr>
        <w:autoSpaceDE w:val="0"/>
        <w:autoSpaceDN w:val="0"/>
        <w:adjustRightInd w:val="0"/>
        <w:spacing w:after="240" w:line="480" w:lineRule="auto"/>
        <w:rPr>
          <w:rFonts w:ascii="Arial" w:hAnsi="Arial" w:cs="Arial"/>
          <w:sz w:val="22"/>
          <w:szCs w:val="22"/>
          <w:lang w:val="en-US"/>
        </w:rPr>
      </w:pPr>
      <w:r w:rsidRPr="0022405F">
        <w:rPr>
          <w:rFonts w:ascii="Arial" w:hAnsi="Arial" w:cs="Arial"/>
          <w:sz w:val="22"/>
          <w:szCs w:val="22"/>
          <w:lang w:val="en-US"/>
        </w:rPr>
        <w:t>explicitly identify the originality of a researchers proposed area of study</w:t>
      </w:r>
    </w:p>
    <w:p w14:paraId="6976D632" w14:textId="65E02893" w:rsidR="00EA08A3" w:rsidRPr="0022405F" w:rsidRDefault="00EA08A3" w:rsidP="00EA08A3">
      <w:pPr>
        <w:widowControl w:val="0"/>
        <w:autoSpaceDE w:val="0"/>
        <w:autoSpaceDN w:val="0"/>
        <w:adjustRightInd w:val="0"/>
        <w:spacing w:after="240" w:line="480" w:lineRule="auto"/>
        <w:rPr>
          <w:rFonts w:ascii="Arial" w:hAnsi="Arial" w:cs="Arial"/>
          <w:sz w:val="22"/>
          <w:szCs w:val="22"/>
          <w:lang w:val="en-US"/>
        </w:rPr>
      </w:pPr>
      <w:r w:rsidRPr="0022405F">
        <w:rPr>
          <w:rFonts w:ascii="Arial" w:hAnsi="Arial" w:cs="Arial"/>
          <w:sz w:val="22"/>
          <w:szCs w:val="22"/>
          <w:lang w:val="en-US"/>
        </w:rPr>
        <w:t>This approach to “taking stock of what has gone before and identifying a niche for one’s own research” (Booth, Papaioannou and Sutton 201</w:t>
      </w:r>
      <w:r w:rsidR="00D05576">
        <w:rPr>
          <w:rFonts w:ascii="Arial" w:hAnsi="Arial" w:cs="Arial"/>
          <w:sz w:val="22"/>
          <w:szCs w:val="22"/>
          <w:lang w:val="en-US"/>
        </w:rPr>
        <w:t>6</w:t>
      </w:r>
      <w:r w:rsidRPr="0022405F">
        <w:rPr>
          <w:rFonts w:ascii="Arial" w:hAnsi="Arial" w:cs="Arial"/>
          <w:sz w:val="22"/>
          <w:szCs w:val="22"/>
          <w:lang w:val="en-US"/>
        </w:rPr>
        <w:t xml:space="preserve">, p.7) is the overarching framework used for this </w:t>
      </w:r>
      <w:r w:rsidR="00FE5E45">
        <w:rPr>
          <w:rFonts w:ascii="Arial" w:hAnsi="Arial" w:cs="Arial"/>
          <w:sz w:val="22"/>
          <w:szCs w:val="22"/>
          <w:lang w:val="en-US"/>
        </w:rPr>
        <w:t>scoping</w:t>
      </w:r>
      <w:r>
        <w:rPr>
          <w:rFonts w:ascii="Arial" w:hAnsi="Arial" w:cs="Arial"/>
          <w:sz w:val="22"/>
          <w:szCs w:val="22"/>
          <w:lang w:val="en-US"/>
        </w:rPr>
        <w:t xml:space="preserve"> </w:t>
      </w:r>
      <w:r w:rsidRPr="0022405F">
        <w:rPr>
          <w:rFonts w:ascii="Arial" w:hAnsi="Arial" w:cs="Arial"/>
          <w:sz w:val="22"/>
          <w:szCs w:val="22"/>
          <w:lang w:val="en-US"/>
        </w:rPr>
        <w:t>literature review. The focus of this thesis is relatively new, in that, at the time of writing (201</w:t>
      </w:r>
      <w:r>
        <w:rPr>
          <w:rFonts w:ascii="Arial" w:hAnsi="Arial" w:cs="Arial"/>
          <w:sz w:val="22"/>
          <w:szCs w:val="22"/>
          <w:lang w:val="en-US"/>
        </w:rPr>
        <w:t>9</w:t>
      </w:r>
      <w:r w:rsidRPr="0022405F">
        <w:rPr>
          <w:rFonts w:ascii="Arial" w:hAnsi="Arial" w:cs="Arial"/>
          <w:sz w:val="22"/>
          <w:szCs w:val="22"/>
          <w:lang w:val="en-US"/>
        </w:rPr>
        <w:t xml:space="preserve">) the Improving Access to Psychological Therapy programme has been operating </w:t>
      </w:r>
      <w:r>
        <w:rPr>
          <w:rFonts w:ascii="Arial" w:hAnsi="Arial" w:cs="Arial"/>
          <w:sz w:val="22"/>
          <w:szCs w:val="22"/>
          <w:lang w:val="en-US"/>
        </w:rPr>
        <w:t>in England since 2009</w:t>
      </w:r>
      <w:r w:rsidRPr="0022405F">
        <w:rPr>
          <w:rFonts w:ascii="Arial" w:hAnsi="Arial" w:cs="Arial"/>
          <w:sz w:val="22"/>
          <w:szCs w:val="22"/>
          <w:lang w:val="en-US"/>
        </w:rPr>
        <w:t>. Therefore, in an effort to conduct a broader search</w:t>
      </w:r>
      <w:r w:rsidR="000B43F2">
        <w:rPr>
          <w:rFonts w:ascii="Arial" w:hAnsi="Arial" w:cs="Arial"/>
          <w:sz w:val="22"/>
          <w:szCs w:val="22"/>
          <w:lang w:val="en-US"/>
        </w:rPr>
        <w:t xml:space="preserve"> of the literature, both outside the literature on IAPT and prior to the existence of IAPT,</w:t>
      </w:r>
      <w:r w:rsidR="008E6BB3">
        <w:rPr>
          <w:rFonts w:ascii="Arial" w:hAnsi="Arial" w:cs="Arial"/>
          <w:sz w:val="22"/>
          <w:szCs w:val="22"/>
          <w:lang w:val="en-US"/>
        </w:rPr>
        <w:t xml:space="preserve"> a</w:t>
      </w:r>
      <w:r w:rsidRPr="0022405F">
        <w:rPr>
          <w:rFonts w:ascii="Arial" w:hAnsi="Arial" w:cs="Arial"/>
          <w:sz w:val="22"/>
          <w:szCs w:val="22"/>
          <w:lang w:val="en-US"/>
        </w:rPr>
        <w:t xml:space="preserve"> </w:t>
      </w:r>
      <w:r w:rsidR="00FE5E45">
        <w:rPr>
          <w:rFonts w:ascii="Arial" w:hAnsi="Arial" w:cs="Arial"/>
          <w:sz w:val="22"/>
          <w:szCs w:val="22"/>
          <w:lang w:val="en-US"/>
        </w:rPr>
        <w:t>preliminary</w:t>
      </w:r>
      <w:r w:rsidRPr="0022405F">
        <w:rPr>
          <w:rFonts w:ascii="Arial" w:hAnsi="Arial" w:cs="Arial"/>
          <w:sz w:val="22"/>
          <w:szCs w:val="22"/>
          <w:lang w:val="en-US"/>
        </w:rPr>
        <w:t xml:space="preserve"> </w:t>
      </w:r>
      <w:r w:rsidR="00FE5E45">
        <w:rPr>
          <w:rFonts w:ascii="Arial" w:hAnsi="Arial" w:cs="Arial"/>
          <w:sz w:val="22"/>
          <w:szCs w:val="22"/>
          <w:lang w:val="en-US"/>
        </w:rPr>
        <w:t>scoping review</w:t>
      </w:r>
      <w:r w:rsidRPr="0022405F">
        <w:rPr>
          <w:rFonts w:ascii="Arial" w:hAnsi="Arial" w:cs="Arial"/>
          <w:sz w:val="22"/>
          <w:szCs w:val="22"/>
          <w:lang w:val="en-US"/>
        </w:rPr>
        <w:t xml:space="preserve"> </w:t>
      </w:r>
      <w:r w:rsidR="00FE5E45">
        <w:rPr>
          <w:rFonts w:ascii="Arial" w:hAnsi="Arial" w:cs="Arial"/>
          <w:sz w:val="22"/>
          <w:szCs w:val="22"/>
          <w:lang w:val="en-US"/>
        </w:rPr>
        <w:t>approach was adopted</w:t>
      </w:r>
      <w:r w:rsidRPr="0022405F">
        <w:rPr>
          <w:rFonts w:ascii="Arial" w:hAnsi="Arial" w:cs="Arial"/>
          <w:sz w:val="22"/>
          <w:szCs w:val="22"/>
          <w:lang w:val="en-US"/>
        </w:rPr>
        <w:t xml:space="preserve">. </w:t>
      </w:r>
      <w:r w:rsidR="00FE5E45">
        <w:rPr>
          <w:rFonts w:ascii="Arial" w:hAnsi="Arial" w:cs="Arial"/>
          <w:sz w:val="22"/>
          <w:szCs w:val="22"/>
          <w:lang w:val="en-US"/>
        </w:rPr>
        <w:t>Scoping</w:t>
      </w:r>
      <w:r w:rsidRPr="0022405F">
        <w:rPr>
          <w:rFonts w:ascii="Arial" w:hAnsi="Arial" w:cs="Arial"/>
          <w:sz w:val="22"/>
          <w:szCs w:val="22"/>
          <w:lang w:val="en-US"/>
        </w:rPr>
        <w:t xml:space="preserve"> reviews have been criticised for using less robust methodologies </w:t>
      </w:r>
      <w:r w:rsidR="002A6E08" w:rsidRPr="005144E4">
        <w:rPr>
          <w:rFonts w:ascii="Arial" w:hAnsi="Arial" w:cs="Arial"/>
          <w:sz w:val="22"/>
          <w:szCs w:val="22"/>
          <w:lang w:val="en-US"/>
        </w:rPr>
        <w:t>(</w:t>
      </w:r>
      <w:r w:rsidRPr="005144E4">
        <w:rPr>
          <w:rFonts w:ascii="Arial" w:hAnsi="Arial" w:cs="Arial"/>
          <w:sz w:val="22"/>
          <w:szCs w:val="22"/>
          <w:lang w:val="en-US"/>
        </w:rPr>
        <w:t>Dijkers</w:t>
      </w:r>
      <w:r w:rsidR="002A6E08" w:rsidRPr="005144E4">
        <w:rPr>
          <w:rFonts w:ascii="Arial" w:hAnsi="Arial" w:cs="Arial"/>
          <w:sz w:val="22"/>
          <w:szCs w:val="22"/>
          <w:lang w:val="en-US"/>
        </w:rPr>
        <w:t xml:space="preserve">, </w:t>
      </w:r>
      <w:r w:rsidRPr="005144E4">
        <w:rPr>
          <w:rFonts w:ascii="Arial" w:hAnsi="Arial" w:cs="Arial"/>
          <w:sz w:val="22"/>
          <w:szCs w:val="22"/>
          <w:lang w:val="en-US"/>
        </w:rPr>
        <w:t>2009).</w:t>
      </w:r>
      <w:r w:rsidRPr="0022405F">
        <w:rPr>
          <w:rFonts w:ascii="Arial" w:hAnsi="Arial" w:cs="Arial"/>
          <w:sz w:val="22"/>
          <w:szCs w:val="22"/>
          <w:lang w:val="en-US"/>
        </w:rPr>
        <w:t xml:space="preserve"> </w:t>
      </w:r>
      <w:r w:rsidR="00FE5E45">
        <w:rPr>
          <w:rFonts w:ascii="Arial" w:hAnsi="Arial" w:cs="Arial"/>
          <w:sz w:val="22"/>
          <w:szCs w:val="22"/>
          <w:lang w:val="en-US"/>
        </w:rPr>
        <w:t xml:space="preserve">However, </w:t>
      </w:r>
      <w:r w:rsidR="00FE5E45" w:rsidRPr="0022405F">
        <w:rPr>
          <w:rFonts w:ascii="Arial" w:hAnsi="Arial" w:cs="Arial"/>
          <w:sz w:val="22"/>
          <w:szCs w:val="22"/>
          <w:lang w:val="en-US"/>
        </w:rPr>
        <w:t xml:space="preserve">a preliminary scoping review </w:t>
      </w:r>
      <w:r w:rsidR="00441DB8">
        <w:rPr>
          <w:rFonts w:ascii="Arial" w:hAnsi="Arial" w:cs="Arial"/>
          <w:sz w:val="22"/>
          <w:szCs w:val="22"/>
          <w:lang w:val="en-US"/>
        </w:rPr>
        <w:t>was</w:t>
      </w:r>
      <w:r w:rsidR="00FE5E45">
        <w:rPr>
          <w:rFonts w:ascii="Arial" w:hAnsi="Arial" w:cs="Arial"/>
          <w:sz w:val="22"/>
          <w:szCs w:val="22"/>
          <w:lang w:val="en-US"/>
        </w:rPr>
        <w:t xml:space="preserve"> used in this context in order to </w:t>
      </w:r>
      <w:r w:rsidR="00FE5E45" w:rsidRPr="0022405F">
        <w:rPr>
          <w:rFonts w:ascii="Arial" w:hAnsi="Arial" w:cs="Arial"/>
          <w:sz w:val="22"/>
          <w:szCs w:val="22"/>
          <w:lang w:val="en-US"/>
        </w:rPr>
        <w:t>assist in developing a broad overview of the literature and help develop the most effective search strategy</w:t>
      </w:r>
      <w:r w:rsidR="00FE5E45">
        <w:rPr>
          <w:rFonts w:ascii="Arial" w:hAnsi="Arial" w:cs="Arial"/>
          <w:sz w:val="22"/>
          <w:szCs w:val="22"/>
          <w:lang w:val="en-US"/>
        </w:rPr>
        <w:t xml:space="preserve"> for a systematic review (Davis, Grey and Gould, 2009)</w:t>
      </w:r>
      <w:r w:rsidR="00FE5E45" w:rsidRPr="0022405F">
        <w:rPr>
          <w:rFonts w:ascii="Arial" w:hAnsi="Arial" w:cs="Arial"/>
          <w:sz w:val="22"/>
          <w:szCs w:val="22"/>
          <w:lang w:val="en-US"/>
        </w:rPr>
        <w:t xml:space="preserve">. </w:t>
      </w:r>
      <w:r w:rsidRPr="0022405F">
        <w:rPr>
          <w:rFonts w:ascii="Arial" w:hAnsi="Arial" w:cs="Arial"/>
          <w:sz w:val="22"/>
          <w:szCs w:val="22"/>
          <w:lang w:val="en-US"/>
        </w:rPr>
        <w:t xml:space="preserve"> Common criticisms</w:t>
      </w:r>
      <w:r w:rsidR="00FE5E45">
        <w:rPr>
          <w:rFonts w:ascii="Arial" w:hAnsi="Arial" w:cs="Arial"/>
          <w:sz w:val="22"/>
          <w:szCs w:val="22"/>
          <w:lang w:val="en-US"/>
        </w:rPr>
        <w:t xml:space="preserve"> of scoping reviews</w:t>
      </w:r>
      <w:r w:rsidRPr="0022405F">
        <w:rPr>
          <w:rFonts w:ascii="Arial" w:hAnsi="Arial" w:cs="Arial"/>
          <w:sz w:val="22"/>
          <w:szCs w:val="22"/>
          <w:lang w:val="en-US"/>
        </w:rPr>
        <w:t xml:space="preserve"> include a tendency to fail to disclose the inclusion criteria used for the search, failure to provide clear search terms and a failure to make explicit the search process so that it is reproducible (Dijkers</w:t>
      </w:r>
      <w:r w:rsidR="00C44262">
        <w:rPr>
          <w:rFonts w:ascii="Arial" w:hAnsi="Arial" w:cs="Arial"/>
          <w:sz w:val="22"/>
          <w:szCs w:val="22"/>
          <w:lang w:val="en-US"/>
        </w:rPr>
        <w:t>, 2009</w:t>
      </w:r>
      <w:r w:rsidRPr="0022405F">
        <w:rPr>
          <w:rFonts w:ascii="Arial" w:hAnsi="Arial" w:cs="Arial"/>
          <w:sz w:val="22"/>
          <w:szCs w:val="22"/>
          <w:lang w:val="en-US"/>
        </w:rPr>
        <w:t>). In order to mediate for these methodological concerns</w:t>
      </w:r>
      <w:r>
        <w:rPr>
          <w:rFonts w:ascii="Arial" w:hAnsi="Arial" w:cs="Arial"/>
          <w:sz w:val="22"/>
          <w:szCs w:val="22"/>
          <w:lang w:val="en-US"/>
        </w:rPr>
        <w:t xml:space="preserve">, but still incorporate the broader research narrative, </w:t>
      </w:r>
      <w:r w:rsidR="00FE5E45">
        <w:rPr>
          <w:rFonts w:ascii="Arial" w:hAnsi="Arial" w:cs="Arial"/>
          <w:sz w:val="22"/>
          <w:szCs w:val="22"/>
          <w:lang w:val="en-US"/>
        </w:rPr>
        <w:t xml:space="preserve">the initial scoping review will be followed by </w:t>
      </w:r>
      <w:r>
        <w:rPr>
          <w:rFonts w:ascii="Arial" w:hAnsi="Arial" w:cs="Arial"/>
          <w:sz w:val="22"/>
          <w:szCs w:val="22"/>
          <w:lang w:val="en-US"/>
        </w:rPr>
        <w:t>a systematic literature review</w:t>
      </w:r>
      <w:r w:rsidR="00FE5E45">
        <w:rPr>
          <w:rFonts w:ascii="Arial" w:hAnsi="Arial" w:cs="Arial"/>
          <w:sz w:val="22"/>
          <w:szCs w:val="22"/>
          <w:lang w:val="en-US"/>
        </w:rPr>
        <w:t>.</w:t>
      </w:r>
      <w:r>
        <w:rPr>
          <w:rFonts w:ascii="Arial" w:hAnsi="Arial" w:cs="Arial"/>
          <w:sz w:val="22"/>
          <w:szCs w:val="22"/>
          <w:lang w:val="en-US"/>
        </w:rPr>
        <w:t xml:space="preserve"> </w:t>
      </w:r>
    </w:p>
    <w:p w14:paraId="0F041901" w14:textId="3EB0BC1E" w:rsidR="00EA08A3" w:rsidRPr="0022405F" w:rsidRDefault="00EA08A3" w:rsidP="00EA08A3">
      <w:pPr>
        <w:widowControl w:val="0"/>
        <w:autoSpaceDE w:val="0"/>
        <w:autoSpaceDN w:val="0"/>
        <w:adjustRightInd w:val="0"/>
        <w:spacing w:after="240" w:line="480" w:lineRule="auto"/>
        <w:rPr>
          <w:rFonts w:ascii="Arial" w:hAnsi="Arial" w:cs="Arial"/>
          <w:sz w:val="22"/>
          <w:szCs w:val="22"/>
          <w:lang w:val="en-US"/>
        </w:rPr>
      </w:pPr>
      <w:r>
        <w:rPr>
          <w:rFonts w:ascii="Arial" w:hAnsi="Arial" w:cs="Arial"/>
          <w:sz w:val="22"/>
          <w:szCs w:val="22"/>
          <w:lang w:val="en-US"/>
        </w:rPr>
        <w:t xml:space="preserve">In this </w:t>
      </w:r>
      <w:r w:rsidR="00FE5E45">
        <w:rPr>
          <w:rFonts w:ascii="Arial" w:hAnsi="Arial" w:cs="Arial"/>
          <w:sz w:val="22"/>
          <w:szCs w:val="22"/>
          <w:lang w:val="en-US"/>
        </w:rPr>
        <w:t>initial scoping</w:t>
      </w:r>
      <w:r>
        <w:rPr>
          <w:rFonts w:ascii="Arial" w:hAnsi="Arial" w:cs="Arial"/>
          <w:sz w:val="22"/>
          <w:szCs w:val="22"/>
          <w:lang w:val="en-US"/>
        </w:rPr>
        <w:t xml:space="preserve"> review,</w:t>
      </w:r>
      <w:r w:rsidRPr="0022405F">
        <w:rPr>
          <w:rFonts w:ascii="Arial" w:hAnsi="Arial" w:cs="Arial"/>
          <w:sz w:val="22"/>
          <w:szCs w:val="22"/>
          <w:lang w:val="en-US"/>
        </w:rPr>
        <w:t xml:space="preserve"> </w:t>
      </w:r>
      <w:r>
        <w:rPr>
          <w:rFonts w:ascii="Arial" w:hAnsi="Arial" w:cs="Arial"/>
          <w:sz w:val="22"/>
          <w:szCs w:val="22"/>
          <w:lang w:val="en-US"/>
        </w:rPr>
        <w:t xml:space="preserve">English language </w:t>
      </w:r>
      <w:r w:rsidRPr="0022405F">
        <w:rPr>
          <w:rFonts w:ascii="Arial" w:hAnsi="Arial" w:cs="Arial"/>
          <w:sz w:val="22"/>
          <w:szCs w:val="22"/>
          <w:lang w:val="en-US"/>
        </w:rPr>
        <w:t>articles were examined in relation to their relevance in addressing the following question:</w:t>
      </w:r>
    </w:p>
    <w:p w14:paraId="2B3FF0DD" w14:textId="77777777" w:rsidR="00EA08A3" w:rsidRPr="0022405F" w:rsidRDefault="00EA08A3" w:rsidP="00934842">
      <w:pPr>
        <w:pStyle w:val="ListParagraph"/>
        <w:widowControl w:val="0"/>
        <w:numPr>
          <w:ilvl w:val="0"/>
          <w:numId w:val="1"/>
        </w:numPr>
        <w:autoSpaceDE w:val="0"/>
        <w:autoSpaceDN w:val="0"/>
        <w:adjustRightInd w:val="0"/>
        <w:spacing w:after="240" w:line="480" w:lineRule="auto"/>
        <w:rPr>
          <w:rFonts w:ascii="Arial" w:hAnsi="Arial" w:cs="Arial"/>
          <w:sz w:val="22"/>
          <w:szCs w:val="22"/>
          <w:lang w:val="en-US"/>
        </w:rPr>
      </w:pPr>
      <w:r w:rsidRPr="0022405F">
        <w:rPr>
          <w:rFonts w:ascii="Arial" w:hAnsi="Arial" w:cs="Arial"/>
          <w:sz w:val="22"/>
          <w:szCs w:val="22"/>
          <w:lang w:val="en-US"/>
        </w:rPr>
        <w:t xml:space="preserve">What therapist variables correlate with clinical outcome in </w:t>
      </w:r>
      <w:r>
        <w:rPr>
          <w:rFonts w:ascii="Arial" w:hAnsi="Arial" w:cs="Arial"/>
          <w:sz w:val="22"/>
          <w:szCs w:val="22"/>
          <w:lang w:val="en-US"/>
        </w:rPr>
        <w:t>cognitive behavioural therapy?</w:t>
      </w:r>
    </w:p>
    <w:p w14:paraId="6ADD0485" w14:textId="7F850A29" w:rsidR="00EA08A3" w:rsidRDefault="00EA08A3" w:rsidP="00EA08A3">
      <w:pPr>
        <w:widowControl w:val="0"/>
        <w:autoSpaceDE w:val="0"/>
        <w:autoSpaceDN w:val="0"/>
        <w:adjustRightInd w:val="0"/>
        <w:spacing w:after="240" w:line="480" w:lineRule="auto"/>
        <w:rPr>
          <w:rFonts w:ascii="Arial" w:hAnsi="Arial" w:cs="Arial"/>
          <w:sz w:val="22"/>
          <w:szCs w:val="22"/>
          <w:lang w:val="en-US"/>
        </w:rPr>
      </w:pPr>
      <w:r w:rsidRPr="0022405F">
        <w:rPr>
          <w:rFonts w:ascii="Arial" w:hAnsi="Arial" w:cs="Arial"/>
          <w:sz w:val="22"/>
          <w:szCs w:val="22"/>
          <w:lang w:val="en-US"/>
        </w:rPr>
        <w:t>This question was developed with the function of developing a better understanding of what is currently known about</w:t>
      </w:r>
      <w:r>
        <w:rPr>
          <w:rFonts w:ascii="Arial" w:hAnsi="Arial" w:cs="Arial"/>
          <w:sz w:val="22"/>
          <w:szCs w:val="22"/>
          <w:lang w:val="en-US"/>
        </w:rPr>
        <w:t xml:space="preserve"> what therapist variables relate to outcomes in CBT, not just in IAPT but in other clinical settings and in research settings.</w:t>
      </w:r>
      <w:r w:rsidRPr="0022405F">
        <w:rPr>
          <w:rFonts w:ascii="Arial" w:hAnsi="Arial" w:cs="Arial"/>
          <w:sz w:val="22"/>
          <w:szCs w:val="22"/>
          <w:lang w:val="en-US"/>
        </w:rPr>
        <w:t xml:space="preserve"> The scoping review yielded </w:t>
      </w:r>
      <w:r w:rsidR="00FE5E45">
        <w:rPr>
          <w:rFonts w:ascii="Arial" w:hAnsi="Arial" w:cs="Arial"/>
          <w:sz w:val="22"/>
          <w:szCs w:val="22"/>
          <w:lang w:val="en-US"/>
        </w:rPr>
        <w:t>2,607</w:t>
      </w:r>
      <w:r w:rsidRPr="0022405F">
        <w:rPr>
          <w:rFonts w:ascii="Arial" w:hAnsi="Arial" w:cs="Arial"/>
          <w:sz w:val="22"/>
          <w:szCs w:val="22"/>
          <w:lang w:val="en-US"/>
        </w:rPr>
        <w:t xml:space="preserve"> possible resources. A total of eight data bases were identified as most likely to contain </w:t>
      </w:r>
      <w:r w:rsidRPr="0022405F">
        <w:rPr>
          <w:rFonts w:ascii="Arial" w:hAnsi="Arial" w:cs="Arial"/>
          <w:sz w:val="22"/>
          <w:szCs w:val="22"/>
          <w:lang w:val="en-US"/>
        </w:rPr>
        <w:lastRenderedPageBreak/>
        <w:t xml:space="preserve">relevant materials. The databases identified were; SCOPUS, MEDLINE, PsycARTICLES, PsycINFO, PubMedCentral, Proquest, JOSTOR, Psychology and Behavioural Sciences.   The identified data bases were searched for relevant publications between </w:t>
      </w:r>
      <w:r w:rsidR="000B43F2">
        <w:rPr>
          <w:rFonts w:ascii="Arial" w:hAnsi="Arial" w:cs="Arial"/>
          <w:sz w:val="22"/>
          <w:szCs w:val="22"/>
          <w:lang w:val="en-US"/>
        </w:rPr>
        <w:t>197</w:t>
      </w:r>
      <w:r w:rsidR="00E527DB">
        <w:rPr>
          <w:rFonts w:ascii="Arial" w:hAnsi="Arial" w:cs="Arial"/>
          <w:sz w:val="22"/>
          <w:szCs w:val="22"/>
          <w:lang w:val="en-US"/>
        </w:rPr>
        <w:t>0</w:t>
      </w:r>
      <w:r w:rsidR="000B43F2">
        <w:rPr>
          <w:rFonts w:ascii="Arial" w:hAnsi="Arial" w:cs="Arial"/>
          <w:sz w:val="22"/>
          <w:szCs w:val="22"/>
          <w:lang w:val="en-US"/>
        </w:rPr>
        <w:t xml:space="preserve"> </w:t>
      </w:r>
      <w:r w:rsidRPr="0022405F">
        <w:rPr>
          <w:rFonts w:ascii="Arial" w:hAnsi="Arial" w:cs="Arial"/>
          <w:sz w:val="22"/>
          <w:szCs w:val="22"/>
          <w:lang w:val="en-US"/>
        </w:rPr>
        <w:t>and the current time (</w:t>
      </w:r>
      <w:r w:rsidR="00FE5E45">
        <w:rPr>
          <w:rFonts w:ascii="Arial" w:hAnsi="Arial" w:cs="Arial"/>
          <w:sz w:val="22"/>
          <w:szCs w:val="22"/>
          <w:lang w:val="en-US"/>
        </w:rPr>
        <w:t>September</w:t>
      </w:r>
      <w:r w:rsidR="000B43F2">
        <w:rPr>
          <w:rFonts w:ascii="Arial" w:hAnsi="Arial" w:cs="Arial"/>
          <w:sz w:val="22"/>
          <w:szCs w:val="22"/>
          <w:lang w:val="en-US"/>
        </w:rPr>
        <w:t>,</w:t>
      </w:r>
      <w:r w:rsidR="00FE5E45">
        <w:rPr>
          <w:rFonts w:ascii="Arial" w:hAnsi="Arial" w:cs="Arial"/>
          <w:sz w:val="22"/>
          <w:szCs w:val="22"/>
          <w:lang w:val="en-US"/>
        </w:rPr>
        <w:t xml:space="preserve"> </w:t>
      </w:r>
      <w:r w:rsidR="000B43F2">
        <w:rPr>
          <w:rFonts w:ascii="Arial" w:hAnsi="Arial" w:cs="Arial"/>
          <w:sz w:val="22"/>
          <w:szCs w:val="22"/>
          <w:lang w:val="en-US"/>
        </w:rPr>
        <w:t>2019</w:t>
      </w:r>
      <w:r w:rsidRPr="0022405F">
        <w:rPr>
          <w:rFonts w:ascii="Arial" w:hAnsi="Arial" w:cs="Arial"/>
          <w:sz w:val="22"/>
          <w:szCs w:val="22"/>
          <w:lang w:val="en-US"/>
        </w:rPr>
        <w:t>).</w:t>
      </w:r>
      <w:r w:rsidR="000B43F2">
        <w:rPr>
          <w:rFonts w:ascii="Arial" w:hAnsi="Arial" w:cs="Arial"/>
          <w:sz w:val="22"/>
          <w:szCs w:val="22"/>
          <w:lang w:val="en-US"/>
        </w:rPr>
        <w:t xml:space="preserve"> </w:t>
      </w:r>
      <w:r w:rsidR="00E527DB">
        <w:rPr>
          <w:rFonts w:ascii="Arial" w:hAnsi="Arial" w:cs="Arial"/>
          <w:sz w:val="22"/>
          <w:szCs w:val="22"/>
          <w:lang w:val="en-US"/>
        </w:rPr>
        <w:t xml:space="preserve">The seminal papers on CBT were published in the 1970’s and the most widely cited </w:t>
      </w:r>
      <w:r w:rsidR="000B43F2">
        <w:rPr>
          <w:rFonts w:ascii="Arial" w:hAnsi="Arial" w:cs="Arial"/>
          <w:sz w:val="22"/>
          <w:szCs w:val="22"/>
          <w:lang w:val="en-US"/>
        </w:rPr>
        <w:t>paper</w:t>
      </w:r>
      <w:r w:rsidR="00E527DB">
        <w:rPr>
          <w:rFonts w:ascii="Arial" w:hAnsi="Arial" w:cs="Arial"/>
          <w:sz w:val="22"/>
          <w:szCs w:val="22"/>
          <w:lang w:val="en-US"/>
        </w:rPr>
        <w:t>, on</w:t>
      </w:r>
      <w:r w:rsidR="000B43F2">
        <w:rPr>
          <w:rFonts w:ascii="Arial" w:hAnsi="Arial" w:cs="Arial"/>
          <w:sz w:val="22"/>
          <w:szCs w:val="22"/>
          <w:lang w:val="en-US"/>
        </w:rPr>
        <w:t xml:space="preserve"> cognitive therapy</w:t>
      </w:r>
      <w:r w:rsidR="00E527DB">
        <w:rPr>
          <w:rFonts w:ascii="Arial" w:hAnsi="Arial" w:cs="Arial"/>
          <w:sz w:val="22"/>
          <w:szCs w:val="22"/>
          <w:lang w:val="en-US"/>
        </w:rPr>
        <w:t>,</w:t>
      </w:r>
      <w:r w:rsidR="000B43F2">
        <w:rPr>
          <w:rFonts w:ascii="Arial" w:hAnsi="Arial" w:cs="Arial"/>
          <w:sz w:val="22"/>
          <w:szCs w:val="22"/>
          <w:lang w:val="en-US"/>
        </w:rPr>
        <w:t xml:space="preserve"> was published by Beck, Rush, Shaw, and Emery in 1979</w:t>
      </w:r>
      <w:r w:rsidR="00E527DB">
        <w:rPr>
          <w:rFonts w:ascii="Arial" w:hAnsi="Arial" w:cs="Arial"/>
          <w:sz w:val="22"/>
          <w:szCs w:val="22"/>
          <w:lang w:val="en-US"/>
        </w:rPr>
        <w:t>.</w:t>
      </w:r>
      <w:r w:rsidR="000B43F2">
        <w:rPr>
          <w:rFonts w:ascii="Arial" w:hAnsi="Arial" w:cs="Arial"/>
          <w:sz w:val="22"/>
          <w:szCs w:val="22"/>
          <w:lang w:val="en-US"/>
        </w:rPr>
        <w:t xml:space="preserve"> </w:t>
      </w:r>
      <w:r w:rsidR="00E527DB">
        <w:rPr>
          <w:rFonts w:ascii="Arial" w:hAnsi="Arial" w:cs="Arial"/>
          <w:sz w:val="22"/>
          <w:szCs w:val="22"/>
          <w:lang w:val="en-US"/>
        </w:rPr>
        <w:t>T</w:t>
      </w:r>
      <w:r w:rsidRPr="0022405F">
        <w:rPr>
          <w:rFonts w:ascii="Arial" w:hAnsi="Arial" w:cs="Arial"/>
          <w:sz w:val="22"/>
          <w:szCs w:val="22"/>
          <w:lang w:val="en-US"/>
        </w:rPr>
        <w:t>herefore</w:t>
      </w:r>
      <w:r w:rsidR="008A3963">
        <w:rPr>
          <w:rFonts w:ascii="Arial" w:hAnsi="Arial" w:cs="Arial"/>
          <w:sz w:val="22"/>
          <w:szCs w:val="22"/>
          <w:lang w:val="en-US"/>
        </w:rPr>
        <w:t>,</w:t>
      </w:r>
      <w:r w:rsidRPr="0022405F">
        <w:rPr>
          <w:rFonts w:ascii="Arial" w:hAnsi="Arial" w:cs="Arial"/>
          <w:sz w:val="22"/>
          <w:szCs w:val="22"/>
          <w:lang w:val="en-US"/>
        </w:rPr>
        <w:t xml:space="preserve"> the years between </w:t>
      </w:r>
      <w:r w:rsidR="000B43F2">
        <w:rPr>
          <w:rFonts w:ascii="Arial" w:hAnsi="Arial" w:cs="Arial"/>
          <w:sz w:val="22"/>
          <w:szCs w:val="22"/>
          <w:lang w:val="en-US"/>
        </w:rPr>
        <w:t>197</w:t>
      </w:r>
      <w:r w:rsidR="00E527DB">
        <w:rPr>
          <w:rFonts w:ascii="Arial" w:hAnsi="Arial" w:cs="Arial"/>
          <w:sz w:val="22"/>
          <w:szCs w:val="22"/>
          <w:lang w:val="en-US"/>
        </w:rPr>
        <w:t>0</w:t>
      </w:r>
      <w:r w:rsidRPr="0022405F">
        <w:rPr>
          <w:rFonts w:ascii="Arial" w:hAnsi="Arial" w:cs="Arial"/>
          <w:sz w:val="22"/>
          <w:szCs w:val="22"/>
          <w:lang w:val="en-US"/>
        </w:rPr>
        <w:t xml:space="preserve"> and 201</w:t>
      </w:r>
      <w:r w:rsidR="000B43F2">
        <w:rPr>
          <w:rFonts w:ascii="Arial" w:hAnsi="Arial" w:cs="Arial"/>
          <w:sz w:val="22"/>
          <w:szCs w:val="22"/>
          <w:lang w:val="en-US"/>
        </w:rPr>
        <w:t>9</w:t>
      </w:r>
      <w:r w:rsidRPr="0022405F">
        <w:rPr>
          <w:rFonts w:ascii="Arial" w:hAnsi="Arial" w:cs="Arial"/>
          <w:sz w:val="22"/>
          <w:szCs w:val="22"/>
          <w:lang w:val="en-US"/>
        </w:rPr>
        <w:t xml:space="preserve"> were selected in order to ensure that all the available literature was examined. The initial search terms used in this review were kept broad. An initial search using the Boolean operators AND, OR and the terms </w:t>
      </w:r>
      <w:r w:rsidR="00FE5E45">
        <w:rPr>
          <w:rFonts w:ascii="Arial" w:hAnsi="Arial" w:cs="Arial"/>
          <w:sz w:val="22"/>
          <w:szCs w:val="22"/>
          <w:lang w:val="en-US"/>
        </w:rPr>
        <w:t>‘</w:t>
      </w:r>
      <w:r w:rsidRPr="0022405F">
        <w:rPr>
          <w:rFonts w:ascii="Arial" w:hAnsi="Arial" w:cs="Arial"/>
          <w:sz w:val="22"/>
          <w:szCs w:val="22"/>
          <w:lang w:val="en-US"/>
        </w:rPr>
        <w:t>therapist effects</w:t>
      </w:r>
      <w:r w:rsidR="00FE5E45">
        <w:rPr>
          <w:rFonts w:ascii="Arial" w:hAnsi="Arial" w:cs="Arial"/>
          <w:sz w:val="22"/>
          <w:szCs w:val="22"/>
          <w:lang w:val="en-US"/>
        </w:rPr>
        <w:t>’</w:t>
      </w:r>
      <w:r w:rsidRPr="0022405F">
        <w:rPr>
          <w:rFonts w:ascii="Arial" w:hAnsi="Arial" w:cs="Arial"/>
          <w:sz w:val="22"/>
          <w:szCs w:val="22"/>
          <w:lang w:val="en-US"/>
        </w:rPr>
        <w:t xml:space="preserve">, </w:t>
      </w:r>
      <w:r w:rsidR="00FE5E45">
        <w:rPr>
          <w:rFonts w:ascii="Arial" w:hAnsi="Arial" w:cs="Arial"/>
          <w:sz w:val="22"/>
          <w:szCs w:val="22"/>
          <w:lang w:val="en-US"/>
        </w:rPr>
        <w:t>‘</w:t>
      </w:r>
      <w:r w:rsidRPr="0022405F">
        <w:rPr>
          <w:rFonts w:ascii="Arial" w:hAnsi="Arial" w:cs="Arial"/>
          <w:sz w:val="22"/>
          <w:szCs w:val="22"/>
          <w:lang w:val="en-US"/>
        </w:rPr>
        <w:t>therapist variables</w:t>
      </w:r>
      <w:r w:rsidR="00FE5E45">
        <w:rPr>
          <w:rFonts w:ascii="Arial" w:hAnsi="Arial" w:cs="Arial"/>
          <w:sz w:val="22"/>
          <w:szCs w:val="22"/>
          <w:lang w:val="en-US"/>
        </w:rPr>
        <w:t>’</w:t>
      </w:r>
      <w:r w:rsidRPr="0022405F">
        <w:rPr>
          <w:rFonts w:ascii="Arial" w:hAnsi="Arial" w:cs="Arial"/>
          <w:sz w:val="22"/>
          <w:szCs w:val="22"/>
          <w:lang w:val="en-US"/>
        </w:rPr>
        <w:t xml:space="preserve"> and outcome yielded </w:t>
      </w:r>
      <w:r w:rsidR="00FE5E45">
        <w:rPr>
          <w:rFonts w:ascii="Arial" w:hAnsi="Arial" w:cs="Arial"/>
          <w:sz w:val="22"/>
          <w:szCs w:val="22"/>
          <w:lang w:val="en-US"/>
        </w:rPr>
        <w:t>the 2,607 possible</w:t>
      </w:r>
      <w:r w:rsidRPr="0022405F">
        <w:rPr>
          <w:rFonts w:ascii="Arial" w:hAnsi="Arial" w:cs="Arial"/>
          <w:sz w:val="22"/>
          <w:szCs w:val="22"/>
          <w:lang w:val="en-US"/>
        </w:rPr>
        <w:t xml:space="preserve"> resources in SCOPUS, 285 in MEDLINE, 121 in PsychARTICLES, 706 in PsychINFO, 1019 in PubMedCentral, 278 in </w:t>
      </w:r>
      <w:r w:rsidR="00FE5E45">
        <w:rPr>
          <w:rFonts w:ascii="Arial" w:hAnsi="Arial" w:cs="Arial"/>
          <w:sz w:val="22"/>
          <w:szCs w:val="22"/>
          <w:lang w:val="en-US"/>
        </w:rPr>
        <w:t>Proquest</w:t>
      </w:r>
      <w:r w:rsidRPr="0022405F">
        <w:rPr>
          <w:rFonts w:ascii="Arial" w:hAnsi="Arial" w:cs="Arial"/>
          <w:sz w:val="22"/>
          <w:szCs w:val="22"/>
          <w:lang w:val="en-US"/>
        </w:rPr>
        <w:t>, 98 in JSTOR, and 100 in Psychology and Behavioural Sciences.  All English language papers and books that discussed therapist effects or variables and their relationship with clinical outcome, regardless of the clinical setting, psychological modality or the mental health disorder being treated, were examined for themes and empirical evidence. After excluding duplicates</w:t>
      </w:r>
      <w:r w:rsidR="002E65E5">
        <w:rPr>
          <w:rFonts w:ascii="Arial" w:hAnsi="Arial" w:cs="Arial"/>
          <w:sz w:val="22"/>
          <w:szCs w:val="22"/>
          <w:lang w:val="en-US"/>
        </w:rPr>
        <w:t xml:space="preserve"> and obviously irrelevant articles</w:t>
      </w:r>
      <w:r w:rsidR="00450F6A">
        <w:rPr>
          <w:rFonts w:ascii="Arial" w:hAnsi="Arial" w:cs="Arial"/>
          <w:sz w:val="22"/>
          <w:szCs w:val="22"/>
          <w:lang w:val="en-US"/>
        </w:rPr>
        <w:t>,</w:t>
      </w:r>
      <w:r w:rsidRPr="0022405F">
        <w:rPr>
          <w:rFonts w:ascii="Arial" w:hAnsi="Arial" w:cs="Arial"/>
          <w:sz w:val="22"/>
          <w:szCs w:val="22"/>
          <w:lang w:val="en-US"/>
        </w:rPr>
        <w:t xml:space="preserve"> there were 227 papers that related to therapist variables and clinical outcome. In order to ensure that all available literature was examined, the reference sections from these 227 papers w</w:t>
      </w:r>
      <w:r w:rsidR="00441DB8">
        <w:rPr>
          <w:rFonts w:ascii="Arial" w:hAnsi="Arial" w:cs="Arial"/>
          <w:sz w:val="22"/>
          <w:szCs w:val="22"/>
          <w:lang w:val="en-US"/>
        </w:rPr>
        <w:t>ere</w:t>
      </w:r>
      <w:r w:rsidRPr="0022405F">
        <w:rPr>
          <w:rFonts w:ascii="Arial" w:hAnsi="Arial" w:cs="Arial"/>
          <w:sz w:val="22"/>
          <w:szCs w:val="22"/>
          <w:lang w:val="en-US"/>
        </w:rPr>
        <w:t xml:space="preserve"> examined. This process i</w:t>
      </w:r>
      <w:r w:rsidR="00E527DB">
        <w:rPr>
          <w:rFonts w:ascii="Arial" w:hAnsi="Arial" w:cs="Arial"/>
          <w:sz w:val="22"/>
          <w:szCs w:val="22"/>
          <w:lang w:val="en-US"/>
        </w:rPr>
        <w:t>s</w:t>
      </w:r>
      <w:r w:rsidRPr="0022405F">
        <w:rPr>
          <w:rFonts w:ascii="Arial" w:hAnsi="Arial" w:cs="Arial"/>
          <w:sz w:val="22"/>
          <w:szCs w:val="22"/>
          <w:lang w:val="en-US"/>
        </w:rPr>
        <w:t xml:space="preserve"> known as snowballing and has been demonstrated as an effective approach to exploring the development of the evidence base and ensuring no studies are missed (Papaioannou, Sutton, Carroll, Booth and Wong</w:t>
      </w:r>
      <w:r w:rsidR="006533AE">
        <w:rPr>
          <w:rFonts w:ascii="Arial" w:hAnsi="Arial" w:cs="Arial"/>
          <w:sz w:val="22"/>
          <w:szCs w:val="22"/>
          <w:lang w:val="en-US"/>
        </w:rPr>
        <w:t>,</w:t>
      </w:r>
      <w:r w:rsidRPr="0022405F">
        <w:rPr>
          <w:rFonts w:ascii="Arial" w:hAnsi="Arial" w:cs="Arial"/>
          <w:sz w:val="22"/>
          <w:szCs w:val="22"/>
          <w:lang w:val="en-US"/>
        </w:rPr>
        <w:t xml:space="preserve"> 2010).  A further </w:t>
      </w:r>
      <w:r w:rsidR="00441DB8">
        <w:rPr>
          <w:rFonts w:ascii="Arial" w:hAnsi="Arial" w:cs="Arial"/>
          <w:sz w:val="22"/>
          <w:szCs w:val="22"/>
          <w:lang w:val="en-US"/>
        </w:rPr>
        <w:t xml:space="preserve">57 </w:t>
      </w:r>
      <w:r w:rsidRPr="0022405F">
        <w:rPr>
          <w:rFonts w:ascii="Arial" w:hAnsi="Arial" w:cs="Arial"/>
          <w:sz w:val="22"/>
          <w:szCs w:val="22"/>
          <w:lang w:val="en-US"/>
        </w:rPr>
        <w:t>papers were identified from the snowballing search. Of the resulting 2</w:t>
      </w:r>
      <w:r w:rsidR="00441DB8">
        <w:rPr>
          <w:rFonts w:ascii="Arial" w:hAnsi="Arial" w:cs="Arial"/>
          <w:sz w:val="22"/>
          <w:szCs w:val="22"/>
          <w:lang w:val="en-US"/>
        </w:rPr>
        <w:t>84</w:t>
      </w:r>
      <w:r w:rsidRPr="0022405F">
        <w:rPr>
          <w:rFonts w:ascii="Arial" w:hAnsi="Arial" w:cs="Arial"/>
          <w:sz w:val="22"/>
          <w:szCs w:val="22"/>
          <w:lang w:val="en-US"/>
        </w:rPr>
        <w:t xml:space="preserve"> sources </w:t>
      </w:r>
      <w:r w:rsidR="00441DB8">
        <w:rPr>
          <w:rFonts w:ascii="Arial" w:hAnsi="Arial" w:cs="Arial"/>
          <w:sz w:val="22"/>
          <w:szCs w:val="22"/>
          <w:lang w:val="en-US"/>
        </w:rPr>
        <w:t xml:space="preserve">199 </w:t>
      </w:r>
      <w:r w:rsidRPr="0022405F">
        <w:rPr>
          <w:rFonts w:ascii="Arial" w:hAnsi="Arial" w:cs="Arial"/>
          <w:sz w:val="22"/>
          <w:szCs w:val="22"/>
          <w:lang w:val="en-US"/>
        </w:rPr>
        <w:t>directly discussed therapist</w:t>
      </w:r>
      <w:r w:rsidR="00441DB8">
        <w:rPr>
          <w:rFonts w:ascii="Arial" w:hAnsi="Arial" w:cs="Arial"/>
          <w:sz w:val="22"/>
          <w:szCs w:val="22"/>
          <w:lang w:val="en-US"/>
        </w:rPr>
        <w:t xml:space="preserve"> variables in the context of</w:t>
      </w:r>
      <w:r w:rsidRPr="0022405F">
        <w:rPr>
          <w:rFonts w:ascii="Arial" w:hAnsi="Arial" w:cs="Arial"/>
          <w:sz w:val="22"/>
          <w:szCs w:val="22"/>
          <w:lang w:val="en-US"/>
        </w:rPr>
        <w:t xml:space="preserve"> </w:t>
      </w:r>
      <w:r w:rsidR="00441DB8">
        <w:rPr>
          <w:rFonts w:ascii="Arial" w:hAnsi="Arial" w:cs="Arial"/>
          <w:sz w:val="22"/>
          <w:szCs w:val="22"/>
          <w:lang w:val="en-US"/>
        </w:rPr>
        <w:t xml:space="preserve">modalities other than CBT. These areas of research related to therapists </w:t>
      </w:r>
      <w:r w:rsidRPr="0022405F">
        <w:rPr>
          <w:rFonts w:ascii="Arial" w:hAnsi="Arial" w:cs="Arial"/>
          <w:sz w:val="22"/>
          <w:szCs w:val="22"/>
          <w:lang w:val="en-US"/>
        </w:rPr>
        <w:t>working with children and young people</w:t>
      </w:r>
      <w:r w:rsidR="00441DB8">
        <w:rPr>
          <w:rFonts w:ascii="Arial" w:hAnsi="Arial" w:cs="Arial"/>
          <w:sz w:val="22"/>
          <w:szCs w:val="22"/>
          <w:lang w:val="en-US"/>
        </w:rPr>
        <w:t>, therapists working in other therapy modalities such as psychodynamic, systemic therapy and counselling and variables relating to clinicians working with patients with physical health conditions.</w:t>
      </w:r>
      <w:r w:rsidRPr="0022405F">
        <w:rPr>
          <w:rFonts w:ascii="Arial" w:hAnsi="Arial" w:cs="Arial"/>
          <w:sz w:val="22"/>
          <w:szCs w:val="22"/>
          <w:lang w:val="en-US"/>
        </w:rPr>
        <w:t xml:space="preserve"> Whilst th</w:t>
      </w:r>
      <w:r w:rsidR="00441DB8">
        <w:rPr>
          <w:rFonts w:ascii="Arial" w:hAnsi="Arial" w:cs="Arial"/>
          <w:sz w:val="22"/>
          <w:szCs w:val="22"/>
          <w:lang w:val="en-US"/>
        </w:rPr>
        <w:t>ese</w:t>
      </w:r>
      <w:r w:rsidRPr="0022405F">
        <w:rPr>
          <w:rFonts w:ascii="Arial" w:hAnsi="Arial" w:cs="Arial"/>
          <w:sz w:val="22"/>
          <w:szCs w:val="22"/>
          <w:lang w:val="en-US"/>
        </w:rPr>
        <w:t xml:space="preserve"> area</w:t>
      </w:r>
      <w:r w:rsidR="00441DB8">
        <w:rPr>
          <w:rFonts w:ascii="Arial" w:hAnsi="Arial" w:cs="Arial"/>
          <w:sz w:val="22"/>
          <w:szCs w:val="22"/>
          <w:lang w:val="en-US"/>
        </w:rPr>
        <w:t>s</w:t>
      </w:r>
      <w:r w:rsidRPr="0022405F">
        <w:rPr>
          <w:rFonts w:ascii="Arial" w:hAnsi="Arial" w:cs="Arial"/>
          <w:sz w:val="22"/>
          <w:szCs w:val="22"/>
          <w:lang w:val="en-US"/>
        </w:rPr>
        <w:t xml:space="preserve"> </w:t>
      </w:r>
      <w:r w:rsidR="00441DB8">
        <w:rPr>
          <w:rFonts w:ascii="Arial" w:hAnsi="Arial" w:cs="Arial"/>
          <w:sz w:val="22"/>
          <w:szCs w:val="22"/>
          <w:lang w:val="en-US"/>
        </w:rPr>
        <w:t>were</w:t>
      </w:r>
      <w:r w:rsidRPr="0022405F">
        <w:rPr>
          <w:rFonts w:ascii="Arial" w:hAnsi="Arial" w:cs="Arial"/>
          <w:sz w:val="22"/>
          <w:szCs w:val="22"/>
          <w:lang w:val="en-US"/>
        </w:rPr>
        <w:t xml:space="preserve"> beyond the scope of this study, the papers were examined to ensure that they did not include new or important material</w:t>
      </w:r>
      <w:r w:rsidR="00441DB8">
        <w:rPr>
          <w:rFonts w:ascii="Arial" w:hAnsi="Arial" w:cs="Arial"/>
          <w:sz w:val="22"/>
          <w:szCs w:val="22"/>
          <w:lang w:val="en-US"/>
        </w:rPr>
        <w:t xml:space="preserve">. </w:t>
      </w:r>
      <w:r w:rsidRPr="0022405F">
        <w:rPr>
          <w:rFonts w:ascii="Arial" w:hAnsi="Arial" w:cs="Arial"/>
          <w:sz w:val="22"/>
          <w:szCs w:val="22"/>
          <w:lang w:val="en-US"/>
        </w:rPr>
        <w:t xml:space="preserve">The remaining </w:t>
      </w:r>
      <w:r w:rsidR="00441DB8">
        <w:rPr>
          <w:rFonts w:ascii="Arial" w:hAnsi="Arial" w:cs="Arial"/>
          <w:sz w:val="22"/>
          <w:szCs w:val="22"/>
          <w:lang w:val="en-US"/>
        </w:rPr>
        <w:t xml:space="preserve">85 </w:t>
      </w:r>
      <w:r w:rsidRPr="0022405F">
        <w:rPr>
          <w:rFonts w:ascii="Arial" w:hAnsi="Arial" w:cs="Arial"/>
          <w:sz w:val="22"/>
          <w:szCs w:val="22"/>
          <w:lang w:val="en-US"/>
        </w:rPr>
        <w:t>papers were examined for themes in relation to therapist variables and cognitive behavioural therapy clinical outcomes</w:t>
      </w:r>
      <w:r w:rsidR="00E527DB">
        <w:rPr>
          <w:rFonts w:ascii="Arial" w:hAnsi="Arial" w:cs="Arial"/>
          <w:sz w:val="22"/>
          <w:szCs w:val="22"/>
          <w:lang w:val="en-US"/>
        </w:rPr>
        <w:t>.</w:t>
      </w:r>
      <w:r w:rsidRPr="0022405F">
        <w:rPr>
          <w:rFonts w:ascii="Arial" w:hAnsi="Arial" w:cs="Arial"/>
          <w:sz w:val="22"/>
          <w:szCs w:val="22"/>
          <w:lang w:val="en-US"/>
        </w:rPr>
        <w:t xml:space="preserve"> </w:t>
      </w:r>
      <w:r w:rsidRPr="0022405F">
        <w:rPr>
          <w:rFonts w:ascii="Arial" w:hAnsi="Arial" w:cs="Arial"/>
          <w:sz w:val="22"/>
          <w:szCs w:val="22"/>
          <w:lang w:val="en-US"/>
        </w:rPr>
        <w:lastRenderedPageBreak/>
        <w:t>Thirty papers discussed cognitive behavioural therapist variables and their relationship to clinical outcomes</w:t>
      </w:r>
      <w:r w:rsidR="00E527DB">
        <w:rPr>
          <w:rFonts w:ascii="Arial" w:hAnsi="Arial" w:cs="Arial"/>
          <w:sz w:val="22"/>
          <w:szCs w:val="22"/>
          <w:lang w:val="en-US"/>
        </w:rPr>
        <w:t>.</w:t>
      </w:r>
      <w:r w:rsidRPr="0022405F">
        <w:rPr>
          <w:rFonts w:ascii="Arial" w:hAnsi="Arial" w:cs="Arial"/>
          <w:sz w:val="22"/>
          <w:szCs w:val="22"/>
          <w:lang w:val="en-US"/>
        </w:rPr>
        <w:t xml:space="preserve">  </w:t>
      </w:r>
      <w:r w:rsidR="00CB5FB6">
        <w:rPr>
          <w:rFonts w:ascii="Arial" w:hAnsi="Arial" w:cs="Arial"/>
          <w:sz w:val="22"/>
          <w:szCs w:val="22"/>
          <w:lang w:val="en-US"/>
        </w:rPr>
        <w:t>Eighteen</w:t>
      </w:r>
      <w:r w:rsidRPr="0022405F">
        <w:rPr>
          <w:rFonts w:ascii="Arial" w:hAnsi="Arial" w:cs="Arial"/>
          <w:sz w:val="22"/>
          <w:szCs w:val="22"/>
          <w:lang w:val="en-US"/>
        </w:rPr>
        <w:t xml:space="preserve"> papers directly discussed High Intensity cognitive behavioural therapists (or High Intensity trainees)</w:t>
      </w:r>
      <w:r w:rsidR="00441DB8">
        <w:rPr>
          <w:rFonts w:ascii="Arial" w:hAnsi="Arial" w:cs="Arial"/>
          <w:sz w:val="22"/>
          <w:szCs w:val="22"/>
          <w:lang w:val="en-US"/>
        </w:rPr>
        <w:t>. Twelve</w:t>
      </w:r>
      <w:r w:rsidRPr="0022405F">
        <w:rPr>
          <w:rFonts w:ascii="Arial" w:hAnsi="Arial" w:cs="Arial"/>
          <w:sz w:val="22"/>
          <w:szCs w:val="22"/>
          <w:lang w:val="en-US"/>
        </w:rPr>
        <w:t xml:space="preserve"> papers discussed therapist variables in Low Intensity (step 2) clinicians. </w:t>
      </w:r>
      <w:r w:rsidR="000C661A">
        <w:rPr>
          <w:rFonts w:ascii="Arial" w:hAnsi="Arial" w:cs="Arial"/>
          <w:sz w:val="22"/>
          <w:szCs w:val="22"/>
          <w:lang w:val="en-US"/>
        </w:rPr>
        <w:t xml:space="preserve">The remaining </w:t>
      </w:r>
      <w:r w:rsidR="00441DB8">
        <w:rPr>
          <w:rFonts w:ascii="Arial" w:hAnsi="Arial" w:cs="Arial"/>
          <w:sz w:val="22"/>
          <w:szCs w:val="22"/>
          <w:lang w:val="en-US"/>
        </w:rPr>
        <w:t>25</w:t>
      </w:r>
      <w:r w:rsidR="000C661A">
        <w:rPr>
          <w:rFonts w:ascii="Arial" w:hAnsi="Arial" w:cs="Arial"/>
          <w:sz w:val="22"/>
          <w:szCs w:val="22"/>
          <w:lang w:val="en-US"/>
        </w:rPr>
        <w:t xml:space="preserve"> </w:t>
      </w:r>
      <w:r w:rsidR="00441DB8">
        <w:rPr>
          <w:rFonts w:ascii="Arial" w:hAnsi="Arial" w:cs="Arial"/>
          <w:sz w:val="22"/>
          <w:szCs w:val="22"/>
          <w:lang w:val="en-US"/>
        </w:rPr>
        <w:t>sources</w:t>
      </w:r>
      <w:r w:rsidR="000C661A">
        <w:rPr>
          <w:rFonts w:ascii="Arial" w:hAnsi="Arial" w:cs="Arial"/>
          <w:sz w:val="22"/>
          <w:szCs w:val="22"/>
          <w:lang w:val="en-US"/>
        </w:rPr>
        <w:t xml:space="preserve"> </w:t>
      </w:r>
      <w:r w:rsidR="00441DB8">
        <w:rPr>
          <w:rFonts w:ascii="Arial" w:hAnsi="Arial" w:cs="Arial"/>
          <w:sz w:val="22"/>
          <w:szCs w:val="22"/>
          <w:lang w:val="en-US"/>
        </w:rPr>
        <w:t xml:space="preserve">included material where it was unclear or unspecified what type of therapy the therapists were delivering or the therapy that was described was guided-self-help. </w:t>
      </w:r>
    </w:p>
    <w:p w14:paraId="2DE3D4F6" w14:textId="77777777" w:rsidR="00E164C2" w:rsidRDefault="00E164C2" w:rsidP="00EA08A3">
      <w:pPr>
        <w:widowControl w:val="0"/>
        <w:autoSpaceDE w:val="0"/>
        <w:autoSpaceDN w:val="0"/>
        <w:adjustRightInd w:val="0"/>
        <w:spacing w:after="240" w:line="480" w:lineRule="auto"/>
        <w:rPr>
          <w:rFonts w:ascii="Arial" w:hAnsi="Arial" w:cs="Arial"/>
          <w:sz w:val="22"/>
          <w:szCs w:val="22"/>
          <w:lang w:val="en-US"/>
        </w:rPr>
      </w:pPr>
    </w:p>
    <w:p w14:paraId="3497CF19" w14:textId="61CB0D7B" w:rsidR="00EA08A3" w:rsidRPr="00441DB8" w:rsidRDefault="00441DB8" w:rsidP="00441DB8">
      <w:pPr>
        <w:pStyle w:val="Heading3"/>
        <w:rPr>
          <w:rFonts w:cs="Arial"/>
          <w:color w:val="000000" w:themeColor="text1"/>
          <w:szCs w:val="22"/>
          <w:lang w:val="en-US"/>
        </w:rPr>
      </w:pPr>
      <w:bookmarkStart w:id="189" w:name="_Toc46770760"/>
      <w:bookmarkStart w:id="190" w:name="_Toc79414171"/>
      <w:r w:rsidRPr="00441DB8">
        <w:rPr>
          <w:rFonts w:cs="Arial"/>
          <w:color w:val="000000" w:themeColor="text1"/>
          <w:szCs w:val="22"/>
          <w:lang w:val="en-US"/>
        </w:rPr>
        <w:t xml:space="preserve">3.1.1 Scoping </w:t>
      </w:r>
      <w:r w:rsidR="00A1144B">
        <w:rPr>
          <w:rFonts w:cs="Arial"/>
          <w:color w:val="000000" w:themeColor="text1"/>
          <w:szCs w:val="22"/>
          <w:lang w:val="en-US"/>
        </w:rPr>
        <w:t>R</w:t>
      </w:r>
      <w:r w:rsidRPr="00441DB8">
        <w:rPr>
          <w:rFonts w:cs="Arial"/>
          <w:color w:val="000000" w:themeColor="text1"/>
          <w:szCs w:val="22"/>
          <w:lang w:val="en-US"/>
        </w:rPr>
        <w:t xml:space="preserve">eview </w:t>
      </w:r>
      <w:r w:rsidR="00A1144B">
        <w:rPr>
          <w:rFonts w:cs="Arial"/>
          <w:color w:val="000000" w:themeColor="text1"/>
          <w:szCs w:val="22"/>
          <w:lang w:val="en-US"/>
        </w:rPr>
        <w:t>T</w:t>
      </w:r>
      <w:r w:rsidRPr="00441DB8">
        <w:rPr>
          <w:rFonts w:cs="Arial"/>
          <w:color w:val="000000" w:themeColor="text1"/>
          <w:szCs w:val="22"/>
          <w:lang w:val="en-US"/>
        </w:rPr>
        <w:t xml:space="preserve">heme 1: The historical </w:t>
      </w:r>
      <w:r>
        <w:rPr>
          <w:rFonts w:cs="Arial"/>
          <w:color w:val="000000" w:themeColor="text1"/>
          <w:szCs w:val="22"/>
          <w:lang w:val="en-US"/>
        </w:rPr>
        <w:t>development</w:t>
      </w:r>
      <w:r w:rsidRPr="00441DB8">
        <w:rPr>
          <w:rFonts w:cs="Arial"/>
          <w:color w:val="000000" w:themeColor="text1"/>
          <w:szCs w:val="22"/>
          <w:lang w:val="en-US"/>
        </w:rPr>
        <w:t xml:space="preserve"> of understanding therapist variables</w:t>
      </w:r>
      <w:bookmarkEnd w:id="189"/>
      <w:bookmarkEnd w:id="190"/>
      <w:r w:rsidRPr="00441DB8">
        <w:rPr>
          <w:rFonts w:cs="Arial"/>
          <w:color w:val="000000" w:themeColor="text1"/>
          <w:szCs w:val="22"/>
          <w:lang w:val="en-US"/>
        </w:rPr>
        <w:t xml:space="preserve"> </w:t>
      </w:r>
    </w:p>
    <w:p w14:paraId="3EF0D4C3" w14:textId="77777777" w:rsidR="00EA08A3" w:rsidRPr="0022405F" w:rsidRDefault="00EA08A3" w:rsidP="00EA08A3">
      <w:pPr>
        <w:rPr>
          <w:lang w:val="en-US"/>
        </w:rPr>
      </w:pPr>
    </w:p>
    <w:p w14:paraId="381F1F26" w14:textId="21B4A6A9" w:rsidR="00EA08A3" w:rsidRPr="00482FE6" w:rsidRDefault="00EA08A3" w:rsidP="00EA08A3">
      <w:pPr>
        <w:widowControl w:val="0"/>
        <w:autoSpaceDE w:val="0"/>
        <w:autoSpaceDN w:val="0"/>
        <w:adjustRightInd w:val="0"/>
        <w:spacing w:after="240" w:line="480" w:lineRule="auto"/>
        <w:rPr>
          <w:rFonts w:ascii="Arial" w:hAnsi="Arial" w:cs="Arial"/>
          <w:sz w:val="22"/>
          <w:szCs w:val="22"/>
          <w:lang w:val="en-US"/>
        </w:rPr>
      </w:pPr>
      <w:r w:rsidRPr="00482FE6">
        <w:rPr>
          <w:rFonts w:ascii="Arial" w:hAnsi="Arial" w:cs="Arial"/>
          <w:sz w:val="22"/>
          <w:szCs w:val="22"/>
          <w:lang w:val="en-US"/>
        </w:rPr>
        <w:t>The findings from th</w:t>
      </w:r>
      <w:r w:rsidR="00441DB8">
        <w:rPr>
          <w:rFonts w:ascii="Arial" w:hAnsi="Arial" w:cs="Arial"/>
          <w:sz w:val="22"/>
          <w:szCs w:val="22"/>
          <w:lang w:val="en-US"/>
        </w:rPr>
        <w:t>e preliminary scoping</w:t>
      </w:r>
      <w:r w:rsidRPr="00482FE6">
        <w:rPr>
          <w:rFonts w:ascii="Arial" w:hAnsi="Arial" w:cs="Arial"/>
          <w:sz w:val="22"/>
          <w:szCs w:val="22"/>
          <w:lang w:val="en-US"/>
        </w:rPr>
        <w:t xml:space="preserve"> review will commence with a discussion relating to the historical </w:t>
      </w:r>
      <w:r w:rsidR="00441DB8">
        <w:rPr>
          <w:rFonts w:ascii="Arial" w:hAnsi="Arial" w:cs="Arial"/>
          <w:sz w:val="22"/>
          <w:szCs w:val="22"/>
          <w:lang w:val="en-US"/>
        </w:rPr>
        <w:t>development</w:t>
      </w:r>
      <w:r w:rsidR="00B53FEF">
        <w:rPr>
          <w:rFonts w:ascii="Arial" w:hAnsi="Arial" w:cs="Arial"/>
          <w:sz w:val="22"/>
          <w:szCs w:val="22"/>
          <w:lang w:val="en-US"/>
        </w:rPr>
        <w:t xml:space="preserve"> of </w:t>
      </w:r>
      <w:r w:rsidR="00441DB8">
        <w:rPr>
          <w:rFonts w:ascii="Arial" w:hAnsi="Arial" w:cs="Arial"/>
          <w:sz w:val="22"/>
          <w:szCs w:val="22"/>
          <w:lang w:val="en-US"/>
        </w:rPr>
        <w:t xml:space="preserve">research in the area of </w:t>
      </w:r>
      <w:r w:rsidR="00B53FEF">
        <w:rPr>
          <w:rFonts w:ascii="Arial" w:hAnsi="Arial" w:cs="Arial"/>
          <w:sz w:val="22"/>
          <w:szCs w:val="22"/>
          <w:lang w:val="en-US"/>
        </w:rPr>
        <w:t xml:space="preserve">understanding variance between therapists. </w:t>
      </w:r>
      <w:r w:rsidR="00E527DB">
        <w:rPr>
          <w:rFonts w:ascii="Arial" w:hAnsi="Arial" w:cs="Arial"/>
          <w:sz w:val="22"/>
          <w:szCs w:val="22"/>
          <w:lang w:val="en-US"/>
        </w:rPr>
        <w:t xml:space="preserve">This </w:t>
      </w:r>
      <w:r w:rsidR="00441DB8">
        <w:rPr>
          <w:rFonts w:ascii="Arial" w:hAnsi="Arial" w:cs="Arial"/>
          <w:sz w:val="22"/>
          <w:szCs w:val="22"/>
          <w:lang w:val="en-US"/>
        </w:rPr>
        <w:t>section</w:t>
      </w:r>
      <w:r w:rsidR="00E527DB">
        <w:rPr>
          <w:rFonts w:ascii="Arial" w:hAnsi="Arial" w:cs="Arial"/>
          <w:sz w:val="22"/>
          <w:szCs w:val="22"/>
          <w:lang w:val="en-US"/>
        </w:rPr>
        <w:t xml:space="preserve"> will then go to discuss the </w:t>
      </w:r>
      <w:r w:rsidR="00441DB8">
        <w:rPr>
          <w:rFonts w:ascii="Arial" w:hAnsi="Arial" w:cs="Arial"/>
          <w:sz w:val="22"/>
          <w:szCs w:val="22"/>
          <w:lang w:val="en-US"/>
        </w:rPr>
        <w:t xml:space="preserve">other </w:t>
      </w:r>
      <w:r w:rsidR="00E527DB">
        <w:rPr>
          <w:rFonts w:ascii="Arial" w:hAnsi="Arial" w:cs="Arial"/>
          <w:sz w:val="22"/>
          <w:szCs w:val="22"/>
          <w:lang w:val="en-US"/>
        </w:rPr>
        <w:t xml:space="preserve">themes that were found in </w:t>
      </w:r>
      <w:r w:rsidR="00B53FEF">
        <w:rPr>
          <w:rFonts w:ascii="Arial" w:hAnsi="Arial" w:cs="Arial"/>
          <w:sz w:val="22"/>
          <w:szCs w:val="22"/>
          <w:lang w:val="en-US"/>
        </w:rPr>
        <w:t>the</w:t>
      </w:r>
      <w:r w:rsidR="00E527DB">
        <w:rPr>
          <w:rFonts w:ascii="Arial" w:hAnsi="Arial" w:cs="Arial"/>
          <w:sz w:val="22"/>
          <w:szCs w:val="22"/>
          <w:lang w:val="en-US"/>
        </w:rPr>
        <w:t xml:space="preserve"> </w:t>
      </w:r>
      <w:r w:rsidR="00441DB8">
        <w:rPr>
          <w:rFonts w:ascii="Arial" w:hAnsi="Arial" w:cs="Arial"/>
          <w:sz w:val="22"/>
          <w:szCs w:val="22"/>
          <w:lang w:val="en-US"/>
        </w:rPr>
        <w:t>scoping</w:t>
      </w:r>
      <w:r w:rsidR="00E527DB">
        <w:rPr>
          <w:rFonts w:ascii="Arial" w:hAnsi="Arial" w:cs="Arial"/>
          <w:sz w:val="22"/>
          <w:szCs w:val="22"/>
          <w:lang w:val="en-US"/>
        </w:rPr>
        <w:t xml:space="preserve"> review.</w:t>
      </w:r>
    </w:p>
    <w:p w14:paraId="1CFAB445" w14:textId="56EC9C99" w:rsidR="00EA08A3" w:rsidRDefault="00EA08A3" w:rsidP="00EA08A3">
      <w:pPr>
        <w:widowControl w:val="0"/>
        <w:autoSpaceDE w:val="0"/>
        <w:autoSpaceDN w:val="0"/>
        <w:adjustRightInd w:val="0"/>
        <w:spacing w:after="240" w:line="480" w:lineRule="auto"/>
        <w:rPr>
          <w:rFonts w:ascii="Arial" w:hAnsi="Arial" w:cs="Arial"/>
          <w:sz w:val="22"/>
          <w:szCs w:val="22"/>
          <w:lang w:val="en-US"/>
        </w:rPr>
      </w:pPr>
      <w:r w:rsidRPr="00482FE6">
        <w:rPr>
          <w:rFonts w:ascii="Arial" w:hAnsi="Arial" w:cs="Arial"/>
          <w:sz w:val="22"/>
          <w:szCs w:val="22"/>
          <w:lang w:val="en-US"/>
        </w:rPr>
        <w:t xml:space="preserve">The term cognitive behavioural therapy (CBT) was first used in the scientific literature in the early 1970’s </w:t>
      </w:r>
      <w:r w:rsidR="009F2F14">
        <w:rPr>
          <w:rFonts w:ascii="Arial" w:hAnsi="Arial" w:cs="Arial"/>
          <w:sz w:val="22"/>
          <w:szCs w:val="22"/>
          <w:lang w:val="en-US"/>
        </w:rPr>
        <w:t>(</w:t>
      </w:r>
      <w:r w:rsidR="00CC6FF8">
        <w:rPr>
          <w:rFonts w:ascii="Arial" w:hAnsi="Arial" w:cs="Arial"/>
          <w:sz w:val="22"/>
          <w:szCs w:val="22"/>
          <w:lang w:val="en-US"/>
        </w:rPr>
        <w:t xml:space="preserve">see </w:t>
      </w:r>
      <w:r w:rsidR="009F2F14">
        <w:rPr>
          <w:rFonts w:ascii="Arial" w:hAnsi="Arial" w:cs="Arial"/>
          <w:sz w:val="22"/>
          <w:szCs w:val="22"/>
          <w:lang w:val="en-US"/>
        </w:rPr>
        <w:t xml:space="preserve">Beck, 1970, </w:t>
      </w:r>
      <w:r w:rsidRPr="00482FE6">
        <w:rPr>
          <w:rFonts w:ascii="Arial" w:hAnsi="Arial" w:cs="Arial"/>
          <w:sz w:val="22"/>
          <w:szCs w:val="22"/>
          <w:lang w:val="en-US"/>
        </w:rPr>
        <w:t>Shealy</w:t>
      </w:r>
      <w:r w:rsidR="006533AE">
        <w:rPr>
          <w:rFonts w:ascii="Arial" w:hAnsi="Arial" w:cs="Arial"/>
          <w:sz w:val="22"/>
          <w:szCs w:val="22"/>
          <w:lang w:val="en-US"/>
        </w:rPr>
        <w:t>,</w:t>
      </w:r>
      <w:r w:rsidRPr="00482FE6">
        <w:rPr>
          <w:rFonts w:ascii="Arial" w:hAnsi="Arial" w:cs="Arial"/>
          <w:sz w:val="22"/>
          <w:szCs w:val="22"/>
          <w:lang w:val="en-US"/>
        </w:rPr>
        <w:t xml:space="preserve">1972, </w:t>
      </w:r>
      <w:r w:rsidR="009F2F14">
        <w:rPr>
          <w:rFonts w:ascii="Arial" w:hAnsi="Arial" w:cs="Arial"/>
          <w:sz w:val="22"/>
          <w:szCs w:val="22"/>
          <w:lang w:val="en-US"/>
        </w:rPr>
        <w:t>Bandura, Adams and Beyer, 1977</w:t>
      </w:r>
      <w:r w:rsidRPr="00482FE6">
        <w:rPr>
          <w:rFonts w:ascii="Arial" w:hAnsi="Arial" w:cs="Arial"/>
          <w:sz w:val="22"/>
          <w:szCs w:val="22"/>
          <w:lang w:val="en-US"/>
        </w:rPr>
        <w:t xml:space="preserve">). </w:t>
      </w:r>
      <w:r w:rsidR="00B53FEF">
        <w:rPr>
          <w:rFonts w:ascii="Arial" w:hAnsi="Arial" w:cs="Arial"/>
          <w:sz w:val="22"/>
          <w:szCs w:val="22"/>
          <w:lang w:val="en-US"/>
        </w:rPr>
        <w:t>The first paper discussing variance in outcome between</w:t>
      </w:r>
      <w:r w:rsidR="00CC6FF8">
        <w:rPr>
          <w:rFonts w:ascii="Arial" w:hAnsi="Arial" w:cs="Arial"/>
          <w:sz w:val="22"/>
          <w:szCs w:val="22"/>
          <w:lang w:val="en-US"/>
        </w:rPr>
        <w:t xml:space="preserve"> psychological</w:t>
      </w:r>
      <w:r w:rsidR="00B53FEF">
        <w:rPr>
          <w:rFonts w:ascii="Arial" w:hAnsi="Arial" w:cs="Arial"/>
          <w:sz w:val="22"/>
          <w:szCs w:val="22"/>
          <w:lang w:val="en-US"/>
        </w:rPr>
        <w:t xml:space="preserve"> therapists appears to be Ricks (1974) who described two therapists, one of whom had very poor outcomes and the other outstanding outcomes. </w:t>
      </w:r>
      <w:r w:rsidR="00BB6872">
        <w:rPr>
          <w:rFonts w:ascii="Arial" w:hAnsi="Arial" w:cs="Arial"/>
          <w:sz w:val="22"/>
          <w:szCs w:val="22"/>
          <w:lang w:val="en-US"/>
        </w:rPr>
        <w:t>Allegedly the</w:t>
      </w:r>
      <w:r w:rsidR="00B53FEF">
        <w:rPr>
          <w:rFonts w:ascii="Arial" w:hAnsi="Arial" w:cs="Arial"/>
          <w:sz w:val="22"/>
          <w:szCs w:val="22"/>
          <w:lang w:val="en-US"/>
        </w:rPr>
        <w:t xml:space="preserve"> outstanding therapist’s patients called him “</w:t>
      </w:r>
      <w:r w:rsidR="00B53FEF" w:rsidRPr="00B53FEF">
        <w:rPr>
          <w:rFonts w:ascii="Arial" w:hAnsi="Arial" w:cs="Arial"/>
          <w:i/>
          <w:iCs/>
          <w:sz w:val="22"/>
          <w:szCs w:val="22"/>
          <w:lang w:val="en-US"/>
        </w:rPr>
        <w:t>supershrink</w:t>
      </w:r>
      <w:r w:rsidR="00B53FEF">
        <w:rPr>
          <w:rFonts w:ascii="Arial" w:hAnsi="Arial" w:cs="Arial"/>
          <w:sz w:val="22"/>
          <w:szCs w:val="22"/>
          <w:lang w:val="en-US"/>
        </w:rPr>
        <w:t>.” This seminal paper</w:t>
      </w:r>
      <w:r w:rsidR="007E5EBE">
        <w:rPr>
          <w:rFonts w:ascii="Arial" w:hAnsi="Arial" w:cs="Arial"/>
          <w:sz w:val="22"/>
          <w:szCs w:val="22"/>
          <w:lang w:val="en-US"/>
        </w:rPr>
        <w:t xml:space="preserve"> outlined the impact therapists can have on patients. A later paper (Martindale, 1978) highlighted the variance between therapists and suggested that 63% of efficacy trials ignored the impact that individual therapists could have on outcomes.  So much so that he suggested that it was likely the results from trials may not be generalisable because of this. The first meta-analysis in this research area (Crits-Christoph, Baranackie, Kurcia, Beck, Carroll, Perry et al., 1991)</w:t>
      </w:r>
      <w:r w:rsidR="003B77EE">
        <w:rPr>
          <w:rFonts w:ascii="Arial" w:hAnsi="Arial" w:cs="Arial"/>
          <w:sz w:val="22"/>
          <w:szCs w:val="22"/>
          <w:lang w:val="en-US"/>
        </w:rPr>
        <w:t xml:space="preserve"> commented on possible therapist variables that may be associated with variance between therapists including therapist experience and the use of a treatment manual. However</w:t>
      </w:r>
      <w:r w:rsidR="008E6BB3">
        <w:rPr>
          <w:rFonts w:ascii="Arial" w:hAnsi="Arial" w:cs="Arial"/>
          <w:sz w:val="22"/>
          <w:szCs w:val="22"/>
          <w:lang w:val="en-US"/>
        </w:rPr>
        <w:t>,</w:t>
      </w:r>
      <w:r w:rsidR="003B77EE">
        <w:rPr>
          <w:rFonts w:ascii="Arial" w:hAnsi="Arial" w:cs="Arial"/>
          <w:sz w:val="22"/>
          <w:szCs w:val="22"/>
          <w:lang w:val="en-US"/>
        </w:rPr>
        <w:t xml:space="preserve"> major limitations of the research in this field were acknowledged including small sample size and a concern about the lack of </w:t>
      </w:r>
      <w:r w:rsidR="003B77EE">
        <w:rPr>
          <w:rFonts w:ascii="Arial" w:hAnsi="Arial" w:cs="Arial"/>
          <w:sz w:val="22"/>
          <w:szCs w:val="22"/>
          <w:lang w:val="en-US"/>
        </w:rPr>
        <w:lastRenderedPageBreak/>
        <w:t>real</w:t>
      </w:r>
      <w:r w:rsidR="0023735D">
        <w:rPr>
          <w:rFonts w:ascii="Arial" w:hAnsi="Arial" w:cs="Arial"/>
          <w:sz w:val="22"/>
          <w:szCs w:val="22"/>
          <w:lang w:val="en-US"/>
        </w:rPr>
        <w:t>-</w:t>
      </w:r>
      <w:r w:rsidR="003B77EE">
        <w:rPr>
          <w:rFonts w:ascii="Arial" w:hAnsi="Arial" w:cs="Arial"/>
          <w:sz w:val="22"/>
          <w:szCs w:val="22"/>
          <w:lang w:val="en-US"/>
        </w:rPr>
        <w:t>world, naturalistic studies. Two real</w:t>
      </w:r>
      <w:r w:rsidR="0023735D">
        <w:rPr>
          <w:rFonts w:ascii="Arial" w:hAnsi="Arial" w:cs="Arial"/>
          <w:sz w:val="22"/>
          <w:szCs w:val="22"/>
          <w:lang w:val="en-US"/>
        </w:rPr>
        <w:t>-</w:t>
      </w:r>
      <w:r w:rsidR="003B77EE">
        <w:rPr>
          <w:rFonts w:ascii="Arial" w:hAnsi="Arial" w:cs="Arial"/>
          <w:sz w:val="22"/>
          <w:szCs w:val="22"/>
          <w:lang w:val="en-US"/>
        </w:rPr>
        <w:t>world studies (Okiishi, Lambert, Nielsen and Ogles, 2003 and Brown, Lambert, Jones and Minami, 2005) found significant variance between therapists in their studies</w:t>
      </w:r>
      <w:r w:rsidR="00BB6872">
        <w:rPr>
          <w:rFonts w:ascii="Arial" w:hAnsi="Arial" w:cs="Arial"/>
          <w:sz w:val="22"/>
          <w:szCs w:val="22"/>
          <w:lang w:val="en-US"/>
        </w:rPr>
        <w:t xml:space="preserve">, noting that </w:t>
      </w:r>
      <w:r w:rsidR="003B77EE">
        <w:rPr>
          <w:rFonts w:ascii="Arial" w:hAnsi="Arial" w:cs="Arial"/>
          <w:sz w:val="22"/>
          <w:szCs w:val="22"/>
          <w:lang w:val="en-US"/>
        </w:rPr>
        <w:t>patients allocated to therapists with the highest outcomes showed a threefold higher recovery rate than other patients</w:t>
      </w:r>
      <w:r w:rsidR="00BB6872">
        <w:rPr>
          <w:rFonts w:ascii="Arial" w:hAnsi="Arial" w:cs="Arial"/>
          <w:sz w:val="22"/>
          <w:szCs w:val="22"/>
          <w:lang w:val="en-US"/>
        </w:rPr>
        <w:t>. Later meta-analyses (Baldwin and Imel, 2013) again comment on the limitations of studies suggesting that research in this field should be specifically designed as therapist effect</w:t>
      </w:r>
      <w:r w:rsidR="00AF4FC0">
        <w:rPr>
          <w:rFonts w:ascii="Arial" w:hAnsi="Arial" w:cs="Arial"/>
          <w:sz w:val="22"/>
          <w:szCs w:val="22"/>
          <w:lang w:val="en-US"/>
        </w:rPr>
        <w:t>s</w:t>
      </w:r>
      <w:r w:rsidR="00BB6872">
        <w:rPr>
          <w:rFonts w:ascii="Arial" w:hAnsi="Arial" w:cs="Arial"/>
          <w:sz w:val="22"/>
          <w:szCs w:val="22"/>
          <w:lang w:val="en-US"/>
        </w:rPr>
        <w:t xml:space="preserve"> studies rather than repurposing data from trials.  This supports Martindale’s earlier argument that variance between therapists in efficacy trials is not generalizable because this type of research is designed to minimize variance and maximise therapist efficacy.</w:t>
      </w:r>
      <w:r w:rsidR="00AF4FC0">
        <w:rPr>
          <w:rFonts w:ascii="Arial" w:hAnsi="Arial" w:cs="Arial"/>
          <w:sz w:val="22"/>
          <w:szCs w:val="22"/>
          <w:lang w:val="en-US"/>
        </w:rPr>
        <w:t xml:space="preserve"> Therapist effects research has developed significantly, adopting robust methodological and statistical methods usually involving a statistical method called multilevel modelling. This statistical method originated in educational research and is used when data is said to be nested (Barkham, Lutz, Lambert and Saxon, 2017). In education</w:t>
      </w:r>
      <w:r w:rsidR="008E6BB3">
        <w:rPr>
          <w:rFonts w:ascii="Arial" w:hAnsi="Arial" w:cs="Arial"/>
          <w:sz w:val="22"/>
          <w:szCs w:val="22"/>
          <w:lang w:val="en-US"/>
        </w:rPr>
        <w:t>,</w:t>
      </w:r>
      <w:r w:rsidR="00AF4FC0">
        <w:rPr>
          <w:rFonts w:ascii="Arial" w:hAnsi="Arial" w:cs="Arial"/>
          <w:sz w:val="22"/>
          <w:szCs w:val="22"/>
          <w:lang w:val="en-US"/>
        </w:rPr>
        <w:t xml:space="preserve"> students are nested in classes and classes are nested within schools.  In psychological therapy patients are nested within therapists and therapists may be nested within services. Whilst these types of studies have added a great deal to the literature on variance in outcomes other methods, most usually process outcome research</w:t>
      </w:r>
      <w:r w:rsidR="000C661A">
        <w:rPr>
          <w:rFonts w:ascii="Arial" w:hAnsi="Arial" w:cs="Arial"/>
          <w:sz w:val="22"/>
          <w:szCs w:val="22"/>
          <w:lang w:val="en-US"/>
        </w:rPr>
        <w:t>,</w:t>
      </w:r>
      <w:r w:rsidR="00AF4FC0">
        <w:rPr>
          <w:rFonts w:ascii="Arial" w:hAnsi="Arial" w:cs="Arial"/>
          <w:sz w:val="22"/>
          <w:szCs w:val="22"/>
          <w:lang w:val="en-US"/>
        </w:rPr>
        <w:t xml:space="preserve"> have also contributed to knowledge.  The themes from both these </w:t>
      </w:r>
      <w:r w:rsidR="004D1317">
        <w:rPr>
          <w:rFonts w:ascii="Arial" w:hAnsi="Arial" w:cs="Arial"/>
          <w:sz w:val="22"/>
          <w:szCs w:val="22"/>
          <w:lang w:val="en-US"/>
        </w:rPr>
        <w:t xml:space="preserve">research </w:t>
      </w:r>
      <w:r w:rsidR="00AF4FC0">
        <w:rPr>
          <w:rFonts w:ascii="Arial" w:hAnsi="Arial" w:cs="Arial"/>
          <w:sz w:val="22"/>
          <w:szCs w:val="22"/>
          <w:lang w:val="en-US"/>
        </w:rPr>
        <w:t>approaches</w:t>
      </w:r>
      <w:r w:rsidR="000C661A">
        <w:rPr>
          <w:rFonts w:ascii="Arial" w:hAnsi="Arial" w:cs="Arial"/>
          <w:sz w:val="22"/>
          <w:szCs w:val="22"/>
          <w:lang w:val="en-US"/>
        </w:rPr>
        <w:t xml:space="preserve">, </w:t>
      </w:r>
      <w:r w:rsidR="00AF4FC0">
        <w:rPr>
          <w:rFonts w:ascii="Arial" w:hAnsi="Arial" w:cs="Arial"/>
          <w:sz w:val="22"/>
          <w:szCs w:val="22"/>
          <w:lang w:val="en-US"/>
        </w:rPr>
        <w:t xml:space="preserve">are discussed </w:t>
      </w:r>
      <w:r w:rsidR="004D1317">
        <w:rPr>
          <w:rFonts w:ascii="Arial" w:hAnsi="Arial" w:cs="Arial"/>
          <w:sz w:val="22"/>
          <w:szCs w:val="22"/>
          <w:lang w:val="en-US"/>
        </w:rPr>
        <w:t>below.</w:t>
      </w:r>
    </w:p>
    <w:p w14:paraId="4E408C5F" w14:textId="77777777" w:rsidR="00E164C2" w:rsidRDefault="00E164C2" w:rsidP="00EA08A3">
      <w:pPr>
        <w:widowControl w:val="0"/>
        <w:autoSpaceDE w:val="0"/>
        <w:autoSpaceDN w:val="0"/>
        <w:adjustRightInd w:val="0"/>
        <w:spacing w:after="240" w:line="480" w:lineRule="auto"/>
        <w:rPr>
          <w:rFonts w:ascii="Arial" w:hAnsi="Arial" w:cs="Arial"/>
          <w:sz w:val="22"/>
          <w:szCs w:val="22"/>
          <w:lang w:val="en-US"/>
        </w:rPr>
      </w:pPr>
    </w:p>
    <w:p w14:paraId="4BDD1A8E" w14:textId="148CC808" w:rsidR="00C24637" w:rsidRPr="00441DB8" w:rsidRDefault="00C24637" w:rsidP="00441DB8">
      <w:pPr>
        <w:pStyle w:val="Heading3"/>
        <w:rPr>
          <w:rFonts w:cs="Arial"/>
          <w:color w:val="000000" w:themeColor="text1"/>
          <w:szCs w:val="22"/>
          <w:lang w:val="en-US"/>
        </w:rPr>
      </w:pPr>
      <w:bookmarkStart w:id="191" w:name="_Toc46770761"/>
      <w:bookmarkStart w:id="192" w:name="_Toc79414172"/>
      <w:r w:rsidRPr="00441DB8">
        <w:rPr>
          <w:rFonts w:cs="Arial"/>
          <w:color w:val="000000" w:themeColor="text1"/>
          <w:szCs w:val="22"/>
          <w:lang w:val="en-US"/>
        </w:rPr>
        <w:t>3.</w:t>
      </w:r>
      <w:r w:rsidR="00441DB8" w:rsidRPr="00441DB8">
        <w:rPr>
          <w:rFonts w:cs="Arial"/>
          <w:color w:val="000000" w:themeColor="text1"/>
          <w:szCs w:val="22"/>
          <w:lang w:val="en-US"/>
        </w:rPr>
        <w:t>1.2</w:t>
      </w:r>
      <w:r w:rsidRPr="00441DB8">
        <w:rPr>
          <w:rFonts w:cs="Arial"/>
          <w:color w:val="000000" w:themeColor="text1"/>
          <w:szCs w:val="22"/>
          <w:lang w:val="en-US"/>
        </w:rPr>
        <w:t xml:space="preserve"> </w:t>
      </w:r>
      <w:r w:rsidR="00441DB8" w:rsidRPr="00441DB8">
        <w:rPr>
          <w:rFonts w:cs="Arial"/>
          <w:color w:val="000000" w:themeColor="text1"/>
          <w:szCs w:val="22"/>
          <w:lang w:val="en-US"/>
        </w:rPr>
        <w:t>Theme 2: Variance in outcome and therapist competence</w:t>
      </w:r>
      <w:bookmarkEnd w:id="191"/>
      <w:bookmarkEnd w:id="192"/>
    </w:p>
    <w:p w14:paraId="7587AD9D" w14:textId="6C57DEE2" w:rsidR="00E527DB" w:rsidRDefault="00E527DB" w:rsidP="00E527DB">
      <w:pPr>
        <w:rPr>
          <w:lang w:val="en-US"/>
        </w:rPr>
      </w:pPr>
    </w:p>
    <w:p w14:paraId="39CA1561" w14:textId="3B524520" w:rsidR="001B0524" w:rsidRDefault="00284A48" w:rsidP="006C4A15">
      <w:pPr>
        <w:spacing w:line="480" w:lineRule="auto"/>
        <w:rPr>
          <w:rFonts w:ascii="Arial" w:hAnsi="Arial" w:cs="Arial"/>
          <w:sz w:val="22"/>
          <w:szCs w:val="22"/>
          <w:lang w:val="en-US"/>
        </w:rPr>
      </w:pPr>
      <w:r w:rsidRPr="00284A48">
        <w:rPr>
          <w:rFonts w:ascii="Arial" w:hAnsi="Arial" w:cs="Arial"/>
          <w:sz w:val="22"/>
          <w:szCs w:val="22"/>
          <w:lang w:val="en-US"/>
        </w:rPr>
        <w:t xml:space="preserve">One of the predominant themes in the literature relating to therapist variables and their relationship with clinical outcome </w:t>
      </w:r>
      <w:r w:rsidR="00C24637">
        <w:rPr>
          <w:rFonts w:ascii="Arial" w:hAnsi="Arial" w:cs="Arial"/>
          <w:sz w:val="22"/>
          <w:szCs w:val="22"/>
          <w:lang w:val="en-US"/>
        </w:rPr>
        <w:t>is</w:t>
      </w:r>
      <w:r w:rsidRPr="00284A48">
        <w:rPr>
          <w:rFonts w:ascii="Arial" w:hAnsi="Arial" w:cs="Arial"/>
          <w:sz w:val="22"/>
          <w:szCs w:val="22"/>
          <w:lang w:val="en-US"/>
        </w:rPr>
        <w:t xml:space="preserve"> the theme of therapist competence</w:t>
      </w:r>
      <w:r w:rsidR="00C24637">
        <w:rPr>
          <w:rFonts w:ascii="Arial" w:hAnsi="Arial" w:cs="Arial"/>
          <w:sz w:val="22"/>
          <w:szCs w:val="22"/>
          <w:lang w:val="en-US"/>
        </w:rPr>
        <w:t xml:space="preserve"> as it relates to variance in clinical outcomes</w:t>
      </w:r>
      <w:r w:rsidRPr="00284A48">
        <w:rPr>
          <w:rFonts w:ascii="Arial" w:hAnsi="Arial" w:cs="Arial"/>
          <w:sz w:val="22"/>
          <w:szCs w:val="22"/>
          <w:lang w:val="en-US"/>
        </w:rPr>
        <w:t>.</w:t>
      </w:r>
      <w:r w:rsidR="00C24637">
        <w:rPr>
          <w:rFonts w:ascii="Arial" w:hAnsi="Arial" w:cs="Arial"/>
          <w:sz w:val="22"/>
          <w:szCs w:val="22"/>
          <w:lang w:val="en-US"/>
        </w:rPr>
        <w:t xml:space="preserve"> </w:t>
      </w:r>
      <w:r w:rsidR="00EA08A3" w:rsidRPr="0022405F">
        <w:rPr>
          <w:rFonts w:ascii="Arial" w:hAnsi="Arial" w:cs="Arial"/>
          <w:sz w:val="22"/>
          <w:szCs w:val="22"/>
          <w:lang w:val="en-US"/>
        </w:rPr>
        <w:t xml:space="preserve">As the evidence for CBT became widely established in the 1980s and 1990s, a problem </w:t>
      </w:r>
      <w:r w:rsidR="00C24637">
        <w:rPr>
          <w:rFonts w:ascii="Arial" w:hAnsi="Arial" w:cs="Arial"/>
          <w:sz w:val="22"/>
          <w:szCs w:val="22"/>
          <w:lang w:val="en-US"/>
        </w:rPr>
        <w:t>emerges in the literature</w:t>
      </w:r>
      <w:r w:rsidR="00EA08A3" w:rsidRPr="0022405F">
        <w:rPr>
          <w:rFonts w:ascii="Arial" w:hAnsi="Arial" w:cs="Arial"/>
          <w:sz w:val="22"/>
          <w:szCs w:val="22"/>
          <w:lang w:val="en-US"/>
        </w:rPr>
        <w:t xml:space="preserve">.  </w:t>
      </w:r>
      <w:r w:rsidR="00C24637">
        <w:rPr>
          <w:rFonts w:ascii="Arial" w:hAnsi="Arial" w:cs="Arial"/>
          <w:sz w:val="22"/>
          <w:szCs w:val="22"/>
          <w:lang w:val="en-US"/>
        </w:rPr>
        <w:t>This problem relates to significant variance in clinical outcomes</w:t>
      </w:r>
      <w:r w:rsidR="00EA08A3" w:rsidRPr="0022405F">
        <w:rPr>
          <w:rFonts w:ascii="Arial" w:hAnsi="Arial" w:cs="Arial"/>
          <w:sz w:val="22"/>
          <w:szCs w:val="22"/>
          <w:lang w:val="en-US"/>
        </w:rPr>
        <w:t xml:space="preserve"> </w:t>
      </w:r>
      <w:r w:rsidR="00C24637">
        <w:rPr>
          <w:rFonts w:ascii="Arial" w:hAnsi="Arial" w:cs="Arial"/>
          <w:sz w:val="22"/>
          <w:szCs w:val="22"/>
          <w:lang w:val="en-US"/>
        </w:rPr>
        <w:t xml:space="preserve">between research trials and real-world clinical settings </w:t>
      </w:r>
      <w:r w:rsidR="00EA08A3" w:rsidRPr="0022405F">
        <w:rPr>
          <w:rFonts w:ascii="Arial" w:hAnsi="Arial" w:cs="Arial"/>
          <w:sz w:val="22"/>
          <w:szCs w:val="22"/>
          <w:lang w:val="en-US"/>
        </w:rPr>
        <w:t>(DeRubeis and Feeley 1990, Chambless and Ollendick</w:t>
      </w:r>
      <w:r w:rsidR="00C24637">
        <w:rPr>
          <w:rFonts w:ascii="Arial" w:hAnsi="Arial" w:cs="Arial"/>
          <w:sz w:val="22"/>
          <w:szCs w:val="22"/>
          <w:lang w:val="en-US"/>
        </w:rPr>
        <w:t xml:space="preserve">, </w:t>
      </w:r>
      <w:r w:rsidR="00EA08A3" w:rsidRPr="0022405F">
        <w:rPr>
          <w:rFonts w:ascii="Arial" w:hAnsi="Arial" w:cs="Arial"/>
          <w:sz w:val="22"/>
          <w:szCs w:val="22"/>
          <w:lang w:val="en-US"/>
        </w:rPr>
        <w:t>2001 and Trepka, Rees, Shapiro, Hardy and Barkham</w:t>
      </w:r>
      <w:r w:rsidR="00C24637">
        <w:rPr>
          <w:rFonts w:ascii="Arial" w:hAnsi="Arial" w:cs="Arial"/>
          <w:sz w:val="22"/>
          <w:szCs w:val="22"/>
          <w:lang w:val="en-US"/>
        </w:rPr>
        <w:t xml:space="preserve">, </w:t>
      </w:r>
      <w:r w:rsidR="00EA08A3" w:rsidRPr="0022405F">
        <w:rPr>
          <w:rFonts w:ascii="Arial" w:hAnsi="Arial" w:cs="Arial"/>
          <w:sz w:val="22"/>
          <w:szCs w:val="22"/>
          <w:lang w:val="en-US"/>
        </w:rPr>
        <w:t>2004)</w:t>
      </w:r>
      <w:r w:rsidR="00C24637">
        <w:rPr>
          <w:rFonts w:ascii="Arial" w:hAnsi="Arial" w:cs="Arial"/>
          <w:sz w:val="22"/>
          <w:szCs w:val="22"/>
          <w:lang w:val="en-US"/>
        </w:rPr>
        <w:t xml:space="preserve">. It is questionable whether the results from </w:t>
      </w:r>
      <w:r w:rsidR="00EA08A3" w:rsidRPr="0022405F">
        <w:rPr>
          <w:rFonts w:ascii="Arial" w:hAnsi="Arial" w:cs="Arial"/>
          <w:sz w:val="22"/>
          <w:szCs w:val="22"/>
          <w:lang w:val="en-US"/>
        </w:rPr>
        <w:t xml:space="preserve">clinical trials </w:t>
      </w:r>
      <w:r w:rsidR="00C24637">
        <w:rPr>
          <w:rFonts w:ascii="Arial" w:hAnsi="Arial" w:cs="Arial"/>
          <w:sz w:val="22"/>
          <w:szCs w:val="22"/>
          <w:lang w:val="en-US"/>
        </w:rPr>
        <w:t xml:space="preserve">are </w:t>
      </w:r>
      <w:r w:rsidR="00EA08A3" w:rsidRPr="0022405F">
        <w:rPr>
          <w:rFonts w:ascii="Arial" w:hAnsi="Arial" w:cs="Arial"/>
          <w:sz w:val="22"/>
          <w:szCs w:val="22"/>
          <w:lang w:val="en-US"/>
        </w:rPr>
        <w:lastRenderedPageBreak/>
        <w:t xml:space="preserve">generalizable in </w:t>
      </w:r>
      <w:r w:rsidR="00C24637">
        <w:rPr>
          <w:rFonts w:ascii="Arial" w:hAnsi="Arial" w:cs="Arial"/>
          <w:sz w:val="22"/>
          <w:szCs w:val="22"/>
          <w:lang w:val="en-US"/>
        </w:rPr>
        <w:t>clinical practice</w:t>
      </w:r>
      <w:r w:rsidR="00EA08A3" w:rsidRPr="0022405F">
        <w:rPr>
          <w:rFonts w:ascii="Arial" w:hAnsi="Arial" w:cs="Arial"/>
          <w:sz w:val="22"/>
          <w:szCs w:val="22"/>
          <w:lang w:val="en-US"/>
        </w:rPr>
        <w:t xml:space="preserve"> (Lowe, Bunnell, Neeren, Chernyak and Greberman</w:t>
      </w:r>
      <w:r w:rsidR="006533AE">
        <w:rPr>
          <w:rFonts w:ascii="Arial" w:hAnsi="Arial" w:cs="Arial"/>
          <w:sz w:val="22"/>
          <w:szCs w:val="22"/>
          <w:lang w:val="en-US"/>
        </w:rPr>
        <w:t>,</w:t>
      </w:r>
      <w:r w:rsidR="00EA08A3" w:rsidRPr="0022405F">
        <w:rPr>
          <w:rFonts w:ascii="Arial" w:hAnsi="Arial" w:cs="Arial"/>
          <w:sz w:val="22"/>
          <w:szCs w:val="22"/>
          <w:lang w:val="en-US"/>
        </w:rPr>
        <w:t xml:space="preserve"> 2011). </w:t>
      </w:r>
      <w:r w:rsidR="00C24637">
        <w:rPr>
          <w:rFonts w:ascii="Arial" w:hAnsi="Arial" w:cs="Arial"/>
          <w:sz w:val="22"/>
          <w:szCs w:val="22"/>
          <w:lang w:val="en-US"/>
        </w:rPr>
        <w:t>One of the factors that may contribute to th</w:t>
      </w:r>
      <w:r w:rsidR="006F7898">
        <w:rPr>
          <w:rFonts w:ascii="Arial" w:hAnsi="Arial" w:cs="Arial"/>
          <w:sz w:val="22"/>
          <w:szCs w:val="22"/>
          <w:lang w:val="en-US"/>
        </w:rPr>
        <w:t>is</w:t>
      </w:r>
      <w:r w:rsidR="00C24637">
        <w:rPr>
          <w:rFonts w:ascii="Arial" w:hAnsi="Arial" w:cs="Arial"/>
          <w:sz w:val="22"/>
          <w:szCs w:val="22"/>
          <w:lang w:val="en-US"/>
        </w:rPr>
        <w:t xml:space="preserve"> disparity is the differences in therapist competence b</w:t>
      </w:r>
      <w:r w:rsidR="006F7898">
        <w:rPr>
          <w:rFonts w:ascii="Arial" w:hAnsi="Arial" w:cs="Arial"/>
          <w:sz w:val="22"/>
          <w:szCs w:val="22"/>
          <w:lang w:val="en-US"/>
        </w:rPr>
        <w:t>e</w:t>
      </w:r>
      <w:r w:rsidR="00C24637">
        <w:rPr>
          <w:rFonts w:ascii="Arial" w:hAnsi="Arial" w:cs="Arial"/>
          <w:sz w:val="22"/>
          <w:szCs w:val="22"/>
          <w:lang w:val="en-US"/>
        </w:rPr>
        <w:t>tween the two settings (</w:t>
      </w:r>
      <w:r w:rsidR="00EA08A3" w:rsidRPr="0022405F">
        <w:rPr>
          <w:rFonts w:ascii="Arial" w:hAnsi="Arial" w:cs="Arial"/>
          <w:sz w:val="22"/>
          <w:szCs w:val="22"/>
          <w:lang w:val="en-US"/>
        </w:rPr>
        <w:t>Whisman</w:t>
      </w:r>
      <w:r w:rsidR="00C24637">
        <w:rPr>
          <w:rFonts w:ascii="Arial" w:hAnsi="Arial" w:cs="Arial"/>
          <w:sz w:val="22"/>
          <w:szCs w:val="22"/>
          <w:lang w:val="en-US"/>
        </w:rPr>
        <w:t>,</w:t>
      </w:r>
      <w:r w:rsidR="00EA08A3" w:rsidRPr="0022405F">
        <w:rPr>
          <w:rFonts w:ascii="Arial" w:hAnsi="Arial" w:cs="Arial"/>
          <w:sz w:val="22"/>
          <w:szCs w:val="22"/>
          <w:lang w:val="en-US"/>
        </w:rPr>
        <w:t>1993)</w:t>
      </w:r>
      <w:r w:rsidR="00C24637">
        <w:rPr>
          <w:rFonts w:ascii="Arial" w:hAnsi="Arial" w:cs="Arial"/>
          <w:sz w:val="22"/>
          <w:szCs w:val="22"/>
          <w:lang w:val="en-US"/>
        </w:rPr>
        <w:t>.</w:t>
      </w:r>
      <w:r w:rsidR="00A26DBE">
        <w:rPr>
          <w:rFonts w:ascii="Arial" w:hAnsi="Arial" w:cs="Arial"/>
          <w:sz w:val="22"/>
          <w:szCs w:val="22"/>
          <w:lang w:val="en-US"/>
        </w:rPr>
        <w:t xml:space="preserve"> </w:t>
      </w:r>
      <w:r w:rsidR="0057760E">
        <w:rPr>
          <w:rFonts w:ascii="Arial" w:hAnsi="Arial" w:cs="Arial"/>
          <w:sz w:val="22"/>
          <w:szCs w:val="22"/>
          <w:lang w:val="en-US"/>
        </w:rPr>
        <w:t xml:space="preserve">Therapist competence has been </w:t>
      </w:r>
      <w:r w:rsidR="00884FFF">
        <w:rPr>
          <w:rFonts w:ascii="Arial" w:hAnsi="Arial" w:cs="Arial"/>
          <w:sz w:val="22"/>
          <w:szCs w:val="22"/>
          <w:lang w:val="en-US"/>
        </w:rPr>
        <w:t xml:space="preserve">variously </w:t>
      </w:r>
      <w:r w:rsidR="0057760E">
        <w:rPr>
          <w:rFonts w:ascii="Arial" w:hAnsi="Arial" w:cs="Arial"/>
          <w:sz w:val="22"/>
          <w:szCs w:val="22"/>
          <w:lang w:val="en-US"/>
        </w:rPr>
        <w:t>defined as a therapist’s ability to deliver a treatment to an acceptable standard (Fairburn and Cooper, 2011</w:t>
      </w:r>
      <w:r w:rsidR="00884FFF">
        <w:rPr>
          <w:rFonts w:ascii="Arial" w:hAnsi="Arial" w:cs="Arial"/>
          <w:sz w:val="22"/>
          <w:szCs w:val="22"/>
          <w:lang w:val="en-US"/>
        </w:rPr>
        <w:t xml:space="preserve">), therapist skillfulness (Kazantis,2003) and a therapist trait (Mansell, 2008). </w:t>
      </w:r>
      <w:r w:rsidR="0057760E">
        <w:rPr>
          <w:rFonts w:ascii="Arial" w:hAnsi="Arial" w:cs="Arial"/>
          <w:sz w:val="22"/>
          <w:szCs w:val="22"/>
          <w:lang w:val="en-US"/>
        </w:rPr>
        <w:t xml:space="preserve">  </w:t>
      </w:r>
      <w:r w:rsidR="00380415">
        <w:rPr>
          <w:rFonts w:ascii="Arial" w:hAnsi="Arial" w:cs="Arial"/>
          <w:sz w:val="22"/>
          <w:szCs w:val="22"/>
          <w:lang w:val="en-US"/>
        </w:rPr>
        <w:t>It is noteworthy</w:t>
      </w:r>
      <w:r w:rsidR="0057760E">
        <w:rPr>
          <w:rFonts w:ascii="Arial" w:hAnsi="Arial" w:cs="Arial"/>
          <w:sz w:val="22"/>
          <w:szCs w:val="22"/>
          <w:lang w:val="en-US"/>
        </w:rPr>
        <w:t xml:space="preserve"> that some authors fail to define competence (see Kuyken</w:t>
      </w:r>
      <w:r w:rsidR="006533AE">
        <w:rPr>
          <w:rFonts w:ascii="Arial" w:hAnsi="Arial" w:cs="Arial"/>
          <w:sz w:val="22"/>
          <w:szCs w:val="22"/>
          <w:lang w:val="en-US"/>
        </w:rPr>
        <w:t xml:space="preserve"> and </w:t>
      </w:r>
      <w:r w:rsidR="0057760E">
        <w:rPr>
          <w:rFonts w:ascii="Arial" w:hAnsi="Arial" w:cs="Arial"/>
          <w:sz w:val="22"/>
          <w:szCs w:val="22"/>
          <w:lang w:val="en-US"/>
        </w:rPr>
        <w:t>Tsivrikos, 2009</w:t>
      </w:r>
      <w:r w:rsidR="00884FFF">
        <w:rPr>
          <w:rFonts w:ascii="Arial" w:hAnsi="Arial" w:cs="Arial"/>
          <w:sz w:val="22"/>
          <w:szCs w:val="22"/>
          <w:lang w:val="en-US"/>
        </w:rPr>
        <w:t xml:space="preserve"> and Keen and Freeston, 2008)</w:t>
      </w:r>
      <w:r w:rsidR="0057760E">
        <w:rPr>
          <w:rFonts w:ascii="Arial" w:hAnsi="Arial" w:cs="Arial"/>
          <w:sz w:val="22"/>
          <w:szCs w:val="22"/>
          <w:lang w:val="en-US"/>
        </w:rPr>
        <w:t>, or merely state that competence is a score on the CTS or CTS-R (Schmidt, Strunk</w:t>
      </w:r>
      <w:r w:rsidR="00884FFF">
        <w:rPr>
          <w:rFonts w:ascii="Arial" w:hAnsi="Arial" w:cs="Arial"/>
          <w:sz w:val="22"/>
          <w:szCs w:val="22"/>
          <w:lang w:val="en-US"/>
        </w:rPr>
        <w:t xml:space="preserve">, DeRubeis, Conklin and Braun, 2018).  This latter approach belies an acceptance (by </w:t>
      </w:r>
      <w:r w:rsidR="00ED2602">
        <w:rPr>
          <w:rFonts w:ascii="Arial" w:hAnsi="Arial" w:cs="Arial"/>
          <w:sz w:val="22"/>
          <w:szCs w:val="22"/>
          <w:lang w:val="en-US"/>
        </w:rPr>
        <w:t>these</w:t>
      </w:r>
      <w:r w:rsidR="00884FFF">
        <w:rPr>
          <w:rFonts w:ascii="Arial" w:hAnsi="Arial" w:cs="Arial"/>
          <w:sz w:val="22"/>
          <w:szCs w:val="22"/>
          <w:lang w:val="en-US"/>
        </w:rPr>
        <w:t xml:space="preserve"> authors) that the individual CTS or CTS-R items are the skills that define</w:t>
      </w:r>
      <w:r w:rsidR="00EA08A3" w:rsidRPr="0022405F">
        <w:rPr>
          <w:rFonts w:ascii="Arial" w:hAnsi="Arial" w:cs="Arial"/>
          <w:sz w:val="22"/>
          <w:szCs w:val="22"/>
          <w:lang w:val="en-US"/>
        </w:rPr>
        <w:t xml:space="preserve"> </w:t>
      </w:r>
      <w:r w:rsidR="00884FFF">
        <w:rPr>
          <w:rFonts w:ascii="Arial" w:hAnsi="Arial" w:cs="Arial"/>
          <w:sz w:val="22"/>
          <w:szCs w:val="22"/>
          <w:lang w:val="en-US"/>
        </w:rPr>
        <w:t>competence.</w:t>
      </w:r>
      <w:r w:rsidR="00544EF7">
        <w:rPr>
          <w:rFonts w:ascii="Arial" w:hAnsi="Arial" w:cs="Arial"/>
          <w:sz w:val="22"/>
          <w:szCs w:val="22"/>
          <w:lang w:val="en-US"/>
        </w:rPr>
        <w:t xml:space="preserve"> </w:t>
      </w:r>
      <w:r w:rsidR="00073C92">
        <w:rPr>
          <w:rFonts w:ascii="Arial" w:hAnsi="Arial" w:cs="Arial"/>
          <w:sz w:val="22"/>
          <w:szCs w:val="22"/>
          <w:lang w:val="en-US"/>
        </w:rPr>
        <w:t>Whilst there is clearly some difficulty in defining the term ‘competence’</w:t>
      </w:r>
      <w:r w:rsidR="006C4A15">
        <w:rPr>
          <w:rFonts w:ascii="Arial" w:hAnsi="Arial" w:cs="Arial"/>
          <w:sz w:val="22"/>
          <w:szCs w:val="22"/>
          <w:lang w:val="en-US"/>
        </w:rPr>
        <w:t>,</w:t>
      </w:r>
      <w:r w:rsidR="00073C92">
        <w:rPr>
          <w:rFonts w:ascii="Arial" w:hAnsi="Arial" w:cs="Arial"/>
          <w:sz w:val="22"/>
          <w:szCs w:val="22"/>
          <w:lang w:val="en-US"/>
        </w:rPr>
        <w:t xml:space="preserve"> the issue </w:t>
      </w:r>
      <w:r w:rsidR="00884FFF">
        <w:rPr>
          <w:rFonts w:ascii="Arial" w:hAnsi="Arial" w:cs="Arial"/>
          <w:sz w:val="22"/>
          <w:szCs w:val="22"/>
          <w:lang w:val="en-US"/>
        </w:rPr>
        <w:t xml:space="preserve">that </w:t>
      </w:r>
      <w:r w:rsidR="00073C92">
        <w:rPr>
          <w:rFonts w:ascii="Arial" w:hAnsi="Arial" w:cs="Arial"/>
          <w:sz w:val="22"/>
          <w:szCs w:val="22"/>
          <w:lang w:val="en-US"/>
        </w:rPr>
        <w:t>therapists</w:t>
      </w:r>
      <w:r w:rsidR="004D1317">
        <w:rPr>
          <w:rFonts w:ascii="Arial" w:hAnsi="Arial" w:cs="Arial"/>
          <w:sz w:val="22"/>
          <w:szCs w:val="22"/>
          <w:lang w:val="en-US"/>
        </w:rPr>
        <w:t>’</w:t>
      </w:r>
      <w:r w:rsidR="00073C92">
        <w:rPr>
          <w:rFonts w:ascii="Arial" w:hAnsi="Arial" w:cs="Arial"/>
          <w:sz w:val="22"/>
          <w:szCs w:val="22"/>
          <w:lang w:val="en-US"/>
        </w:rPr>
        <w:t xml:space="preserve"> </w:t>
      </w:r>
      <w:r w:rsidR="00884FFF">
        <w:rPr>
          <w:rFonts w:ascii="Arial" w:hAnsi="Arial" w:cs="Arial"/>
          <w:sz w:val="22"/>
          <w:szCs w:val="22"/>
          <w:lang w:val="en-US"/>
        </w:rPr>
        <w:t xml:space="preserve">competence might vary between research settings and clinical settings is </w:t>
      </w:r>
      <w:r w:rsidR="00073C92">
        <w:rPr>
          <w:rFonts w:ascii="Arial" w:hAnsi="Arial" w:cs="Arial"/>
          <w:sz w:val="22"/>
          <w:szCs w:val="22"/>
          <w:lang w:val="en-US"/>
        </w:rPr>
        <w:t xml:space="preserve">widely documented (Whisman,1993). </w:t>
      </w:r>
      <w:r w:rsidR="006F7898">
        <w:rPr>
          <w:rFonts w:ascii="Arial" w:hAnsi="Arial" w:cs="Arial"/>
          <w:sz w:val="22"/>
          <w:szCs w:val="22"/>
          <w:lang w:val="en-US"/>
        </w:rPr>
        <w:t>Unlike clinical settings the majority of r</w:t>
      </w:r>
      <w:r w:rsidR="00EA08A3" w:rsidRPr="0022405F">
        <w:rPr>
          <w:rFonts w:ascii="Arial" w:hAnsi="Arial" w:cs="Arial"/>
          <w:sz w:val="22"/>
          <w:szCs w:val="22"/>
          <w:lang w:val="en-US"/>
        </w:rPr>
        <w:t>esearch trials select therapists based on a competence</w:t>
      </w:r>
      <w:r w:rsidR="006C4A15">
        <w:rPr>
          <w:rFonts w:ascii="Arial" w:hAnsi="Arial" w:cs="Arial"/>
          <w:sz w:val="22"/>
          <w:szCs w:val="22"/>
          <w:lang w:val="en-US"/>
        </w:rPr>
        <w:t>-</w:t>
      </w:r>
      <w:r w:rsidR="00EA08A3" w:rsidRPr="0022405F">
        <w:rPr>
          <w:rFonts w:ascii="Arial" w:hAnsi="Arial" w:cs="Arial"/>
          <w:sz w:val="22"/>
          <w:szCs w:val="22"/>
          <w:lang w:val="en-US"/>
        </w:rPr>
        <w:t>criteria</w:t>
      </w:r>
      <w:r w:rsidR="006F7898">
        <w:rPr>
          <w:rFonts w:ascii="Arial" w:hAnsi="Arial" w:cs="Arial"/>
          <w:sz w:val="22"/>
          <w:szCs w:val="22"/>
          <w:lang w:val="en-US"/>
        </w:rPr>
        <w:t xml:space="preserve"> (Whisman,1993) thus ensuring that therapists delivering treatments in an intervention arm of a trial have a high level of competence.  </w:t>
      </w:r>
      <w:r w:rsidR="00EA08A3" w:rsidRPr="0022405F">
        <w:rPr>
          <w:rFonts w:ascii="Arial" w:hAnsi="Arial" w:cs="Arial"/>
          <w:sz w:val="22"/>
          <w:szCs w:val="22"/>
          <w:lang w:val="en-US"/>
        </w:rPr>
        <w:t>The first measure of therapist competence was the Cognitive Therapy Scale (Young and Beck</w:t>
      </w:r>
      <w:r w:rsidR="00CD7FCE">
        <w:rPr>
          <w:rFonts w:ascii="Arial" w:hAnsi="Arial" w:cs="Arial"/>
          <w:sz w:val="22"/>
          <w:szCs w:val="22"/>
          <w:lang w:val="en-US"/>
        </w:rPr>
        <w:t>,</w:t>
      </w:r>
      <w:r w:rsidR="00EA08A3" w:rsidRPr="0022405F">
        <w:rPr>
          <w:rFonts w:ascii="Arial" w:hAnsi="Arial" w:cs="Arial"/>
          <w:sz w:val="22"/>
          <w:szCs w:val="22"/>
          <w:lang w:val="en-US"/>
        </w:rPr>
        <w:t xml:space="preserve"> 1988). The Cognitive Therapy Scale (CTS) was developed to measure therapist fidelity to the CBT model in the United States of America’s National Institute of Mental Health Treatment of Depression Collaborative Research Program (Elkin et al., 1989).  This randomized controlled trial </w:t>
      </w:r>
      <w:r w:rsidR="006F7898">
        <w:rPr>
          <w:rFonts w:ascii="Arial" w:hAnsi="Arial" w:cs="Arial"/>
          <w:sz w:val="22"/>
          <w:szCs w:val="22"/>
          <w:lang w:val="en-US"/>
        </w:rPr>
        <w:t xml:space="preserve">is one of many that investigate </w:t>
      </w:r>
      <w:r w:rsidR="00443363">
        <w:rPr>
          <w:rFonts w:ascii="Arial" w:hAnsi="Arial" w:cs="Arial"/>
          <w:sz w:val="22"/>
          <w:szCs w:val="22"/>
          <w:lang w:val="en-US"/>
        </w:rPr>
        <w:t xml:space="preserve">whether </w:t>
      </w:r>
      <w:r w:rsidR="006F7898">
        <w:rPr>
          <w:rFonts w:ascii="Arial" w:hAnsi="Arial" w:cs="Arial"/>
          <w:sz w:val="22"/>
          <w:szCs w:val="22"/>
          <w:lang w:val="en-US"/>
        </w:rPr>
        <w:t xml:space="preserve">one form of psychological therapy is superior to another. In this case Elkin et al., (1989) </w:t>
      </w:r>
      <w:r w:rsidR="00EA08A3" w:rsidRPr="0022405F">
        <w:rPr>
          <w:rFonts w:ascii="Arial" w:hAnsi="Arial" w:cs="Arial"/>
          <w:sz w:val="22"/>
          <w:szCs w:val="22"/>
          <w:lang w:val="en-US"/>
        </w:rPr>
        <w:t>investigated the efficacy of CBT and Interpersonal Psychotherapy in 250 patients who met the diagnostic criteria for major depression disorder.  Patients were randomly assigned to one of four treatment group</w:t>
      </w:r>
      <w:r w:rsidR="00713081">
        <w:rPr>
          <w:rFonts w:ascii="Arial" w:hAnsi="Arial" w:cs="Arial"/>
          <w:sz w:val="22"/>
          <w:szCs w:val="22"/>
          <w:lang w:val="en-US"/>
        </w:rPr>
        <w:t>s</w:t>
      </w:r>
      <w:r w:rsidR="00EA08A3" w:rsidRPr="0022405F">
        <w:rPr>
          <w:rFonts w:ascii="Arial" w:hAnsi="Arial" w:cs="Arial"/>
          <w:sz w:val="22"/>
          <w:szCs w:val="22"/>
          <w:lang w:val="en-US"/>
        </w:rPr>
        <w:t xml:space="preserve">: CBT, Interpersonal Psychotherapy, antidepressant treatment (Imipramine Hydrochloride) or a placebo (patients were given a tablet which contained no active ingredients).  </w:t>
      </w:r>
      <w:r w:rsidR="00380415">
        <w:rPr>
          <w:rFonts w:ascii="Arial" w:hAnsi="Arial" w:cs="Arial"/>
          <w:sz w:val="22"/>
          <w:szCs w:val="22"/>
          <w:lang w:val="en-US"/>
        </w:rPr>
        <w:t>Importantly</w:t>
      </w:r>
      <w:r w:rsidR="006F7898">
        <w:rPr>
          <w:rFonts w:ascii="Arial" w:hAnsi="Arial" w:cs="Arial"/>
          <w:sz w:val="22"/>
          <w:szCs w:val="22"/>
          <w:lang w:val="en-US"/>
        </w:rPr>
        <w:t xml:space="preserve">, the findings were inconclusive </w:t>
      </w:r>
      <w:r w:rsidR="00EA08A3" w:rsidRPr="0022405F">
        <w:rPr>
          <w:rFonts w:ascii="Arial" w:hAnsi="Arial" w:cs="Arial"/>
          <w:sz w:val="22"/>
          <w:szCs w:val="22"/>
          <w:lang w:val="en-US"/>
        </w:rPr>
        <w:t>due to a disparity between the severity of symptoms between the four patient groups.</w:t>
      </w:r>
      <w:r w:rsidR="00443363">
        <w:rPr>
          <w:rFonts w:ascii="Arial" w:hAnsi="Arial" w:cs="Arial"/>
          <w:sz w:val="22"/>
          <w:szCs w:val="22"/>
          <w:lang w:val="en-US"/>
        </w:rPr>
        <w:t xml:space="preserve"> Whilst the study had taken care to mediate for variability amongst therapists’ they may not have considered variability between patients. </w:t>
      </w:r>
      <w:r w:rsidR="00EA08A3" w:rsidRPr="0022405F">
        <w:rPr>
          <w:rFonts w:ascii="Arial" w:hAnsi="Arial" w:cs="Arial"/>
          <w:sz w:val="22"/>
          <w:szCs w:val="22"/>
          <w:lang w:val="en-US"/>
        </w:rPr>
        <w:t xml:space="preserve"> Ten years after this study</w:t>
      </w:r>
      <w:r w:rsidR="00713081">
        <w:rPr>
          <w:rFonts w:ascii="Arial" w:hAnsi="Arial" w:cs="Arial"/>
          <w:sz w:val="22"/>
          <w:szCs w:val="22"/>
          <w:lang w:val="en-US"/>
        </w:rPr>
        <w:t>,</w:t>
      </w:r>
      <w:r w:rsidR="00EA08A3" w:rsidRPr="0022405F">
        <w:rPr>
          <w:rFonts w:ascii="Arial" w:hAnsi="Arial" w:cs="Arial"/>
          <w:sz w:val="22"/>
          <w:szCs w:val="22"/>
          <w:lang w:val="en-US"/>
        </w:rPr>
        <w:t xml:space="preserve"> </w:t>
      </w:r>
      <w:r w:rsidR="006F7898">
        <w:rPr>
          <w:rFonts w:ascii="Arial" w:hAnsi="Arial" w:cs="Arial"/>
          <w:sz w:val="22"/>
          <w:szCs w:val="22"/>
          <w:lang w:val="en-US"/>
        </w:rPr>
        <w:t xml:space="preserve">a </w:t>
      </w:r>
      <w:r w:rsidR="00EA08A3" w:rsidRPr="0022405F">
        <w:rPr>
          <w:rFonts w:ascii="Arial" w:hAnsi="Arial" w:cs="Arial"/>
          <w:sz w:val="22"/>
          <w:szCs w:val="22"/>
          <w:lang w:val="en-US"/>
        </w:rPr>
        <w:t>post hoc analysis</w:t>
      </w:r>
      <w:r w:rsidR="00CF78C0">
        <w:rPr>
          <w:rFonts w:ascii="Arial" w:hAnsi="Arial" w:cs="Arial"/>
          <w:sz w:val="22"/>
          <w:szCs w:val="22"/>
          <w:lang w:val="en-US"/>
        </w:rPr>
        <w:t xml:space="preserve"> of </w:t>
      </w:r>
      <w:r w:rsidR="00CF78C0">
        <w:rPr>
          <w:rFonts w:ascii="Arial" w:hAnsi="Arial" w:cs="Arial"/>
          <w:sz w:val="22"/>
          <w:szCs w:val="22"/>
          <w:lang w:val="en-US"/>
        </w:rPr>
        <w:lastRenderedPageBreak/>
        <w:t>the data</w:t>
      </w:r>
      <w:r w:rsidR="006F7898">
        <w:rPr>
          <w:rFonts w:ascii="Arial" w:hAnsi="Arial" w:cs="Arial"/>
          <w:sz w:val="22"/>
          <w:szCs w:val="22"/>
          <w:lang w:val="en-US"/>
        </w:rPr>
        <w:t xml:space="preserve"> (</w:t>
      </w:r>
      <w:r w:rsidR="006F7898" w:rsidRPr="0022405F">
        <w:rPr>
          <w:rFonts w:ascii="Arial" w:hAnsi="Arial" w:cs="Arial"/>
          <w:sz w:val="22"/>
          <w:szCs w:val="22"/>
          <w:lang w:val="en-US"/>
        </w:rPr>
        <w:t xml:space="preserve">Shaw et al.,1999) </w:t>
      </w:r>
      <w:r w:rsidR="006F7898">
        <w:rPr>
          <w:rFonts w:ascii="Arial" w:hAnsi="Arial" w:cs="Arial"/>
          <w:sz w:val="22"/>
          <w:szCs w:val="22"/>
          <w:lang w:val="en-US"/>
        </w:rPr>
        <w:t xml:space="preserve">showed </w:t>
      </w:r>
      <w:r w:rsidR="00EA08A3" w:rsidRPr="0022405F">
        <w:rPr>
          <w:rFonts w:ascii="Arial" w:hAnsi="Arial" w:cs="Arial"/>
          <w:sz w:val="22"/>
          <w:szCs w:val="22"/>
          <w:lang w:val="en-US"/>
        </w:rPr>
        <w:t>a weak relationship between higher scores on the CTS and the Hamilton Rating Scale for Depression (Hamilton</w:t>
      </w:r>
      <w:r w:rsidR="00443363">
        <w:rPr>
          <w:rFonts w:ascii="Arial" w:hAnsi="Arial" w:cs="Arial"/>
          <w:sz w:val="22"/>
          <w:szCs w:val="22"/>
          <w:lang w:val="en-US"/>
        </w:rPr>
        <w:t>,</w:t>
      </w:r>
      <w:r w:rsidR="00EA08A3" w:rsidRPr="0022405F">
        <w:rPr>
          <w:rFonts w:ascii="Arial" w:hAnsi="Arial" w:cs="Arial"/>
          <w:sz w:val="22"/>
          <w:szCs w:val="22"/>
          <w:lang w:val="en-US"/>
        </w:rPr>
        <w:t xml:space="preserve"> 1960). </w:t>
      </w:r>
      <w:r w:rsidR="00443363">
        <w:rPr>
          <w:rFonts w:ascii="Arial" w:hAnsi="Arial" w:cs="Arial"/>
          <w:sz w:val="22"/>
          <w:szCs w:val="22"/>
          <w:lang w:val="en-US"/>
        </w:rPr>
        <w:t xml:space="preserve">They reached the conclusion that, because of </w:t>
      </w:r>
      <w:r w:rsidR="00CF78C0">
        <w:rPr>
          <w:rFonts w:ascii="Arial" w:hAnsi="Arial" w:cs="Arial"/>
          <w:sz w:val="22"/>
          <w:szCs w:val="22"/>
          <w:lang w:val="en-US"/>
        </w:rPr>
        <w:t xml:space="preserve">the weak </w:t>
      </w:r>
      <w:r w:rsidR="00443363">
        <w:rPr>
          <w:rFonts w:ascii="Arial" w:hAnsi="Arial" w:cs="Arial"/>
          <w:sz w:val="22"/>
          <w:szCs w:val="22"/>
          <w:lang w:val="en-US"/>
        </w:rPr>
        <w:t>findings,</w:t>
      </w:r>
      <w:r w:rsidR="00EA08A3" w:rsidRPr="0022405F">
        <w:rPr>
          <w:rFonts w:ascii="Arial" w:hAnsi="Arial" w:cs="Arial"/>
          <w:sz w:val="22"/>
          <w:szCs w:val="22"/>
          <w:lang w:val="en-US"/>
        </w:rPr>
        <w:t xml:space="preserve"> the CTS was not the right tool to assess therapist competence. </w:t>
      </w:r>
      <w:r w:rsidR="00443363">
        <w:rPr>
          <w:rFonts w:ascii="Arial" w:hAnsi="Arial" w:cs="Arial"/>
          <w:sz w:val="22"/>
          <w:szCs w:val="22"/>
          <w:lang w:val="en-US"/>
        </w:rPr>
        <w:t xml:space="preserve">However, this might not have been the right conclusion. The Ellkin et al., (1989) </w:t>
      </w:r>
      <w:r w:rsidR="00CF78C0">
        <w:rPr>
          <w:rFonts w:ascii="Arial" w:hAnsi="Arial" w:cs="Arial"/>
          <w:sz w:val="22"/>
          <w:szCs w:val="22"/>
          <w:lang w:val="en-US"/>
        </w:rPr>
        <w:t xml:space="preserve">trial </w:t>
      </w:r>
      <w:r w:rsidR="00443363">
        <w:rPr>
          <w:rFonts w:ascii="Arial" w:hAnsi="Arial" w:cs="Arial"/>
          <w:sz w:val="22"/>
          <w:szCs w:val="22"/>
          <w:lang w:val="en-US"/>
        </w:rPr>
        <w:t xml:space="preserve">had selected therapists who they deemed to be more competent and therefore the cohort of therapists may not have been representative of the general population of therapists (Whisman, 1993). To reject the CTS on the basis </w:t>
      </w:r>
      <w:r w:rsidR="00CF78C0">
        <w:rPr>
          <w:rFonts w:ascii="Arial" w:hAnsi="Arial" w:cs="Arial"/>
          <w:sz w:val="22"/>
          <w:szCs w:val="22"/>
          <w:lang w:val="en-US"/>
        </w:rPr>
        <w:t>of these findings may have been pre-emptive as later studies, in clinical settings</w:t>
      </w:r>
      <w:r w:rsidR="00713081">
        <w:rPr>
          <w:rFonts w:ascii="Arial" w:hAnsi="Arial" w:cs="Arial"/>
          <w:sz w:val="22"/>
          <w:szCs w:val="22"/>
          <w:lang w:val="en-US"/>
        </w:rPr>
        <w:t>,</w:t>
      </w:r>
      <w:r w:rsidR="00CF78C0">
        <w:rPr>
          <w:rFonts w:ascii="Arial" w:hAnsi="Arial" w:cs="Arial"/>
          <w:sz w:val="22"/>
          <w:szCs w:val="22"/>
          <w:lang w:val="en-US"/>
        </w:rPr>
        <w:t xml:space="preserve"> report</w:t>
      </w:r>
      <w:r w:rsidR="00EA08A3" w:rsidRPr="0022405F">
        <w:rPr>
          <w:rFonts w:ascii="Arial" w:hAnsi="Arial" w:cs="Arial"/>
          <w:sz w:val="22"/>
          <w:szCs w:val="22"/>
          <w:lang w:val="en-US"/>
        </w:rPr>
        <w:t xml:space="preserve"> </w:t>
      </w:r>
      <w:r w:rsidR="00CF78C0" w:rsidRPr="0022405F">
        <w:rPr>
          <w:rFonts w:ascii="Arial" w:hAnsi="Arial" w:cs="Arial"/>
          <w:sz w:val="22"/>
          <w:szCs w:val="22"/>
          <w:lang w:val="en-US"/>
        </w:rPr>
        <w:t xml:space="preserve">some correlation between therapists and trainees therapists who had higher scores on the CTS and patient outcomes </w:t>
      </w:r>
      <w:r w:rsidR="00CF78C0">
        <w:rPr>
          <w:rFonts w:ascii="Arial" w:hAnsi="Arial" w:cs="Arial"/>
          <w:sz w:val="22"/>
          <w:szCs w:val="22"/>
          <w:lang w:val="en-US"/>
        </w:rPr>
        <w:t>(</w:t>
      </w:r>
      <w:r w:rsidR="00EA08A3" w:rsidRPr="0022405F">
        <w:rPr>
          <w:rFonts w:ascii="Arial" w:hAnsi="Arial" w:cs="Arial"/>
          <w:sz w:val="22"/>
          <w:szCs w:val="22"/>
          <w:lang w:val="en-US"/>
        </w:rPr>
        <w:t>Kingdon, Tryer, Seivewight, Furguson and Murphy</w:t>
      </w:r>
      <w:r w:rsidR="00CF78C0">
        <w:rPr>
          <w:rFonts w:ascii="Arial" w:hAnsi="Arial" w:cs="Arial"/>
          <w:sz w:val="22"/>
          <w:szCs w:val="22"/>
          <w:lang w:val="en-US"/>
        </w:rPr>
        <w:t xml:space="preserve">, </w:t>
      </w:r>
      <w:r w:rsidR="00EA08A3" w:rsidRPr="0022405F">
        <w:rPr>
          <w:rFonts w:ascii="Arial" w:hAnsi="Arial" w:cs="Arial"/>
          <w:sz w:val="22"/>
          <w:szCs w:val="22"/>
          <w:lang w:val="en-US"/>
        </w:rPr>
        <w:t>1996 and  Milne, Baker, Blackburn, James and Reichelt</w:t>
      </w:r>
      <w:r w:rsidR="00CF78C0">
        <w:rPr>
          <w:rFonts w:ascii="Arial" w:hAnsi="Arial" w:cs="Arial"/>
          <w:sz w:val="22"/>
          <w:szCs w:val="22"/>
          <w:lang w:val="en-US"/>
        </w:rPr>
        <w:t>,</w:t>
      </w:r>
      <w:r w:rsidR="00EA08A3" w:rsidRPr="0022405F">
        <w:rPr>
          <w:rFonts w:ascii="Arial" w:hAnsi="Arial" w:cs="Arial"/>
          <w:sz w:val="22"/>
          <w:szCs w:val="22"/>
          <w:lang w:val="en-US"/>
        </w:rPr>
        <w:t xml:space="preserve"> 1999).  </w:t>
      </w:r>
      <w:r w:rsidR="00CF78C0">
        <w:rPr>
          <w:rFonts w:ascii="Arial" w:hAnsi="Arial" w:cs="Arial"/>
          <w:sz w:val="22"/>
          <w:szCs w:val="22"/>
          <w:lang w:val="en-US"/>
        </w:rPr>
        <w:t>However, t</w:t>
      </w:r>
      <w:r w:rsidR="00EA08A3" w:rsidRPr="0022405F">
        <w:rPr>
          <w:rFonts w:ascii="Arial" w:hAnsi="Arial" w:cs="Arial"/>
          <w:sz w:val="22"/>
          <w:szCs w:val="22"/>
          <w:lang w:val="en-US"/>
        </w:rPr>
        <w:t xml:space="preserve">he results from both </w:t>
      </w:r>
      <w:r w:rsidR="00CF78C0">
        <w:rPr>
          <w:rFonts w:ascii="Arial" w:hAnsi="Arial" w:cs="Arial"/>
          <w:sz w:val="22"/>
          <w:szCs w:val="22"/>
          <w:lang w:val="en-US"/>
        </w:rPr>
        <w:t xml:space="preserve">of </w:t>
      </w:r>
      <w:r w:rsidR="00EA08A3" w:rsidRPr="0022405F">
        <w:rPr>
          <w:rFonts w:ascii="Arial" w:hAnsi="Arial" w:cs="Arial"/>
          <w:sz w:val="22"/>
          <w:szCs w:val="22"/>
          <w:lang w:val="en-US"/>
        </w:rPr>
        <w:t xml:space="preserve">these of studies have been criticised as methodologically flawed </w:t>
      </w:r>
      <w:r w:rsidR="00CF78C0">
        <w:rPr>
          <w:rFonts w:ascii="Arial" w:hAnsi="Arial" w:cs="Arial"/>
          <w:sz w:val="22"/>
          <w:szCs w:val="22"/>
          <w:lang w:val="en-US"/>
        </w:rPr>
        <w:t>(</w:t>
      </w:r>
      <w:r w:rsidR="00EA08A3" w:rsidRPr="0022405F">
        <w:rPr>
          <w:rFonts w:ascii="Arial" w:hAnsi="Arial" w:cs="Arial"/>
          <w:sz w:val="22"/>
          <w:szCs w:val="22"/>
          <w:lang w:val="en-US"/>
        </w:rPr>
        <w:t>Trepka, Rees, Shapiro, Hardy and Barkham</w:t>
      </w:r>
      <w:r w:rsidR="00CF78C0">
        <w:rPr>
          <w:rFonts w:ascii="Arial" w:hAnsi="Arial" w:cs="Arial"/>
          <w:sz w:val="22"/>
          <w:szCs w:val="22"/>
          <w:lang w:val="en-US"/>
        </w:rPr>
        <w:t xml:space="preserve">, </w:t>
      </w:r>
      <w:r w:rsidR="00EA08A3" w:rsidRPr="0022405F">
        <w:rPr>
          <w:rFonts w:ascii="Arial" w:hAnsi="Arial" w:cs="Arial"/>
          <w:sz w:val="22"/>
          <w:szCs w:val="22"/>
          <w:lang w:val="en-US"/>
        </w:rPr>
        <w:t>2004)</w:t>
      </w:r>
      <w:r w:rsidR="00CF78C0">
        <w:rPr>
          <w:rFonts w:ascii="Arial" w:hAnsi="Arial" w:cs="Arial"/>
          <w:sz w:val="22"/>
          <w:szCs w:val="22"/>
          <w:lang w:val="en-US"/>
        </w:rPr>
        <w:t>. One study (</w:t>
      </w:r>
      <w:r w:rsidR="00CF78C0" w:rsidRPr="0022405F">
        <w:rPr>
          <w:rFonts w:ascii="Arial" w:hAnsi="Arial" w:cs="Arial"/>
          <w:sz w:val="22"/>
          <w:szCs w:val="22"/>
          <w:lang w:val="en-US"/>
        </w:rPr>
        <w:t>Kingdon et al.</w:t>
      </w:r>
      <w:r w:rsidR="00CF78C0">
        <w:rPr>
          <w:rFonts w:ascii="Arial" w:hAnsi="Arial" w:cs="Arial"/>
          <w:sz w:val="22"/>
          <w:szCs w:val="22"/>
          <w:lang w:val="en-US"/>
        </w:rPr>
        <w:t xml:space="preserve">, 1996) </w:t>
      </w:r>
      <w:r w:rsidR="00EA08A3" w:rsidRPr="0022405F">
        <w:rPr>
          <w:rFonts w:ascii="Arial" w:hAnsi="Arial" w:cs="Arial"/>
          <w:sz w:val="22"/>
          <w:szCs w:val="22"/>
          <w:lang w:val="en-US"/>
        </w:rPr>
        <w:t xml:space="preserve">failed to investigate the strength of the relationship between competence and outcome. </w:t>
      </w:r>
      <w:r w:rsidR="00CF78C0">
        <w:rPr>
          <w:rFonts w:ascii="Arial" w:hAnsi="Arial" w:cs="Arial"/>
          <w:sz w:val="22"/>
          <w:szCs w:val="22"/>
          <w:lang w:val="en-US"/>
        </w:rPr>
        <w:t xml:space="preserve">Unfortunately, </w:t>
      </w:r>
      <w:r w:rsidR="00EA08A3" w:rsidRPr="0022405F">
        <w:rPr>
          <w:rFonts w:ascii="Arial" w:hAnsi="Arial" w:cs="Arial"/>
          <w:sz w:val="22"/>
          <w:szCs w:val="22"/>
          <w:lang w:val="en-US"/>
        </w:rPr>
        <w:t xml:space="preserve">the </w:t>
      </w:r>
      <w:r w:rsidR="00CF78C0">
        <w:rPr>
          <w:rFonts w:ascii="Arial" w:hAnsi="Arial" w:cs="Arial"/>
          <w:sz w:val="22"/>
          <w:szCs w:val="22"/>
          <w:lang w:val="en-US"/>
        </w:rPr>
        <w:t xml:space="preserve">Milne et al., (1999) </w:t>
      </w:r>
      <w:r w:rsidR="00EA08A3" w:rsidRPr="0022405F">
        <w:rPr>
          <w:rFonts w:ascii="Arial" w:hAnsi="Arial" w:cs="Arial"/>
          <w:sz w:val="22"/>
          <w:szCs w:val="22"/>
          <w:lang w:val="en-US"/>
        </w:rPr>
        <w:t>longitudinal study of CBT trainees failed to control for the progress trainees made over the duration of their training</w:t>
      </w:r>
      <w:r w:rsidR="00CF78C0">
        <w:rPr>
          <w:rFonts w:ascii="Arial" w:hAnsi="Arial" w:cs="Arial"/>
          <w:sz w:val="22"/>
          <w:szCs w:val="22"/>
          <w:lang w:val="en-US"/>
        </w:rPr>
        <w:t xml:space="preserve"> and</w:t>
      </w:r>
      <w:r w:rsidR="00713081">
        <w:rPr>
          <w:rFonts w:ascii="Arial" w:hAnsi="Arial" w:cs="Arial"/>
          <w:sz w:val="22"/>
          <w:szCs w:val="22"/>
          <w:lang w:val="en-US"/>
        </w:rPr>
        <w:t>,</w:t>
      </w:r>
      <w:r w:rsidR="00CF78C0">
        <w:rPr>
          <w:rFonts w:ascii="Arial" w:hAnsi="Arial" w:cs="Arial"/>
          <w:sz w:val="22"/>
          <w:szCs w:val="22"/>
          <w:lang w:val="en-US"/>
        </w:rPr>
        <w:t xml:space="preserve"> therefore</w:t>
      </w:r>
      <w:r w:rsidR="00713081">
        <w:rPr>
          <w:rFonts w:ascii="Arial" w:hAnsi="Arial" w:cs="Arial"/>
          <w:sz w:val="22"/>
          <w:szCs w:val="22"/>
          <w:lang w:val="en-US"/>
        </w:rPr>
        <w:t>,</w:t>
      </w:r>
      <w:r w:rsidR="00CF78C0">
        <w:rPr>
          <w:rFonts w:ascii="Arial" w:hAnsi="Arial" w:cs="Arial"/>
          <w:sz w:val="22"/>
          <w:szCs w:val="22"/>
          <w:lang w:val="en-US"/>
        </w:rPr>
        <w:t xml:space="preserve"> their finding that competence correlated positively to clinical outcome may have only been as a result of the students</w:t>
      </w:r>
      <w:r w:rsidR="00713081">
        <w:rPr>
          <w:rFonts w:ascii="Arial" w:hAnsi="Arial" w:cs="Arial"/>
          <w:sz w:val="22"/>
          <w:szCs w:val="22"/>
          <w:lang w:val="en-US"/>
        </w:rPr>
        <w:t>’</w:t>
      </w:r>
      <w:r w:rsidR="00CF78C0">
        <w:rPr>
          <w:rFonts w:ascii="Arial" w:hAnsi="Arial" w:cs="Arial"/>
          <w:sz w:val="22"/>
          <w:szCs w:val="22"/>
          <w:lang w:val="en-US"/>
        </w:rPr>
        <w:t xml:space="preserve"> training. </w:t>
      </w:r>
      <w:r w:rsidR="00EA08A3" w:rsidRPr="0022405F">
        <w:rPr>
          <w:rFonts w:ascii="Arial" w:hAnsi="Arial" w:cs="Arial"/>
          <w:sz w:val="22"/>
          <w:szCs w:val="22"/>
          <w:lang w:val="en-US"/>
        </w:rPr>
        <w:t xml:space="preserve"> Drawing on the outcomes of these earlier studies Trepka et al.</w:t>
      </w:r>
      <w:r w:rsidR="001B0524">
        <w:rPr>
          <w:rFonts w:ascii="Arial" w:hAnsi="Arial" w:cs="Arial"/>
          <w:sz w:val="22"/>
          <w:szCs w:val="22"/>
          <w:lang w:val="en-US"/>
        </w:rPr>
        <w:t>, (2004)</w:t>
      </w:r>
      <w:r w:rsidR="00EA08A3" w:rsidRPr="0022405F">
        <w:rPr>
          <w:rFonts w:ascii="Arial" w:hAnsi="Arial" w:cs="Arial"/>
          <w:sz w:val="22"/>
          <w:szCs w:val="22"/>
          <w:lang w:val="en-US"/>
        </w:rPr>
        <w:t xml:space="preserve">, went on to assess the competence of </w:t>
      </w:r>
      <w:r w:rsidR="001B0524">
        <w:rPr>
          <w:rFonts w:ascii="Arial" w:hAnsi="Arial" w:cs="Arial"/>
          <w:sz w:val="22"/>
          <w:szCs w:val="22"/>
          <w:lang w:val="en-US"/>
        </w:rPr>
        <w:t>6</w:t>
      </w:r>
      <w:r w:rsidR="00EA08A3" w:rsidRPr="0022405F">
        <w:rPr>
          <w:rFonts w:ascii="Arial" w:hAnsi="Arial" w:cs="Arial"/>
          <w:sz w:val="22"/>
          <w:szCs w:val="22"/>
          <w:lang w:val="en-US"/>
        </w:rPr>
        <w:t xml:space="preserve"> British psychologists using the CTS.  The </w:t>
      </w:r>
      <w:r w:rsidR="001B0524">
        <w:rPr>
          <w:rFonts w:ascii="Arial" w:hAnsi="Arial" w:cs="Arial"/>
          <w:sz w:val="22"/>
          <w:szCs w:val="22"/>
          <w:lang w:val="en-US"/>
        </w:rPr>
        <w:t>6</w:t>
      </w:r>
      <w:r w:rsidR="00EA08A3" w:rsidRPr="0022405F">
        <w:rPr>
          <w:rFonts w:ascii="Arial" w:hAnsi="Arial" w:cs="Arial"/>
          <w:sz w:val="22"/>
          <w:szCs w:val="22"/>
          <w:lang w:val="en-US"/>
        </w:rPr>
        <w:t xml:space="preserve"> therapists treated a total of 30 patients who met the diagnostic criteria for depression. The therapists were trained to use the Beck, Rush, Shaw and Emery (1979) </w:t>
      </w:r>
      <w:r w:rsidR="001B0524">
        <w:rPr>
          <w:rFonts w:ascii="Arial" w:hAnsi="Arial" w:cs="Arial"/>
          <w:sz w:val="22"/>
          <w:szCs w:val="22"/>
          <w:lang w:val="en-US"/>
        </w:rPr>
        <w:t>C</w:t>
      </w:r>
      <w:r w:rsidR="00EA08A3" w:rsidRPr="0022405F">
        <w:rPr>
          <w:rFonts w:ascii="Arial" w:hAnsi="Arial" w:cs="Arial"/>
          <w:sz w:val="22"/>
          <w:szCs w:val="22"/>
          <w:lang w:val="en-US"/>
        </w:rPr>
        <w:t xml:space="preserve">ognitive </w:t>
      </w:r>
      <w:r w:rsidR="001B0524">
        <w:rPr>
          <w:rFonts w:ascii="Arial" w:hAnsi="Arial" w:cs="Arial"/>
          <w:sz w:val="22"/>
          <w:szCs w:val="22"/>
          <w:lang w:val="en-US"/>
        </w:rPr>
        <w:t>T</w:t>
      </w:r>
      <w:r w:rsidR="00EA08A3" w:rsidRPr="0022405F">
        <w:rPr>
          <w:rFonts w:ascii="Arial" w:hAnsi="Arial" w:cs="Arial"/>
          <w:sz w:val="22"/>
          <w:szCs w:val="22"/>
          <w:lang w:val="en-US"/>
        </w:rPr>
        <w:t xml:space="preserve">herapy </w:t>
      </w:r>
      <w:r w:rsidR="001B0524">
        <w:rPr>
          <w:rFonts w:ascii="Arial" w:hAnsi="Arial" w:cs="Arial"/>
          <w:sz w:val="22"/>
          <w:szCs w:val="22"/>
          <w:lang w:val="en-US"/>
        </w:rPr>
        <w:t xml:space="preserve">protocol </w:t>
      </w:r>
      <w:r w:rsidR="00EA08A3" w:rsidRPr="0022405F">
        <w:rPr>
          <w:rFonts w:ascii="Arial" w:hAnsi="Arial" w:cs="Arial"/>
          <w:sz w:val="22"/>
          <w:szCs w:val="22"/>
          <w:lang w:val="en-US"/>
        </w:rPr>
        <w:t>for depression. All the treatment sessions were recorded via audio tape and one recording</w:t>
      </w:r>
      <w:r w:rsidR="001B0524">
        <w:rPr>
          <w:rFonts w:ascii="Arial" w:hAnsi="Arial" w:cs="Arial"/>
          <w:sz w:val="22"/>
          <w:szCs w:val="22"/>
          <w:lang w:val="en-US"/>
        </w:rPr>
        <w:t xml:space="preserve"> </w:t>
      </w:r>
      <w:r w:rsidR="00EA08A3" w:rsidRPr="0022405F">
        <w:rPr>
          <w:rFonts w:ascii="Arial" w:hAnsi="Arial" w:cs="Arial"/>
          <w:sz w:val="22"/>
          <w:szCs w:val="22"/>
          <w:lang w:val="en-US"/>
        </w:rPr>
        <w:t>was selected</w:t>
      </w:r>
      <w:r w:rsidR="001B0524">
        <w:rPr>
          <w:rFonts w:ascii="Arial" w:hAnsi="Arial" w:cs="Arial"/>
          <w:sz w:val="22"/>
          <w:szCs w:val="22"/>
          <w:lang w:val="en-US"/>
        </w:rPr>
        <w:t>,</w:t>
      </w:r>
      <w:r w:rsidR="00EA08A3" w:rsidRPr="0022405F">
        <w:rPr>
          <w:rFonts w:ascii="Arial" w:hAnsi="Arial" w:cs="Arial"/>
          <w:sz w:val="22"/>
          <w:szCs w:val="22"/>
          <w:lang w:val="en-US"/>
        </w:rPr>
        <w:t xml:space="preserve"> at random</w:t>
      </w:r>
      <w:r w:rsidR="001B0524">
        <w:rPr>
          <w:rFonts w:ascii="Arial" w:hAnsi="Arial" w:cs="Arial"/>
          <w:sz w:val="22"/>
          <w:szCs w:val="22"/>
          <w:lang w:val="en-US"/>
        </w:rPr>
        <w:t>,</w:t>
      </w:r>
      <w:r w:rsidR="00EA08A3" w:rsidRPr="0022405F">
        <w:rPr>
          <w:rFonts w:ascii="Arial" w:hAnsi="Arial" w:cs="Arial"/>
          <w:sz w:val="22"/>
          <w:szCs w:val="22"/>
          <w:lang w:val="en-US"/>
        </w:rPr>
        <w:t xml:space="preserve"> to be assessed using the CTS. The resulting CTS scores were compared to clinical outcome using the Beck Depression Inventory (Beck, Ward, Mendelson, Mock and Erbaugh</w:t>
      </w:r>
      <w:r w:rsidR="001B0524">
        <w:rPr>
          <w:rFonts w:ascii="Arial" w:hAnsi="Arial" w:cs="Arial"/>
          <w:sz w:val="22"/>
          <w:szCs w:val="22"/>
          <w:lang w:val="en-US"/>
        </w:rPr>
        <w:t>,</w:t>
      </w:r>
      <w:r w:rsidR="00EA08A3" w:rsidRPr="0022405F">
        <w:rPr>
          <w:rFonts w:ascii="Arial" w:hAnsi="Arial" w:cs="Arial"/>
          <w:sz w:val="22"/>
          <w:szCs w:val="22"/>
          <w:lang w:val="en-US"/>
        </w:rPr>
        <w:t xml:space="preserve"> 1961). Trepka et al.</w:t>
      </w:r>
      <w:r w:rsidR="001B0524">
        <w:rPr>
          <w:rFonts w:ascii="Arial" w:hAnsi="Arial" w:cs="Arial"/>
          <w:sz w:val="22"/>
          <w:szCs w:val="22"/>
          <w:lang w:val="en-US"/>
        </w:rPr>
        <w:t>, (2004)</w:t>
      </w:r>
      <w:r w:rsidR="00EA08A3" w:rsidRPr="0022405F">
        <w:rPr>
          <w:rFonts w:ascii="Arial" w:hAnsi="Arial" w:cs="Arial"/>
          <w:sz w:val="22"/>
          <w:szCs w:val="22"/>
          <w:lang w:val="en-US"/>
        </w:rPr>
        <w:t xml:space="preserve"> reported that that was a weak correlation (r = -.28) between clinical outcome and the CTS.  They suggested that it is only possible to detect a relationship between competence and outcome when there is a variance in competence between the therapists being investigated. </w:t>
      </w:r>
    </w:p>
    <w:p w14:paraId="2DD870B1" w14:textId="1981AF28" w:rsidR="00EA08A3" w:rsidRDefault="00EA08A3" w:rsidP="00EA08A3">
      <w:pPr>
        <w:widowControl w:val="0"/>
        <w:autoSpaceDE w:val="0"/>
        <w:autoSpaceDN w:val="0"/>
        <w:adjustRightInd w:val="0"/>
        <w:spacing w:after="240" w:line="480" w:lineRule="auto"/>
        <w:rPr>
          <w:rFonts w:ascii="Arial" w:hAnsi="Arial" w:cs="Arial"/>
          <w:sz w:val="22"/>
          <w:szCs w:val="22"/>
          <w:lang w:val="en-US"/>
        </w:rPr>
      </w:pPr>
      <w:r w:rsidRPr="0022405F">
        <w:rPr>
          <w:rFonts w:ascii="Arial" w:hAnsi="Arial" w:cs="Arial"/>
          <w:sz w:val="22"/>
          <w:szCs w:val="22"/>
          <w:lang w:val="en-US"/>
        </w:rPr>
        <w:lastRenderedPageBreak/>
        <w:t>The CTS was widely used in the United Kingdom until 2002. The original CTS (Young and Beck</w:t>
      </w:r>
      <w:r w:rsidR="001B0524">
        <w:rPr>
          <w:rFonts w:ascii="Arial" w:hAnsi="Arial" w:cs="Arial"/>
          <w:sz w:val="22"/>
          <w:szCs w:val="22"/>
          <w:lang w:val="en-US"/>
        </w:rPr>
        <w:t>,</w:t>
      </w:r>
      <w:r w:rsidRPr="0022405F">
        <w:rPr>
          <w:rFonts w:ascii="Arial" w:hAnsi="Arial" w:cs="Arial"/>
          <w:sz w:val="22"/>
          <w:szCs w:val="22"/>
          <w:lang w:val="en-US"/>
        </w:rPr>
        <w:t xml:space="preserve"> 1980) has been superseded by a revised version (Young and Beck 1988) and this is still a commonly used tool used to analyse the relationship between therapist competence and clinical outcome in the United States of America. Whilst the CTS is </w:t>
      </w:r>
      <w:r w:rsidR="001B0524">
        <w:rPr>
          <w:rFonts w:ascii="Arial" w:hAnsi="Arial" w:cs="Arial"/>
          <w:sz w:val="22"/>
          <w:szCs w:val="22"/>
          <w:lang w:val="en-US"/>
        </w:rPr>
        <w:t>a widely used tool</w:t>
      </w:r>
      <w:r w:rsidRPr="0022405F">
        <w:rPr>
          <w:rFonts w:ascii="Arial" w:hAnsi="Arial" w:cs="Arial"/>
          <w:sz w:val="22"/>
          <w:szCs w:val="22"/>
          <w:lang w:val="en-US"/>
        </w:rPr>
        <w:t xml:space="preserve"> to </w:t>
      </w:r>
      <w:r w:rsidR="001B0524">
        <w:rPr>
          <w:rFonts w:ascii="Arial" w:hAnsi="Arial" w:cs="Arial"/>
          <w:sz w:val="22"/>
          <w:szCs w:val="22"/>
          <w:lang w:val="en-US"/>
        </w:rPr>
        <w:t xml:space="preserve">assess </w:t>
      </w:r>
      <w:r w:rsidRPr="0022405F">
        <w:rPr>
          <w:rFonts w:ascii="Arial" w:hAnsi="Arial" w:cs="Arial"/>
          <w:sz w:val="22"/>
          <w:szCs w:val="22"/>
          <w:lang w:val="en-US"/>
        </w:rPr>
        <w:t>therapist competence,</w:t>
      </w:r>
      <w:r w:rsidR="001B0524">
        <w:rPr>
          <w:rFonts w:ascii="Arial" w:hAnsi="Arial" w:cs="Arial"/>
          <w:sz w:val="22"/>
          <w:szCs w:val="22"/>
          <w:lang w:val="en-US"/>
        </w:rPr>
        <w:t xml:space="preserve"> it is </w:t>
      </w:r>
      <w:r w:rsidR="00380415">
        <w:rPr>
          <w:rFonts w:ascii="Arial" w:hAnsi="Arial" w:cs="Arial"/>
          <w:sz w:val="22"/>
          <w:szCs w:val="22"/>
          <w:lang w:val="en-US"/>
        </w:rPr>
        <w:t xml:space="preserve">important to note </w:t>
      </w:r>
      <w:r w:rsidR="001B0524">
        <w:rPr>
          <w:rFonts w:ascii="Arial" w:hAnsi="Arial" w:cs="Arial"/>
          <w:sz w:val="22"/>
          <w:szCs w:val="22"/>
          <w:lang w:val="en-US"/>
        </w:rPr>
        <w:t>that there is</w:t>
      </w:r>
      <w:r w:rsidR="00A26DBE">
        <w:rPr>
          <w:rFonts w:ascii="Arial" w:hAnsi="Arial" w:cs="Arial"/>
          <w:sz w:val="22"/>
          <w:szCs w:val="22"/>
          <w:lang w:val="en-US"/>
        </w:rPr>
        <w:t xml:space="preserve"> some disagreement about whether the tool is fit for purpose</w:t>
      </w:r>
      <w:r w:rsidRPr="0022405F">
        <w:rPr>
          <w:rFonts w:ascii="Arial" w:hAnsi="Arial" w:cs="Arial"/>
          <w:sz w:val="22"/>
          <w:szCs w:val="22"/>
          <w:lang w:val="en-US"/>
        </w:rPr>
        <w:t>. Blackburn, James, Milne, Baker, Standart, Garland and Reichelt (2001) argue that that the CTS does not enable raters to clearly differentiate between levels of competence. Whisman (1993) states that the CTS scoring system makes it difficult for raters to be objective. Furthermore, it has been argued that the CTS does not adequately assess all the domains necessary to be a competent therapist and that there is significant overlap between the items (Shaw et al., 1999). These ‘design’ flaws in the original CTS led to the development of the Cognitive Therapy Scale- Revised (Blackburn et al., 2001)</w:t>
      </w:r>
      <w:r w:rsidR="00A26DBE">
        <w:rPr>
          <w:rFonts w:ascii="Arial" w:hAnsi="Arial" w:cs="Arial"/>
          <w:sz w:val="22"/>
          <w:szCs w:val="22"/>
          <w:lang w:val="en-US"/>
        </w:rPr>
        <w:t xml:space="preserve"> which is commonly used (see chapter 2 section </w:t>
      </w:r>
      <w:r w:rsidR="00544EF7">
        <w:rPr>
          <w:rFonts w:ascii="Arial" w:hAnsi="Arial" w:cs="Arial"/>
          <w:sz w:val="22"/>
          <w:szCs w:val="22"/>
          <w:lang w:val="en-US"/>
        </w:rPr>
        <w:t>2.5</w:t>
      </w:r>
      <w:r w:rsidR="00A26DBE">
        <w:rPr>
          <w:rFonts w:ascii="Arial" w:hAnsi="Arial" w:cs="Arial"/>
          <w:sz w:val="22"/>
          <w:szCs w:val="22"/>
          <w:lang w:val="en-US"/>
        </w:rPr>
        <w:t>) in the UK.</w:t>
      </w:r>
      <w:r w:rsidRPr="0022405F">
        <w:rPr>
          <w:rFonts w:ascii="Arial" w:hAnsi="Arial" w:cs="Arial"/>
          <w:sz w:val="22"/>
          <w:szCs w:val="22"/>
          <w:lang w:val="en-US"/>
        </w:rPr>
        <w:t xml:space="preserve"> Despite its wide adopt</w:t>
      </w:r>
      <w:r w:rsidR="00A26DBE">
        <w:rPr>
          <w:rFonts w:ascii="Arial" w:hAnsi="Arial" w:cs="Arial"/>
          <w:sz w:val="22"/>
          <w:szCs w:val="22"/>
          <w:lang w:val="en-US"/>
        </w:rPr>
        <w:t>ion</w:t>
      </w:r>
      <w:r w:rsidRPr="0022405F">
        <w:rPr>
          <w:rFonts w:ascii="Arial" w:hAnsi="Arial" w:cs="Arial"/>
          <w:sz w:val="22"/>
          <w:szCs w:val="22"/>
          <w:lang w:val="en-US"/>
        </w:rPr>
        <w:t xml:space="preserve"> there is</w:t>
      </w:r>
      <w:r w:rsidR="00A26DBE">
        <w:rPr>
          <w:rFonts w:ascii="Arial" w:hAnsi="Arial" w:cs="Arial"/>
          <w:sz w:val="22"/>
          <w:szCs w:val="22"/>
          <w:lang w:val="en-US"/>
        </w:rPr>
        <w:t xml:space="preserve"> still </w:t>
      </w:r>
      <w:r w:rsidRPr="0022405F">
        <w:rPr>
          <w:rFonts w:ascii="Arial" w:hAnsi="Arial" w:cs="Arial"/>
          <w:sz w:val="22"/>
          <w:szCs w:val="22"/>
          <w:lang w:val="en-US"/>
        </w:rPr>
        <w:t>little evidence that there is a strong relationship between higher CTS-R scores and clinical outcome (Kazantis, Clayton, Cronin, Farchione, Limburg and Dobson 2018). Th</w:t>
      </w:r>
      <w:r w:rsidR="00A26DBE">
        <w:rPr>
          <w:rFonts w:ascii="Arial" w:hAnsi="Arial" w:cs="Arial"/>
          <w:sz w:val="22"/>
          <w:szCs w:val="22"/>
          <w:lang w:val="en-US"/>
        </w:rPr>
        <w:t>is uncertainty about whether the CTS or CTS-R effectively measures therapist competence</w:t>
      </w:r>
      <w:r w:rsidRPr="0022405F">
        <w:rPr>
          <w:rFonts w:ascii="Arial" w:hAnsi="Arial" w:cs="Arial"/>
          <w:sz w:val="22"/>
          <w:szCs w:val="22"/>
          <w:lang w:val="en-US"/>
        </w:rPr>
        <w:t xml:space="preserve"> </w:t>
      </w:r>
      <w:r w:rsidR="00A26DBE">
        <w:rPr>
          <w:rFonts w:ascii="Arial" w:hAnsi="Arial" w:cs="Arial"/>
          <w:sz w:val="22"/>
          <w:szCs w:val="22"/>
          <w:lang w:val="en-US"/>
        </w:rPr>
        <w:t xml:space="preserve">has fueled </w:t>
      </w:r>
      <w:r w:rsidRPr="0022405F">
        <w:rPr>
          <w:rFonts w:ascii="Arial" w:hAnsi="Arial" w:cs="Arial"/>
          <w:sz w:val="22"/>
          <w:szCs w:val="22"/>
          <w:lang w:val="en-US"/>
        </w:rPr>
        <w:t>attempt</w:t>
      </w:r>
      <w:r w:rsidR="00A26DBE">
        <w:rPr>
          <w:rFonts w:ascii="Arial" w:hAnsi="Arial" w:cs="Arial"/>
          <w:sz w:val="22"/>
          <w:szCs w:val="22"/>
          <w:lang w:val="en-US"/>
        </w:rPr>
        <w:t>s</w:t>
      </w:r>
      <w:r w:rsidRPr="0022405F">
        <w:rPr>
          <w:rFonts w:ascii="Arial" w:hAnsi="Arial" w:cs="Arial"/>
          <w:sz w:val="22"/>
          <w:szCs w:val="22"/>
          <w:lang w:val="en-US"/>
        </w:rPr>
        <w:t xml:space="preserve"> to develop </w:t>
      </w:r>
      <w:r w:rsidR="00A26DBE">
        <w:rPr>
          <w:rFonts w:ascii="Arial" w:hAnsi="Arial" w:cs="Arial"/>
          <w:sz w:val="22"/>
          <w:szCs w:val="22"/>
          <w:lang w:val="en-US"/>
        </w:rPr>
        <w:t>new tools</w:t>
      </w:r>
      <w:r w:rsidRPr="0022405F">
        <w:rPr>
          <w:rFonts w:ascii="Arial" w:hAnsi="Arial" w:cs="Arial"/>
          <w:sz w:val="22"/>
          <w:szCs w:val="22"/>
          <w:lang w:val="en-US"/>
        </w:rPr>
        <w:t xml:space="preserve"> (see Muse and Macmanus 2016) but, </w:t>
      </w:r>
      <w:r w:rsidR="00073C92">
        <w:rPr>
          <w:rFonts w:ascii="Arial" w:hAnsi="Arial" w:cs="Arial"/>
          <w:sz w:val="22"/>
          <w:szCs w:val="22"/>
          <w:lang w:val="en-US"/>
        </w:rPr>
        <w:t>these have not been widely adopted to date and are yet to demonstrate a stronger relationship with clinical outcome than the CTS or CTS-R. Furthermore</w:t>
      </w:r>
      <w:r w:rsidR="00A57DE2">
        <w:rPr>
          <w:rFonts w:ascii="Arial" w:hAnsi="Arial" w:cs="Arial"/>
          <w:sz w:val="22"/>
          <w:szCs w:val="22"/>
          <w:lang w:val="en-US"/>
        </w:rPr>
        <w:t>,</w:t>
      </w:r>
      <w:r w:rsidR="00073C92">
        <w:rPr>
          <w:rFonts w:ascii="Arial" w:hAnsi="Arial" w:cs="Arial"/>
          <w:sz w:val="22"/>
          <w:szCs w:val="22"/>
          <w:lang w:val="en-US"/>
        </w:rPr>
        <w:t xml:space="preserve"> there appears to be an intersect between therapist competence and therapist adherence, to a treatment protocol whereby it might be hard to measure one without the other (Kazantis, 2003).</w:t>
      </w:r>
      <w:r w:rsidRPr="0022405F">
        <w:rPr>
          <w:rFonts w:ascii="Arial" w:hAnsi="Arial" w:cs="Arial"/>
          <w:sz w:val="22"/>
          <w:szCs w:val="22"/>
          <w:lang w:val="en-US"/>
        </w:rPr>
        <w:t xml:space="preserve"> </w:t>
      </w:r>
      <w:r w:rsidR="00D3045D">
        <w:rPr>
          <w:rFonts w:ascii="Arial" w:hAnsi="Arial" w:cs="Arial"/>
          <w:sz w:val="22"/>
          <w:szCs w:val="22"/>
          <w:lang w:val="en-US"/>
        </w:rPr>
        <w:t xml:space="preserve">Therapist adherence is discussed as </w:t>
      </w:r>
      <w:r w:rsidR="00713081">
        <w:rPr>
          <w:rFonts w:ascii="Arial" w:hAnsi="Arial" w:cs="Arial"/>
          <w:sz w:val="22"/>
          <w:szCs w:val="22"/>
          <w:lang w:val="en-US"/>
        </w:rPr>
        <w:t>T</w:t>
      </w:r>
      <w:r w:rsidR="00D3045D">
        <w:rPr>
          <w:rFonts w:ascii="Arial" w:hAnsi="Arial" w:cs="Arial"/>
          <w:sz w:val="22"/>
          <w:szCs w:val="22"/>
          <w:lang w:val="en-US"/>
        </w:rPr>
        <w:t xml:space="preserve">heme </w:t>
      </w:r>
      <w:r w:rsidR="00713081">
        <w:rPr>
          <w:rFonts w:ascii="Arial" w:hAnsi="Arial" w:cs="Arial"/>
          <w:sz w:val="22"/>
          <w:szCs w:val="22"/>
          <w:lang w:val="en-US"/>
        </w:rPr>
        <w:t>3</w:t>
      </w:r>
      <w:r w:rsidR="00D3045D">
        <w:rPr>
          <w:rFonts w:ascii="Arial" w:hAnsi="Arial" w:cs="Arial"/>
          <w:sz w:val="22"/>
          <w:szCs w:val="22"/>
          <w:lang w:val="en-US"/>
        </w:rPr>
        <w:t>, below.</w:t>
      </w:r>
    </w:p>
    <w:p w14:paraId="1F295F16" w14:textId="77777777" w:rsidR="008F6FFA" w:rsidRDefault="008F6FFA" w:rsidP="00EA08A3">
      <w:pPr>
        <w:widowControl w:val="0"/>
        <w:autoSpaceDE w:val="0"/>
        <w:autoSpaceDN w:val="0"/>
        <w:adjustRightInd w:val="0"/>
        <w:spacing w:after="240" w:line="480" w:lineRule="auto"/>
        <w:rPr>
          <w:rFonts w:ascii="Arial" w:hAnsi="Arial" w:cs="Arial"/>
          <w:sz w:val="22"/>
          <w:szCs w:val="22"/>
          <w:lang w:val="en-US"/>
        </w:rPr>
      </w:pPr>
    </w:p>
    <w:p w14:paraId="12DE1B31" w14:textId="5FB58BBB" w:rsidR="00D3045D" w:rsidRPr="00441DB8" w:rsidRDefault="00D3045D" w:rsidP="00441DB8">
      <w:pPr>
        <w:pStyle w:val="Heading3"/>
        <w:rPr>
          <w:rFonts w:cs="Arial"/>
          <w:szCs w:val="22"/>
          <w:lang w:val="en-US"/>
        </w:rPr>
      </w:pPr>
      <w:bookmarkStart w:id="193" w:name="_Toc46770762"/>
      <w:bookmarkStart w:id="194" w:name="_Toc79414173"/>
      <w:r w:rsidRPr="005144E4">
        <w:rPr>
          <w:rFonts w:cs="Arial"/>
          <w:color w:val="000000" w:themeColor="text1"/>
          <w:szCs w:val="22"/>
          <w:lang w:val="en-US"/>
        </w:rPr>
        <w:t>3.</w:t>
      </w:r>
      <w:r w:rsidR="00441DB8" w:rsidRPr="005144E4">
        <w:rPr>
          <w:rFonts w:cs="Arial"/>
          <w:color w:val="000000" w:themeColor="text1"/>
          <w:szCs w:val="22"/>
          <w:lang w:val="en-US"/>
        </w:rPr>
        <w:t xml:space="preserve">1.3 Theme 3: Identifying and measuring therapist </w:t>
      </w:r>
      <w:r w:rsidR="00CB607F" w:rsidRPr="005144E4">
        <w:rPr>
          <w:rFonts w:cs="Arial"/>
          <w:color w:val="000000" w:themeColor="text1"/>
          <w:szCs w:val="22"/>
          <w:lang w:val="en-US"/>
        </w:rPr>
        <w:t>adherence</w:t>
      </w:r>
      <w:bookmarkEnd w:id="193"/>
      <w:bookmarkEnd w:id="194"/>
      <w:r w:rsidRPr="00441DB8">
        <w:rPr>
          <w:rFonts w:cs="Arial"/>
          <w:color w:val="000000" w:themeColor="text1"/>
          <w:szCs w:val="22"/>
          <w:lang w:val="en-US"/>
        </w:rPr>
        <w:t xml:space="preserve"> </w:t>
      </w:r>
    </w:p>
    <w:p w14:paraId="6DC5D22F" w14:textId="77777777" w:rsidR="00D3045D" w:rsidRPr="0022405F" w:rsidRDefault="00D3045D" w:rsidP="00D3045D">
      <w:pPr>
        <w:rPr>
          <w:lang w:val="en-US"/>
        </w:rPr>
      </w:pPr>
    </w:p>
    <w:p w14:paraId="63680FFD" w14:textId="24482B34" w:rsidR="00EA08A3" w:rsidRDefault="00D3045D" w:rsidP="00EA08A3">
      <w:pPr>
        <w:widowControl w:val="0"/>
        <w:autoSpaceDE w:val="0"/>
        <w:autoSpaceDN w:val="0"/>
        <w:adjustRightInd w:val="0"/>
        <w:spacing w:after="240" w:line="480" w:lineRule="auto"/>
        <w:rPr>
          <w:rFonts w:ascii="Arial" w:hAnsi="Arial" w:cs="Arial"/>
          <w:sz w:val="22"/>
          <w:szCs w:val="22"/>
          <w:lang w:val="en-US"/>
        </w:rPr>
      </w:pPr>
      <w:r w:rsidRPr="003504B1">
        <w:rPr>
          <w:rFonts w:ascii="Arial" w:hAnsi="Arial" w:cs="Arial"/>
          <w:sz w:val="22"/>
          <w:szCs w:val="22"/>
          <w:lang w:val="en-US"/>
        </w:rPr>
        <w:t xml:space="preserve">Therapist adherence </w:t>
      </w:r>
      <w:r w:rsidR="006C4A15">
        <w:rPr>
          <w:rFonts w:ascii="Arial" w:hAnsi="Arial" w:cs="Arial"/>
          <w:sz w:val="22"/>
          <w:szCs w:val="22"/>
          <w:lang w:val="en-US"/>
        </w:rPr>
        <w:t>has been described as</w:t>
      </w:r>
      <w:r w:rsidRPr="003504B1">
        <w:rPr>
          <w:rFonts w:ascii="Arial" w:hAnsi="Arial" w:cs="Arial"/>
          <w:sz w:val="22"/>
          <w:szCs w:val="22"/>
          <w:lang w:val="en-US"/>
        </w:rPr>
        <w:t xml:space="preserve"> one</w:t>
      </w:r>
      <w:r w:rsidR="006C4A15">
        <w:rPr>
          <w:rFonts w:ascii="Arial" w:hAnsi="Arial" w:cs="Arial"/>
          <w:sz w:val="22"/>
          <w:szCs w:val="22"/>
          <w:lang w:val="en-US"/>
        </w:rPr>
        <w:t xml:space="preserve"> of</w:t>
      </w:r>
      <w:r w:rsidRPr="003504B1">
        <w:rPr>
          <w:rFonts w:ascii="Arial" w:hAnsi="Arial" w:cs="Arial"/>
          <w:sz w:val="22"/>
          <w:szCs w:val="22"/>
          <w:lang w:val="en-US"/>
        </w:rPr>
        <w:t xml:space="preserve"> the specific factors </w:t>
      </w:r>
      <w:r w:rsidR="006C4A15">
        <w:rPr>
          <w:rFonts w:ascii="Arial" w:hAnsi="Arial" w:cs="Arial"/>
          <w:sz w:val="22"/>
          <w:szCs w:val="22"/>
          <w:lang w:val="en-US"/>
        </w:rPr>
        <w:t xml:space="preserve">integral to </w:t>
      </w:r>
      <w:r w:rsidR="000A5937">
        <w:rPr>
          <w:rFonts w:ascii="Arial" w:hAnsi="Arial" w:cs="Arial"/>
          <w:sz w:val="22"/>
          <w:szCs w:val="22"/>
          <w:lang w:val="en-US"/>
        </w:rPr>
        <w:t xml:space="preserve">the delivery of a </w:t>
      </w:r>
      <w:r w:rsidR="006C4A15">
        <w:rPr>
          <w:rFonts w:ascii="Arial" w:hAnsi="Arial" w:cs="Arial"/>
          <w:sz w:val="22"/>
          <w:szCs w:val="22"/>
          <w:lang w:val="en-US"/>
        </w:rPr>
        <w:t>psychological therapy, such as CBT</w:t>
      </w:r>
      <w:r w:rsidRPr="003504B1">
        <w:rPr>
          <w:rFonts w:ascii="Arial" w:hAnsi="Arial" w:cs="Arial"/>
          <w:sz w:val="22"/>
          <w:szCs w:val="22"/>
          <w:lang w:val="en-US"/>
        </w:rPr>
        <w:t xml:space="preserve"> </w:t>
      </w:r>
      <w:r w:rsidR="006C4A15">
        <w:rPr>
          <w:rFonts w:ascii="Arial" w:hAnsi="Arial" w:cs="Arial"/>
          <w:sz w:val="22"/>
          <w:szCs w:val="22"/>
          <w:lang w:val="en-US"/>
        </w:rPr>
        <w:t>(</w:t>
      </w:r>
      <w:r w:rsidRPr="003504B1">
        <w:rPr>
          <w:rFonts w:ascii="Arial" w:hAnsi="Arial" w:cs="Arial"/>
          <w:sz w:val="22"/>
          <w:szCs w:val="22"/>
          <w:lang w:val="en-US"/>
        </w:rPr>
        <w:t>Wampold</w:t>
      </w:r>
      <w:r w:rsidR="006C4A15">
        <w:rPr>
          <w:rFonts w:ascii="Arial" w:hAnsi="Arial" w:cs="Arial"/>
          <w:sz w:val="22"/>
          <w:szCs w:val="22"/>
          <w:lang w:val="en-US"/>
        </w:rPr>
        <w:t xml:space="preserve">, </w:t>
      </w:r>
      <w:r w:rsidRPr="003504B1">
        <w:rPr>
          <w:rFonts w:ascii="Arial" w:hAnsi="Arial" w:cs="Arial"/>
          <w:sz w:val="22"/>
          <w:szCs w:val="22"/>
          <w:lang w:val="en-US"/>
        </w:rPr>
        <w:t xml:space="preserve">2015). </w:t>
      </w:r>
      <w:r w:rsidR="006C4A15">
        <w:rPr>
          <w:rFonts w:ascii="Arial" w:hAnsi="Arial" w:cs="Arial"/>
          <w:sz w:val="22"/>
          <w:szCs w:val="22"/>
          <w:lang w:val="en-US"/>
        </w:rPr>
        <w:t>That is to say</w:t>
      </w:r>
      <w:r w:rsidR="00713081">
        <w:rPr>
          <w:rFonts w:ascii="Arial" w:hAnsi="Arial" w:cs="Arial"/>
          <w:sz w:val="22"/>
          <w:szCs w:val="22"/>
          <w:lang w:val="en-US"/>
        </w:rPr>
        <w:t>,</w:t>
      </w:r>
      <w:r w:rsidR="006C4A15">
        <w:rPr>
          <w:rFonts w:ascii="Arial" w:hAnsi="Arial" w:cs="Arial"/>
          <w:sz w:val="22"/>
          <w:szCs w:val="22"/>
          <w:lang w:val="en-US"/>
        </w:rPr>
        <w:t xml:space="preserve"> cognitive behavioural therapists are taught to deliver CBT according to evidence</w:t>
      </w:r>
      <w:r w:rsidR="000A5937">
        <w:rPr>
          <w:rFonts w:ascii="Arial" w:hAnsi="Arial" w:cs="Arial"/>
          <w:sz w:val="22"/>
          <w:szCs w:val="22"/>
          <w:lang w:val="en-US"/>
        </w:rPr>
        <w:t>-</w:t>
      </w:r>
      <w:r w:rsidR="006C4A15">
        <w:rPr>
          <w:rFonts w:ascii="Arial" w:hAnsi="Arial" w:cs="Arial"/>
          <w:sz w:val="22"/>
          <w:szCs w:val="22"/>
          <w:lang w:val="en-US"/>
        </w:rPr>
        <w:t xml:space="preserve">based </w:t>
      </w:r>
      <w:r w:rsidR="000A5937">
        <w:rPr>
          <w:rFonts w:ascii="Arial" w:hAnsi="Arial" w:cs="Arial"/>
          <w:sz w:val="22"/>
          <w:szCs w:val="22"/>
          <w:lang w:val="en-US"/>
        </w:rPr>
        <w:t xml:space="preserve">treatment </w:t>
      </w:r>
      <w:r w:rsidR="006C4A15">
        <w:rPr>
          <w:rFonts w:ascii="Arial" w:hAnsi="Arial" w:cs="Arial"/>
          <w:sz w:val="22"/>
          <w:szCs w:val="22"/>
          <w:lang w:val="en-US"/>
        </w:rPr>
        <w:lastRenderedPageBreak/>
        <w:t xml:space="preserve">protocols (see </w:t>
      </w:r>
      <w:r w:rsidR="00713081">
        <w:rPr>
          <w:rFonts w:ascii="Arial" w:hAnsi="Arial" w:cs="Arial"/>
          <w:sz w:val="22"/>
          <w:szCs w:val="22"/>
          <w:lang w:val="en-US"/>
        </w:rPr>
        <w:t>C</w:t>
      </w:r>
      <w:r w:rsidR="006C4A15">
        <w:rPr>
          <w:rFonts w:ascii="Arial" w:hAnsi="Arial" w:cs="Arial"/>
          <w:sz w:val="22"/>
          <w:szCs w:val="22"/>
          <w:lang w:val="en-US"/>
        </w:rPr>
        <w:t>hapter 2</w:t>
      </w:r>
      <w:r w:rsidR="00441DB8">
        <w:rPr>
          <w:rFonts w:ascii="Arial" w:hAnsi="Arial" w:cs="Arial"/>
          <w:sz w:val="22"/>
          <w:szCs w:val="22"/>
          <w:lang w:val="en-US"/>
        </w:rPr>
        <w:t xml:space="preserve"> </w:t>
      </w:r>
      <w:r w:rsidR="006C4A15">
        <w:rPr>
          <w:rFonts w:ascii="Arial" w:hAnsi="Arial" w:cs="Arial"/>
          <w:sz w:val="22"/>
          <w:szCs w:val="22"/>
          <w:lang w:val="en-US"/>
        </w:rPr>
        <w:t>for a more detail</w:t>
      </w:r>
      <w:r w:rsidR="00441DB8">
        <w:rPr>
          <w:rFonts w:ascii="Arial" w:hAnsi="Arial" w:cs="Arial"/>
          <w:sz w:val="22"/>
          <w:szCs w:val="22"/>
          <w:lang w:val="en-US"/>
        </w:rPr>
        <w:t>ed</w:t>
      </w:r>
      <w:r w:rsidR="006C4A15">
        <w:rPr>
          <w:rFonts w:ascii="Arial" w:hAnsi="Arial" w:cs="Arial"/>
          <w:sz w:val="22"/>
          <w:szCs w:val="22"/>
          <w:lang w:val="en-US"/>
        </w:rPr>
        <w:t xml:space="preserve"> discussion of evidence-based protocols). </w:t>
      </w:r>
      <w:r w:rsidR="00030708">
        <w:rPr>
          <w:rFonts w:ascii="Arial" w:hAnsi="Arial" w:cs="Arial"/>
          <w:sz w:val="22"/>
          <w:szCs w:val="22"/>
          <w:lang w:val="en-US"/>
        </w:rPr>
        <w:t>Therefore, adherence</w:t>
      </w:r>
      <w:r w:rsidR="00030708" w:rsidRPr="003504B1">
        <w:rPr>
          <w:rFonts w:ascii="Arial" w:hAnsi="Arial" w:cs="Arial"/>
          <w:sz w:val="22"/>
          <w:szCs w:val="22"/>
          <w:lang w:val="en-US"/>
        </w:rPr>
        <w:t xml:space="preserve"> </w:t>
      </w:r>
      <w:r w:rsidR="00030708">
        <w:rPr>
          <w:rFonts w:ascii="Arial" w:hAnsi="Arial" w:cs="Arial"/>
          <w:sz w:val="22"/>
          <w:szCs w:val="22"/>
          <w:lang w:val="en-US"/>
        </w:rPr>
        <w:t>is</w:t>
      </w:r>
      <w:r w:rsidR="00030708" w:rsidRPr="003504B1">
        <w:rPr>
          <w:rFonts w:ascii="Arial" w:hAnsi="Arial" w:cs="Arial"/>
          <w:sz w:val="22"/>
          <w:szCs w:val="22"/>
          <w:lang w:val="en-US"/>
        </w:rPr>
        <w:t xml:space="preserve"> defined as</w:t>
      </w:r>
      <w:r w:rsidR="00030708">
        <w:rPr>
          <w:rFonts w:ascii="Arial" w:hAnsi="Arial" w:cs="Arial"/>
          <w:sz w:val="22"/>
          <w:szCs w:val="22"/>
          <w:lang w:val="en-US"/>
        </w:rPr>
        <w:t xml:space="preserve"> the delivery of</w:t>
      </w:r>
      <w:r w:rsidR="00030708" w:rsidRPr="003504B1">
        <w:rPr>
          <w:rFonts w:ascii="Arial" w:hAnsi="Arial" w:cs="Arial"/>
          <w:sz w:val="22"/>
          <w:szCs w:val="22"/>
          <w:lang w:val="en-US"/>
        </w:rPr>
        <w:t xml:space="preserve"> theoretically orientated mechanisms of change, that are specific to a method of treatment, such as CBT (</w:t>
      </w:r>
      <w:r w:rsidR="00030708">
        <w:rPr>
          <w:rFonts w:ascii="Arial" w:hAnsi="Arial" w:cs="Arial"/>
          <w:sz w:val="22"/>
          <w:szCs w:val="22"/>
          <w:lang w:val="en-US"/>
        </w:rPr>
        <w:t>Farmer, Mitchell, Parker-Guilbert and Galovski, 2017</w:t>
      </w:r>
      <w:r w:rsidR="00030708" w:rsidRPr="003504B1">
        <w:rPr>
          <w:rFonts w:ascii="Arial" w:hAnsi="Arial" w:cs="Arial"/>
          <w:sz w:val="22"/>
          <w:szCs w:val="22"/>
          <w:lang w:val="en-US"/>
        </w:rPr>
        <w:t xml:space="preserve">). </w:t>
      </w:r>
      <w:r w:rsidRPr="003504B1">
        <w:rPr>
          <w:rFonts w:ascii="Arial" w:hAnsi="Arial" w:cs="Arial"/>
          <w:sz w:val="22"/>
          <w:szCs w:val="22"/>
          <w:lang w:val="en-US"/>
        </w:rPr>
        <w:t>It is assumed that therapist adherence to these protocols has a strong causal relationship to clinical outcome (</w:t>
      </w:r>
      <w:r w:rsidR="000A5937">
        <w:rPr>
          <w:rFonts w:ascii="Arial" w:hAnsi="Arial" w:cs="Arial"/>
          <w:sz w:val="22"/>
          <w:szCs w:val="22"/>
          <w:lang w:val="en-US"/>
        </w:rPr>
        <w:t>Layard and Clark, 2014, Clark, 2011, Clark 2018</w:t>
      </w:r>
      <w:r w:rsidRPr="003504B1">
        <w:rPr>
          <w:rFonts w:ascii="Arial" w:hAnsi="Arial" w:cs="Arial"/>
          <w:sz w:val="22"/>
          <w:szCs w:val="22"/>
          <w:lang w:val="en-US"/>
        </w:rPr>
        <w:t xml:space="preserve">). However, there are relatively few studies that examine the relationship between therapist adherence and clinical outcome (Webb, DeRubeis and Barber, 2010). </w:t>
      </w:r>
      <w:r w:rsidR="000A5937">
        <w:rPr>
          <w:rFonts w:ascii="Arial" w:hAnsi="Arial" w:cs="Arial"/>
          <w:sz w:val="22"/>
          <w:szCs w:val="22"/>
          <w:lang w:val="en-US"/>
        </w:rPr>
        <w:t>Whilst there is an</w:t>
      </w:r>
      <w:r w:rsidRPr="003504B1">
        <w:rPr>
          <w:rFonts w:ascii="Arial" w:hAnsi="Arial" w:cs="Arial"/>
          <w:sz w:val="22"/>
          <w:szCs w:val="22"/>
          <w:lang w:val="en-US"/>
        </w:rPr>
        <w:t xml:space="preserve"> assumption that the recovery rates achieved in the CBT research trials are due to therapist adherence to </w:t>
      </w:r>
      <w:r w:rsidR="000A5937">
        <w:rPr>
          <w:rFonts w:ascii="Arial" w:hAnsi="Arial" w:cs="Arial"/>
          <w:sz w:val="22"/>
          <w:szCs w:val="22"/>
          <w:lang w:val="en-US"/>
        </w:rPr>
        <w:t>a treatment</w:t>
      </w:r>
      <w:r w:rsidRPr="003504B1">
        <w:rPr>
          <w:rFonts w:ascii="Arial" w:hAnsi="Arial" w:cs="Arial"/>
          <w:sz w:val="22"/>
          <w:szCs w:val="22"/>
          <w:lang w:val="en-US"/>
        </w:rPr>
        <w:t xml:space="preserve"> protocol (Waller  2009)</w:t>
      </w:r>
      <w:r w:rsidR="000A5937">
        <w:rPr>
          <w:rFonts w:ascii="Arial" w:hAnsi="Arial" w:cs="Arial"/>
          <w:sz w:val="22"/>
          <w:szCs w:val="22"/>
          <w:lang w:val="en-US"/>
        </w:rPr>
        <w:t xml:space="preserve">, it should be noted that </w:t>
      </w:r>
      <w:r w:rsidRPr="003504B1">
        <w:rPr>
          <w:rFonts w:ascii="Arial" w:hAnsi="Arial" w:cs="Arial"/>
          <w:sz w:val="22"/>
          <w:szCs w:val="22"/>
          <w:lang w:val="en-US"/>
        </w:rPr>
        <w:t xml:space="preserve"> researchers </w:t>
      </w:r>
      <w:r w:rsidR="000A5937">
        <w:rPr>
          <w:rFonts w:ascii="Arial" w:hAnsi="Arial" w:cs="Arial"/>
          <w:sz w:val="22"/>
          <w:szCs w:val="22"/>
          <w:lang w:val="en-US"/>
        </w:rPr>
        <w:t>pay</w:t>
      </w:r>
      <w:r w:rsidR="00441DB8">
        <w:rPr>
          <w:rFonts w:ascii="Arial" w:hAnsi="Arial" w:cs="Arial"/>
          <w:sz w:val="22"/>
          <w:szCs w:val="22"/>
          <w:lang w:val="en-US"/>
        </w:rPr>
        <w:t xml:space="preserve"> strict</w:t>
      </w:r>
      <w:r w:rsidRPr="003504B1">
        <w:rPr>
          <w:rFonts w:ascii="Arial" w:hAnsi="Arial" w:cs="Arial"/>
          <w:sz w:val="22"/>
          <w:szCs w:val="22"/>
          <w:lang w:val="en-US"/>
        </w:rPr>
        <w:t xml:space="preserve"> attention to therapist selection, training, monitoring and supervision in order to increase the likelihood that the therapists will adhere to the prescribed protocol</w:t>
      </w:r>
      <w:r w:rsidR="000A5937">
        <w:rPr>
          <w:rFonts w:ascii="Arial" w:hAnsi="Arial" w:cs="Arial"/>
          <w:sz w:val="22"/>
          <w:szCs w:val="22"/>
          <w:lang w:val="en-US"/>
        </w:rPr>
        <w:t xml:space="preserve"> (</w:t>
      </w:r>
      <w:r w:rsidR="000A5937" w:rsidRPr="003504B1">
        <w:rPr>
          <w:rFonts w:ascii="Arial" w:hAnsi="Arial" w:cs="Arial"/>
          <w:sz w:val="22"/>
          <w:szCs w:val="22"/>
          <w:lang w:val="en-US"/>
        </w:rPr>
        <w:t>Roth, Pilling and Turner</w:t>
      </w:r>
      <w:r w:rsidR="000A5937">
        <w:rPr>
          <w:rFonts w:ascii="Arial" w:hAnsi="Arial" w:cs="Arial"/>
          <w:sz w:val="22"/>
          <w:szCs w:val="22"/>
          <w:lang w:val="en-US"/>
        </w:rPr>
        <w:t xml:space="preserve">, </w:t>
      </w:r>
      <w:r w:rsidR="000A5937" w:rsidRPr="003504B1">
        <w:rPr>
          <w:rFonts w:ascii="Arial" w:hAnsi="Arial" w:cs="Arial"/>
          <w:sz w:val="22"/>
          <w:szCs w:val="22"/>
          <w:lang w:val="en-US"/>
        </w:rPr>
        <w:t>2010)</w:t>
      </w:r>
      <w:r w:rsidRPr="003504B1">
        <w:rPr>
          <w:rFonts w:ascii="Arial" w:hAnsi="Arial" w:cs="Arial"/>
          <w:sz w:val="22"/>
          <w:szCs w:val="22"/>
          <w:lang w:val="en-US"/>
        </w:rPr>
        <w:t>. Th</w:t>
      </w:r>
      <w:r w:rsidR="000A5937">
        <w:rPr>
          <w:rFonts w:ascii="Arial" w:hAnsi="Arial" w:cs="Arial"/>
          <w:sz w:val="22"/>
          <w:szCs w:val="22"/>
          <w:lang w:val="en-US"/>
        </w:rPr>
        <w:t>is</w:t>
      </w:r>
      <w:r w:rsidRPr="003504B1">
        <w:rPr>
          <w:rFonts w:ascii="Arial" w:hAnsi="Arial" w:cs="Arial"/>
          <w:sz w:val="22"/>
          <w:szCs w:val="22"/>
          <w:lang w:val="en-US"/>
        </w:rPr>
        <w:t xml:space="preserve"> emphasis on the importance of adherence in CBT research trials corroborates the argument that adherence to a protocol may have a direct relationship with outcome</w:t>
      </w:r>
      <w:r w:rsidR="000A5937">
        <w:rPr>
          <w:rFonts w:ascii="Arial" w:hAnsi="Arial" w:cs="Arial"/>
          <w:sz w:val="22"/>
          <w:szCs w:val="22"/>
          <w:lang w:val="en-US"/>
        </w:rPr>
        <w:t xml:space="preserve">. However, very little is known about the devices (e.g. additional training, supervision, therapist selection) that researchers use to maximise therapist adherence in clinical trials (Roth, </w:t>
      </w:r>
      <w:r w:rsidRPr="003504B1">
        <w:rPr>
          <w:rFonts w:ascii="Arial" w:hAnsi="Arial" w:cs="Arial"/>
          <w:sz w:val="22"/>
          <w:szCs w:val="22"/>
          <w:lang w:val="en-US"/>
        </w:rPr>
        <w:t>Pilling and Turner</w:t>
      </w:r>
      <w:r w:rsidR="000A5937">
        <w:rPr>
          <w:rFonts w:ascii="Arial" w:hAnsi="Arial" w:cs="Arial"/>
          <w:sz w:val="22"/>
          <w:szCs w:val="22"/>
          <w:lang w:val="en-US"/>
        </w:rPr>
        <w:t>, 2010)</w:t>
      </w:r>
      <w:r w:rsidR="00A57DE2">
        <w:rPr>
          <w:rFonts w:ascii="Arial" w:hAnsi="Arial" w:cs="Arial"/>
          <w:sz w:val="22"/>
          <w:szCs w:val="22"/>
          <w:lang w:val="en-US"/>
        </w:rPr>
        <w:t>. Therefore,</w:t>
      </w:r>
      <w:r w:rsidR="000A5937">
        <w:rPr>
          <w:rFonts w:ascii="Arial" w:hAnsi="Arial" w:cs="Arial"/>
          <w:sz w:val="22"/>
          <w:szCs w:val="22"/>
          <w:lang w:val="en-US"/>
        </w:rPr>
        <w:t xml:space="preserve"> it is difficult to replicate the findings in clinical practice. However,</w:t>
      </w:r>
      <w:r w:rsidR="00A57DE2">
        <w:rPr>
          <w:rFonts w:ascii="Arial" w:hAnsi="Arial" w:cs="Arial"/>
          <w:sz w:val="22"/>
          <w:szCs w:val="22"/>
          <w:lang w:val="en-US"/>
        </w:rPr>
        <w:t xml:space="preserve"> it</w:t>
      </w:r>
      <w:r w:rsidR="000A5937">
        <w:rPr>
          <w:rFonts w:ascii="Arial" w:hAnsi="Arial" w:cs="Arial"/>
          <w:sz w:val="22"/>
          <w:szCs w:val="22"/>
          <w:lang w:val="en-US"/>
        </w:rPr>
        <w:t xml:space="preserve"> might be argued that even if researchers were explicit about the</w:t>
      </w:r>
      <w:r w:rsidR="00976FB3">
        <w:rPr>
          <w:rFonts w:ascii="Arial" w:hAnsi="Arial" w:cs="Arial"/>
          <w:sz w:val="22"/>
          <w:szCs w:val="22"/>
          <w:lang w:val="en-US"/>
        </w:rPr>
        <w:t xml:space="preserve"> </w:t>
      </w:r>
      <w:r w:rsidR="000A5937">
        <w:rPr>
          <w:rFonts w:ascii="Arial" w:hAnsi="Arial" w:cs="Arial"/>
          <w:sz w:val="22"/>
          <w:szCs w:val="22"/>
          <w:lang w:val="en-US"/>
        </w:rPr>
        <w:t>devices they used</w:t>
      </w:r>
      <w:r w:rsidR="00CD7FCE">
        <w:rPr>
          <w:rFonts w:ascii="Arial" w:hAnsi="Arial" w:cs="Arial"/>
          <w:sz w:val="22"/>
          <w:szCs w:val="22"/>
          <w:lang w:val="en-US"/>
        </w:rPr>
        <w:t>, within their research,</w:t>
      </w:r>
      <w:r w:rsidR="000A5937">
        <w:rPr>
          <w:rFonts w:ascii="Arial" w:hAnsi="Arial" w:cs="Arial"/>
          <w:sz w:val="22"/>
          <w:szCs w:val="22"/>
          <w:lang w:val="en-US"/>
        </w:rPr>
        <w:t xml:space="preserve"> that it might prove impossible for clinical services to replicate them</w:t>
      </w:r>
      <w:r w:rsidR="0030426F">
        <w:rPr>
          <w:rFonts w:ascii="Arial" w:hAnsi="Arial" w:cs="Arial"/>
          <w:sz w:val="22"/>
          <w:szCs w:val="22"/>
          <w:lang w:val="en-US"/>
        </w:rPr>
        <w:t xml:space="preserve"> because of lack of resources.</w:t>
      </w:r>
      <w:r w:rsidR="000A5937">
        <w:rPr>
          <w:rFonts w:ascii="Arial" w:hAnsi="Arial" w:cs="Arial"/>
          <w:sz w:val="22"/>
          <w:szCs w:val="22"/>
          <w:lang w:val="en-US"/>
        </w:rPr>
        <w:t xml:space="preserve">  </w:t>
      </w:r>
      <w:r w:rsidR="00976FB3">
        <w:rPr>
          <w:rFonts w:ascii="Arial" w:hAnsi="Arial" w:cs="Arial"/>
          <w:sz w:val="22"/>
          <w:szCs w:val="22"/>
          <w:lang w:val="en-US"/>
        </w:rPr>
        <w:t xml:space="preserve">Perhaps, not surprisingly, most of the studies relating to therapist adherence and clinical outcome are undertaken in the context of a clinical trial whereby the researchers’ rate to what extent the therapist adhered to the treatment protocol that is under investigation. Clearly, it is important for the therapist to adhere to the protocol in these studies if the protocol in question is to be satisfactorily evaluated (Roth, Pilling and Turner, 2010). Methods for monitoring therapist adherence vary but arguably </w:t>
      </w:r>
      <w:r w:rsidR="006E2B0F">
        <w:rPr>
          <w:rFonts w:ascii="Arial" w:hAnsi="Arial" w:cs="Arial"/>
          <w:sz w:val="22"/>
          <w:szCs w:val="22"/>
          <w:lang w:val="en-US"/>
        </w:rPr>
        <w:t>m</w:t>
      </w:r>
      <w:r w:rsidRPr="003504B1">
        <w:rPr>
          <w:rFonts w:ascii="Arial" w:hAnsi="Arial" w:cs="Arial"/>
          <w:sz w:val="22"/>
          <w:szCs w:val="22"/>
          <w:lang w:val="en-US"/>
        </w:rPr>
        <w:t>onitoring adherence requires access to recordings of whole therapy sessions</w:t>
      </w:r>
      <w:r w:rsidR="006E2B0F">
        <w:rPr>
          <w:rFonts w:ascii="Arial" w:hAnsi="Arial" w:cs="Arial"/>
          <w:sz w:val="22"/>
          <w:szCs w:val="22"/>
          <w:lang w:val="en-US"/>
        </w:rPr>
        <w:t xml:space="preserve"> for the entire treatment episode (i.e. every treatment session).</w:t>
      </w:r>
      <w:r w:rsidRPr="003504B1">
        <w:rPr>
          <w:rFonts w:ascii="Arial" w:hAnsi="Arial" w:cs="Arial"/>
          <w:sz w:val="22"/>
          <w:szCs w:val="22"/>
          <w:lang w:val="en-US"/>
        </w:rPr>
        <w:t xml:space="preserve"> </w:t>
      </w:r>
      <w:r w:rsidR="006E2B0F">
        <w:rPr>
          <w:rFonts w:ascii="Arial" w:hAnsi="Arial" w:cs="Arial"/>
          <w:sz w:val="22"/>
          <w:szCs w:val="22"/>
          <w:lang w:val="en-US"/>
        </w:rPr>
        <w:t>Given that a treatment protocol is delivered sequentially at every session it would seem unrealistic to assess adherence using less than every session</w:t>
      </w:r>
      <w:r w:rsidR="00441DB8">
        <w:rPr>
          <w:rFonts w:ascii="Arial" w:hAnsi="Arial" w:cs="Arial"/>
          <w:sz w:val="22"/>
          <w:szCs w:val="22"/>
          <w:lang w:val="en-US"/>
        </w:rPr>
        <w:t>.</w:t>
      </w:r>
      <w:r w:rsidR="00A1144B">
        <w:rPr>
          <w:rFonts w:ascii="Arial" w:hAnsi="Arial" w:cs="Arial"/>
          <w:sz w:val="22"/>
          <w:szCs w:val="22"/>
          <w:lang w:val="en-US"/>
        </w:rPr>
        <w:t xml:space="preserve"> </w:t>
      </w:r>
      <w:r w:rsidR="00441DB8">
        <w:rPr>
          <w:rFonts w:ascii="Arial" w:hAnsi="Arial" w:cs="Arial"/>
          <w:sz w:val="22"/>
          <w:szCs w:val="22"/>
          <w:lang w:val="en-US"/>
        </w:rPr>
        <w:lastRenderedPageBreak/>
        <w:t>H</w:t>
      </w:r>
      <w:r w:rsidR="006E2B0F">
        <w:rPr>
          <w:rFonts w:ascii="Arial" w:hAnsi="Arial" w:cs="Arial"/>
          <w:sz w:val="22"/>
          <w:szCs w:val="22"/>
          <w:lang w:val="en-US"/>
        </w:rPr>
        <w:t>owever</w:t>
      </w:r>
      <w:r w:rsidR="00441DB8">
        <w:rPr>
          <w:rFonts w:ascii="Arial" w:hAnsi="Arial" w:cs="Arial"/>
          <w:sz w:val="22"/>
          <w:szCs w:val="22"/>
          <w:lang w:val="en-US"/>
        </w:rPr>
        <w:t>,</w:t>
      </w:r>
      <w:r w:rsidR="006E2B0F">
        <w:rPr>
          <w:rFonts w:ascii="Arial" w:hAnsi="Arial" w:cs="Arial"/>
          <w:sz w:val="22"/>
          <w:szCs w:val="22"/>
          <w:lang w:val="en-US"/>
        </w:rPr>
        <w:t xml:space="preserve"> studies that rate adherence tend to use between 1 and 3 sessions (</w:t>
      </w:r>
      <w:r w:rsidR="007136A8">
        <w:rPr>
          <w:rFonts w:ascii="Arial" w:hAnsi="Arial" w:cs="Arial"/>
          <w:sz w:val="22"/>
          <w:szCs w:val="22"/>
          <w:lang w:val="en-US"/>
        </w:rPr>
        <w:t>Weck et al., 2016,</w:t>
      </w:r>
      <w:r w:rsidR="006E2B0F">
        <w:rPr>
          <w:rFonts w:ascii="Arial" w:hAnsi="Arial" w:cs="Arial"/>
          <w:sz w:val="22"/>
          <w:szCs w:val="22"/>
          <w:lang w:val="en-US"/>
        </w:rPr>
        <w:t>)</w:t>
      </w:r>
      <w:r w:rsidR="00A57DE2">
        <w:rPr>
          <w:rFonts w:ascii="Arial" w:hAnsi="Arial" w:cs="Arial"/>
          <w:sz w:val="22"/>
          <w:szCs w:val="22"/>
          <w:lang w:val="en-US"/>
        </w:rPr>
        <w:t xml:space="preserve"> and </w:t>
      </w:r>
      <w:r w:rsidR="00441DB8">
        <w:rPr>
          <w:rFonts w:ascii="Arial" w:hAnsi="Arial" w:cs="Arial"/>
          <w:sz w:val="22"/>
          <w:szCs w:val="22"/>
          <w:lang w:val="en-US"/>
        </w:rPr>
        <w:t xml:space="preserve">then proceed to </w:t>
      </w:r>
      <w:r w:rsidR="00A57DE2">
        <w:rPr>
          <w:rFonts w:ascii="Arial" w:hAnsi="Arial" w:cs="Arial"/>
          <w:sz w:val="22"/>
          <w:szCs w:val="22"/>
          <w:lang w:val="en-US"/>
        </w:rPr>
        <w:t xml:space="preserve">report that there is a strong relationship between adherence and outcome </w:t>
      </w:r>
      <w:r w:rsidR="00441DB8">
        <w:rPr>
          <w:rFonts w:ascii="Arial" w:hAnsi="Arial" w:cs="Arial"/>
          <w:sz w:val="22"/>
          <w:szCs w:val="22"/>
          <w:lang w:val="en-US"/>
        </w:rPr>
        <w:t xml:space="preserve">on this basis </w:t>
      </w:r>
      <w:r w:rsidR="00A57DE2">
        <w:rPr>
          <w:rFonts w:ascii="Arial" w:hAnsi="Arial" w:cs="Arial"/>
          <w:sz w:val="22"/>
          <w:szCs w:val="22"/>
          <w:lang w:val="en-US"/>
        </w:rPr>
        <w:t>(</w:t>
      </w:r>
      <w:r w:rsidR="007136A8">
        <w:rPr>
          <w:rFonts w:ascii="Arial" w:hAnsi="Arial" w:cs="Arial"/>
          <w:sz w:val="22"/>
          <w:szCs w:val="22"/>
          <w:lang w:val="en-US"/>
        </w:rPr>
        <w:t>Weck et al.,2016</w:t>
      </w:r>
      <w:r w:rsidR="00A57DE2">
        <w:rPr>
          <w:rFonts w:ascii="Arial" w:hAnsi="Arial" w:cs="Arial"/>
          <w:sz w:val="22"/>
          <w:szCs w:val="22"/>
          <w:lang w:val="en-US"/>
        </w:rPr>
        <w:t xml:space="preserve"> and </w:t>
      </w:r>
      <w:r w:rsidR="002F60F5">
        <w:rPr>
          <w:rFonts w:ascii="Arial" w:hAnsi="Arial" w:cs="Arial"/>
          <w:sz w:val="22"/>
          <w:szCs w:val="22"/>
          <w:lang w:val="en-US"/>
        </w:rPr>
        <w:t>Youn, Xiao,Kim, Castonguay, McAleavey, Newman and Safran, 2017</w:t>
      </w:r>
      <w:r w:rsidR="00A57DE2">
        <w:rPr>
          <w:rFonts w:ascii="Arial" w:hAnsi="Arial" w:cs="Arial"/>
          <w:sz w:val="22"/>
          <w:szCs w:val="22"/>
          <w:lang w:val="en-US"/>
        </w:rPr>
        <w:t xml:space="preserve"> and </w:t>
      </w:r>
      <w:r w:rsidR="002F60F5">
        <w:rPr>
          <w:rFonts w:ascii="Arial" w:hAnsi="Arial" w:cs="Arial"/>
          <w:sz w:val="22"/>
          <w:szCs w:val="22"/>
          <w:lang w:val="en-US"/>
        </w:rPr>
        <w:t>Resko</w:t>
      </w:r>
      <w:r w:rsidR="002C1C18">
        <w:rPr>
          <w:rFonts w:ascii="Arial" w:hAnsi="Arial" w:cs="Arial"/>
          <w:sz w:val="22"/>
          <w:szCs w:val="22"/>
          <w:lang w:val="en-US"/>
        </w:rPr>
        <w:t>, Walton, Chermack, Blow and Cunningham, 2012</w:t>
      </w:r>
      <w:r w:rsidR="00A57DE2">
        <w:rPr>
          <w:rFonts w:ascii="Arial" w:hAnsi="Arial" w:cs="Arial"/>
          <w:sz w:val="22"/>
          <w:szCs w:val="22"/>
          <w:lang w:val="en-US"/>
        </w:rPr>
        <w:t>).</w:t>
      </w:r>
      <w:r w:rsidR="000D70C1">
        <w:rPr>
          <w:rFonts w:ascii="Arial" w:hAnsi="Arial" w:cs="Arial"/>
          <w:sz w:val="22"/>
          <w:szCs w:val="22"/>
          <w:lang w:val="en-US"/>
        </w:rPr>
        <w:t xml:space="preserve"> One study (Ehlers, Grey, Wild, Stott, Liness, Deale et al., 2013) did not review any therapy recordings and based their rating of adherence from reviewing therapists’ clinical notes.</w:t>
      </w:r>
      <w:r w:rsidR="00A57DE2">
        <w:rPr>
          <w:rFonts w:ascii="Arial" w:hAnsi="Arial" w:cs="Arial"/>
          <w:sz w:val="22"/>
          <w:szCs w:val="22"/>
          <w:lang w:val="en-US"/>
        </w:rPr>
        <w:t xml:space="preserve">  </w:t>
      </w:r>
      <w:r w:rsidR="00064A40">
        <w:rPr>
          <w:rFonts w:ascii="Arial" w:hAnsi="Arial" w:cs="Arial"/>
          <w:sz w:val="22"/>
          <w:szCs w:val="22"/>
          <w:lang w:val="en-US"/>
        </w:rPr>
        <w:t>Based on these studies</w:t>
      </w:r>
      <w:r w:rsidR="000D70C1">
        <w:rPr>
          <w:rFonts w:ascii="Arial" w:hAnsi="Arial" w:cs="Arial"/>
          <w:sz w:val="22"/>
          <w:szCs w:val="22"/>
          <w:lang w:val="en-US"/>
        </w:rPr>
        <w:t xml:space="preserve"> and the related trials,</w:t>
      </w:r>
      <w:r w:rsidR="00064A40">
        <w:rPr>
          <w:rFonts w:ascii="Arial" w:hAnsi="Arial" w:cs="Arial"/>
          <w:sz w:val="22"/>
          <w:szCs w:val="22"/>
          <w:lang w:val="en-US"/>
        </w:rPr>
        <w:t xml:space="preserve"> t</w:t>
      </w:r>
      <w:r w:rsidRPr="003504B1">
        <w:rPr>
          <w:rFonts w:ascii="Arial" w:hAnsi="Arial" w:cs="Arial"/>
          <w:sz w:val="22"/>
          <w:szCs w:val="22"/>
          <w:lang w:val="en-US"/>
        </w:rPr>
        <w:t xml:space="preserve">he importance of adherence to a </w:t>
      </w:r>
      <w:r w:rsidR="00064A40">
        <w:rPr>
          <w:rFonts w:ascii="Arial" w:hAnsi="Arial" w:cs="Arial"/>
          <w:sz w:val="22"/>
          <w:szCs w:val="22"/>
          <w:lang w:val="en-US"/>
        </w:rPr>
        <w:t>treatment</w:t>
      </w:r>
      <w:r w:rsidRPr="003504B1">
        <w:rPr>
          <w:rFonts w:ascii="Arial" w:hAnsi="Arial" w:cs="Arial"/>
          <w:sz w:val="22"/>
          <w:szCs w:val="22"/>
          <w:lang w:val="en-US"/>
        </w:rPr>
        <w:t xml:space="preserve"> protocol is strongly emphasized in the literature</w:t>
      </w:r>
      <w:r w:rsidR="00441DB8">
        <w:rPr>
          <w:rFonts w:ascii="Arial" w:hAnsi="Arial" w:cs="Arial"/>
          <w:sz w:val="22"/>
          <w:szCs w:val="22"/>
          <w:lang w:val="en-US"/>
        </w:rPr>
        <w:t>.</w:t>
      </w:r>
      <w:r w:rsidRPr="003504B1">
        <w:rPr>
          <w:rFonts w:ascii="Arial" w:hAnsi="Arial" w:cs="Arial"/>
          <w:sz w:val="22"/>
          <w:szCs w:val="22"/>
          <w:lang w:val="en-US"/>
        </w:rPr>
        <w:t xml:space="preserve"> </w:t>
      </w:r>
      <w:r w:rsidR="00441DB8">
        <w:rPr>
          <w:rFonts w:ascii="Arial" w:hAnsi="Arial" w:cs="Arial"/>
          <w:sz w:val="22"/>
          <w:szCs w:val="22"/>
          <w:lang w:val="en-US"/>
        </w:rPr>
        <w:t>Indeed, adherence to a protocol is</w:t>
      </w:r>
      <w:r w:rsidRPr="003504B1">
        <w:rPr>
          <w:rFonts w:ascii="Arial" w:hAnsi="Arial" w:cs="Arial"/>
          <w:sz w:val="22"/>
          <w:szCs w:val="22"/>
          <w:lang w:val="en-US"/>
        </w:rPr>
        <w:t xml:space="preserve"> </w:t>
      </w:r>
      <w:r w:rsidR="00441DB8">
        <w:rPr>
          <w:rFonts w:ascii="Arial" w:hAnsi="Arial" w:cs="Arial"/>
          <w:sz w:val="22"/>
          <w:szCs w:val="22"/>
          <w:lang w:val="en-US"/>
        </w:rPr>
        <w:t>a central element</w:t>
      </w:r>
      <w:r w:rsidRPr="003504B1">
        <w:rPr>
          <w:rFonts w:ascii="Arial" w:hAnsi="Arial" w:cs="Arial"/>
          <w:sz w:val="22"/>
          <w:szCs w:val="22"/>
          <w:lang w:val="en-US"/>
        </w:rPr>
        <w:t xml:space="preserve"> of the curriculum for CBT therapists in </w:t>
      </w:r>
      <w:r w:rsidR="00441DB8">
        <w:rPr>
          <w:rFonts w:ascii="Arial" w:hAnsi="Arial" w:cs="Arial"/>
          <w:sz w:val="22"/>
          <w:szCs w:val="22"/>
          <w:lang w:val="en-US"/>
        </w:rPr>
        <w:t xml:space="preserve">the </w:t>
      </w:r>
      <w:r w:rsidRPr="003504B1">
        <w:rPr>
          <w:rFonts w:ascii="Arial" w:hAnsi="Arial" w:cs="Arial"/>
          <w:sz w:val="22"/>
          <w:szCs w:val="22"/>
          <w:lang w:val="en-US"/>
        </w:rPr>
        <w:t>United Kingdom’s Improving Access to Psychological Therapy (IAPT) post</w:t>
      </w:r>
      <w:r w:rsidR="00A1144B">
        <w:rPr>
          <w:rFonts w:ascii="Arial" w:hAnsi="Arial" w:cs="Arial"/>
          <w:sz w:val="22"/>
          <w:szCs w:val="22"/>
          <w:lang w:val="en-US"/>
        </w:rPr>
        <w:t>-</w:t>
      </w:r>
      <w:r w:rsidRPr="003504B1">
        <w:rPr>
          <w:rFonts w:ascii="Arial" w:hAnsi="Arial" w:cs="Arial"/>
          <w:sz w:val="22"/>
          <w:szCs w:val="22"/>
          <w:lang w:val="en-US"/>
        </w:rPr>
        <w:t xml:space="preserve">graduate clinical training programme (see </w:t>
      </w:r>
      <w:r w:rsidR="00A1144B">
        <w:rPr>
          <w:rFonts w:ascii="Arial" w:hAnsi="Arial" w:cs="Arial"/>
          <w:sz w:val="22"/>
          <w:szCs w:val="22"/>
          <w:lang w:val="en-US"/>
        </w:rPr>
        <w:t>C</w:t>
      </w:r>
      <w:r w:rsidRPr="003504B1">
        <w:rPr>
          <w:rFonts w:ascii="Arial" w:hAnsi="Arial" w:cs="Arial"/>
          <w:sz w:val="22"/>
          <w:szCs w:val="22"/>
          <w:lang w:val="en-US"/>
        </w:rPr>
        <w:t>hapter</w:t>
      </w:r>
      <w:r w:rsidR="00064A40">
        <w:rPr>
          <w:rFonts w:ascii="Arial" w:hAnsi="Arial" w:cs="Arial"/>
          <w:sz w:val="22"/>
          <w:szCs w:val="22"/>
          <w:lang w:val="en-US"/>
        </w:rPr>
        <w:t xml:space="preserve"> 2</w:t>
      </w:r>
      <w:r w:rsidRPr="003504B1">
        <w:rPr>
          <w:rFonts w:ascii="Arial" w:hAnsi="Arial" w:cs="Arial"/>
          <w:sz w:val="22"/>
          <w:szCs w:val="22"/>
          <w:lang w:val="en-US"/>
        </w:rPr>
        <w:t xml:space="preserve">).  It has been inferred that therapists who fail to adhere to the treatment protocol have lower outcome rates (Waller 2009, Waller and Turner 2016 and </w:t>
      </w:r>
      <w:r w:rsidR="004C7321">
        <w:rPr>
          <w:rFonts w:ascii="Arial" w:hAnsi="Arial" w:cs="Arial"/>
          <w:sz w:val="22"/>
          <w:szCs w:val="22"/>
          <w:lang w:val="en-US"/>
        </w:rPr>
        <w:t xml:space="preserve">Gyani et al., </w:t>
      </w:r>
      <w:r w:rsidRPr="003504B1">
        <w:rPr>
          <w:rFonts w:ascii="Arial" w:hAnsi="Arial" w:cs="Arial"/>
          <w:sz w:val="22"/>
          <w:szCs w:val="22"/>
          <w:lang w:val="en-US"/>
        </w:rPr>
        <w:t>201</w:t>
      </w:r>
      <w:r w:rsidR="005D28E7">
        <w:rPr>
          <w:rFonts w:ascii="Arial" w:hAnsi="Arial" w:cs="Arial"/>
          <w:sz w:val="22"/>
          <w:szCs w:val="22"/>
          <w:lang w:val="en-US"/>
        </w:rPr>
        <w:t>3</w:t>
      </w:r>
      <w:r w:rsidRPr="003504B1">
        <w:rPr>
          <w:rFonts w:ascii="Arial" w:hAnsi="Arial" w:cs="Arial"/>
          <w:sz w:val="22"/>
          <w:szCs w:val="22"/>
          <w:lang w:val="en-US"/>
        </w:rPr>
        <w:t xml:space="preserve">). </w:t>
      </w:r>
      <w:r w:rsidR="00064A40">
        <w:rPr>
          <w:rFonts w:ascii="Arial" w:hAnsi="Arial" w:cs="Arial"/>
          <w:sz w:val="22"/>
          <w:szCs w:val="22"/>
          <w:lang w:val="en-US"/>
        </w:rPr>
        <w:t xml:space="preserve">However, it should be noted that this guidance is based on </w:t>
      </w:r>
      <w:r w:rsidR="000D70C1">
        <w:rPr>
          <w:rFonts w:ascii="Arial" w:hAnsi="Arial" w:cs="Arial"/>
          <w:sz w:val="22"/>
          <w:szCs w:val="22"/>
          <w:lang w:val="en-US"/>
        </w:rPr>
        <w:t>trials that, on the whole, have little or no access to therapy recordings. Furthermore,</w:t>
      </w:r>
      <w:r w:rsidR="00064A40">
        <w:rPr>
          <w:rFonts w:ascii="Arial" w:hAnsi="Arial" w:cs="Arial"/>
          <w:sz w:val="22"/>
          <w:szCs w:val="22"/>
          <w:lang w:val="en-US"/>
        </w:rPr>
        <w:t xml:space="preserve"> </w:t>
      </w:r>
      <w:r w:rsidR="000D70C1">
        <w:rPr>
          <w:rFonts w:ascii="Arial" w:hAnsi="Arial" w:cs="Arial"/>
          <w:sz w:val="22"/>
          <w:szCs w:val="22"/>
          <w:lang w:val="en-US"/>
        </w:rPr>
        <w:t>t</w:t>
      </w:r>
      <w:r w:rsidR="00064A40">
        <w:rPr>
          <w:rFonts w:ascii="Arial" w:hAnsi="Arial" w:cs="Arial"/>
          <w:sz w:val="22"/>
          <w:szCs w:val="22"/>
          <w:lang w:val="en-US"/>
        </w:rPr>
        <w:t>here are very few real-world studies that examine the relationship between therapist adherence and clinical outcome. Of those that do, none examine whole treatment episodes (every treatment session) and</w:t>
      </w:r>
      <w:r w:rsidR="000D70C1">
        <w:rPr>
          <w:rFonts w:ascii="Arial" w:hAnsi="Arial" w:cs="Arial"/>
          <w:sz w:val="22"/>
          <w:szCs w:val="22"/>
          <w:lang w:val="en-US"/>
        </w:rPr>
        <w:t>, again,</w:t>
      </w:r>
      <w:r w:rsidR="00064A40">
        <w:rPr>
          <w:rFonts w:ascii="Arial" w:hAnsi="Arial" w:cs="Arial"/>
          <w:sz w:val="22"/>
          <w:szCs w:val="22"/>
          <w:lang w:val="en-US"/>
        </w:rPr>
        <w:t xml:space="preserve"> some make claims without ever reviewing therapists’ work (see Clark, 2014</w:t>
      </w:r>
      <w:r w:rsidR="007136A8">
        <w:rPr>
          <w:rFonts w:ascii="Arial" w:hAnsi="Arial" w:cs="Arial"/>
          <w:sz w:val="22"/>
          <w:szCs w:val="22"/>
          <w:lang w:val="en-US"/>
        </w:rPr>
        <w:t>,</w:t>
      </w:r>
      <w:r w:rsidR="000D70C1">
        <w:rPr>
          <w:rFonts w:ascii="Arial" w:hAnsi="Arial" w:cs="Arial"/>
          <w:sz w:val="22"/>
          <w:szCs w:val="22"/>
          <w:lang w:val="en-US"/>
        </w:rPr>
        <w:t xml:space="preserve"> </w:t>
      </w:r>
      <w:r w:rsidR="007136A8">
        <w:rPr>
          <w:rFonts w:ascii="Arial" w:hAnsi="Arial" w:cs="Arial"/>
          <w:sz w:val="22"/>
          <w:szCs w:val="22"/>
          <w:lang w:val="en-US"/>
        </w:rPr>
        <w:t>Waller, Stringer and Meyer, 2012</w:t>
      </w:r>
      <w:r w:rsidR="000D70C1">
        <w:rPr>
          <w:rFonts w:ascii="Arial" w:hAnsi="Arial" w:cs="Arial"/>
          <w:sz w:val="22"/>
          <w:szCs w:val="22"/>
          <w:lang w:val="en-US"/>
        </w:rPr>
        <w:t>, Liness, Lea, Nestler, Parker and Clark, 2017</w:t>
      </w:r>
      <w:r w:rsidR="00064A40">
        <w:rPr>
          <w:rFonts w:ascii="Arial" w:hAnsi="Arial" w:cs="Arial"/>
          <w:sz w:val="22"/>
          <w:szCs w:val="22"/>
          <w:lang w:val="en-US"/>
        </w:rPr>
        <w:t xml:space="preserve">). </w:t>
      </w:r>
      <w:r w:rsidR="000D70C1">
        <w:rPr>
          <w:rFonts w:ascii="Arial" w:hAnsi="Arial" w:cs="Arial"/>
          <w:sz w:val="22"/>
          <w:szCs w:val="22"/>
          <w:lang w:val="en-US"/>
        </w:rPr>
        <w:t>For example, i</w:t>
      </w:r>
      <w:r w:rsidRPr="003504B1">
        <w:rPr>
          <w:rFonts w:ascii="Arial" w:hAnsi="Arial" w:cs="Arial"/>
          <w:sz w:val="22"/>
          <w:szCs w:val="22"/>
          <w:lang w:val="en-US"/>
        </w:rPr>
        <w:t>n Clark’s (</w:t>
      </w:r>
      <w:r w:rsidR="000D70C1">
        <w:rPr>
          <w:rFonts w:ascii="Arial" w:hAnsi="Arial" w:cs="Arial"/>
          <w:sz w:val="22"/>
          <w:szCs w:val="22"/>
          <w:lang w:val="en-US"/>
        </w:rPr>
        <w:t>2011</w:t>
      </w:r>
      <w:r w:rsidRPr="003504B1">
        <w:rPr>
          <w:rFonts w:ascii="Arial" w:hAnsi="Arial" w:cs="Arial"/>
          <w:sz w:val="22"/>
          <w:szCs w:val="22"/>
          <w:lang w:val="en-US"/>
        </w:rPr>
        <w:t xml:space="preserve">) </w:t>
      </w:r>
      <w:r w:rsidR="000D70C1">
        <w:rPr>
          <w:rFonts w:ascii="Arial" w:hAnsi="Arial" w:cs="Arial"/>
          <w:sz w:val="22"/>
          <w:szCs w:val="22"/>
          <w:lang w:val="en-US"/>
        </w:rPr>
        <w:t>paper where he reviews</w:t>
      </w:r>
      <w:r w:rsidRPr="003504B1">
        <w:rPr>
          <w:rFonts w:ascii="Arial" w:hAnsi="Arial" w:cs="Arial"/>
          <w:sz w:val="22"/>
          <w:szCs w:val="22"/>
          <w:lang w:val="en-US"/>
        </w:rPr>
        <w:t xml:space="preserve"> </w:t>
      </w:r>
      <w:r w:rsidR="005D28E7">
        <w:rPr>
          <w:rFonts w:ascii="Arial" w:hAnsi="Arial" w:cs="Arial"/>
          <w:sz w:val="22"/>
          <w:szCs w:val="22"/>
          <w:lang w:val="en-US"/>
        </w:rPr>
        <w:t>the treatment of “over 3500 patients” (Clark, 2011 p.320) and  Gyani,</w:t>
      </w:r>
      <w:r w:rsidR="002F60F5">
        <w:rPr>
          <w:rFonts w:ascii="Arial" w:hAnsi="Arial" w:cs="Arial"/>
          <w:sz w:val="22"/>
          <w:szCs w:val="22"/>
          <w:lang w:val="en-US"/>
        </w:rPr>
        <w:t xml:space="preserve"> Shafran, Layard and Clark, (2013) where they reviewed the treatment of </w:t>
      </w:r>
      <w:r w:rsidR="005D28E7">
        <w:rPr>
          <w:rFonts w:ascii="Arial" w:hAnsi="Arial" w:cs="Arial"/>
          <w:sz w:val="22"/>
          <w:szCs w:val="22"/>
          <w:lang w:val="en-US"/>
        </w:rPr>
        <w:t>19,395</w:t>
      </w:r>
      <w:r w:rsidRPr="003504B1">
        <w:rPr>
          <w:rFonts w:ascii="Arial" w:hAnsi="Arial" w:cs="Arial"/>
          <w:sz w:val="22"/>
          <w:szCs w:val="22"/>
          <w:lang w:val="en-US"/>
        </w:rPr>
        <w:t xml:space="preserve"> patients</w:t>
      </w:r>
      <w:r w:rsidR="005D28E7">
        <w:rPr>
          <w:rFonts w:ascii="Arial" w:hAnsi="Arial" w:cs="Arial"/>
          <w:sz w:val="22"/>
          <w:szCs w:val="22"/>
          <w:lang w:val="en-US"/>
        </w:rPr>
        <w:t xml:space="preserve"> </w:t>
      </w:r>
      <w:r w:rsidR="002F60F5">
        <w:rPr>
          <w:rFonts w:ascii="Arial" w:hAnsi="Arial" w:cs="Arial"/>
          <w:sz w:val="22"/>
          <w:szCs w:val="22"/>
          <w:lang w:val="en-US"/>
        </w:rPr>
        <w:t xml:space="preserve">there is an explicit argument </w:t>
      </w:r>
      <w:r w:rsidRPr="003504B1">
        <w:rPr>
          <w:rFonts w:ascii="Arial" w:hAnsi="Arial" w:cs="Arial"/>
          <w:sz w:val="22"/>
          <w:szCs w:val="22"/>
          <w:lang w:val="en-US"/>
        </w:rPr>
        <w:t xml:space="preserve">that adherence to National Institute of </w:t>
      </w:r>
      <w:r w:rsidR="000D70C1">
        <w:rPr>
          <w:rFonts w:ascii="Arial" w:hAnsi="Arial" w:cs="Arial"/>
          <w:sz w:val="22"/>
          <w:szCs w:val="22"/>
          <w:lang w:val="en-US"/>
        </w:rPr>
        <w:t>H</w:t>
      </w:r>
      <w:r w:rsidRPr="003504B1">
        <w:rPr>
          <w:rFonts w:ascii="Arial" w:hAnsi="Arial" w:cs="Arial"/>
          <w:sz w:val="22"/>
          <w:szCs w:val="22"/>
          <w:lang w:val="en-US"/>
        </w:rPr>
        <w:t xml:space="preserve">ealth and Care Excellence (NICE) guidelines (which recommend disorder specific protocols) was strongly correlated with clinical outcomes. However, </w:t>
      </w:r>
      <w:r w:rsidR="002F60F5">
        <w:rPr>
          <w:rFonts w:ascii="Arial" w:hAnsi="Arial" w:cs="Arial"/>
          <w:sz w:val="22"/>
          <w:szCs w:val="22"/>
          <w:lang w:val="en-US"/>
        </w:rPr>
        <w:t>both papers</w:t>
      </w:r>
      <w:r w:rsidRPr="003504B1">
        <w:rPr>
          <w:rFonts w:ascii="Arial" w:hAnsi="Arial" w:cs="Arial"/>
          <w:sz w:val="22"/>
          <w:szCs w:val="22"/>
          <w:lang w:val="en-US"/>
        </w:rPr>
        <w:t xml:space="preserve"> admit that </w:t>
      </w:r>
      <w:r w:rsidR="002F60F5">
        <w:rPr>
          <w:rFonts w:ascii="Arial" w:hAnsi="Arial" w:cs="Arial"/>
          <w:sz w:val="22"/>
          <w:szCs w:val="22"/>
          <w:lang w:val="en-US"/>
        </w:rPr>
        <w:t>there was</w:t>
      </w:r>
      <w:r w:rsidRPr="003504B1">
        <w:rPr>
          <w:rFonts w:ascii="Arial" w:hAnsi="Arial" w:cs="Arial"/>
          <w:sz w:val="22"/>
          <w:szCs w:val="22"/>
          <w:lang w:val="en-US"/>
        </w:rPr>
        <w:t xml:space="preserve"> </w:t>
      </w:r>
      <w:r w:rsidR="002C1C18">
        <w:rPr>
          <w:rFonts w:ascii="Arial" w:hAnsi="Arial" w:cs="Arial"/>
          <w:sz w:val="22"/>
          <w:szCs w:val="22"/>
          <w:lang w:val="en-US"/>
        </w:rPr>
        <w:t xml:space="preserve">no </w:t>
      </w:r>
      <w:r w:rsidRPr="003504B1">
        <w:rPr>
          <w:rFonts w:ascii="Arial" w:hAnsi="Arial" w:cs="Arial"/>
          <w:sz w:val="22"/>
          <w:szCs w:val="22"/>
          <w:lang w:val="en-US"/>
        </w:rPr>
        <w:t xml:space="preserve">evidence to support this correlation other than therapists self-reporting that they were following the guidelines. One issue with self-reporting is that it is open to subjectivity (Mathieson, Barnfield and Beaumont, Waller, 2009, Brosan, Reynolds and Moore 2008, Waller and Turner, 2016) and therapists may have a tendency to overrate themselves. It might be argued that this effect is amplified when IAPT therapists are interviewed about their practice in a large </w:t>
      </w:r>
      <w:r w:rsidRPr="003504B1">
        <w:rPr>
          <w:rFonts w:ascii="Arial" w:hAnsi="Arial" w:cs="Arial"/>
          <w:sz w:val="22"/>
          <w:szCs w:val="22"/>
          <w:lang w:val="en-US"/>
        </w:rPr>
        <w:lastRenderedPageBreak/>
        <w:t>research study conducted by one of the founders of IAPT. It would seem less likely that a therapist would present an honest reflection of their clinical practice when IAPT has an explicit expectation that a therapist will use a disorder specific protocol. In order to understand whether there is a relationship between adherence and outcome in real</w:t>
      </w:r>
      <w:r w:rsidR="0023735D">
        <w:rPr>
          <w:rFonts w:ascii="Arial" w:hAnsi="Arial" w:cs="Arial"/>
          <w:sz w:val="22"/>
          <w:szCs w:val="22"/>
          <w:lang w:val="en-US"/>
        </w:rPr>
        <w:t>-</w:t>
      </w:r>
      <w:r w:rsidRPr="003504B1">
        <w:rPr>
          <w:rFonts w:ascii="Arial" w:hAnsi="Arial" w:cs="Arial"/>
          <w:sz w:val="22"/>
          <w:szCs w:val="22"/>
          <w:lang w:val="en-US"/>
        </w:rPr>
        <w:t>world settings it will be necessary to conduct research where access to recordings or observations of whole episodes of treatment at sufficient scale (Webb, DeRubeis and Barber 2010).</w:t>
      </w:r>
    </w:p>
    <w:p w14:paraId="7FAE37BD" w14:textId="77777777" w:rsidR="008F6FFA" w:rsidRPr="0022405F" w:rsidRDefault="008F6FFA" w:rsidP="00EA08A3">
      <w:pPr>
        <w:widowControl w:val="0"/>
        <w:autoSpaceDE w:val="0"/>
        <w:autoSpaceDN w:val="0"/>
        <w:adjustRightInd w:val="0"/>
        <w:spacing w:after="240" w:line="480" w:lineRule="auto"/>
        <w:rPr>
          <w:rFonts w:ascii="Arial" w:hAnsi="Arial" w:cs="Arial"/>
          <w:sz w:val="22"/>
          <w:szCs w:val="22"/>
          <w:lang w:val="en-US"/>
        </w:rPr>
      </w:pPr>
    </w:p>
    <w:p w14:paraId="2A3A4703" w14:textId="69E90A67" w:rsidR="00EA08A3" w:rsidRPr="00441DB8" w:rsidRDefault="00D3045D" w:rsidP="00441DB8">
      <w:pPr>
        <w:pStyle w:val="Heading3"/>
        <w:rPr>
          <w:rFonts w:cs="Arial"/>
          <w:color w:val="000000" w:themeColor="text1"/>
          <w:szCs w:val="22"/>
          <w:lang w:val="en-US"/>
        </w:rPr>
      </w:pPr>
      <w:bookmarkStart w:id="195" w:name="_Toc46770763"/>
      <w:bookmarkStart w:id="196" w:name="_Toc79414174"/>
      <w:r w:rsidRPr="00441DB8">
        <w:rPr>
          <w:rFonts w:cs="Arial"/>
          <w:color w:val="000000" w:themeColor="text1"/>
          <w:szCs w:val="22"/>
          <w:lang w:val="en-US"/>
        </w:rPr>
        <w:t>3.</w:t>
      </w:r>
      <w:r w:rsidR="00441DB8" w:rsidRPr="00441DB8">
        <w:rPr>
          <w:rFonts w:cs="Arial"/>
          <w:color w:val="000000" w:themeColor="text1"/>
          <w:szCs w:val="22"/>
          <w:lang w:val="en-US"/>
        </w:rPr>
        <w:t>1.4 Theme 4: Identifying and measuring the therapeutic alliance</w:t>
      </w:r>
      <w:bookmarkEnd w:id="195"/>
      <w:bookmarkEnd w:id="196"/>
      <w:r w:rsidRPr="00441DB8">
        <w:rPr>
          <w:rFonts w:cs="Arial"/>
          <w:color w:val="000000" w:themeColor="text1"/>
          <w:szCs w:val="22"/>
          <w:lang w:val="en-US"/>
        </w:rPr>
        <w:t xml:space="preserve"> </w:t>
      </w:r>
    </w:p>
    <w:p w14:paraId="18C2F95C" w14:textId="77777777" w:rsidR="00EA08A3" w:rsidRPr="0022405F" w:rsidRDefault="00EA08A3" w:rsidP="00EA08A3">
      <w:pPr>
        <w:rPr>
          <w:lang w:val="en-US"/>
        </w:rPr>
      </w:pPr>
    </w:p>
    <w:p w14:paraId="0AE50BE7" w14:textId="72A020FD" w:rsidR="00EA08A3" w:rsidRPr="0022405F" w:rsidRDefault="00EA08A3" w:rsidP="00EA08A3">
      <w:pPr>
        <w:widowControl w:val="0"/>
        <w:autoSpaceDE w:val="0"/>
        <w:autoSpaceDN w:val="0"/>
        <w:adjustRightInd w:val="0"/>
        <w:spacing w:after="240" w:line="480" w:lineRule="auto"/>
        <w:rPr>
          <w:rFonts w:ascii="Arial" w:hAnsi="Arial" w:cs="Arial"/>
          <w:sz w:val="22"/>
          <w:szCs w:val="22"/>
          <w:lang w:val="en-US"/>
        </w:rPr>
      </w:pPr>
      <w:r w:rsidRPr="0022405F">
        <w:rPr>
          <w:rFonts w:ascii="Arial" w:hAnsi="Arial" w:cs="Arial"/>
          <w:sz w:val="22"/>
          <w:szCs w:val="22"/>
          <w:lang w:val="en-US"/>
        </w:rPr>
        <w:t xml:space="preserve">The most commonly researched variable, in the psychological therapy process outcome research, is the therapeutic relationship. A therapists’ ability to develop and maintain a therapeutic relationship has been frequently cited as essential to achieving good clinical outcomes (Trepka, Rees, Shapiro, Hardy and Barkham (2004).  Rogers (1957) asserted that developing and maintaining a therapeutic relationship, using empathy, positive regard and sincerity, was sufficient to achieve good clinical outcomes. Goodyear, Wampold, Tracey and Lichtenberg (2017) point out that most of the literature relating to the importance of the therapeutic relationship is based on the work of Karl Rogers. They argue that despite Rogers’ strong assertions there is no evidence to support his claims.  </w:t>
      </w:r>
    </w:p>
    <w:p w14:paraId="0AA45B75" w14:textId="4476C03C" w:rsidR="00EA08A3" w:rsidRPr="00237688" w:rsidRDefault="00EA08A3" w:rsidP="00EA08A3">
      <w:pPr>
        <w:widowControl w:val="0"/>
        <w:autoSpaceDE w:val="0"/>
        <w:autoSpaceDN w:val="0"/>
        <w:adjustRightInd w:val="0"/>
        <w:spacing w:after="240" w:line="480" w:lineRule="auto"/>
        <w:rPr>
          <w:rFonts w:ascii="Arial" w:hAnsi="Arial" w:cs="Arial"/>
          <w:sz w:val="22"/>
          <w:szCs w:val="22"/>
          <w:lang w:val="en-US"/>
        </w:rPr>
      </w:pPr>
      <w:r w:rsidRPr="0022405F">
        <w:rPr>
          <w:rFonts w:ascii="Arial" w:hAnsi="Arial" w:cs="Arial"/>
          <w:sz w:val="22"/>
          <w:szCs w:val="22"/>
          <w:lang w:val="en-US"/>
        </w:rPr>
        <w:t>The therapeutic relationship is a polytheoretical phenomenon that is used to describe the connection between a patient and a therapist. The qualities of the connection include, collaboration, shared goals and a shared understanding of the problems being addressed in therapy (Bordin</w:t>
      </w:r>
      <w:r w:rsidR="00A57DE2">
        <w:rPr>
          <w:rFonts w:ascii="Arial" w:hAnsi="Arial" w:cs="Arial"/>
          <w:sz w:val="22"/>
          <w:szCs w:val="22"/>
          <w:lang w:val="en-US"/>
        </w:rPr>
        <w:t>,</w:t>
      </w:r>
      <w:r w:rsidRPr="0022405F">
        <w:rPr>
          <w:rFonts w:ascii="Arial" w:hAnsi="Arial" w:cs="Arial"/>
          <w:sz w:val="22"/>
          <w:szCs w:val="22"/>
          <w:lang w:val="en-US"/>
        </w:rPr>
        <w:t>1979, Horvath and Luborsky</w:t>
      </w:r>
      <w:r w:rsidR="00CD7FCE">
        <w:rPr>
          <w:rFonts w:ascii="Arial" w:hAnsi="Arial" w:cs="Arial"/>
          <w:sz w:val="22"/>
          <w:szCs w:val="22"/>
          <w:lang w:val="en-US"/>
        </w:rPr>
        <w:t>,</w:t>
      </w:r>
      <w:r w:rsidRPr="0022405F">
        <w:rPr>
          <w:rFonts w:ascii="Arial" w:hAnsi="Arial" w:cs="Arial"/>
          <w:sz w:val="22"/>
          <w:szCs w:val="22"/>
          <w:lang w:val="en-US"/>
        </w:rPr>
        <w:t xml:space="preserve"> 1993, Horvath</w:t>
      </w:r>
      <w:r w:rsidR="00CD7FCE">
        <w:rPr>
          <w:rFonts w:ascii="Arial" w:hAnsi="Arial" w:cs="Arial"/>
          <w:sz w:val="22"/>
          <w:szCs w:val="22"/>
          <w:lang w:val="en-US"/>
        </w:rPr>
        <w:t>,</w:t>
      </w:r>
      <w:r w:rsidRPr="0022405F">
        <w:rPr>
          <w:rFonts w:ascii="Arial" w:hAnsi="Arial" w:cs="Arial"/>
          <w:sz w:val="22"/>
          <w:szCs w:val="22"/>
          <w:lang w:val="en-US"/>
        </w:rPr>
        <w:t xml:space="preserve"> 2006).  Rogers (1957) included the conditions of </w:t>
      </w:r>
      <w:r w:rsidR="002C1C18">
        <w:rPr>
          <w:rFonts w:ascii="Arial" w:hAnsi="Arial" w:cs="Arial"/>
          <w:sz w:val="22"/>
          <w:szCs w:val="22"/>
          <w:lang w:val="en-US"/>
        </w:rPr>
        <w:t>“</w:t>
      </w:r>
      <w:r w:rsidRPr="0022405F">
        <w:rPr>
          <w:rFonts w:ascii="Arial" w:hAnsi="Arial" w:cs="Arial"/>
          <w:sz w:val="22"/>
          <w:szCs w:val="22"/>
          <w:lang w:val="en-US"/>
        </w:rPr>
        <w:t>unconditional positive regard</w:t>
      </w:r>
      <w:r w:rsidR="00B96399">
        <w:rPr>
          <w:rFonts w:ascii="Arial" w:hAnsi="Arial" w:cs="Arial"/>
          <w:sz w:val="22"/>
          <w:szCs w:val="22"/>
          <w:lang w:val="en-US"/>
        </w:rPr>
        <w:t xml:space="preserve">” </w:t>
      </w:r>
      <w:r w:rsidRPr="0022405F">
        <w:rPr>
          <w:rFonts w:ascii="Arial" w:hAnsi="Arial" w:cs="Arial"/>
          <w:sz w:val="22"/>
          <w:szCs w:val="22"/>
          <w:lang w:val="en-US"/>
        </w:rPr>
        <w:t xml:space="preserve">(p.208) and </w:t>
      </w:r>
      <w:r w:rsidR="002C1C18">
        <w:rPr>
          <w:rFonts w:ascii="Arial" w:hAnsi="Arial" w:cs="Arial"/>
          <w:sz w:val="22"/>
          <w:szCs w:val="22"/>
          <w:lang w:val="en-US"/>
        </w:rPr>
        <w:t>“</w:t>
      </w:r>
      <w:r w:rsidRPr="0022405F">
        <w:rPr>
          <w:rFonts w:ascii="Arial" w:hAnsi="Arial" w:cs="Arial"/>
          <w:sz w:val="22"/>
          <w:szCs w:val="22"/>
          <w:lang w:val="en-US"/>
        </w:rPr>
        <w:t>empathy and genuin</w:t>
      </w:r>
      <w:r w:rsidR="002C1C18">
        <w:rPr>
          <w:rFonts w:ascii="Arial" w:hAnsi="Arial" w:cs="Arial"/>
          <w:sz w:val="22"/>
          <w:szCs w:val="22"/>
          <w:lang w:val="en-US"/>
        </w:rPr>
        <w:t>en</w:t>
      </w:r>
      <w:r w:rsidRPr="0022405F">
        <w:rPr>
          <w:rFonts w:ascii="Arial" w:hAnsi="Arial" w:cs="Arial"/>
          <w:sz w:val="22"/>
          <w:szCs w:val="22"/>
          <w:lang w:val="en-US"/>
        </w:rPr>
        <w:t>ess</w:t>
      </w:r>
      <w:r w:rsidR="002C1C18">
        <w:rPr>
          <w:rFonts w:ascii="Arial" w:hAnsi="Arial" w:cs="Arial"/>
          <w:sz w:val="22"/>
          <w:szCs w:val="22"/>
          <w:lang w:val="en-US"/>
        </w:rPr>
        <w:t>”</w:t>
      </w:r>
      <w:r w:rsidRPr="0022405F">
        <w:rPr>
          <w:rFonts w:ascii="Arial" w:hAnsi="Arial" w:cs="Arial"/>
          <w:sz w:val="22"/>
          <w:szCs w:val="22"/>
          <w:lang w:val="en-US"/>
        </w:rPr>
        <w:t xml:space="preserve"> (p.210) in his conceptual framework of the therapeutic relationship which he believed was the causal factor for therapeutic change. The subject of understanding therapeutic processes and how these relate to outcome has been explored in just over 200 studies. Meta-analys</w:t>
      </w:r>
      <w:r w:rsidR="002C1C18">
        <w:rPr>
          <w:rFonts w:ascii="Arial" w:hAnsi="Arial" w:cs="Arial"/>
          <w:sz w:val="22"/>
          <w:szCs w:val="22"/>
          <w:lang w:val="en-US"/>
        </w:rPr>
        <w:t>es</w:t>
      </w:r>
      <w:r w:rsidRPr="0022405F">
        <w:rPr>
          <w:rFonts w:ascii="Arial" w:hAnsi="Arial" w:cs="Arial"/>
          <w:sz w:val="22"/>
          <w:szCs w:val="22"/>
          <w:lang w:val="en-US"/>
        </w:rPr>
        <w:t xml:space="preserve"> suggest that there is a correlation between the therapeutic relationship and </w:t>
      </w:r>
      <w:r w:rsidRPr="0022405F">
        <w:rPr>
          <w:rFonts w:ascii="Arial" w:hAnsi="Arial" w:cs="Arial"/>
          <w:sz w:val="22"/>
          <w:szCs w:val="22"/>
          <w:lang w:val="en-US"/>
        </w:rPr>
        <w:lastRenderedPageBreak/>
        <w:t>clinical outcome (Horvath, Del Re, Fluckiger and Symonds, 2011, Fluckiger, Del Re, Wampold, Symonds and Horvath</w:t>
      </w:r>
      <w:r w:rsidR="00E507EA">
        <w:rPr>
          <w:rFonts w:ascii="Arial" w:hAnsi="Arial" w:cs="Arial"/>
          <w:sz w:val="22"/>
          <w:szCs w:val="22"/>
          <w:lang w:val="en-US"/>
        </w:rPr>
        <w:t>,</w:t>
      </w:r>
      <w:r w:rsidRPr="0022405F">
        <w:rPr>
          <w:rFonts w:ascii="Arial" w:hAnsi="Arial" w:cs="Arial"/>
          <w:sz w:val="22"/>
          <w:szCs w:val="22"/>
          <w:lang w:val="en-US"/>
        </w:rPr>
        <w:t xml:space="preserve"> 2012).</w:t>
      </w:r>
      <w:r w:rsidR="002C1C18">
        <w:rPr>
          <w:rFonts w:ascii="Arial" w:hAnsi="Arial" w:cs="Arial"/>
          <w:sz w:val="22"/>
          <w:szCs w:val="22"/>
          <w:lang w:val="en-US"/>
        </w:rPr>
        <w:t xml:space="preserve"> </w:t>
      </w:r>
      <w:r w:rsidRPr="0022405F">
        <w:rPr>
          <w:rFonts w:ascii="Arial" w:hAnsi="Arial" w:cs="Arial"/>
          <w:sz w:val="22"/>
          <w:szCs w:val="22"/>
          <w:lang w:val="en-US"/>
        </w:rPr>
        <w:t>Whilst process-outcome research has repeatedly suggested that there is a strong relationship between a therapists’ ability to develop and maintain a therapeutic relationship and therapy outcomes, it would appear that this is the case regardless of the modality of treatment being delivered (Llewelyn and Hardy, 2001). Frank and Frank (1991) and the later work of Wampold (2015) define the therapeutic relationship as</w:t>
      </w:r>
      <w:r w:rsidR="002C1C18">
        <w:rPr>
          <w:rFonts w:ascii="Arial" w:hAnsi="Arial" w:cs="Arial"/>
          <w:sz w:val="22"/>
          <w:szCs w:val="22"/>
          <w:lang w:val="en-US"/>
        </w:rPr>
        <w:t xml:space="preserve"> a</w:t>
      </w:r>
      <w:r w:rsidRPr="0022405F">
        <w:rPr>
          <w:rFonts w:ascii="Arial" w:hAnsi="Arial" w:cs="Arial"/>
          <w:sz w:val="22"/>
          <w:szCs w:val="22"/>
          <w:lang w:val="en-US"/>
        </w:rPr>
        <w:t xml:space="preserve"> ‘common factor’ that is necessary in all modalities of psychotherapy. </w:t>
      </w:r>
      <w:r w:rsidR="002C1C18">
        <w:rPr>
          <w:rFonts w:ascii="Arial" w:hAnsi="Arial" w:cs="Arial"/>
          <w:sz w:val="22"/>
          <w:szCs w:val="22"/>
          <w:lang w:val="en-US"/>
        </w:rPr>
        <w:t>However,</w:t>
      </w:r>
      <w:r w:rsidRPr="0022405F">
        <w:rPr>
          <w:rFonts w:ascii="Arial" w:hAnsi="Arial" w:cs="Arial"/>
          <w:sz w:val="22"/>
          <w:szCs w:val="22"/>
          <w:lang w:val="en-US"/>
        </w:rPr>
        <w:t xml:space="preserve"> whilst</w:t>
      </w:r>
      <w:r w:rsidR="002C1C18">
        <w:rPr>
          <w:rFonts w:ascii="Arial" w:hAnsi="Arial" w:cs="Arial"/>
          <w:sz w:val="22"/>
          <w:szCs w:val="22"/>
          <w:lang w:val="en-US"/>
        </w:rPr>
        <w:t xml:space="preserve"> it is agreed that a strong </w:t>
      </w:r>
      <w:r w:rsidRPr="0022405F">
        <w:rPr>
          <w:rFonts w:ascii="Arial" w:hAnsi="Arial" w:cs="Arial"/>
          <w:sz w:val="22"/>
          <w:szCs w:val="22"/>
          <w:lang w:val="en-US"/>
        </w:rPr>
        <w:t xml:space="preserve">therapeutic alliance </w:t>
      </w:r>
      <w:r w:rsidR="002C1C18">
        <w:rPr>
          <w:rFonts w:ascii="Arial" w:hAnsi="Arial" w:cs="Arial"/>
          <w:sz w:val="22"/>
          <w:szCs w:val="22"/>
          <w:lang w:val="en-US"/>
        </w:rPr>
        <w:t xml:space="preserve">is </w:t>
      </w:r>
      <w:r w:rsidRPr="0022405F">
        <w:rPr>
          <w:rFonts w:ascii="Arial" w:hAnsi="Arial" w:cs="Arial"/>
          <w:sz w:val="22"/>
          <w:szCs w:val="22"/>
          <w:lang w:val="en-US"/>
        </w:rPr>
        <w:t xml:space="preserve">necessary </w:t>
      </w:r>
      <w:r w:rsidR="002C1C18">
        <w:rPr>
          <w:rFonts w:ascii="Arial" w:hAnsi="Arial" w:cs="Arial"/>
          <w:sz w:val="22"/>
          <w:szCs w:val="22"/>
          <w:lang w:val="en-US"/>
        </w:rPr>
        <w:t xml:space="preserve">in order to achieve good clinical outcomes, it is also acknowledged that other, specific, factors are also important (Wampold, 2015, </w:t>
      </w:r>
      <w:r w:rsidRPr="0022405F">
        <w:rPr>
          <w:rFonts w:ascii="Arial" w:hAnsi="Arial" w:cs="Arial"/>
          <w:sz w:val="22"/>
          <w:szCs w:val="22"/>
          <w:lang w:val="en-US"/>
        </w:rPr>
        <w:t>Wampold</w:t>
      </w:r>
      <w:r w:rsidR="002C1C18">
        <w:rPr>
          <w:rFonts w:ascii="Arial" w:hAnsi="Arial" w:cs="Arial"/>
          <w:sz w:val="22"/>
          <w:szCs w:val="22"/>
          <w:lang w:val="en-US"/>
        </w:rPr>
        <w:t>, Baldwin, Holtforth and Imel, 2017, Hill and Castonguay, 2017).</w:t>
      </w:r>
      <w:r w:rsidRPr="0022405F">
        <w:rPr>
          <w:rFonts w:ascii="Arial" w:hAnsi="Arial" w:cs="Arial"/>
          <w:sz w:val="22"/>
          <w:szCs w:val="22"/>
          <w:lang w:val="en-US"/>
        </w:rPr>
        <w:t xml:space="preserve"> </w:t>
      </w:r>
      <w:r w:rsidR="00237688">
        <w:rPr>
          <w:rFonts w:ascii="Arial" w:hAnsi="Arial" w:cs="Arial"/>
          <w:sz w:val="22"/>
          <w:szCs w:val="22"/>
          <w:lang w:val="en-US"/>
        </w:rPr>
        <w:t>Further</w:t>
      </w:r>
      <w:r w:rsidRPr="0022405F">
        <w:rPr>
          <w:rFonts w:ascii="Arial" w:hAnsi="Arial" w:cs="Arial"/>
          <w:sz w:val="22"/>
          <w:szCs w:val="22"/>
          <w:lang w:val="en-US"/>
        </w:rPr>
        <w:t xml:space="preserve"> research is required to understand how specific factors, such as therapist competence and adherence to specific treatment protocols, relate to clinical outcome</w:t>
      </w:r>
      <w:r w:rsidR="00237688">
        <w:rPr>
          <w:rFonts w:ascii="Arial" w:hAnsi="Arial" w:cs="Arial"/>
          <w:sz w:val="22"/>
          <w:szCs w:val="22"/>
          <w:lang w:val="en-US"/>
        </w:rPr>
        <w:t xml:space="preserve"> (Hill and Castonguay, 2017).</w:t>
      </w:r>
    </w:p>
    <w:p w14:paraId="6D0271EB" w14:textId="77777777" w:rsidR="00EA08A3" w:rsidRDefault="00EA08A3" w:rsidP="00EA08A3">
      <w:pPr>
        <w:widowControl w:val="0"/>
        <w:autoSpaceDE w:val="0"/>
        <w:autoSpaceDN w:val="0"/>
        <w:adjustRightInd w:val="0"/>
        <w:spacing w:after="240" w:line="480" w:lineRule="auto"/>
        <w:rPr>
          <w:rFonts w:ascii="Arial" w:hAnsi="Arial" w:cs="Arial"/>
          <w:lang w:val="en-US"/>
        </w:rPr>
      </w:pPr>
    </w:p>
    <w:p w14:paraId="11D92B1A" w14:textId="00657146" w:rsidR="00EA08A3" w:rsidRDefault="00EA08A3" w:rsidP="00441DB8">
      <w:pPr>
        <w:pStyle w:val="Heading3"/>
        <w:rPr>
          <w:rFonts w:cs="Arial"/>
          <w:color w:val="000000" w:themeColor="text1"/>
          <w:szCs w:val="22"/>
        </w:rPr>
      </w:pPr>
      <w:bookmarkStart w:id="197" w:name="_Toc46770764"/>
      <w:bookmarkStart w:id="198" w:name="_Toc79414175"/>
      <w:r w:rsidRPr="00441DB8">
        <w:rPr>
          <w:rFonts w:cs="Arial"/>
          <w:color w:val="000000" w:themeColor="text1"/>
          <w:szCs w:val="22"/>
        </w:rPr>
        <w:t>3.</w:t>
      </w:r>
      <w:r w:rsidR="00441DB8" w:rsidRPr="00441DB8">
        <w:rPr>
          <w:rFonts w:cs="Arial"/>
          <w:color w:val="000000" w:themeColor="text1"/>
          <w:szCs w:val="22"/>
        </w:rPr>
        <w:t>1.5 Theme 5: Therapist demographics</w:t>
      </w:r>
      <w:bookmarkEnd w:id="197"/>
      <w:bookmarkEnd w:id="198"/>
      <w:r w:rsidRPr="00441DB8">
        <w:rPr>
          <w:rFonts w:cs="Arial"/>
          <w:color w:val="000000" w:themeColor="text1"/>
          <w:szCs w:val="22"/>
        </w:rPr>
        <w:t xml:space="preserve"> </w:t>
      </w:r>
    </w:p>
    <w:p w14:paraId="4EB73AE8" w14:textId="77777777" w:rsidR="00441DB8" w:rsidRPr="00441DB8" w:rsidRDefault="00441DB8" w:rsidP="00441DB8"/>
    <w:p w14:paraId="2ED2CB3F" w14:textId="00F3458E" w:rsidR="00040B9C" w:rsidRDefault="00441DB8" w:rsidP="00040B9C">
      <w:pPr>
        <w:widowControl w:val="0"/>
        <w:autoSpaceDE w:val="0"/>
        <w:autoSpaceDN w:val="0"/>
        <w:adjustRightInd w:val="0"/>
        <w:spacing w:after="240" w:line="480" w:lineRule="auto"/>
        <w:rPr>
          <w:rFonts w:ascii="Arial" w:hAnsi="Arial" w:cs="Arial"/>
          <w:sz w:val="22"/>
          <w:szCs w:val="22"/>
          <w:lang w:val="en-US"/>
        </w:rPr>
      </w:pPr>
      <w:r>
        <w:rPr>
          <w:rFonts w:ascii="Arial" w:hAnsi="Arial" w:cs="Arial"/>
          <w:sz w:val="22"/>
          <w:szCs w:val="22"/>
          <w:lang w:val="en-US"/>
        </w:rPr>
        <w:t>Section 3.1.4 reported that the</w:t>
      </w:r>
      <w:r w:rsidR="00EA08A3" w:rsidRPr="003504B1">
        <w:rPr>
          <w:rFonts w:ascii="Arial" w:hAnsi="Arial" w:cs="Arial"/>
          <w:sz w:val="22"/>
          <w:szCs w:val="22"/>
          <w:lang w:val="en-US"/>
        </w:rPr>
        <w:t xml:space="preserve"> therapeutic alliance</w:t>
      </w:r>
      <w:r>
        <w:rPr>
          <w:rFonts w:ascii="Arial" w:hAnsi="Arial" w:cs="Arial"/>
          <w:sz w:val="22"/>
          <w:szCs w:val="22"/>
          <w:lang w:val="en-US"/>
        </w:rPr>
        <w:t xml:space="preserve"> and its relationship with clinical outcome, regardless of the psychotherapy modality, is the most commonly occurring theme in the literature. </w:t>
      </w:r>
      <w:r w:rsidR="00EA08A3" w:rsidRPr="003504B1">
        <w:rPr>
          <w:rFonts w:ascii="Arial" w:hAnsi="Arial" w:cs="Arial"/>
          <w:sz w:val="22"/>
          <w:szCs w:val="22"/>
          <w:lang w:val="en-US"/>
        </w:rPr>
        <w:t>In fact, it has been suggested that no further research is required into the specific effects of the therapeutic relationship as there is already sufficient literature (Baldwin and Imel 2012). It has been argued that other variables such as therapist age, gender, years of experience and academic achievement have also been thor</w:t>
      </w:r>
      <w:r w:rsidR="007857FF">
        <w:rPr>
          <w:rFonts w:ascii="Arial" w:hAnsi="Arial" w:cs="Arial"/>
          <w:sz w:val="22"/>
          <w:szCs w:val="22"/>
          <w:lang w:val="en-US"/>
        </w:rPr>
        <w:t>ou</w:t>
      </w:r>
      <w:r w:rsidR="00EA08A3" w:rsidRPr="003504B1">
        <w:rPr>
          <w:rFonts w:ascii="Arial" w:hAnsi="Arial" w:cs="Arial"/>
          <w:sz w:val="22"/>
          <w:szCs w:val="22"/>
          <w:lang w:val="en-US"/>
        </w:rPr>
        <w:t xml:space="preserve">ghly investigated and no new learning is being derived (Baldwin and Imel 2012, Wampold, Baldwin, Grosse Holtforth and Imel, 2017).  A review of the literature in the fifth edition of Bergin and Garfield’s Handbook of Psychotherapy and Behaviour Change (2004) by Beutler, Malik, Aliomohamed, Harwood, Talebi, Noble and Wong (2004) suggested that a therapist’s gender, age, years of experience or academic background were unrelated to clinical outcome. Later studies have </w:t>
      </w:r>
      <w:r w:rsidR="00EA08A3" w:rsidRPr="003504B1">
        <w:rPr>
          <w:rFonts w:ascii="Arial" w:hAnsi="Arial" w:cs="Arial"/>
          <w:sz w:val="22"/>
          <w:szCs w:val="22"/>
          <w:lang w:val="en-US"/>
        </w:rPr>
        <w:lastRenderedPageBreak/>
        <w:t xml:space="preserve">confirmed these findings with Anderson, Ogles, Patterson, Lambert and Vermeersch, (2009), Schottke, Fluckiger, Goldberg, Eversmann and Lange, </w:t>
      </w:r>
      <w:r w:rsidR="00ED2602">
        <w:rPr>
          <w:rFonts w:ascii="Arial" w:hAnsi="Arial" w:cs="Arial"/>
          <w:sz w:val="22"/>
          <w:szCs w:val="22"/>
          <w:lang w:val="en-US"/>
        </w:rPr>
        <w:t>(</w:t>
      </w:r>
      <w:r w:rsidR="00EA08A3" w:rsidRPr="003504B1">
        <w:rPr>
          <w:rFonts w:ascii="Arial" w:hAnsi="Arial" w:cs="Arial"/>
          <w:sz w:val="22"/>
          <w:szCs w:val="22"/>
          <w:lang w:val="en-US"/>
        </w:rPr>
        <w:t>2016</w:t>
      </w:r>
      <w:r w:rsidR="00ED2602">
        <w:rPr>
          <w:rFonts w:ascii="Arial" w:hAnsi="Arial" w:cs="Arial"/>
          <w:sz w:val="22"/>
          <w:szCs w:val="22"/>
          <w:lang w:val="en-US"/>
        </w:rPr>
        <w:t>)</w:t>
      </w:r>
      <w:r w:rsidR="00EA08A3" w:rsidRPr="003504B1">
        <w:rPr>
          <w:rFonts w:ascii="Arial" w:hAnsi="Arial" w:cs="Arial"/>
          <w:sz w:val="22"/>
          <w:szCs w:val="22"/>
          <w:lang w:val="en-US"/>
        </w:rPr>
        <w:t xml:space="preserve"> and Chow, Miller, Seidel, Kane, Thornton and Andrews, </w:t>
      </w:r>
      <w:r w:rsidR="00ED2602">
        <w:rPr>
          <w:rFonts w:ascii="Arial" w:hAnsi="Arial" w:cs="Arial"/>
          <w:sz w:val="22"/>
          <w:szCs w:val="22"/>
          <w:lang w:val="en-US"/>
        </w:rPr>
        <w:t>(</w:t>
      </w:r>
      <w:r w:rsidR="00EA08A3" w:rsidRPr="003504B1">
        <w:rPr>
          <w:rFonts w:ascii="Arial" w:hAnsi="Arial" w:cs="Arial"/>
          <w:sz w:val="22"/>
          <w:szCs w:val="22"/>
          <w:lang w:val="en-US"/>
        </w:rPr>
        <w:t>2015</w:t>
      </w:r>
      <w:r w:rsidR="00ED2602">
        <w:rPr>
          <w:rFonts w:ascii="Arial" w:hAnsi="Arial" w:cs="Arial"/>
          <w:sz w:val="22"/>
          <w:szCs w:val="22"/>
          <w:lang w:val="en-US"/>
        </w:rPr>
        <w:t>)</w:t>
      </w:r>
      <w:r w:rsidR="00EA08A3" w:rsidRPr="003504B1">
        <w:rPr>
          <w:rFonts w:ascii="Arial" w:hAnsi="Arial" w:cs="Arial"/>
          <w:sz w:val="22"/>
          <w:szCs w:val="22"/>
          <w:lang w:val="en-US"/>
        </w:rPr>
        <w:t xml:space="preserve">, all confirming that therapist gender had no significant relationship with outcome. Similar findings are reported confirming that therapist age has no relationship with outcome (Chow et al., 2015, Wampold and Brown, 2005). More controversially, years of experience and therapist academic or clinical qualification </w:t>
      </w:r>
      <w:r w:rsidR="00B17585">
        <w:rPr>
          <w:rFonts w:ascii="Arial" w:hAnsi="Arial" w:cs="Arial"/>
          <w:sz w:val="22"/>
          <w:szCs w:val="22"/>
          <w:lang w:val="en-US"/>
        </w:rPr>
        <w:t xml:space="preserve">have </w:t>
      </w:r>
      <w:r w:rsidR="00EA08A3" w:rsidRPr="003504B1">
        <w:rPr>
          <w:rFonts w:ascii="Arial" w:hAnsi="Arial" w:cs="Arial"/>
          <w:sz w:val="22"/>
          <w:szCs w:val="22"/>
          <w:lang w:val="en-US"/>
        </w:rPr>
        <w:t>also been repeatedly confirmed to have no relationship with clinical outcome (Tracy, Wampold, Lichtenberg and Goodyear, 2014, Chow et al., 2015, Kraus, Bentley, Boswell, Constantino, Baxter and Ca</w:t>
      </w:r>
      <w:r w:rsidR="00ED2602">
        <w:rPr>
          <w:rFonts w:ascii="Arial" w:hAnsi="Arial" w:cs="Arial"/>
          <w:sz w:val="22"/>
          <w:szCs w:val="22"/>
          <w:lang w:val="en-US"/>
        </w:rPr>
        <w:t>s</w:t>
      </w:r>
      <w:r w:rsidR="00EA08A3" w:rsidRPr="003504B1">
        <w:rPr>
          <w:rFonts w:ascii="Arial" w:hAnsi="Arial" w:cs="Arial"/>
          <w:sz w:val="22"/>
          <w:szCs w:val="22"/>
          <w:lang w:val="en-US"/>
        </w:rPr>
        <w:t xml:space="preserve">tonguay, 2016, Wampold and Brown, 2005). The strength of the evidence and a lack of an opposing argument </w:t>
      </w:r>
      <w:r w:rsidR="00A8291D">
        <w:rPr>
          <w:rFonts w:ascii="Arial" w:hAnsi="Arial" w:cs="Arial"/>
          <w:sz w:val="22"/>
          <w:szCs w:val="22"/>
          <w:lang w:val="en-US"/>
        </w:rPr>
        <w:t>(</w:t>
      </w:r>
      <w:r w:rsidR="00EA08A3" w:rsidRPr="003504B1">
        <w:rPr>
          <w:rFonts w:ascii="Arial" w:hAnsi="Arial" w:cs="Arial"/>
          <w:sz w:val="22"/>
          <w:szCs w:val="22"/>
          <w:lang w:val="en-US"/>
        </w:rPr>
        <w:t>to</w:t>
      </w:r>
      <w:r w:rsidR="00A8291D">
        <w:rPr>
          <w:rFonts w:ascii="Arial" w:hAnsi="Arial" w:cs="Arial"/>
          <w:sz w:val="22"/>
          <w:szCs w:val="22"/>
          <w:lang w:val="en-US"/>
        </w:rPr>
        <w:t xml:space="preserve"> date) leads to the</w:t>
      </w:r>
      <w:r w:rsidR="00EA08A3" w:rsidRPr="003504B1">
        <w:rPr>
          <w:rFonts w:ascii="Arial" w:hAnsi="Arial" w:cs="Arial"/>
          <w:sz w:val="22"/>
          <w:szCs w:val="22"/>
          <w:lang w:val="en-US"/>
        </w:rPr>
        <w:t xml:space="preserve"> conclusion that these variables warrant no further comment or investigation</w:t>
      </w:r>
      <w:r w:rsidR="00A8291D">
        <w:rPr>
          <w:rFonts w:ascii="Arial" w:hAnsi="Arial" w:cs="Arial"/>
          <w:sz w:val="22"/>
          <w:szCs w:val="22"/>
          <w:lang w:val="en-US"/>
        </w:rPr>
        <w:t>.</w:t>
      </w:r>
      <w:r w:rsidR="00EA08A3" w:rsidRPr="003504B1">
        <w:rPr>
          <w:rFonts w:ascii="Arial" w:hAnsi="Arial" w:cs="Arial"/>
          <w:sz w:val="22"/>
          <w:szCs w:val="22"/>
          <w:lang w:val="en-US"/>
        </w:rPr>
        <w:t xml:space="preserve"> </w:t>
      </w:r>
      <w:r w:rsidR="00A8291D">
        <w:rPr>
          <w:rFonts w:ascii="Arial" w:hAnsi="Arial" w:cs="Arial"/>
          <w:sz w:val="22"/>
          <w:szCs w:val="22"/>
          <w:lang w:val="en-US"/>
        </w:rPr>
        <w:t xml:space="preserve">Furthermore, as this position becomes more accepted there is a move towards other types of study which move away from fixed </w:t>
      </w:r>
      <w:r w:rsidR="00EA08A3" w:rsidRPr="003504B1">
        <w:rPr>
          <w:rFonts w:ascii="Arial" w:hAnsi="Arial" w:cs="Arial"/>
          <w:sz w:val="22"/>
          <w:szCs w:val="22"/>
          <w:lang w:val="en-US"/>
        </w:rPr>
        <w:t xml:space="preserve">effects such as </w:t>
      </w:r>
      <w:r w:rsidR="00A8291D">
        <w:rPr>
          <w:rFonts w:ascii="Arial" w:hAnsi="Arial" w:cs="Arial"/>
          <w:sz w:val="22"/>
          <w:szCs w:val="22"/>
          <w:lang w:val="en-US"/>
        </w:rPr>
        <w:t xml:space="preserve">therapist </w:t>
      </w:r>
      <w:r w:rsidR="00EA08A3" w:rsidRPr="003504B1">
        <w:rPr>
          <w:rFonts w:ascii="Arial" w:hAnsi="Arial" w:cs="Arial"/>
          <w:sz w:val="22"/>
          <w:szCs w:val="22"/>
          <w:lang w:val="en-US"/>
        </w:rPr>
        <w:t xml:space="preserve">age and years of experience and </w:t>
      </w:r>
      <w:r w:rsidR="00B17585">
        <w:rPr>
          <w:rFonts w:ascii="Arial" w:hAnsi="Arial" w:cs="Arial"/>
          <w:sz w:val="22"/>
          <w:szCs w:val="22"/>
          <w:lang w:val="en-US"/>
        </w:rPr>
        <w:t xml:space="preserve">a </w:t>
      </w:r>
      <w:r w:rsidR="00A8291D">
        <w:rPr>
          <w:rFonts w:ascii="Arial" w:hAnsi="Arial" w:cs="Arial"/>
          <w:sz w:val="22"/>
          <w:szCs w:val="22"/>
          <w:lang w:val="en-US"/>
        </w:rPr>
        <w:t>move towards</w:t>
      </w:r>
      <w:r w:rsidR="00EA08A3" w:rsidRPr="003504B1">
        <w:rPr>
          <w:rFonts w:ascii="Arial" w:hAnsi="Arial" w:cs="Arial"/>
          <w:sz w:val="22"/>
          <w:szCs w:val="22"/>
          <w:lang w:val="en-US"/>
        </w:rPr>
        <w:t xml:space="preserve"> random effects of therapists on clinical outcome</w:t>
      </w:r>
      <w:r w:rsidR="00A8291D">
        <w:rPr>
          <w:rFonts w:ascii="Arial" w:hAnsi="Arial" w:cs="Arial"/>
          <w:sz w:val="22"/>
          <w:szCs w:val="22"/>
          <w:lang w:val="en-US"/>
        </w:rPr>
        <w:t xml:space="preserve"> (Baldwin and Imel, 2012)</w:t>
      </w:r>
      <w:r w:rsidR="00EA08A3" w:rsidRPr="003504B1">
        <w:rPr>
          <w:rFonts w:ascii="Arial" w:hAnsi="Arial" w:cs="Arial"/>
          <w:sz w:val="22"/>
          <w:szCs w:val="22"/>
          <w:lang w:val="en-US"/>
        </w:rPr>
        <w:t xml:space="preserve">.  </w:t>
      </w:r>
      <w:r w:rsidR="00EA08A3" w:rsidRPr="008A3DF3">
        <w:rPr>
          <w:rFonts w:ascii="Arial" w:hAnsi="Arial" w:cs="Arial"/>
          <w:sz w:val="22"/>
          <w:szCs w:val="22"/>
          <w:lang w:val="en-US"/>
        </w:rPr>
        <w:t>Whilst there is some lack of agreement about the exact definition between fixed effects and random effects in the statistical literature (Martindale</w:t>
      </w:r>
      <w:r w:rsidR="00E507EA" w:rsidRPr="008A3DF3">
        <w:rPr>
          <w:rFonts w:ascii="Arial" w:hAnsi="Arial" w:cs="Arial"/>
          <w:sz w:val="22"/>
          <w:szCs w:val="22"/>
          <w:lang w:val="en-US"/>
        </w:rPr>
        <w:t>,</w:t>
      </w:r>
      <w:r w:rsidR="00EA08A3" w:rsidRPr="008A3DF3">
        <w:rPr>
          <w:rFonts w:ascii="Arial" w:hAnsi="Arial" w:cs="Arial"/>
          <w:sz w:val="22"/>
          <w:szCs w:val="22"/>
          <w:lang w:val="en-US"/>
        </w:rPr>
        <w:t xml:space="preserve"> 1978, Gelman, 2004</w:t>
      </w:r>
      <w:r w:rsidR="00237688" w:rsidRPr="008A3DF3">
        <w:rPr>
          <w:rFonts w:ascii="Arial" w:hAnsi="Arial" w:cs="Arial"/>
          <w:sz w:val="22"/>
          <w:szCs w:val="22"/>
          <w:lang w:val="en-US"/>
        </w:rPr>
        <w:t>)</w:t>
      </w:r>
      <w:r w:rsidR="008A3DF3">
        <w:rPr>
          <w:rFonts w:ascii="Arial" w:hAnsi="Arial" w:cs="Arial"/>
          <w:b/>
          <w:bCs/>
          <w:sz w:val="22"/>
          <w:szCs w:val="22"/>
          <w:lang w:val="en-US"/>
        </w:rPr>
        <w:t>,</w:t>
      </w:r>
      <w:r w:rsidR="00237688">
        <w:rPr>
          <w:rFonts w:ascii="Arial" w:hAnsi="Arial" w:cs="Arial"/>
          <w:sz w:val="22"/>
          <w:szCs w:val="22"/>
          <w:lang w:val="en-US"/>
        </w:rPr>
        <w:t xml:space="preserve"> </w:t>
      </w:r>
      <w:r w:rsidR="008A3DF3">
        <w:rPr>
          <w:rFonts w:ascii="Arial" w:hAnsi="Arial" w:cs="Arial"/>
          <w:sz w:val="22"/>
          <w:szCs w:val="22"/>
          <w:lang w:val="en-US"/>
        </w:rPr>
        <w:t>r</w:t>
      </w:r>
      <w:r w:rsidR="00EA08A3" w:rsidRPr="003504B1">
        <w:rPr>
          <w:rFonts w:ascii="Arial" w:hAnsi="Arial" w:cs="Arial"/>
          <w:sz w:val="22"/>
          <w:szCs w:val="22"/>
          <w:lang w:val="en-US"/>
        </w:rPr>
        <w:t>andom effects</w:t>
      </w:r>
      <w:r w:rsidR="00A8291D">
        <w:rPr>
          <w:rFonts w:ascii="Arial" w:hAnsi="Arial" w:cs="Arial"/>
          <w:sz w:val="22"/>
          <w:szCs w:val="22"/>
          <w:lang w:val="en-US"/>
        </w:rPr>
        <w:t>, in this context</w:t>
      </w:r>
      <w:r w:rsidR="00B17585">
        <w:rPr>
          <w:rFonts w:ascii="Arial" w:hAnsi="Arial" w:cs="Arial"/>
          <w:sz w:val="22"/>
          <w:szCs w:val="22"/>
          <w:lang w:val="en-US"/>
        </w:rPr>
        <w:t>,</w:t>
      </w:r>
      <w:r w:rsidR="00EA08A3" w:rsidRPr="003504B1">
        <w:rPr>
          <w:rFonts w:ascii="Arial" w:hAnsi="Arial" w:cs="Arial"/>
          <w:sz w:val="22"/>
          <w:szCs w:val="22"/>
          <w:lang w:val="en-US"/>
        </w:rPr>
        <w:t xml:space="preserve"> </w:t>
      </w:r>
      <w:r w:rsidR="00237688">
        <w:rPr>
          <w:rFonts w:ascii="Arial" w:hAnsi="Arial" w:cs="Arial"/>
          <w:sz w:val="22"/>
          <w:szCs w:val="22"/>
          <w:lang w:val="en-US"/>
        </w:rPr>
        <w:t xml:space="preserve">have been defined </w:t>
      </w:r>
      <w:r w:rsidR="00EA08A3" w:rsidRPr="003504B1">
        <w:rPr>
          <w:rFonts w:ascii="Arial" w:hAnsi="Arial" w:cs="Arial"/>
          <w:sz w:val="22"/>
          <w:szCs w:val="22"/>
          <w:lang w:val="en-US"/>
        </w:rPr>
        <w:t>as the combined effects of all therapist variables on patient outcome</w:t>
      </w:r>
      <w:r w:rsidR="00237688">
        <w:rPr>
          <w:rFonts w:ascii="Arial" w:hAnsi="Arial" w:cs="Arial"/>
          <w:sz w:val="22"/>
          <w:szCs w:val="22"/>
          <w:lang w:val="en-US"/>
        </w:rPr>
        <w:t xml:space="preserve"> (Baldwin and Imel, </w:t>
      </w:r>
      <w:r w:rsidR="00A8291D">
        <w:rPr>
          <w:rFonts w:ascii="Arial" w:hAnsi="Arial" w:cs="Arial"/>
          <w:sz w:val="22"/>
          <w:szCs w:val="22"/>
          <w:lang w:val="en-US"/>
        </w:rPr>
        <w:t>2012</w:t>
      </w:r>
      <w:r w:rsidR="00237688">
        <w:rPr>
          <w:rFonts w:ascii="Arial" w:hAnsi="Arial" w:cs="Arial"/>
          <w:sz w:val="22"/>
          <w:szCs w:val="22"/>
          <w:lang w:val="en-US"/>
        </w:rPr>
        <w:t>)</w:t>
      </w:r>
      <w:r w:rsidR="00EA08A3" w:rsidRPr="003504B1">
        <w:rPr>
          <w:rFonts w:ascii="Arial" w:hAnsi="Arial" w:cs="Arial"/>
          <w:sz w:val="22"/>
          <w:szCs w:val="22"/>
          <w:lang w:val="en-US"/>
        </w:rPr>
        <w:t xml:space="preserve">. </w:t>
      </w:r>
      <w:r w:rsidR="00A8291D">
        <w:rPr>
          <w:rFonts w:ascii="Arial" w:hAnsi="Arial" w:cs="Arial"/>
          <w:sz w:val="22"/>
          <w:szCs w:val="22"/>
          <w:lang w:val="en-US"/>
        </w:rPr>
        <w:t xml:space="preserve">These studies (known as therapist effects studies) are becoming more common and are discussed in </w:t>
      </w:r>
      <w:r w:rsidR="00B17585">
        <w:rPr>
          <w:rFonts w:ascii="Arial" w:hAnsi="Arial" w:cs="Arial"/>
          <w:sz w:val="22"/>
          <w:szCs w:val="22"/>
          <w:lang w:val="en-US"/>
        </w:rPr>
        <w:t>T</w:t>
      </w:r>
      <w:r w:rsidR="00A8291D">
        <w:rPr>
          <w:rFonts w:ascii="Arial" w:hAnsi="Arial" w:cs="Arial"/>
          <w:sz w:val="22"/>
          <w:szCs w:val="22"/>
          <w:lang w:val="en-US"/>
        </w:rPr>
        <w:t xml:space="preserve">heme </w:t>
      </w:r>
      <w:r w:rsidR="00B17585">
        <w:rPr>
          <w:rFonts w:ascii="Arial" w:hAnsi="Arial" w:cs="Arial"/>
          <w:sz w:val="22"/>
          <w:szCs w:val="22"/>
          <w:lang w:val="en-US"/>
        </w:rPr>
        <w:t>6</w:t>
      </w:r>
      <w:r w:rsidR="00A8291D">
        <w:rPr>
          <w:rFonts w:ascii="Arial" w:hAnsi="Arial" w:cs="Arial"/>
          <w:sz w:val="22"/>
          <w:szCs w:val="22"/>
          <w:lang w:val="en-US"/>
        </w:rPr>
        <w:t>, below.</w:t>
      </w:r>
    </w:p>
    <w:p w14:paraId="0FC0101D" w14:textId="77777777" w:rsidR="008F6FFA" w:rsidRPr="00040B9C" w:rsidRDefault="008F6FFA" w:rsidP="00040B9C">
      <w:pPr>
        <w:widowControl w:val="0"/>
        <w:autoSpaceDE w:val="0"/>
        <w:autoSpaceDN w:val="0"/>
        <w:adjustRightInd w:val="0"/>
        <w:spacing w:after="240" w:line="480" w:lineRule="auto"/>
        <w:rPr>
          <w:rFonts w:ascii="Arial" w:hAnsi="Arial" w:cs="Arial"/>
          <w:sz w:val="22"/>
          <w:szCs w:val="22"/>
          <w:lang w:val="en-US"/>
        </w:rPr>
      </w:pPr>
    </w:p>
    <w:p w14:paraId="18D4BF4C" w14:textId="6DF87C5F" w:rsidR="00040B9C" w:rsidRPr="00441DB8" w:rsidRDefault="00040B9C" w:rsidP="00441DB8">
      <w:pPr>
        <w:pStyle w:val="Heading3"/>
        <w:rPr>
          <w:rFonts w:cs="Arial"/>
          <w:color w:val="000000" w:themeColor="text1"/>
          <w:szCs w:val="22"/>
          <w:lang w:val="en-US"/>
        </w:rPr>
      </w:pPr>
      <w:bookmarkStart w:id="199" w:name="_Toc46770765"/>
      <w:bookmarkStart w:id="200" w:name="_Toc79414176"/>
      <w:r w:rsidRPr="00441DB8">
        <w:rPr>
          <w:rFonts w:cs="Arial"/>
          <w:color w:val="000000" w:themeColor="text1"/>
          <w:szCs w:val="22"/>
          <w:lang w:val="en-US"/>
        </w:rPr>
        <w:t>3.</w:t>
      </w:r>
      <w:r w:rsidR="00441DB8" w:rsidRPr="00441DB8">
        <w:rPr>
          <w:rFonts w:cs="Arial"/>
          <w:color w:val="000000" w:themeColor="text1"/>
          <w:szCs w:val="22"/>
          <w:lang w:val="en-US"/>
        </w:rPr>
        <w:t>1.6</w:t>
      </w:r>
      <w:r w:rsidRPr="00441DB8">
        <w:rPr>
          <w:rFonts w:cs="Arial"/>
          <w:color w:val="000000" w:themeColor="text1"/>
          <w:szCs w:val="22"/>
          <w:lang w:val="en-US"/>
        </w:rPr>
        <w:t xml:space="preserve"> </w:t>
      </w:r>
      <w:r w:rsidR="00441DB8" w:rsidRPr="00441DB8">
        <w:rPr>
          <w:rFonts w:cs="Arial"/>
          <w:color w:val="000000" w:themeColor="text1"/>
          <w:szCs w:val="22"/>
          <w:lang w:val="en-US"/>
        </w:rPr>
        <w:t>Theme 6: Therapist Effects</w:t>
      </w:r>
      <w:bookmarkEnd w:id="199"/>
      <w:bookmarkEnd w:id="200"/>
    </w:p>
    <w:p w14:paraId="0B6F482A" w14:textId="473019FF" w:rsidR="00040B9C" w:rsidRDefault="00040B9C" w:rsidP="00040B9C">
      <w:pPr>
        <w:rPr>
          <w:lang w:val="en-US"/>
        </w:rPr>
      </w:pPr>
    </w:p>
    <w:p w14:paraId="65B77AD1" w14:textId="6B975EEA" w:rsidR="00B17585" w:rsidRPr="00587457" w:rsidRDefault="00040B9C" w:rsidP="00201AB4">
      <w:pPr>
        <w:spacing w:line="480" w:lineRule="auto"/>
        <w:rPr>
          <w:rFonts w:ascii="Arial" w:hAnsi="Arial" w:cs="Arial"/>
          <w:b/>
          <w:bCs/>
          <w:sz w:val="22"/>
          <w:szCs w:val="22"/>
          <w:lang w:val="en-US"/>
        </w:rPr>
      </w:pPr>
      <w:r w:rsidRPr="00040B9C">
        <w:rPr>
          <w:rFonts w:ascii="Arial" w:hAnsi="Arial" w:cs="Arial"/>
          <w:sz w:val="22"/>
          <w:szCs w:val="22"/>
          <w:lang w:val="en-US"/>
        </w:rPr>
        <w:t>Therapist effects differ from therapist variables in that therapist effects look at the combined effects of all therapist variables (Hill and Castonguay, 2017)</w:t>
      </w:r>
      <w:r>
        <w:rPr>
          <w:rFonts w:ascii="Arial" w:hAnsi="Arial" w:cs="Arial"/>
          <w:sz w:val="22"/>
          <w:szCs w:val="22"/>
          <w:lang w:val="en-US"/>
        </w:rPr>
        <w:t>. That being said</w:t>
      </w:r>
      <w:r w:rsidR="00B17585">
        <w:rPr>
          <w:rFonts w:ascii="Arial" w:hAnsi="Arial" w:cs="Arial"/>
          <w:sz w:val="22"/>
          <w:szCs w:val="22"/>
          <w:lang w:val="en-US"/>
        </w:rPr>
        <w:t>,</w:t>
      </w:r>
      <w:r>
        <w:rPr>
          <w:rFonts w:ascii="Arial" w:hAnsi="Arial" w:cs="Arial"/>
          <w:sz w:val="22"/>
          <w:szCs w:val="22"/>
          <w:lang w:val="en-US"/>
        </w:rPr>
        <w:t xml:space="preserve"> therapist effects can only be measured where there is some variance between therapists and some therapists are achieving better outcomes than others. Variance between therapists is </w:t>
      </w:r>
      <w:r w:rsidR="008C6830">
        <w:rPr>
          <w:rFonts w:ascii="Arial" w:hAnsi="Arial" w:cs="Arial"/>
          <w:sz w:val="22"/>
          <w:szCs w:val="22"/>
          <w:lang w:val="en-US"/>
        </w:rPr>
        <w:t xml:space="preserve">widely </w:t>
      </w:r>
      <w:r>
        <w:rPr>
          <w:rFonts w:ascii="Arial" w:hAnsi="Arial" w:cs="Arial"/>
          <w:sz w:val="22"/>
          <w:szCs w:val="22"/>
          <w:lang w:val="en-US"/>
        </w:rPr>
        <w:t xml:space="preserve">reported in </w:t>
      </w:r>
      <w:r w:rsidR="006E2B0F" w:rsidRPr="006E2B0F">
        <w:rPr>
          <w:rFonts w:ascii="Arial" w:hAnsi="Arial" w:cs="Arial"/>
          <w:sz w:val="22"/>
          <w:szCs w:val="22"/>
          <w:lang w:val="en-US"/>
        </w:rPr>
        <w:t>research settings and real-world</w:t>
      </w:r>
      <w:r w:rsidR="008C6830">
        <w:rPr>
          <w:rFonts w:ascii="Arial" w:hAnsi="Arial" w:cs="Arial"/>
          <w:sz w:val="22"/>
          <w:szCs w:val="22"/>
          <w:lang w:val="en-US"/>
        </w:rPr>
        <w:t xml:space="preserve"> settings</w:t>
      </w:r>
      <w:r w:rsidR="006E2B0F" w:rsidRPr="006E2B0F">
        <w:rPr>
          <w:rFonts w:ascii="Arial" w:hAnsi="Arial" w:cs="Arial"/>
          <w:sz w:val="22"/>
          <w:szCs w:val="22"/>
          <w:lang w:val="en-US"/>
        </w:rPr>
        <w:t xml:space="preserve"> (</w:t>
      </w:r>
      <w:r w:rsidRPr="006E2B0F">
        <w:rPr>
          <w:rFonts w:ascii="Arial" w:hAnsi="Arial" w:cs="Arial"/>
          <w:sz w:val="22"/>
          <w:szCs w:val="22"/>
          <w:lang w:val="en-US"/>
        </w:rPr>
        <w:t>Saxon and Barkham</w:t>
      </w:r>
      <w:r>
        <w:rPr>
          <w:rFonts w:ascii="Arial" w:hAnsi="Arial" w:cs="Arial"/>
          <w:sz w:val="22"/>
          <w:szCs w:val="22"/>
          <w:lang w:val="en-US"/>
        </w:rPr>
        <w:t>,</w:t>
      </w:r>
      <w:r w:rsidRPr="006E2B0F">
        <w:rPr>
          <w:rFonts w:ascii="Arial" w:hAnsi="Arial" w:cs="Arial"/>
          <w:sz w:val="22"/>
          <w:szCs w:val="22"/>
          <w:lang w:val="en-US"/>
        </w:rPr>
        <w:t xml:space="preserve"> 2012</w:t>
      </w:r>
      <w:r>
        <w:rPr>
          <w:rFonts w:ascii="Arial" w:hAnsi="Arial" w:cs="Arial"/>
          <w:sz w:val="22"/>
          <w:szCs w:val="22"/>
          <w:lang w:val="en-US"/>
        </w:rPr>
        <w:t xml:space="preserve"> and </w:t>
      </w:r>
      <w:r w:rsidR="006E2B0F" w:rsidRPr="006E2B0F">
        <w:rPr>
          <w:rFonts w:ascii="Arial" w:hAnsi="Arial" w:cs="Arial"/>
          <w:sz w:val="22"/>
          <w:szCs w:val="22"/>
          <w:lang w:val="en-US"/>
        </w:rPr>
        <w:t>Nissen-Lie, Goldberg, Hoyt, Falkenstrom, Holmqvist and Nielsen 2016)</w:t>
      </w:r>
      <w:r w:rsidR="006E2B0F">
        <w:rPr>
          <w:rFonts w:ascii="Arial" w:hAnsi="Arial" w:cs="Arial"/>
          <w:sz w:val="22"/>
          <w:szCs w:val="22"/>
          <w:lang w:val="en-US"/>
        </w:rPr>
        <w:t xml:space="preserve">.  </w:t>
      </w:r>
      <w:r w:rsidR="008C6830">
        <w:rPr>
          <w:rFonts w:ascii="Arial" w:hAnsi="Arial" w:cs="Arial"/>
          <w:sz w:val="22"/>
          <w:szCs w:val="22"/>
          <w:lang w:val="en-US"/>
        </w:rPr>
        <w:t xml:space="preserve">The growing body </w:t>
      </w:r>
      <w:r w:rsidR="008C6830">
        <w:rPr>
          <w:rFonts w:ascii="Arial" w:hAnsi="Arial" w:cs="Arial"/>
          <w:sz w:val="22"/>
          <w:szCs w:val="22"/>
          <w:lang w:val="en-US"/>
        </w:rPr>
        <w:lastRenderedPageBreak/>
        <w:t>of therapist effects literature suggests that the effect an individual therapist can have on their patient is critical</w:t>
      </w:r>
      <w:r w:rsidR="00201AB4">
        <w:rPr>
          <w:rFonts w:ascii="Arial" w:hAnsi="Arial" w:cs="Arial"/>
          <w:sz w:val="22"/>
          <w:szCs w:val="22"/>
          <w:lang w:val="en-US"/>
        </w:rPr>
        <w:t xml:space="preserve"> to patient outcome</w:t>
      </w:r>
      <w:r w:rsidR="00E9413B">
        <w:rPr>
          <w:rFonts w:ascii="Arial" w:hAnsi="Arial" w:cs="Arial"/>
          <w:sz w:val="22"/>
          <w:szCs w:val="22"/>
          <w:lang w:val="en-US"/>
        </w:rPr>
        <w:t xml:space="preserve"> (Barkham, Lutz, Lambert and Saxon, 2017)</w:t>
      </w:r>
      <w:r w:rsidR="00201AB4">
        <w:rPr>
          <w:rFonts w:ascii="Arial" w:hAnsi="Arial" w:cs="Arial"/>
          <w:sz w:val="22"/>
          <w:szCs w:val="22"/>
          <w:lang w:val="en-US"/>
        </w:rPr>
        <w:t xml:space="preserve">. </w:t>
      </w:r>
      <w:r w:rsidR="008C6830">
        <w:rPr>
          <w:rFonts w:ascii="Arial" w:hAnsi="Arial" w:cs="Arial"/>
          <w:sz w:val="22"/>
          <w:szCs w:val="22"/>
          <w:lang w:val="en-US"/>
        </w:rPr>
        <w:t xml:space="preserve"> </w:t>
      </w:r>
      <w:r w:rsidR="00201AB4">
        <w:rPr>
          <w:rFonts w:ascii="Arial" w:hAnsi="Arial" w:cs="Arial"/>
          <w:sz w:val="22"/>
          <w:szCs w:val="22"/>
          <w:lang w:val="en-US"/>
        </w:rPr>
        <w:t>Therefore</w:t>
      </w:r>
      <w:r w:rsidR="00E9413B">
        <w:rPr>
          <w:rFonts w:ascii="Arial" w:hAnsi="Arial" w:cs="Arial"/>
          <w:sz w:val="22"/>
          <w:szCs w:val="22"/>
          <w:lang w:val="en-US"/>
        </w:rPr>
        <w:t>,</w:t>
      </w:r>
      <w:r w:rsidR="00201AB4">
        <w:rPr>
          <w:rFonts w:ascii="Arial" w:hAnsi="Arial" w:cs="Arial"/>
          <w:sz w:val="22"/>
          <w:szCs w:val="22"/>
          <w:lang w:val="en-US"/>
        </w:rPr>
        <w:t xml:space="preserve"> where a</w:t>
      </w:r>
      <w:r w:rsidR="008C6830">
        <w:rPr>
          <w:rFonts w:ascii="Arial" w:hAnsi="Arial" w:cs="Arial"/>
          <w:sz w:val="22"/>
          <w:szCs w:val="22"/>
          <w:lang w:val="en-US"/>
        </w:rPr>
        <w:t xml:space="preserve"> patient</w:t>
      </w:r>
      <w:r w:rsidR="00201AB4">
        <w:rPr>
          <w:rFonts w:ascii="Arial" w:hAnsi="Arial" w:cs="Arial"/>
          <w:sz w:val="22"/>
          <w:szCs w:val="22"/>
          <w:lang w:val="en-US"/>
        </w:rPr>
        <w:t xml:space="preserve"> is</w:t>
      </w:r>
      <w:r w:rsidR="008C6830">
        <w:rPr>
          <w:rFonts w:ascii="Arial" w:hAnsi="Arial" w:cs="Arial"/>
          <w:sz w:val="22"/>
          <w:szCs w:val="22"/>
          <w:lang w:val="en-US"/>
        </w:rPr>
        <w:t xml:space="preserve"> allocated to a less able therapist</w:t>
      </w:r>
      <w:r w:rsidR="004D1317">
        <w:rPr>
          <w:rFonts w:ascii="Arial" w:hAnsi="Arial" w:cs="Arial"/>
          <w:sz w:val="22"/>
          <w:szCs w:val="22"/>
          <w:lang w:val="en-US"/>
        </w:rPr>
        <w:t>,</w:t>
      </w:r>
      <w:r w:rsidR="008C6830">
        <w:rPr>
          <w:rFonts w:ascii="Arial" w:hAnsi="Arial" w:cs="Arial"/>
          <w:sz w:val="22"/>
          <w:szCs w:val="22"/>
          <w:lang w:val="en-US"/>
        </w:rPr>
        <w:t xml:space="preserve"> </w:t>
      </w:r>
      <w:r w:rsidR="00201AB4">
        <w:rPr>
          <w:rFonts w:ascii="Arial" w:hAnsi="Arial" w:cs="Arial"/>
          <w:sz w:val="22"/>
          <w:szCs w:val="22"/>
          <w:lang w:val="en-US"/>
        </w:rPr>
        <w:t>they are</w:t>
      </w:r>
      <w:r w:rsidR="008C6830">
        <w:rPr>
          <w:rFonts w:ascii="Arial" w:hAnsi="Arial" w:cs="Arial"/>
          <w:sz w:val="22"/>
          <w:szCs w:val="22"/>
          <w:lang w:val="en-US"/>
        </w:rPr>
        <w:t xml:space="preserve"> significantly less likely to recover (Nissen-Lie et al., 2016).</w:t>
      </w:r>
      <w:r w:rsidR="000E7DDA">
        <w:rPr>
          <w:rFonts w:ascii="Arial" w:hAnsi="Arial" w:cs="Arial"/>
          <w:sz w:val="22"/>
          <w:szCs w:val="22"/>
          <w:lang w:val="en-US"/>
        </w:rPr>
        <w:t xml:space="preserve"> For example, one study (see Saxon and Barkham, 2012) found that out of </w:t>
      </w:r>
      <w:r w:rsidR="000E7DDA" w:rsidRPr="006E2B0F">
        <w:rPr>
          <w:rFonts w:ascii="Arial" w:hAnsi="Arial" w:cs="Arial"/>
          <w:sz w:val="22"/>
          <w:szCs w:val="22"/>
          <w:lang w:val="en-US"/>
        </w:rPr>
        <w:t>119 therapists</w:t>
      </w:r>
      <w:r w:rsidR="000E7DDA">
        <w:rPr>
          <w:rFonts w:ascii="Arial" w:hAnsi="Arial" w:cs="Arial"/>
          <w:sz w:val="22"/>
          <w:szCs w:val="22"/>
          <w:lang w:val="en-US"/>
        </w:rPr>
        <w:t xml:space="preserve"> studied, </w:t>
      </w:r>
      <w:r w:rsidR="000E7DDA" w:rsidRPr="006E2B0F">
        <w:rPr>
          <w:rFonts w:ascii="Arial" w:hAnsi="Arial" w:cs="Arial"/>
          <w:sz w:val="22"/>
          <w:szCs w:val="22"/>
          <w:lang w:val="en-US"/>
        </w:rPr>
        <w:t>19 therapists had consistently worse clinical outcomes than the other therapists</w:t>
      </w:r>
      <w:r w:rsidR="000E7DDA">
        <w:rPr>
          <w:rFonts w:ascii="Arial" w:hAnsi="Arial" w:cs="Arial"/>
          <w:sz w:val="22"/>
          <w:szCs w:val="22"/>
          <w:lang w:val="en-US"/>
        </w:rPr>
        <w:t xml:space="preserve"> and the patients treated by these therapists were less likely to recover</w:t>
      </w:r>
      <w:r w:rsidR="00ED2602">
        <w:rPr>
          <w:rFonts w:ascii="Arial" w:hAnsi="Arial" w:cs="Arial"/>
          <w:sz w:val="22"/>
          <w:szCs w:val="22"/>
          <w:lang w:val="en-US"/>
        </w:rPr>
        <w:t xml:space="preserve">. </w:t>
      </w:r>
      <w:r w:rsidR="006E2B0F" w:rsidRPr="006E2B0F">
        <w:rPr>
          <w:rFonts w:ascii="Arial" w:hAnsi="Arial" w:cs="Arial"/>
          <w:sz w:val="22"/>
          <w:szCs w:val="22"/>
          <w:lang w:val="en-US"/>
        </w:rPr>
        <w:t>Meta-analyses of the</w:t>
      </w:r>
      <w:r w:rsidR="008C6830">
        <w:rPr>
          <w:rFonts w:ascii="Arial" w:hAnsi="Arial" w:cs="Arial"/>
          <w:sz w:val="22"/>
          <w:szCs w:val="22"/>
          <w:lang w:val="en-US"/>
        </w:rPr>
        <w:t>rapist effects</w:t>
      </w:r>
      <w:r w:rsidR="006E2B0F" w:rsidRPr="006E2B0F">
        <w:rPr>
          <w:rFonts w:ascii="Arial" w:hAnsi="Arial" w:cs="Arial"/>
          <w:sz w:val="22"/>
          <w:szCs w:val="22"/>
          <w:lang w:val="en-US"/>
        </w:rPr>
        <w:t xml:space="preserve"> studies </w:t>
      </w:r>
      <w:r w:rsidR="008C6830">
        <w:rPr>
          <w:rFonts w:ascii="Arial" w:hAnsi="Arial" w:cs="Arial"/>
          <w:sz w:val="22"/>
          <w:szCs w:val="22"/>
          <w:lang w:val="en-US"/>
        </w:rPr>
        <w:t xml:space="preserve">suggest that </w:t>
      </w:r>
      <w:r w:rsidR="008C6830" w:rsidRPr="006E2B0F">
        <w:rPr>
          <w:rFonts w:ascii="Arial" w:hAnsi="Arial" w:cs="Arial"/>
          <w:sz w:val="22"/>
          <w:szCs w:val="22"/>
          <w:lang w:val="en-US"/>
        </w:rPr>
        <w:t xml:space="preserve">between 4% and 10% of variance in outcome is due to therapist effects </w:t>
      </w:r>
      <w:r w:rsidR="006E2B0F" w:rsidRPr="006E2B0F">
        <w:rPr>
          <w:rFonts w:ascii="Arial" w:hAnsi="Arial" w:cs="Arial"/>
          <w:sz w:val="22"/>
          <w:szCs w:val="22"/>
          <w:lang w:val="en-US"/>
        </w:rPr>
        <w:t>(Webb, De Rubeis and Barber, 2010, Baldwin and Imel, 2013 and Wampold and Imel 2015</w:t>
      </w:r>
      <w:r w:rsidR="004D1317">
        <w:rPr>
          <w:rFonts w:ascii="Arial" w:hAnsi="Arial" w:cs="Arial"/>
          <w:sz w:val="22"/>
          <w:szCs w:val="22"/>
          <w:lang w:val="en-US"/>
        </w:rPr>
        <w:t>, Johns, Barkham, Kellett and Saxon, 2018</w:t>
      </w:r>
      <w:r w:rsidR="006E2B0F" w:rsidRPr="006E2B0F">
        <w:rPr>
          <w:rFonts w:ascii="Arial" w:hAnsi="Arial" w:cs="Arial"/>
          <w:sz w:val="22"/>
          <w:szCs w:val="22"/>
          <w:lang w:val="en-US"/>
        </w:rPr>
        <w:t>)</w:t>
      </w:r>
      <w:r w:rsidR="008C6830">
        <w:rPr>
          <w:rFonts w:ascii="Arial" w:hAnsi="Arial" w:cs="Arial"/>
          <w:sz w:val="22"/>
          <w:szCs w:val="22"/>
          <w:lang w:val="en-US"/>
        </w:rPr>
        <w:t>.</w:t>
      </w:r>
      <w:r w:rsidR="000E7DDA">
        <w:rPr>
          <w:rFonts w:ascii="Arial" w:hAnsi="Arial" w:cs="Arial"/>
          <w:sz w:val="22"/>
          <w:szCs w:val="22"/>
          <w:lang w:val="en-US"/>
        </w:rPr>
        <w:t xml:space="preserve"> </w:t>
      </w:r>
      <w:r w:rsidR="000E7DDA" w:rsidRPr="008A3DF3">
        <w:rPr>
          <w:rFonts w:ascii="Arial" w:hAnsi="Arial" w:cs="Arial"/>
          <w:sz w:val="22"/>
          <w:szCs w:val="22"/>
          <w:lang w:val="en-US"/>
        </w:rPr>
        <w:t>However</w:t>
      </w:r>
      <w:r w:rsidR="008A3DF3" w:rsidRPr="008A3DF3">
        <w:rPr>
          <w:rFonts w:ascii="Arial" w:hAnsi="Arial" w:cs="Arial"/>
          <w:sz w:val="22"/>
          <w:szCs w:val="22"/>
          <w:lang w:val="en-US"/>
        </w:rPr>
        <w:t>,</w:t>
      </w:r>
      <w:r w:rsidR="000E7DDA" w:rsidRPr="008A3DF3">
        <w:rPr>
          <w:rFonts w:ascii="Arial" w:hAnsi="Arial" w:cs="Arial"/>
          <w:sz w:val="22"/>
          <w:szCs w:val="22"/>
          <w:lang w:val="en-US"/>
        </w:rPr>
        <w:t xml:space="preserve"> significant methodological issues</w:t>
      </w:r>
      <w:r w:rsidR="008A3DF3" w:rsidRPr="008A3DF3">
        <w:rPr>
          <w:rFonts w:ascii="Arial" w:hAnsi="Arial" w:cs="Arial"/>
          <w:sz w:val="22"/>
          <w:szCs w:val="22"/>
          <w:lang w:val="en-US"/>
        </w:rPr>
        <w:t>,</w:t>
      </w:r>
      <w:r w:rsidR="000E7DDA" w:rsidRPr="008A3DF3">
        <w:rPr>
          <w:rFonts w:ascii="Arial" w:hAnsi="Arial" w:cs="Arial"/>
          <w:sz w:val="22"/>
          <w:szCs w:val="22"/>
          <w:lang w:val="en-US"/>
        </w:rPr>
        <w:t xml:space="preserve"> </w:t>
      </w:r>
      <w:r w:rsidR="000E7DDA" w:rsidRPr="00587457">
        <w:rPr>
          <w:rFonts w:ascii="Arial" w:hAnsi="Arial" w:cs="Arial"/>
          <w:sz w:val="22"/>
          <w:szCs w:val="22"/>
          <w:lang w:val="en-US"/>
        </w:rPr>
        <w:t xml:space="preserve">relating to the variation in research design, </w:t>
      </w:r>
      <w:r w:rsidR="000E7DDA" w:rsidRPr="005144E4">
        <w:rPr>
          <w:rFonts w:ascii="Arial" w:hAnsi="Arial" w:cs="Arial"/>
          <w:sz w:val="22"/>
          <w:szCs w:val="22"/>
          <w:lang w:val="en-US"/>
        </w:rPr>
        <w:t xml:space="preserve">outcome measures and variables </w:t>
      </w:r>
      <w:r w:rsidR="008A3DF3" w:rsidRPr="005144E4">
        <w:rPr>
          <w:rFonts w:ascii="Arial" w:hAnsi="Arial" w:cs="Arial"/>
          <w:sz w:val="22"/>
          <w:szCs w:val="22"/>
          <w:lang w:val="en-US"/>
        </w:rPr>
        <w:t>have been reported (Johns et al.,</w:t>
      </w:r>
      <w:r w:rsidR="00446ADB" w:rsidRPr="005144E4">
        <w:rPr>
          <w:rFonts w:ascii="Arial" w:hAnsi="Arial" w:cs="Arial"/>
          <w:sz w:val="22"/>
          <w:szCs w:val="22"/>
          <w:lang w:val="en-US"/>
        </w:rPr>
        <w:t xml:space="preserve"> 2018</w:t>
      </w:r>
      <w:r w:rsidR="008A3DF3" w:rsidRPr="005144E4">
        <w:rPr>
          <w:rFonts w:ascii="Arial" w:hAnsi="Arial" w:cs="Arial"/>
          <w:sz w:val="22"/>
          <w:szCs w:val="22"/>
          <w:lang w:val="en-US"/>
        </w:rPr>
        <w:t>)</w:t>
      </w:r>
      <w:r w:rsidR="000E7DDA" w:rsidRPr="005144E4">
        <w:rPr>
          <w:rFonts w:ascii="Arial" w:hAnsi="Arial" w:cs="Arial"/>
          <w:sz w:val="22"/>
          <w:szCs w:val="22"/>
          <w:lang w:val="en-US"/>
        </w:rPr>
        <w:t>.</w:t>
      </w:r>
      <w:r w:rsidR="000E7DDA" w:rsidRPr="008A3DF3">
        <w:rPr>
          <w:rFonts w:ascii="Arial" w:hAnsi="Arial" w:cs="Arial"/>
          <w:sz w:val="22"/>
          <w:szCs w:val="22"/>
          <w:lang w:val="en-US"/>
        </w:rPr>
        <w:t xml:space="preserve">  Add</w:t>
      </w:r>
      <w:r w:rsidR="000E7DDA" w:rsidRPr="00587457">
        <w:rPr>
          <w:rFonts w:ascii="Arial" w:hAnsi="Arial" w:cs="Arial"/>
          <w:sz w:val="22"/>
          <w:szCs w:val="22"/>
          <w:lang w:val="en-US"/>
        </w:rPr>
        <w:t>itionally, issues are reported regarding small sample sizes in all the meta analyses. Arguably</w:t>
      </w:r>
      <w:r w:rsidR="00B17585" w:rsidRPr="00A248A7">
        <w:rPr>
          <w:rFonts w:ascii="Arial" w:hAnsi="Arial" w:cs="Arial"/>
          <w:sz w:val="22"/>
          <w:szCs w:val="22"/>
          <w:lang w:val="en-US"/>
        </w:rPr>
        <w:t>,</w:t>
      </w:r>
      <w:r w:rsidR="000E7DDA" w:rsidRPr="00A248A7">
        <w:rPr>
          <w:rFonts w:ascii="Arial" w:hAnsi="Arial" w:cs="Arial"/>
          <w:sz w:val="22"/>
          <w:szCs w:val="22"/>
          <w:lang w:val="en-US"/>
        </w:rPr>
        <w:t xml:space="preserve"> these methodological issues hamper progress in this important research area. Undoubtedly</w:t>
      </w:r>
      <w:r w:rsidR="008A3DF3" w:rsidRPr="008A3DF3">
        <w:rPr>
          <w:rFonts w:ascii="Arial" w:hAnsi="Arial" w:cs="Arial"/>
          <w:sz w:val="22"/>
          <w:szCs w:val="22"/>
          <w:lang w:val="en-US"/>
        </w:rPr>
        <w:t>,</w:t>
      </w:r>
      <w:r w:rsidR="000E7DDA" w:rsidRPr="008A3DF3">
        <w:rPr>
          <w:rFonts w:ascii="Arial" w:hAnsi="Arial" w:cs="Arial"/>
          <w:sz w:val="22"/>
          <w:szCs w:val="22"/>
          <w:lang w:val="en-US"/>
        </w:rPr>
        <w:t xml:space="preserve"> these issues prompted Schiefele, Lutz, Barkham, Rubel, Saxon, Schulte e</w:t>
      </w:r>
      <w:r w:rsidR="000E7DDA" w:rsidRPr="00A248A7">
        <w:rPr>
          <w:rFonts w:ascii="Arial" w:hAnsi="Arial" w:cs="Arial"/>
          <w:sz w:val="22"/>
          <w:szCs w:val="22"/>
          <w:lang w:val="en-US"/>
        </w:rPr>
        <w:t>t al., (2016) to provide helpful guidance on sample sizes in therapist effects studies</w:t>
      </w:r>
      <w:r w:rsidR="00587457">
        <w:rPr>
          <w:rFonts w:ascii="Arial" w:hAnsi="Arial" w:cs="Arial"/>
          <w:sz w:val="22"/>
          <w:szCs w:val="22"/>
          <w:lang w:val="en-US"/>
        </w:rPr>
        <w:t>. The authors</w:t>
      </w:r>
      <w:r w:rsidR="000E7DDA" w:rsidRPr="00587457">
        <w:rPr>
          <w:rFonts w:ascii="Arial" w:hAnsi="Arial" w:cs="Arial"/>
          <w:sz w:val="22"/>
          <w:szCs w:val="22"/>
          <w:lang w:val="en-US"/>
        </w:rPr>
        <w:t xml:space="preserve"> prompt future researchers to increase sample sizes.</w:t>
      </w:r>
      <w:r w:rsidR="000E7DDA" w:rsidRPr="00587457">
        <w:rPr>
          <w:rFonts w:ascii="Arial" w:hAnsi="Arial" w:cs="Arial"/>
          <w:b/>
          <w:bCs/>
          <w:sz w:val="22"/>
          <w:szCs w:val="22"/>
          <w:lang w:val="en-US"/>
        </w:rPr>
        <w:t xml:space="preserve">  </w:t>
      </w:r>
    </w:p>
    <w:p w14:paraId="7EB8EBCF" w14:textId="23727DA7" w:rsidR="006E2B0F" w:rsidRPr="00A57DE2" w:rsidRDefault="000E7DDA" w:rsidP="00201AB4">
      <w:pPr>
        <w:spacing w:line="480" w:lineRule="auto"/>
        <w:rPr>
          <w:rFonts w:ascii="Arial" w:hAnsi="Arial" w:cs="Arial"/>
          <w:sz w:val="22"/>
          <w:szCs w:val="22"/>
          <w:lang w:val="en-US"/>
        </w:rPr>
      </w:pPr>
      <w:r>
        <w:rPr>
          <w:rFonts w:ascii="Arial" w:hAnsi="Arial" w:cs="Arial"/>
          <w:sz w:val="22"/>
          <w:szCs w:val="22"/>
          <w:lang w:val="en-US"/>
        </w:rPr>
        <w:t>The methodological issues found in the current liter</w:t>
      </w:r>
      <w:r w:rsidR="00ED2602">
        <w:rPr>
          <w:rFonts w:ascii="Arial" w:hAnsi="Arial" w:cs="Arial"/>
          <w:sz w:val="22"/>
          <w:szCs w:val="22"/>
          <w:lang w:val="en-US"/>
        </w:rPr>
        <w:t>a</w:t>
      </w:r>
      <w:r>
        <w:rPr>
          <w:rFonts w:ascii="Arial" w:hAnsi="Arial" w:cs="Arial"/>
          <w:sz w:val="22"/>
          <w:szCs w:val="22"/>
          <w:lang w:val="en-US"/>
        </w:rPr>
        <w:t>ture make it difficult to disentangle the various studies and arguably make it harder to draw conclusions (Johns et al., 2018).  Regardless of these issues, t</w:t>
      </w:r>
      <w:r w:rsidR="00201AB4">
        <w:rPr>
          <w:rFonts w:ascii="Arial" w:hAnsi="Arial" w:cs="Arial"/>
          <w:sz w:val="22"/>
          <w:szCs w:val="22"/>
          <w:lang w:val="en-US"/>
        </w:rPr>
        <w:t>he body</w:t>
      </w:r>
      <w:r w:rsidR="008C6830">
        <w:rPr>
          <w:rFonts w:ascii="Arial" w:hAnsi="Arial" w:cs="Arial"/>
          <w:sz w:val="22"/>
          <w:szCs w:val="22"/>
          <w:lang w:val="en-US"/>
        </w:rPr>
        <w:t xml:space="preserve"> of literature examining therapist effects adds a great deal to the global understanding of </w:t>
      </w:r>
      <w:r w:rsidR="00201AB4">
        <w:rPr>
          <w:rFonts w:ascii="Arial" w:hAnsi="Arial" w:cs="Arial"/>
          <w:sz w:val="22"/>
          <w:szCs w:val="22"/>
          <w:lang w:val="en-US"/>
        </w:rPr>
        <w:t xml:space="preserve">how therapists’ </w:t>
      </w:r>
      <w:r w:rsidR="00B17585">
        <w:rPr>
          <w:rFonts w:ascii="Arial" w:hAnsi="Arial" w:cs="Arial"/>
          <w:sz w:val="22"/>
          <w:szCs w:val="22"/>
          <w:lang w:val="en-US"/>
        </w:rPr>
        <w:t>e</w:t>
      </w:r>
      <w:r w:rsidR="00201AB4">
        <w:rPr>
          <w:rFonts w:ascii="Arial" w:hAnsi="Arial" w:cs="Arial"/>
          <w:sz w:val="22"/>
          <w:szCs w:val="22"/>
          <w:lang w:val="en-US"/>
        </w:rPr>
        <w:t>ffect clinical outcome. However, many questions remain. Perhaps the most important include, which therapist variables have the greatest impact on outcome and how can therapist effects be reduced</w:t>
      </w:r>
      <w:r w:rsidR="00F70119">
        <w:rPr>
          <w:rFonts w:ascii="Arial" w:hAnsi="Arial" w:cs="Arial"/>
          <w:sz w:val="22"/>
          <w:szCs w:val="22"/>
          <w:lang w:val="en-US"/>
        </w:rPr>
        <w:t>, whilst also improving recovery rates</w:t>
      </w:r>
      <w:r w:rsidR="00201AB4">
        <w:rPr>
          <w:rFonts w:ascii="Arial" w:hAnsi="Arial" w:cs="Arial"/>
          <w:sz w:val="22"/>
          <w:szCs w:val="22"/>
          <w:lang w:val="en-US"/>
        </w:rPr>
        <w:t>. One limitation of the therapist effects literature is that most therapist effects research is conducted on raw data with little, or no, access to live therapy recordings</w:t>
      </w:r>
      <w:r w:rsidR="00E9413B">
        <w:rPr>
          <w:rFonts w:ascii="Arial" w:hAnsi="Arial" w:cs="Arial"/>
          <w:sz w:val="22"/>
          <w:szCs w:val="22"/>
          <w:lang w:val="en-US"/>
        </w:rPr>
        <w:t xml:space="preserve"> (Hill and Castonguay, 2017)</w:t>
      </w:r>
      <w:r w:rsidR="00201AB4">
        <w:rPr>
          <w:rFonts w:ascii="Arial" w:hAnsi="Arial" w:cs="Arial"/>
          <w:sz w:val="22"/>
          <w:szCs w:val="22"/>
          <w:lang w:val="en-US"/>
        </w:rPr>
        <w:t>. This is the same issue that relates to the literature on therapist competence and therapist adherence</w:t>
      </w:r>
      <w:r w:rsidR="00E9413B">
        <w:rPr>
          <w:rFonts w:ascii="Arial" w:hAnsi="Arial" w:cs="Arial"/>
          <w:sz w:val="22"/>
          <w:szCs w:val="22"/>
          <w:lang w:val="en-US"/>
        </w:rPr>
        <w:t xml:space="preserve">. There is </w:t>
      </w:r>
      <w:r w:rsidR="00F70119">
        <w:rPr>
          <w:rFonts w:ascii="Arial" w:hAnsi="Arial" w:cs="Arial"/>
          <w:sz w:val="22"/>
          <w:szCs w:val="22"/>
          <w:lang w:val="en-US"/>
        </w:rPr>
        <w:t>general</w:t>
      </w:r>
      <w:r w:rsidR="00E9413B">
        <w:rPr>
          <w:rFonts w:ascii="Arial" w:hAnsi="Arial" w:cs="Arial"/>
          <w:sz w:val="22"/>
          <w:szCs w:val="22"/>
          <w:lang w:val="en-US"/>
        </w:rPr>
        <w:t xml:space="preserve"> agreement that further research should include correlational process studies using recordings of live therapy sessions alongside outcome data (Hill and Castonguay, 2017</w:t>
      </w:r>
      <w:r w:rsidR="00F70119">
        <w:rPr>
          <w:rFonts w:ascii="Arial" w:hAnsi="Arial" w:cs="Arial"/>
          <w:sz w:val="22"/>
          <w:szCs w:val="22"/>
          <w:lang w:val="en-US"/>
        </w:rPr>
        <w:t>,</w:t>
      </w:r>
      <w:r w:rsidR="00ED2602">
        <w:rPr>
          <w:rFonts w:ascii="Arial" w:hAnsi="Arial" w:cs="Arial"/>
          <w:sz w:val="22"/>
          <w:szCs w:val="22"/>
          <w:lang w:val="en-US"/>
        </w:rPr>
        <w:t xml:space="preserve"> </w:t>
      </w:r>
      <w:r w:rsidR="00F70119">
        <w:rPr>
          <w:rFonts w:ascii="Arial" w:hAnsi="Arial" w:cs="Arial"/>
          <w:sz w:val="22"/>
          <w:szCs w:val="22"/>
          <w:lang w:val="en-US"/>
        </w:rPr>
        <w:t>Barkham et al, 2017).</w:t>
      </w:r>
    </w:p>
    <w:p w14:paraId="72E574D0" w14:textId="3354FDFA" w:rsidR="00D3045D" w:rsidRPr="007D6E51" w:rsidRDefault="00D3045D" w:rsidP="007D6E51">
      <w:pPr>
        <w:rPr>
          <w:lang w:val="en-US"/>
        </w:rPr>
      </w:pPr>
      <w:r>
        <w:rPr>
          <w:lang w:val="en-US"/>
        </w:rPr>
        <w:lastRenderedPageBreak/>
        <w:t xml:space="preserve"> </w:t>
      </w:r>
    </w:p>
    <w:p w14:paraId="54372856" w14:textId="422881CF" w:rsidR="00EA08A3" w:rsidRPr="00441DB8" w:rsidRDefault="00D3045D" w:rsidP="00441DB8">
      <w:pPr>
        <w:pStyle w:val="Heading3"/>
        <w:rPr>
          <w:rFonts w:cs="Arial"/>
          <w:szCs w:val="22"/>
          <w:lang w:val="en-US"/>
        </w:rPr>
      </w:pPr>
      <w:bookmarkStart w:id="201" w:name="_Toc46770766"/>
      <w:bookmarkStart w:id="202" w:name="_Toc79414177"/>
      <w:r w:rsidRPr="00441DB8">
        <w:rPr>
          <w:rFonts w:cs="Arial"/>
          <w:color w:val="000000" w:themeColor="text1"/>
          <w:szCs w:val="22"/>
          <w:lang w:val="en-US"/>
        </w:rPr>
        <w:t>3.</w:t>
      </w:r>
      <w:r w:rsidR="00441DB8" w:rsidRPr="00441DB8">
        <w:rPr>
          <w:rFonts w:cs="Arial"/>
          <w:color w:val="000000" w:themeColor="text1"/>
          <w:szCs w:val="22"/>
          <w:lang w:val="en-US"/>
        </w:rPr>
        <w:t>1.7</w:t>
      </w:r>
      <w:r w:rsidR="00EA08A3" w:rsidRPr="00441DB8">
        <w:rPr>
          <w:rFonts w:cs="Arial"/>
          <w:color w:val="000000" w:themeColor="text1"/>
          <w:szCs w:val="22"/>
          <w:lang w:val="en-US"/>
        </w:rPr>
        <w:t xml:space="preserve"> </w:t>
      </w:r>
      <w:r w:rsidR="00441DB8" w:rsidRPr="00441DB8">
        <w:rPr>
          <w:rFonts w:cs="Arial"/>
          <w:color w:val="000000" w:themeColor="text1"/>
          <w:szCs w:val="22"/>
          <w:lang w:val="en-US"/>
        </w:rPr>
        <w:t>Summary of findings from the preliminary scoping review</w:t>
      </w:r>
      <w:bookmarkEnd w:id="201"/>
      <w:bookmarkEnd w:id="202"/>
    </w:p>
    <w:p w14:paraId="63134F6B" w14:textId="77777777" w:rsidR="00EA08A3" w:rsidRPr="0022405F" w:rsidRDefault="00EA08A3" w:rsidP="00EA08A3">
      <w:pPr>
        <w:rPr>
          <w:lang w:val="en-US"/>
        </w:rPr>
      </w:pPr>
    </w:p>
    <w:p w14:paraId="578BFEBF" w14:textId="30C68626" w:rsidR="00544EF7" w:rsidRPr="00441DB8" w:rsidRDefault="00EA08A3" w:rsidP="00EA08A3">
      <w:pPr>
        <w:widowControl w:val="0"/>
        <w:autoSpaceDE w:val="0"/>
        <w:autoSpaceDN w:val="0"/>
        <w:adjustRightInd w:val="0"/>
        <w:spacing w:after="240" w:line="480" w:lineRule="auto"/>
        <w:rPr>
          <w:rFonts w:ascii="Arial" w:hAnsi="Arial" w:cs="Arial"/>
          <w:sz w:val="22"/>
          <w:szCs w:val="22"/>
          <w:lang w:val="en-US"/>
        </w:rPr>
      </w:pPr>
      <w:r w:rsidRPr="00C4077E">
        <w:rPr>
          <w:rFonts w:ascii="Arial" w:hAnsi="Arial" w:cs="Arial"/>
          <w:sz w:val="22"/>
          <w:szCs w:val="22"/>
          <w:lang w:val="en-US"/>
        </w:rPr>
        <w:t xml:space="preserve">The inherent difficulties associated with conducting research, with the aim of understanding </w:t>
      </w:r>
      <w:r w:rsidR="009E37FF">
        <w:rPr>
          <w:rFonts w:ascii="Arial" w:hAnsi="Arial" w:cs="Arial"/>
          <w:sz w:val="22"/>
          <w:szCs w:val="22"/>
          <w:lang w:val="en-US"/>
        </w:rPr>
        <w:t>what</w:t>
      </w:r>
      <w:r w:rsidRPr="00C4077E">
        <w:rPr>
          <w:rFonts w:ascii="Arial" w:hAnsi="Arial" w:cs="Arial"/>
          <w:sz w:val="22"/>
          <w:szCs w:val="22"/>
          <w:lang w:val="en-US"/>
        </w:rPr>
        <w:t xml:space="preserve"> therapist</w:t>
      </w:r>
      <w:r w:rsidR="009E37FF">
        <w:rPr>
          <w:rFonts w:ascii="Arial" w:hAnsi="Arial" w:cs="Arial"/>
          <w:sz w:val="22"/>
          <w:szCs w:val="22"/>
          <w:lang w:val="en-US"/>
        </w:rPr>
        <w:t xml:space="preserve"> variables are associated with</w:t>
      </w:r>
      <w:r w:rsidRPr="00C4077E">
        <w:rPr>
          <w:rFonts w:ascii="Arial" w:hAnsi="Arial" w:cs="Arial"/>
          <w:sz w:val="22"/>
          <w:szCs w:val="22"/>
          <w:lang w:val="en-US"/>
        </w:rPr>
        <w:t xml:space="preserve"> </w:t>
      </w:r>
      <w:r w:rsidR="009E37FF">
        <w:rPr>
          <w:rFonts w:ascii="Arial" w:hAnsi="Arial" w:cs="Arial"/>
          <w:sz w:val="22"/>
          <w:szCs w:val="22"/>
          <w:lang w:val="en-US"/>
        </w:rPr>
        <w:t>clinical outcome</w:t>
      </w:r>
      <w:r w:rsidRPr="00C4077E">
        <w:rPr>
          <w:rFonts w:ascii="Arial" w:hAnsi="Arial" w:cs="Arial"/>
          <w:sz w:val="22"/>
          <w:szCs w:val="22"/>
          <w:lang w:val="en-US"/>
        </w:rPr>
        <w:t xml:space="preserve">, is widely discussed in the </w:t>
      </w:r>
      <w:r w:rsidR="009E37FF">
        <w:rPr>
          <w:rFonts w:ascii="Arial" w:hAnsi="Arial" w:cs="Arial"/>
          <w:sz w:val="22"/>
          <w:szCs w:val="22"/>
          <w:lang w:val="en-US"/>
        </w:rPr>
        <w:t xml:space="preserve">available </w:t>
      </w:r>
      <w:r w:rsidRPr="00C4077E">
        <w:rPr>
          <w:rFonts w:ascii="Arial" w:hAnsi="Arial" w:cs="Arial"/>
          <w:sz w:val="22"/>
          <w:szCs w:val="22"/>
          <w:lang w:val="en-US"/>
        </w:rPr>
        <w:t>literature (Wampold et al., 2017). There is even some argument that the question is not researchable (Fiske</w:t>
      </w:r>
      <w:r w:rsidR="00441DB8">
        <w:rPr>
          <w:rFonts w:ascii="Arial" w:hAnsi="Arial" w:cs="Arial"/>
          <w:sz w:val="22"/>
          <w:szCs w:val="22"/>
          <w:lang w:val="en-US"/>
        </w:rPr>
        <w:t>,</w:t>
      </w:r>
      <w:r w:rsidRPr="00C4077E">
        <w:rPr>
          <w:rFonts w:ascii="Arial" w:hAnsi="Arial" w:cs="Arial"/>
          <w:sz w:val="22"/>
          <w:szCs w:val="22"/>
          <w:lang w:val="en-US"/>
        </w:rPr>
        <w:t xml:space="preserve"> 1977). However, the aim to understand the characteristics and behaviours of effective therapists in order to improve outcomes for patients has been the main motivating factor for researchers in this field. Early attempts to study therapist variables (Ricks, 1974 and Martindale, 1978) highlighted the importance of understanding therapist variability but also brought attention to the problems </w:t>
      </w:r>
      <w:r w:rsidR="009E37FF">
        <w:rPr>
          <w:rFonts w:ascii="Arial" w:hAnsi="Arial" w:cs="Arial"/>
          <w:sz w:val="22"/>
          <w:szCs w:val="22"/>
          <w:lang w:val="en-US"/>
        </w:rPr>
        <w:t>that are</w:t>
      </w:r>
      <w:r w:rsidRPr="00C4077E">
        <w:rPr>
          <w:rFonts w:ascii="Arial" w:hAnsi="Arial" w:cs="Arial"/>
          <w:sz w:val="22"/>
          <w:szCs w:val="22"/>
          <w:lang w:val="en-US"/>
        </w:rPr>
        <w:t xml:space="preserve"> encountered in adding to the knowledge. Most commonly, sample sizes are small for both therapists and the patients they have treated (Maas and Hox 2004).</w:t>
      </w:r>
      <w:r w:rsidR="00365540">
        <w:rPr>
          <w:rFonts w:ascii="Arial" w:hAnsi="Arial" w:cs="Arial"/>
          <w:sz w:val="22"/>
          <w:szCs w:val="22"/>
          <w:lang w:val="en-US"/>
        </w:rPr>
        <w:t xml:space="preserve"> </w:t>
      </w:r>
      <w:r w:rsidR="00441DB8">
        <w:rPr>
          <w:rFonts w:ascii="Arial" w:hAnsi="Arial" w:cs="Arial"/>
          <w:sz w:val="22"/>
          <w:szCs w:val="22"/>
          <w:lang w:val="en-US"/>
        </w:rPr>
        <w:t>Table</w:t>
      </w:r>
      <w:r w:rsidR="00365540">
        <w:rPr>
          <w:rFonts w:ascii="Arial" w:hAnsi="Arial" w:cs="Arial"/>
          <w:sz w:val="22"/>
          <w:szCs w:val="22"/>
          <w:lang w:val="en-US"/>
        </w:rPr>
        <w:t xml:space="preserve"> 3.</w:t>
      </w:r>
      <w:r w:rsidR="00441DB8">
        <w:rPr>
          <w:rFonts w:ascii="Arial" w:hAnsi="Arial" w:cs="Arial"/>
          <w:sz w:val="22"/>
          <w:szCs w:val="22"/>
          <w:lang w:val="en-US"/>
        </w:rPr>
        <w:t>1</w:t>
      </w:r>
      <w:r w:rsidR="00365540">
        <w:rPr>
          <w:rFonts w:ascii="Arial" w:hAnsi="Arial" w:cs="Arial"/>
          <w:sz w:val="22"/>
          <w:szCs w:val="22"/>
          <w:lang w:val="en-US"/>
        </w:rPr>
        <w:t xml:space="preserve"> shows the sample sizes for </w:t>
      </w:r>
      <w:r w:rsidR="00441DB8">
        <w:rPr>
          <w:rFonts w:ascii="Arial" w:hAnsi="Arial" w:cs="Arial"/>
          <w:sz w:val="22"/>
          <w:szCs w:val="22"/>
          <w:lang w:val="en-US"/>
        </w:rPr>
        <w:t xml:space="preserve">the major studies conducted to date. </w:t>
      </w:r>
      <w:r w:rsidR="00441DB8" w:rsidRPr="00C4077E">
        <w:rPr>
          <w:rFonts w:ascii="Arial" w:hAnsi="Arial" w:cs="Arial"/>
          <w:sz w:val="22"/>
          <w:szCs w:val="22"/>
          <w:lang w:val="en-US"/>
        </w:rPr>
        <w:t>In addition</w:t>
      </w:r>
      <w:r w:rsidR="00441DB8">
        <w:rPr>
          <w:rFonts w:ascii="Arial" w:hAnsi="Arial" w:cs="Arial"/>
          <w:sz w:val="22"/>
          <w:szCs w:val="22"/>
          <w:lang w:val="en-US"/>
        </w:rPr>
        <w:t xml:space="preserve"> to the issue of small sample sizes</w:t>
      </w:r>
      <w:r w:rsidR="00441DB8" w:rsidRPr="00C4077E">
        <w:rPr>
          <w:rFonts w:ascii="Arial" w:hAnsi="Arial" w:cs="Arial"/>
          <w:sz w:val="22"/>
          <w:szCs w:val="22"/>
          <w:lang w:val="en-US"/>
        </w:rPr>
        <w:t xml:space="preserve"> many of the studies</w:t>
      </w:r>
      <w:r w:rsidR="00441DB8">
        <w:rPr>
          <w:rFonts w:ascii="Arial" w:hAnsi="Arial" w:cs="Arial"/>
          <w:sz w:val="22"/>
          <w:szCs w:val="22"/>
          <w:lang w:val="en-US"/>
        </w:rPr>
        <w:t xml:space="preserve"> are limited by their use</w:t>
      </w:r>
      <w:r w:rsidR="00441DB8" w:rsidRPr="00C4077E">
        <w:rPr>
          <w:rFonts w:ascii="Arial" w:hAnsi="Arial" w:cs="Arial"/>
          <w:sz w:val="22"/>
          <w:szCs w:val="22"/>
          <w:lang w:val="en-US"/>
        </w:rPr>
        <w:t xml:space="preserve"> </w:t>
      </w:r>
      <w:r w:rsidR="00441DB8">
        <w:rPr>
          <w:rFonts w:ascii="Arial" w:hAnsi="Arial" w:cs="Arial"/>
          <w:sz w:val="22"/>
          <w:szCs w:val="22"/>
          <w:lang w:val="en-US"/>
        </w:rPr>
        <w:t>of therapist surveys (asking therapists what they do with their patients, see Clark, 2011 and Liness, Lea, Nestler, Parker and Clark, 2016)</w:t>
      </w:r>
      <w:r w:rsidR="00441DB8" w:rsidRPr="00C4077E">
        <w:rPr>
          <w:rFonts w:ascii="Arial" w:hAnsi="Arial" w:cs="Arial"/>
          <w:sz w:val="22"/>
          <w:szCs w:val="22"/>
          <w:lang w:val="en-US"/>
        </w:rPr>
        <w:t xml:space="preserve"> or allow</w:t>
      </w:r>
      <w:r w:rsidR="00441DB8">
        <w:rPr>
          <w:rFonts w:ascii="Arial" w:hAnsi="Arial" w:cs="Arial"/>
          <w:sz w:val="22"/>
          <w:szCs w:val="22"/>
          <w:lang w:val="en-US"/>
        </w:rPr>
        <w:t>ing</w:t>
      </w:r>
      <w:r w:rsidR="00441DB8" w:rsidRPr="00C4077E">
        <w:rPr>
          <w:rFonts w:ascii="Arial" w:hAnsi="Arial" w:cs="Arial"/>
          <w:sz w:val="22"/>
          <w:szCs w:val="22"/>
          <w:lang w:val="en-US"/>
        </w:rPr>
        <w:t xml:space="preserve"> therapists to select their own therapy tapes for rating (Wampold et al., 2017)</w:t>
      </w:r>
      <w:r w:rsidR="00D1400D">
        <w:rPr>
          <w:rFonts w:ascii="Arial" w:hAnsi="Arial" w:cs="Arial"/>
          <w:sz w:val="22"/>
          <w:szCs w:val="22"/>
          <w:lang w:val="en-US"/>
        </w:rPr>
        <w:t>.</w:t>
      </w:r>
      <w:r w:rsidR="00441DB8" w:rsidRPr="00C4077E">
        <w:rPr>
          <w:rFonts w:ascii="Arial" w:hAnsi="Arial" w:cs="Arial"/>
          <w:sz w:val="22"/>
          <w:szCs w:val="22"/>
          <w:lang w:val="en-US"/>
        </w:rPr>
        <w:t xml:space="preserve"> Furthermore, very few studies are able to review the entire work of all the therapists that are studied and</w:t>
      </w:r>
      <w:r w:rsidR="00D1400D">
        <w:rPr>
          <w:rFonts w:ascii="Arial" w:hAnsi="Arial" w:cs="Arial"/>
          <w:sz w:val="22"/>
          <w:szCs w:val="22"/>
          <w:lang w:val="en-US"/>
        </w:rPr>
        <w:t>,</w:t>
      </w:r>
      <w:r w:rsidR="00441DB8" w:rsidRPr="00C4077E">
        <w:rPr>
          <w:rFonts w:ascii="Arial" w:hAnsi="Arial" w:cs="Arial"/>
          <w:sz w:val="22"/>
          <w:szCs w:val="22"/>
          <w:lang w:val="en-US"/>
        </w:rPr>
        <w:t xml:space="preserve"> where this is possible</w:t>
      </w:r>
      <w:r w:rsidR="00D1400D">
        <w:rPr>
          <w:rFonts w:ascii="Arial" w:hAnsi="Arial" w:cs="Arial"/>
          <w:sz w:val="22"/>
          <w:szCs w:val="22"/>
          <w:lang w:val="en-US"/>
        </w:rPr>
        <w:t>,</w:t>
      </w:r>
      <w:r w:rsidR="00441DB8" w:rsidRPr="00C4077E">
        <w:rPr>
          <w:rFonts w:ascii="Arial" w:hAnsi="Arial" w:cs="Arial"/>
          <w:sz w:val="22"/>
          <w:szCs w:val="22"/>
          <w:lang w:val="en-US"/>
        </w:rPr>
        <w:t xml:space="preserve"> the researchers have only been able to use a very small sample size (see Jeong Youn, Xiao, Kim, Castonguay, McAleavey, Newman and Safran, 2017). Other concerns have been the difficulty in disentangling studies when they frequently use different patient outcome measures, different tools and methods to assess therapist competence or adherence and use therapists drawn from different modalities (Wampold et al., 2017). </w:t>
      </w:r>
      <w:r w:rsidR="00441DB8">
        <w:rPr>
          <w:rFonts w:ascii="Arial" w:hAnsi="Arial" w:cs="Arial"/>
          <w:sz w:val="22"/>
          <w:szCs w:val="22"/>
          <w:lang w:val="en-US"/>
        </w:rPr>
        <w:t>However, this preliminary scoping review has shown that there is general agreeance that the therapeutic alliance is strongly related to outcome but only as a common factor or fixed effect and that other specific factors are required to achieve good clinical outcome.</w:t>
      </w:r>
    </w:p>
    <w:p w14:paraId="0FD3B721" w14:textId="33E4303B" w:rsidR="00AA4F9C" w:rsidRPr="00E164C2" w:rsidRDefault="008F6585" w:rsidP="00E164C2">
      <w:pPr>
        <w:pStyle w:val="Tables"/>
        <w:rPr>
          <w:rFonts w:cs="Arial"/>
          <w:b w:val="0"/>
          <w:bCs/>
          <w:szCs w:val="22"/>
          <w:lang w:val="en-US"/>
        </w:rPr>
      </w:pPr>
      <w:r>
        <w:rPr>
          <w:rFonts w:cs="Arial"/>
          <w:bCs/>
          <w:szCs w:val="22"/>
          <w:lang w:val="en-US"/>
        </w:rPr>
        <w:br w:type="page"/>
      </w:r>
      <w:bookmarkStart w:id="203" w:name="_Toc28347773"/>
      <w:bookmarkStart w:id="204" w:name="_Toc46770974"/>
      <w:r w:rsidR="00AA4F9C" w:rsidRPr="00E97DE9">
        <w:lastRenderedPageBreak/>
        <w:t xml:space="preserve">Table 3.1 </w:t>
      </w:r>
      <w:r w:rsidR="00AA4F9C" w:rsidRPr="00E164C2">
        <w:rPr>
          <w:b w:val="0"/>
          <w:bCs/>
        </w:rPr>
        <w:t>Sample sizes of the major studies</w:t>
      </w:r>
      <w:bookmarkEnd w:id="203"/>
      <w:bookmarkEnd w:id="204"/>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51"/>
        <w:gridCol w:w="2268"/>
        <w:gridCol w:w="1417"/>
        <w:gridCol w:w="1134"/>
        <w:gridCol w:w="3350"/>
      </w:tblGrid>
      <w:tr w:rsidR="007D6E51" w:rsidRPr="007D6E51" w14:paraId="333B5853" w14:textId="3A804AB5" w:rsidTr="00AA4F9C">
        <w:trPr>
          <w:trHeight w:val="20"/>
        </w:trPr>
        <w:tc>
          <w:tcPr>
            <w:tcW w:w="851" w:type="dxa"/>
            <w:vAlign w:val="center"/>
          </w:tcPr>
          <w:p w14:paraId="21626869" w14:textId="520618E8" w:rsidR="007D6E51" w:rsidRPr="001F76DC" w:rsidRDefault="007D6E51" w:rsidP="008F6585">
            <w:pPr>
              <w:widowControl w:val="0"/>
              <w:autoSpaceDE w:val="0"/>
              <w:autoSpaceDN w:val="0"/>
              <w:adjustRightInd w:val="0"/>
              <w:spacing w:line="360" w:lineRule="auto"/>
              <w:rPr>
                <w:rFonts w:ascii="Arial" w:hAnsi="Arial" w:cs="Arial"/>
                <w:b/>
                <w:sz w:val="18"/>
                <w:szCs w:val="18"/>
                <w:lang w:val="en-US"/>
              </w:rPr>
            </w:pPr>
            <w:r w:rsidRPr="001F76DC">
              <w:rPr>
                <w:rFonts w:ascii="Arial" w:hAnsi="Arial" w:cs="Arial"/>
                <w:b/>
                <w:sz w:val="18"/>
                <w:szCs w:val="18"/>
                <w:lang w:val="en-US"/>
              </w:rPr>
              <w:t>Article</w:t>
            </w:r>
          </w:p>
        </w:tc>
        <w:tc>
          <w:tcPr>
            <w:tcW w:w="2268" w:type="dxa"/>
            <w:vAlign w:val="center"/>
          </w:tcPr>
          <w:p w14:paraId="0F3E51BD" w14:textId="5081A667" w:rsidR="007D6E51" w:rsidRPr="001F76DC" w:rsidRDefault="007D6E51" w:rsidP="008F6585">
            <w:pPr>
              <w:widowControl w:val="0"/>
              <w:autoSpaceDE w:val="0"/>
              <w:autoSpaceDN w:val="0"/>
              <w:adjustRightInd w:val="0"/>
              <w:spacing w:line="360" w:lineRule="auto"/>
              <w:rPr>
                <w:rFonts w:ascii="Arial" w:hAnsi="Arial" w:cs="Arial"/>
                <w:b/>
                <w:sz w:val="18"/>
                <w:szCs w:val="18"/>
                <w:lang w:val="en-US"/>
              </w:rPr>
            </w:pPr>
            <w:r w:rsidRPr="001F76DC">
              <w:rPr>
                <w:rFonts w:ascii="Arial" w:hAnsi="Arial" w:cs="Arial"/>
                <w:b/>
                <w:sz w:val="18"/>
                <w:szCs w:val="18"/>
                <w:lang w:val="en-US"/>
              </w:rPr>
              <w:t>Author/s and year</w:t>
            </w:r>
          </w:p>
        </w:tc>
        <w:tc>
          <w:tcPr>
            <w:tcW w:w="1417" w:type="dxa"/>
            <w:vAlign w:val="center"/>
          </w:tcPr>
          <w:p w14:paraId="64D271C9" w14:textId="14D531EE" w:rsidR="007D6E51" w:rsidRPr="001F76DC" w:rsidRDefault="007D6E51" w:rsidP="008F6585">
            <w:pPr>
              <w:widowControl w:val="0"/>
              <w:autoSpaceDE w:val="0"/>
              <w:autoSpaceDN w:val="0"/>
              <w:adjustRightInd w:val="0"/>
              <w:spacing w:line="360" w:lineRule="auto"/>
              <w:rPr>
                <w:rFonts w:ascii="Arial" w:hAnsi="Arial" w:cs="Arial"/>
                <w:b/>
                <w:sz w:val="18"/>
                <w:szCs w:val="18"/>
                <w:lang w:val="en-US"/>
              </w:rPr>
            </w:pPr>
            <w:r w:rsidRPr="001F76DC">
              <w:rPr>
                <w:rFonts w:ascii="Arial" w:hAnsi="Arial" w:cs="Arial"/>
                <w:b/>
                <w:sz w:val="18"/>
                <w:szCs w:val="18"/>
                <w:lang w:val="en-US"/>
              </w:rPr>
              <w:t xml:space="preserve">Patient </w:t>
            </w:r>
          </w:p>
        </w:tc>
        <w:tc>
          <w:tcPr>
            <w:tcW w:w="1134" w:type="dxa"/>
            <w:vAlign w:val="center"/>
          </w:tcPr>
          <w:p w14:paraId="786419B6" w14:textId="2B4F1B40" w:rsidR="007D6E51" w:rsidRPr="001F76DC" w:rsidRDefault="007D6E51" w:rsidP="008F6585">
            <w:pPr>
              <w:widowControl w:val="0"/>
              <w:autoSpaceDE w:val="0"/>
              <w:autoSpaceDN w:val="0"/>
              <w:adjustRightInd w:val="0"/>
              <w:spacing w:line="360" w:lineRule="auto"/>
              <w:rPr>
                <w:rFonts w:ascii="Arial" w:hAnsi="Arial" w:cs="Arial"/>
                <w:b/>
                <w:sz w:val="18"/>
                <w:szCs w:val="18"/>
                <w:lang w:val="en-US"/>
              </w:rPr>
            </w:pPr>
            <w:r w:rsidRPr="001F76DC">
              <w:rPr>
                <w:rFonts w:ascii="Arial" w:hAnsi="Arial" w:cs="Arial"/>
                <w:b/>
                <w:sz w:val="18"/>
                <w:szCs w:val="18"/>
                <w:lang w:val="en-US"/>
              </w:rPr>
              <w:t>Therapist</w:t>
            </w:r>
          </w:p>
        </w:tc>
        <w:tc>
          <w:tcPr>
            <w:tcW w:w="3350" w:type="dxa"/>
            <w:vAlign w:val="center"/>
          </w:tcPr>
          <w:p w14:paraId="66BEDEBD" w14:textId="48F905C2" w:rsidR="007D6E51" w:rsidRPr="001F76DC" w:rsidRDefault="007D6E51" w:rsidP="008F6585">
            <w:pPr>
              <w:widowControl w:val="0"/>
              <w:autoSpaceDE w:val="0"/>
              <w:autoSpaceDN w:val="0"/>
              <w:adjustRightInd w:val="0"/>
              <w:spacing w:line="360" w:lineRule="auto"/>
              <w:rPr>
                <w:rFonts w:ascii="Arial" w:hAnsi="Arial" w:cs="Arial"/>
                <w:b/>
                <w:sz w:val="18"/>
                <w:szCs w:val="18"/>
                <w:lang w:val="en-US"/>
              </w:rPr>
            </w:pPr>
            <w:r w:rsidRPr="001F76DC">
              <w:rPr>
                <w:rFonts w:ascii="Arial" w:hAnsi="Arial" w:cs="Arial"/>
                <w:b/>
                <w:sz w:val="18"/>
                <w:szCs w:val="18"/>
                <w:lang w:val="en-US"/>
              </w:rPr>
              <w:t>Study Type</w:t>
            </w:r>
          </w:p>
        </w:tc>
      </w:tr>
      <w:tr w:rsidR="007D6E51" w:rsidRPr="007D6E51" w14:paraId="12F28417" w14:textId="4373E276" w:rsidTr="00AA4F9C">
        <w:trPr>
          <w:trHeight w:val="397"/>
        </w:trPr>
        <w:tc>
          <w:tcPr>
            <w:tcW w:w="851" w:type="dxa"/>
            <w:vAlign w:val="center"/>
          </w:tcPr>
          <w:p w14:paraId="2517FCBE" w14:textId="14A8C3A9"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w:t>
            </w:r>
          </w:p>
        </w:tc>
        <w:tc>
          <w:tcPr>
            <w:tcW w:w="2268" w:type="dxa"/>
            <w:vAlign w:val="center"/>
          </w:tcPr>
          <w:p w14:paraId="06B82FB6" w14:textId="77577612"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Kazantis et al, (2018)</w:t>
            </w:r>
          </w:p>
        </w:tc>
        <w:tc>
          <w:tcPr>
            <w:tcW w:w="1417" w:type="dxa"/>
            <w:vAlign w:val="center"/>
          </w:tcPr>
          <w:p w14:paraId="630B1E80" w14:textId="120D320D"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50</w:t>
            </w:r>
          </w:p>
        </w:tc>
        <w:tc>
          <w:tcPr>
            <w:tcW w:w="1134" w:type="dxa"/>
            <w:vAlign w:val="center"/>
          </w:tcPr>
          <w:p w14:paraId="3C9DF5FB" w14:textId="1F45E3AF"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4</w:t>
            </w:r>
          </w:p>
        </w:tc>
        <w:tc>
          <w:tcPr>
            <w:tcW w:w="3350" w:type="dxa"/>
            <w:vAlign w:val="center"/>
          </w:tcPr>
          <w:p w14:paraId="4FC38EA0" w14:textId="79B26A1E" w:rsidR="007D6E51" w:rsidRPr="001F76DC" w:rsidRDefault="0029248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 xml:space="preserve">Correlation </w:t>
            </w:r>
            <w:r w:rsidR="00A211FA" w:rsidRPr="001F76DC">
              <w:rPr>
                <w:rFonts w:ascii="Arial" w:hAnsi="Arial" w:cs="Arial"/>
                <w:sz w:val="18"/>
                <w:szCs w:val="18"/>
                <w:lang w:val="en-US"/>
              </w:rPr>
              <w:t>s</w:t>
            </w:r>
            <w:r w:rsidRPr="001F76DC">
              <w:rPr>
                <w:rFonts w:ascii="Arial" w:hAnsi="Arial" w:cs="Arial"/>
                <w:sz w:val="18"/>
                <w:szCs w:val="18"/>
                <w:lang w:val="en-US"/>
              </w:rPr>
              <w:t>tudy</w:t>
            </w:r>
          </w:p>
        </w:tc>
      </w:tr>
      <w:tr w:rsidR="007D6E51" w:rsidRPr="007D6E51" w14:paraId="657FE7BE" w14:textId="1C436E16" w:rsidTr="00AA4F9C">
        <w:trPr>
          <w:trHeight w:val="340"/>
        </w:trPr>
        <w:tc>
          <w:tcPr>
            <w:tcW w:w="851" w:type="dxa"/>
            <w:vAlign w:val="center"/>
          </w:tcPr>
          <w:p w14:paraId="707201AB" w14:textId="2966D807"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2</w:t>
            </w:r>
          </w:p>
        </w:tc>
        <w:tc>
          <w:tcPr>
            <w:tcW w:w="2268" w:type="dxa"/>
            <w:vAlign w:val="center"/>
          </w:tcPr>
          <w:p w14:paraId="7CC21B07" w14:textId="18431DE9"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Youn et al., (2017)</w:t>
            </w:r>
          </w:p>
        </w:tc>
        <w:tc>
          <w:tcPr>
            <w:tcW w:w="1417" w:type="dxa"/>
            <w:vAlign w:val="center"/>
          </w:tcPr>
          <w:p w14:paraId="3D93CFFB" w14:textId="61DF20AD"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3</w:t>
            </w:r>
          </w:p>
        </w:tc>
        <w:tc>
          <w:tcPr>
            <w:tcW w:w="1134" w:type="dxa"/>
            <w:vAlign w:val="center"/>
          </w:tcPr>
          <w:p w14:paraId="6A9EB483" w14:textId="47F56D0E"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3</w:t>
            </w:r>
          </w:p>
        </w:tc>
        <w:tc>
          <w:tcPr>
            <w:tcW w:w="3350" w:type="dxa"/>
            <w:vAlign w:val="center"/>
          </w:tcPr>
          <w:p w14:paraId="61E3134A" w14:textId="4C38BF96" w:rsidR="007D6E51" w:rsidRPr="001F76DC" w:rsidRDefault="00AF502D"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Observational study</w:t>
            </w:r>
          </w:p>
        </w:tc>
      </w:tr>
      <w:tr w:rsidR="007D6E51" w:rsidRPr="007D6E51" w14:paraId="451C5B76" w14:textId="5F67DACB" w:rsidTr="00AA4F9C">
        <w:trPr>
          <w:trHeight w:val="340"/>
        </w:trPr>
        <w:tc>
          <w:tcPr>
            <w:tcW w:w="851" w:type="dxa"/>
            <w:vAlign w:val="center"/>
          </w:tcPr>
          <w:p w14:paraId="63165974" w14:textId="697A5B45"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3</w:t>
            </w:r>
          </w:p>
        </w:tc>
        <w:tc>
          <w:tcPr>
            <w:tcW w:w="2268" w:type="dxa"/>
            <w:vAlign w:val="center"/>
          </w:tcPr>
          <w:p w14:paraId="76EA6246" w14:textId="0E3E285F"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Kuyken &amp; Tsivrikos (2009)</w:t>
            </w:r>
          </w:p>
        </w:tc>
        <w:tc>
          <w:tcPr>
            <w:tcW w:w="1417" w:type="dxa"/>
            <w:vAlign w:val="center"/>
          </w:tcPr>
          <w:p w14:paraId="18C91A1B" w14:textId="05F73BB1"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69</w:t>
            </w:r>
          </w:p>
        </w:tc>
        <w:tc>
          <w:tcPr>
            <w:tcW w:w="1134" w:type="dxa"/>
            <w:vAlign w:val="center"/>
          </w:tcPr>
          <w:p w14:paraId="75FB4F41" w14:textId="05E5C7F6"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18</w:t>
            </w:r>
          </w:p>
        </w:tc>
        <w:tc>
          <w:tcPr>
            <w:tcW w:w="3350" w:type="dxa"/>
            <w:vAlign w:val="center"/>
          </w:tcPr>
          <w:p w14:paraId="2E418094" w14:textId="3839088E" w:rsidR="007D6E51" w:rsidRPr="001F76DC" w:rsidRDefault="00AF502D"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Observational study</w:t>
            </w:r>
          </w:p>
        </w:tc>
      </w:tr>
      <w:tr w:rsidR="007D6E51" w:rsidRPr="007D6E51" w14:paraId="3E1F1C4F" w14:textId="21EE77A6" w:rsidTr="00AA4F9C">
        <w:trPr>
          <w:trHeight w:val="340"/>
        </w:trPr>
        <w:tc>
          <w:tcPr>
            <w:tcW w:w="851" w:type="dxa"/>
            <w:vAlign w:val="center"/>
          </w:tcPr>
          <w:p w14:paraId="2A07A71E" w14:textId="160C5CA5"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4</w:t>
            </w:r>
          </w:p>
        </w:tc>
        <w:tc>
          <w:tcPr>
            <w:tcW w:w="2268" w:type="dxa"/>
            <w:vAlign w:val="center"/>
          </w:tcPr>
          <w:p w14:paraId="6BED989A" w14:textId="5582ECFF"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Nissen-Lie et al., (2016)</w:t>
            </w:r>
          </w:p>
        </w:tc>
        <w:tc>
          <w:tcPr>
            <w:tcW w:w="1417" w:type="dxa"/>
            <w:vAlign w:val="center"/>
          </w:tcPr>
          <w:p w14:paraId="15044AE0" w14:textId="053D628A"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520</w:t>
            </w:r>
          </w:p>
        </w:tc>
        <w:tc>
          <w:tcPr>
            <w:tcW w:w="1134" w:type="dxa"/>
            <w:vAlign w:val="center"/>
          </w:tcPr>
          <w:p w14:paraId="60B941D3" w14:textId="7730A199"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30</w:t>
            </w:r>
          </w:p>
        </w:tc>
        <w:tc>
          <w:tcPr>
            <w:tcW w:w="3350" w:type="dxa"/>
            <w:vAlign w:val="center"/>
          </w:tcPr>
          <w:p w14:paraId="5470D287" w14:textId="5695BD27" w:rsidR="007D6E51" w:rsidRPr="001F76DC" w:rsidRDefault="00AD2B23"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 xml:space="preserve">Therapist </w:t>
            </w:r>
            <w:r w:rsidR="00A211FA" w:rsidRPr="001F76DC">
              <w:rPr>
                <w:rFonts w:ascii="Arial" w:hAnsi="Arial" w:cs="Arial"/>
                <w:sz w:val="18"/>
                <w:szCs w:val="18"/>
                <w:lang w:val="en-US"/>
              </w:rPr>
              <w:t>e</w:t>
            </w:r>
            <w:r w:rsidRPr="001F76DC">
              <w:rPr>
                <w:rFonts w:ascii="Arial" w:hAnsi="Arial" w:cs="Arial"/>
                <w:sz w:val="18"/>
                <w:szCs w:val="18"/>
                <w:lang w:val="en-US"/>
              </w:rPr>
              <w:t>ffects</w:t>
            </w:r>
            <w:r w:rsidR="00A211FA" w:rsidRPr="001F76DC">
              <w:rPr>
                <w:rFonts w:ascii="Arial" w:hAnsi="Arial" w:cs="Arial"/>
                <w:sz w:val="18"/>
                <w:szCs w:val="18"/>
                <w:lang w:val="en-US"/>
              </w:rPr>
              <w:t xml:space="preserve"> study</w:t>
            </w:r>
          </w:p>
        </w:tc>
      </w:tr>
      <w:tr w:rsidR="007D6E51" w:rsidRPr="007D6E51" w14:paraId="73471B24" w14:textId="074959DE" w:rsidTr="00AA4F9C">
        <w:trPr>
          <w:trHeight w:val="340"/>
        </w:trPr>
        <w:tc>
          <w:tcPr>
            <w:tcW w:w="851" w:type="dxa"/>
            <w:vAlign w:val="center"/>
          </w:tcPr>
          <w:p w14:paraId="410D0FC4" w14:textId="734AD764"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5</w:t>
            </w:r>
          </w:p>
        </w:tc>
        <w:tc>
          <w:tcPr>
            <w:tcW w:w="2268" w:type="dxa"/>
            <w:vAlign w:val="center"/>
          </w:tcPr>
          <w:p w14:paraId="4A8DE8AD" w14:textId="3AD78DF4"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Weck et al., (2016)</w:t>
            </w:r>
          </w:p>
        </w:tc>
        <w:tc>
          <w:tcPr>
            <w:tcW w:w="1417" w:type="dxa"/>
            <w:vAlign w:val="center"/>
          </w:tcPr>
          <w:p w14:paraId="412416DB" w14:textId="587C3601"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84</w:t>
            </w:r>
          </w:p>
        </w:tc>
        <w:tc>
          <w:tcPr>
            <w:tcW w:w="1134" w:type="dxa"/>
            <w:vAlign w:val="center"/>
          </w:tcPr>
          <w:p w14:paraId="208D9984" w14:textId="56C724D1"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34</w:t>
            </w:r>
          </w:p>
        </w:tc>
        <w:tc>
          <w:tcPr>
            <w:tcW w:w="3350" w:type="dxa"/>
            <w:vAlign w:val="center"/>
          </w:tcPr>
          <w:p w14:paraId="24093E71" w14:textId="36B98490" w:rsidR="007D6E51"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Correlation study</w:t>
            </w:r>
          </w:p>
        </w:tc>
      </w:tr>
      <w:tr w:rsidR="007D6E51" w:rsidRPr="007D6E51" w14:paraId="0BD3B22A" w14:textId="11AD2FA6" w:rsidTr="00AA4F9C">
        <w:trPr>
          <w:trHeight w:val="340"/>
        </w:trPr>
        <w:tc>
          <w:tcPr>
            <w:tcW w:w="851" w:type="dxa"/>
            <w:vAlign w:val="center"/>
          </w:tcPr>
          <w:p w14:paraId="25F58D42" w14:textId="1936130A"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6</w:t>
            </w:r>
          </w:p>
        </w:tc>
        <w:tc>
          <w:tcPr>
            <w:tcW w:w="2268" w:type="dxa"/>
            <w:vAlign w:val="center"/>
          </w:tcPr>
          <w:p w14:paraId="09E92B25" w14:textId="58EABE91"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Weck et al., (2015)</w:t>
            </w:r>
          </w:p>
        </w:tc>
        <w:tc>
          <w:tcPr>
            <w:tcW w:w="1417" w:type="dxa"/>
            <w:vAlign w:val="center"/>
          </w:tcPr>
          <w:p w14:paraId="5128CFAE" w14:textId="79D5E4C4"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68</w:t>
            </w:r>
          </w:p>
        </w:tc>
        <w:tc>
          <w:tcPr>
            <w:tcW w:w="1134" w:type="dxa"/>
            <w:vAlign w:val="center"/>
          </w:tcPr>
          <w:p w14:paraId="25B42A9E" w14:textId="7390FB12"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26</w:t>
            </w:r>
          </w:p>
        </w:tc>
        <w:tc>
          <w:tcPr>
            <w:tcW w:w="3350" w:type="dxa"/>
            <w:vAlign w:val="center"/>
          </w:tcPr>
          <w:p w14:paraId="3C09A86E" w14:textId="42682081" w:rsidR="007D6E51"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Correlation study</w:t>
            </w:r>
          </w:p>
        </w:tc>
      </w:tr>
      <w:tr w:rsidR="007D6E51" w:rsidRPr="007D6E51" w14:paraId="02D006DA" w14:textId="598F557B" w:rsidTr="00AA4F9C">
        <w:trPr>
          <w:trHeight w:val="340"/>
        </w:trPr>
        <w:tc>
          <w:tcPr>
            <w:tcW w:w="851" w:type="dxa"/>
            <w:vAlign w:val="center"/>
          </w:tcPr>
          <w:p w14:paraId="1BCEE832" w14:textId="4A8515EA"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7</w:t>
            </w:r>
          </w:p>
        </w:tc>
        <w:tc>
          <w:tcPr>
            <w:tcW w:w="2268" w:type="dxa"/>
            <w:vAlign w:val="center"/>
          </w:tcPr>
          <w:p w14:paraId="5366A2AA" w14:textId="39D188A7"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Ehlers et al., (2014)</w:t>
            </w:r>
          </w:p>
        </w:tc>
        <w:tc>
          <w:tcPr>
            <w:tcW w:w="1417" w:type="dxa"/>
            <w:vAlign w:val="center"/>
          </w:tcPr>
          <w:p w14:paraId="237B3072" w14:textId="6E6C81C4"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121</w:t>
            </w:r>
          </w:p>
        </w:tc>
        <w:tc>
          <w:tcPr>
            <w:tcW w:w="1134" w:type="dxa"/>
            <w:vAlign w:val="center"/>
          </w:tcPr>
          <w:p w14:paraId="47FE5357" w14:textId="53BB3211"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6</w:t>
            </w:r>
          </w:p>
        </w:tc>
        <w:tc>
          <w:tcPr>
            <w:tcW w:w="3350" w:type="dxa"/>
            <w:vAlign w:val="center"/>
          </w:tcPr>
          <w:p w14:paraId="6ACF417F" w14:textId="1172A909" w:rsidR="007D6E51" w:rsidRPr="001F76DC" w:rsidRDefault="00AD2B23"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 xml:space="preserve">Randomised </w:t>
            </w:r>
            <w:r w:rsidR="00AF502D" w:rsidRPr="001F76DC">
              <w:rPr>
                <w:rFonts w:ascii="Arial" w:hAnsi="Arial" w:cs="Arial"/>
                <w:sz w:val="18"/>
                <w:szCs w:val="18"/>
                <w:lang w:val="en-US"/>
              </w:rPr>
              <w:t>c</w:t>
            </w:r>
            <w:r w:rsidRPr="001F76DC">
              <w:rPr>
                <w:rFonts w:ascii="Arial" w:hAnsi="Arial" w:cs="Arial"/>
                <w:sz w:val="18"/>
                <w:szCs w:val="18"/>
                <w:lang w:val="en-US"/>
              </w:rPr>
              <w:t xml:space="preserve">ontrolled </w:t>
            </w:r>
            <w:r w:rsidR="00AF502D" w:rsidRPr="001F76DC">
              <w:rPr>
                <w:rFonts w:ascii="Arial" w:hAnsi="Arial" w:cs="Arial"/>
                <w:sz w:val="18"/>
                <w:szCs w:val="18"/>
                <w:lang w:val="en-US"/>
              </w:rPr>
              <w:t>t</w:t>
            </w:r>
            <w:r w:rsidRPr="001F76DC">
              <w:rPr>
                <w:rFonts w:ascii="Arial" w:hAnsi="Arial" w:cs="Arial"/>
                <w:sz w:val="18"/>
                <w:szCs w:val="18"/>
                <w:lang w:val="en-US"/>
              </w:rPr>
              <w:t>rial</w:t>
            </w:r>
          </w:p>
        </w:tc>
      </w:tr>
      <w:tr w:rsidR="007D6E51" w:rsidRPr="007D6E51" w14:paraId="5C79450F" w14:textId="2C10A1F8" w:rsidTr="00AA4F9C">
        <w:trPr>
          <w:trHeight w:val="340"/>
        </w:trPr>
        <w:tc>
          <w:tcPr>
            <w:tcW w:w="851" w:type="dxa"/>
            <w:vAlign w:val="center"/>
          </w:tcPr>
          <w:p w14:paraId="0CB1780F" w14:textId="2D324B9F"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8</w:t>
            </w:r>
          </w:p>
        </w:tc>
        <w:tc>
          <w:tcPr>
            <w:tcW w:w="2268" w:type="dxa"/>
            <w:vAlign w:val="center"/>
          </w:tcPr>
          <w:p w14:paraId="0F579C8A" w14:textId="159E9DBB"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Branson et al., (2015)</w:t>
            </w:r>
          </w:p>
        </w:tc>
        <w:tc>
          <w:tcPr>
            <w:tcW w:w="1417" w:type="dxa"/>
            <w:vAlign w:val="center"/>
          </w:tcPr>
          <w:p w14:paraId="2F1D105F" w14:textId="1278CBBF"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1247</w:t>
            </w:r>
          </w:p>
        </w:tc>
        <w:tc>
          <w:tcPr>
            <w:tcW w:w="1134" w:type="dxa"/>
            <w:vAlign w:val="center"/>
          </w:tcPr>
          <w:p w14:paraId="0909EA96" w14:textId="3E7AC3D0"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43</w:t>
            </w:r>
          </w:p>
        </w:tc>
        <w:tc>
          <w:tcPr>
            <w:tcW w:w="3350" w:type="dxa"/>
            <w:vAlign w:val="center"/>
          </w:tcPr>
          <w:p w14:paraId="15227240" w14:textId="1B1715DB" w:rsidR="007D6E51" w:rsidRPr="001F76DC" w:rsidRDefault="00AD2B23"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 xml:space="preserve">Naturalistic </w:t>
            </w:r>
            <w:r w:rsidR="00AF502D" w:rsidRPr="001F76DC">
              <w:rPr>
                <w:rFonts w:ascii="Arial" w:hAnsi="Arial" w:cs="Arial"/>
                <w:sz w:val="18"/>
                <w:szCs w:val="18"/>
                <w:lang w:val="en-US"/>
              </w:rPr>
              <w:t>o</w:t>
            </w:r>
            <w:r w:rsidRPr="001F76DC">
              <w:rPr>
                <w:rFonts w:ascii="Arial" w:hAnsi="Arial" w:cs="Arial"/>
                <w:sz w:val="18"/>
                <w:szCs w:val="18"/>
                <w:lang w:val="en-US"/>
              </w:rPr>
              <w:t>bservation</w:t>
            </w:r>
            <w:r w:rsidR="00A211FA" w:rsidRPr="001F76DC">
              <w:rPr>
                <w:rFonts w:ascii="Arial" w:hAnsi="Arial" w:cs="Arial"/>
                <w:sz w:val="18"/>
                <w:szCs w:val="18"/>
                <w:lang w:val="en-US"/>
              </w:rPr>
              <w:t xml:space="preserve">al </w:t>
            </w:r>
            <w:r w:rsidR="00AF502D" w:rsidRPr="001F76DC">
              <w:rPr>
                <w:rFonts w:ascii="Arial" w:hAnsi="Arial" w:cs="Arial"/>
                <w:sz w:val="18"/>
                <w:szCs w:val="18"/>
                <w:lang w:val="en-US"/>
              </w:rPr>
              <w:t>c</w:t>
            </w:r>
            <w:r w:rsidR="00A211FA" w:rsidRPr="001F76DC">
              <w:rPr>
                <w:rFonts w:ascii="Arial" w:hAnsi="Arial" w:cs="Arial"/>
                <w:sz w:val="18"/>
                <w:szCs w:val="18"/>
                <w:lang w:val="en-US"/>
              </w:rPr>
              <w:t>ohort</w:t>
            </w:r>
            <w:r w:rsidRPr="001F76DC">
              <w:rPr>
                <w:rFonts w:ascii="Arial" w:hAnsi="Arial" w:cs="Arial"/>
                <w:sz w:val="18"/>
                <w:szCs w:val="18"/>
                <w:lang w:val="en-US"/>
              </w:rPr>
              <w:t xml:space="preserve"> </w:t>
            </w:r>
            <w:r w:rsidR="00AF502D" w:rsidRPr="001F76DC">
              <w:rPr>
                <w:rFonts w:ascii="Arial" w:hAnsi="Arial" w:cs="Arial"/>
                <w:sz w:val="18"/>
                <w:szCs w:val="18"/>
                <w:lang w:val="en-US"/>
              </w:rPr>
              <w:t>s</w:t>
            </w:r>
            <w:r w:rsidRPr="001F76DC">
              <w:rPr>
                <w:rFonts w:ascii="Arial" w:hAnsi="Arial" w:cs="Arial"/>
                <w:sz w:val="18"/>
                <w:szCs w:val="18"/>
                <w:lang w:val="en-US"/>
              </w:rPr>
              <w:t>tudy (</w:t>
            </w:r>
            <w:r w:rsidR="00441DB8" w:rsidRPr="001F76DC">
              <w:rPr>
                <w:rFonts w:ascii="Arial" w:hAnsi="Arial" w:cs="Arial"/>
                <w:sz w:val="18"/>
                <w:szCs w:val="18"/>
                <w:lang w:val="en-US"/>
              </w:rPr>
              <w:t>trainees)</w:t>
            </w:r>
          </w:p>
        </w:tc>
      </w:tr>
      <w:tr w:rsidR="007D6E51" w:rsidRPr="007D6E51" w14:paraId="54178223" w14:textId="6585BBD8" w:rsidTr="00AA4F9C">
        <w:trPr>
          <w:trHeight w:val="340"/>
        </w:trPr>
        <w:tc>
          <w:tcPr>
            <w:tcW w:w="851" w:type="dxa"/>
            <w:vAlign w:val="center"/>
          </w:tcPr>
          <w:p w14:paraId="6623E7A8" w14:textId="7D8BDBE3"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9</w:t>
            </w:r>
          </w:p>
        </w:tc>
        <w:tc>
          <w:tcPr>
            <w:tcW w:w="2268" w:type="dxa"/>
            <w:vAlign w:val="center"/>
          </w:tcPr>
          <w:p w14:paraId="0A7B1743" w14:textId="45B2E5AC"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Brosan et al., (2006)</w:t>
            </w:r>
          </w:p>
        </w:tc>
        <w:tc>
          <w:tcPr>
            <w:tcW w:w="1417" w:type="dxa"/>
            <w:vAlign w:val="center"/>
          </w:tcPr>
          <w:p w14:paraId="2F382927" w14:textId="59432786"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24</w:t>
            </w:r>
          </w:p>
        </w:tc>
        <w:tc>
          <w:tcPr>
            <w:tcW w:w="1134" w:type="dxa"/>
            <w:vAlign w:val="center"/>
          </w:tcPr>
          <w:p w14:paraId="188F7F68" w14:textId="1EDB335E"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24</w:t>
            </w:r>
          </w:p>
        </w:tc>
        <w:tc>
          <w:tcPr>
            <w:tcW w:w="3350" w:type="dxa"/>
            <w:vAlign w:val="center"/>
          </w:tcPr>
          <w:p w14:paraId="568428F5" w14:textId="1A2F4004" w:rsidR="00AF502D" w:rsidRPr="001F76DC" w:rsidRDefault="00AF502D"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 xml:space="preserve">Naturalistic observational </w:t>
            </w:r>
          </w:p>
        </w:tc>
      </w:tr>
      <w:tr w:rsidR="007D6E51" w:rsidRPr="007D6E51" w14:paraId="16E09BBA" w14:textId="27241087" w:rsidTr="00AA4F9C">
        <w:trPr>
          <w:trHeight w:val="340"/>
        </w:trPr>
        <w:tc>
          <w:tcPr>
            <w:tcW w:w="851" w:type="dxa"/>
            <w:vAlign w:val="center"/>
          </w:tcPr>
          <w:p w14:paraId="560BF6C9" w14:textId="2FEEC63F"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10</w:t>
            </w:r>
          </w:p>
        </w:tc>
        <w:tc>
          <w:tcPr>
            <w:tcW w:w="2268" w:type="dxa"/>
            <w:vAlign w:val="center"/>
          </w:tcPr>
          <w:p w14:paraId="240767CB" w14:textId="46C14D28"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Webb et al., (2012)</w:t>
            </w:r>
          </w:p>
        </w:tc>
        <w:tc>
          <w:tcPr>
            <w:tcW w:w="1417" w:type="dxa"/>
            <w:vAlign w:val="center"/>
          </w:tcPr>
          <w:p w14:paraId="4B25AA5E" w14:textId="3C42FA3C"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105</w:t>
            </w:r>
          </w:p>
        </w:tc>
        <w:tc>
          <w:tcPr>
            <w:tcW w:w="1134" w:type="dxa"/>
            <w:vAlign w:val="center"/>
          </w:tcPr>
          <w:p w14:paraId="7F05A6E5" w14:textId="70869973"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6</w:t>
            </w:r>
          </w:p>
        </w:tc>
        <w:tc>
          <w:tcPr>
            <w:tcW w:w="3350" w:type="dxa"/>
            <w:vAlign w:val="center"/>
          </w:tcPr>
          <w:p w14:paraId="2D9AD67F" w14:textId="06C8F58D" w:rsidR="007D6E51" w:rsidRPr="001F76DC" w:rsidRDefault="001C302E"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Process-outcome study</w:t>
            </w:r>
          </w:p>
        </w:tc>
      </w:tr>
      <w:tr w:rsidR="007D6E51" w:rsidRPr="007D6E51" w14:paraId="36950C33" w14:textId="28239C9B" w:rsidTr="00AA4F9C">
        <w:trPr>
          <w:trHeight w:val="340"/>
        </w:trPr>
        <w:tc>
          <w:tcPr>
            <w:tcW w:w="851" w:type="dxa"/>
            <w:vAlign w:val="center"/>
          </w:tcPr>
          <w:p w14:paraId="2DB571B4" w14:textId="64301CE6"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11</w:t>
            </w:r>
          </w:p>
        </w:tc>
        <w:tc>
          <w:tcPr>
            <w:tcW w:w="2268" w:type="dxa"/>
            <w:vAlign w:val="center"/>
          </w:tcPr>
          <w:p w14:paraId="24D7D13F" w14:textId="297BE5A5"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Saxon &amp; Barkham (2012)</w:t>
            </w:r>
          </w:p>
        </w:tc>
        <w:tc>
          <w:tcPr>
            <w:tcW w:w="1417" w:type="dxa"/>
            <w:vAlign w:val="center"/>
          </w:tcPr>
          <w:p w14:paraId="068322F9" w14:textId="1935B69A"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10786</w:t>
            </w:r>
          </w:p>
        </w:tc>
        <w:tc>
          <w:tcPr>
            <w:tcW w:w="1134" w:type="dxa"/>
            <w:vAlign w:val="center"/>
          </w:tcPr>
          <w:p w14:paraId="6FE17010" w14:textId="7CB100C7"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119</w:t>
            </w:r>
          </w:p>
        </w:tc>
        <w:tc>
          <w:tcPr>
            <w:tcW w:w="3350" w:type="dxa"/>
            <w:vAlign w:val="center"/>
          </w:tcPr>
          <w:p w14:paraId="793BB14F" w14:textId="74811101" w:rsidR="007D6E51" w:rsidRPr="001F76DC" w:rsidRDefault="006A7736"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 xml:space="preserve">Therapist </w:t>
            </w:r>
            <w:r w:rsidR="00AF502D" w:rsidRPr="001F76DC">
              <w:rPr>
                <w:rFonts w:ascii="Arial" w:hAnsi="Arial" w:cs="Arial"/>
                <w:sz w:val="18"/>
                <w:szCs w:val="18"/>
                <w:lang w:val="en-US"/>
              </w:rPr>
              <w:t>e</w:t>
            </w:r>
            <w:r w:rsidRPr="001F76DC">
              <w:rPr>
                <w:rFonts w:ascii="Arial" w:hAnsi="Arial" w:cs="Arial"/>
                <w:sz w:val="18"/>
                <w:szCs w:val="18"/>
                <w:lang w:val="en-US"/>
              </w:rPr>
              <w:t>ffects</w:t>
            </w:r>
          </w:p>
        </w:tc>
      </w:tr>
      <w:tr w:rsidR="007D6E51" w:rsidRPr="007D6E51" w14:paraId="59AED259" w14:textId="020E1D16" w:rsidTr="00AA4F9C">
        <w:trPr>
          <w:trHeight w:val="340"/>
        </w:trPr>
        <w:tc>
          <w:tcPr>
            <w:tcW w:w="851" w:type="dxa"/>
            <w:vAlign w:val="center"/>
          </w:tcPr>
          <w:p w14:paraId="4FF009F7" w14:textId="159BC828"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12</w:t>
            </w:r>
          </w:p>
        </w:tc>
        <w:tc>
          <w:tcPr>
            <w:tcW w:w="2268" w:type="dxa"/>
            <w:vAlign w:val="center"/>
          </w:tcPr>
          <w:p w14:paraId="46BB1A67" w14:textId="1BA7350D"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Trepka et al., (2004)</w:t>
            </w:r>
          </w:p>
        </w:tc>
        <w:tc>
          <w:tcPr>
            <w:tcW w:w="1417" w:type="dxa"/>
            <w:vAlign w:val="center"/>
          </w:tcPr>
          <w:p w14:paraId="12F0BACF" w14:textId="4F82C08D"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30</w:t>
            </w:r>
          </w:p>
        </w:tc>
        <w:tc>
          <w:tcPr>
            <w:tcW w:w="1134" w:type="dxa"/>
            <w:vAlign w:val="center"/>
          </w:tcPr>
          <w:p w14:paraId="383B656D" w14:textId="6621CC71"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6</w:t>
            </w:r>
          </w:p>
        </w:tc>
        <w:tc>
          <w:tcPr>
            <w:tcW w:w="3350" w:type="dxa"/>
            <w:vAlign w:val="center"/>
          </w:tcPr>
          <w:p w14:paraId="727E925B" w14:textId="3537A11F" w:rsidR="007D6E51" w:rsidRPr="001F76DC" w:rsidRDefault="001C302E"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Correlation study</w:t>
            </w:r>
          </w:p>
        </w:tc>
      </w:tr>
      <w:tr w:rsidR="007D6E51" w:rsidRPr="007D6E51" w14:paraId="612A41FC" w14:textId="7CC1A432" w:rsidTr="00AA4F9C">
        <w:trPr>
          <w:trHeight w:val="340"/>
        </w:trPr>
        <w:tc>
          <w:tcPr>
            <w:tcW w:w="851" w:type="dxa"/>
            <w:vAlign w:val="center"/>
          </w:tcPr>
          <w:p w14:paraId="221ADA49" w14:textId="6B5DF7D3"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13</w:t>
            </w:r>
          </w:p>
        </w:tc>
        <w:tc>
          <w:tcPr>
            <w:tcW w:w="2268" w:type="dxa"/>
            <w:vAlign w:val="center"/>
          </w:tcPr>
          <w:p w14:paraId="7B34D624" w14:textId="57E33CD0"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Haug et al., (2016)</w:t>
            </w:r>
          </w:p>
        </w:tc>
        <w:tc>
          <w:tcPr>
            <w:tcW w:w="1417" w:type="dxa"/>
            <w:vAlign w:val="center"/>
          </w:tcPr>
          <w:p w14:paraId="3508290D" w14:textId="0CEFBE30"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82</w:t>
            </w:r>
          </w:p>
        </w:tc>
        <w:tc>
          <w:tcPr>
            <w:tcW w:w="1134" w:type="dxa"/>
            <w:vAlign w:val="center"/>
          </w:tcPr>
          <w:p w14:paraId="151BA8DF" w14:textId="4D79538D"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22</w:t>
            </w:r>
          </w:p>
        </w:tc>
        <w:tc>
          <w:tcPr>
            <w:tcW w:w="3350" w:type="dxa"/>
            <w:vAlign w:val="center"/>
          </w:tcPr>
          <w:p w14:paraId="2BC4FBBD" w14:textId="555C68D1" w:rsidR="007D6E51" w:rsidRPr="001F76DC" w:rsidRDefault="00AD2B23"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 xml:space="preserve">Correlation </w:t>
            </w:r>
            <w:r w:rsidR="00AF502D" w:rsidRPr="001F76DC">
              <w:rPr>
                <w:rFonts w:ascii="Arial" w:hAnsi="Arial" w:cs="Arial"/>
                <w:sz w:val="18"/>
                <w:szCs w:val="18"/>
                <w:lang w:val="en-US"/>
              </w:rPr>
              <w:t>s</w:t>
            </w:r>
            <w:r w:rsidRPr="001F76DC">
              <w:rPr>
                <w:rFonts w:ascii="Arial" w:hAnsi="Arial" w:cs="Arial"/>
                <w:sz w:val="18"/>
                <w:szCs w:val="18"/>
                <w:lang w:val="en-US"/>
              </w:rPr>
              <w:t>tudy</w:t>
            </w:r>
          </w:p>
        </w:tc>
      </w:tr>
      <w:tr w:rsidR="007D6E51" w:rsidRPr="007D6E51" w14:paraId="42218EFD" w14:textId="3EFA58F4" w:rsidTr="00AA4F9C">
        <w:trPr>
          <w:trHeight w:val="340"/>
        </w:trPr>
        <w:tc>
          <w:tcPr>
            <w:tcW w:w="851" w:type="dxa"/>
            <w:vAlign w:val="center"/>
          </w:tcPr>
          <w:p w14:paraId="49846011" w14:textId="31A298B7"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14</w:t>
            </w:r>
          </w:p>
        </w:tc>
        <w:tc>
          <w:tcPr>
            <w:tcW w:w="2268" w:type="dxa"/>
            <w:vAlign w:val="center"/>
          </w:tcPr>
          <w:p w14:paraId="76663C32" w14:textId="15B74984"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Goldberg et al., (2016)</w:t>
            </w:r>
          </w:p>
        </w:tc>
        <w:tc>
          <w:tcPr>
            <w:tcW w:w="1417" w:type="dxa"/>
            <w:vAlign w:val="center"/>
          </w:tcPr>
          <w:p w14:paraId="4B204A11" w14:textId="4639C6D6"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6591</w:t>
            </w:r>
          </w:p>
        </w:tc>
        <w:tc>
          <w:tcPr>
            <w:tcW w:w="1134" w:type="dxa"/>
            <w:vAlign w:val="center"/>
          </w:tcPr>
          <w:p w14:paraId="30C64A6A" w14:textId="701C0B6C"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170</w:t>
            </w:r>
          </w:p>
        </w:tc>
        <w:tc>
          <w:tcPr>
            <w:tcW w:w="3350" w:type="dxa"/>
            <w:vAlign w:val="center"/>
          </w:tcPr>
          <w:p w14:paraId="25335392" w14:textId="61013FF3" w:rsidR="007D6E51" w:rsidRPr="001F76DC" w:rsidRDefault="00AD2B23"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 xml:space="preserve">Naturalistic </w:t>
            </w:r>
            <w:r w:rsidR="00AF502D" w:rsidRPr="001F76DC">
              <w:rPr>
                <w:rFonts w:ascii="Arial" w:hAnsi="Arial" w:cs="Arial"/>
                <w:sz w:val="18"/>
                <w:szCs w:val="18"/>
                <w:lang w:val="en-US"/>
              </w:rPr>
              <w:t>l</w:t>
            </w:r>
            <w:r w:rsidRPr="001F76DC">
              <w:rPr>
                <w:rFonts w:ascii="Arial" w:hAnsi="Arial" w:cs="Arial"/>
                <w:sz w:val="18"/>
                <w:szCs w:val="18"/>
                <w:lang w:val="en-US"/>
              </w:rPr>
              <w:t>ongitudinal study</w:t>
            </w:r>
          </w:p>
        </w:tc>
      </w:tr>
      <w:tr w:rsidR="007D6E51" w:rsidRPr="007D6E51" w14:paraId="265F6F6A" w14:textId="3D19D417" w:rsidTr="00AA4F9C">
        <w:trPr>
          <w:trHeight w:val="340"/>
        </w:trPr>
        <w:tc>
          <w:tcPr>
            <w:tcW w:w="851" w:type="dxa"/>
            <w:vAlign w:val="center"/>
          </w:tcPr>
          <w:p w14:paraId="065F55BC" w14:textId="375141D2"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15</w:t>
            </w:r>
          </w:p>
        </w:tc>
        <w:tc>
          <w:tcPr>
            <w:tcW w:w="2268" w:type="dxa"/>
            <w:vAlign w:val="center"/>
          </w:tcPr>
          <w:p w14:paraId="1268AF05" w14:textId="5A228A1A"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Resko et</w:t>
            </w:r>
            <w:r w:rsidR="001C302E" w:rsidRPr="001F76DC">
              <w:rPr>
                <w:rFonts w:ascii="Arial" w:hAnsi="Arial" w:cs="Arial"/>
                <w:sz w:val="18"/>
                <w:szCs w:val="18"/>
                <w:lang w:val="en-US"/>
              </w:rPr>
              <w:t xml:space="preserve"> </w:t>
            </w:r>
            <w:r w:rsidRPr="001F76DC">
              <w:rPr>
                <w:rFonts w:ascii="Arial" w:hAnsi="Arial" w:cs="Arial"/>
                <w:sz w:val="18"/>
                <w:szCs w:val="18"/>
                <w:lang w:val="en-US"/>
              </w:rPr>
              <w:t>al., (2012)</w:t>
            </w:r>
          </w:p>
        </w:tc>
        <w:tc>
          <w:tcPr>
            <w:tcW w:w="1417" w:type="dxa"/>
            <w:vAlign w:val="center"/>
          </w:tcPr>
          <w:p w14:paraId="550EFC40" w14:textId="73E1D15D"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60</w:t>
            </w:r>
          </w:p>
        </w:tc>
        <w:tc>
          <w:tcPr>
            <w:tcW w:w="1134" w:type="dxa"/>
            <w:vAlign w:val="center"/>
          </w:tcPr>
          <w:p w14:paraId="3AF00E40" w14:textId="3929C550"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6</w:t>
            </w:r>
          </w:p>
        </w:tc>
        <w:tc>
          <w:tcPr>
            <w:tcW w:w="3350" w:type="dxa"/>
            <w:vAlign w:val="center"/>
          </w:tcPr>
          <w:p w14:paraId="22EA5E35" w14:textId="37A44015" w:rsidR="007D6E51" w:rsidRPr="001F76DC" w:rsidRDefault="001C302E"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Construct validity study</w:t>
            </w:r>
          </w:p>
        </w:tc>
      </w:tr>
      <w:tr w:rsidR="007D6E51" w:rsidRPr="007D6E51" w14:paraId="1DE58CAE" w14:textId="142CE7A8" w:rsidTr="00AA4F9C">
        <w:trPr>
          <w:trHeight w:val="340"/>
        </w:trPr>
        <w:tc>
          <w:tcPr>
            <w:tcW w:w="851" w:type="dxa"/>
            <w:vAlign w:val="center"/>
          </w:tcPr>
          <w:p w14:paraId="556852DD" w14:textId="46A77676"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16</w:t>
            </w:r>
          </w:p>
        </w:tc>
        <w:tc>
          <w:tcPr>
            <w:tcW w:w="2268" w:type="dxa"/>
            <w:vAlign w:val="center"/>
          </w:tcPr>
          <w:p w14:paraId="1E3FB8B0" w14:textId="3D1CE7D3"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Ginzburg et al., (2012)</w:t>
            </w:r>
          </w:p>
        </w:tc>
        <w:tc>
          <w:tcPr>
            <w:tcW w:w="1417" w:type="dxa"/>
            <w:vAlign w:val="center"/>
          </w:tcPr>
          <w:p w14:paraId="0D9CE798" w14:textId="40A9BB0E"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38</w:t>
            </w:r>
          </w:p>
        </w:tc>
        <w:tc>
          <w:tcPr>
            <w:tcW w:w="1134" w:type="dxa"/>
            <w:vAlign w:val="center"/>
          </w:tcPr>
          <w:p w14:paraId="576D79C6" w14:textId="420AE531"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10</w:t>
            </w:r>
          </w:p>
        </w:tc>
        <w:tc>
          <w:tcPr>
            <w:tcW w:w="3350" w:type="dxa"/>
            <w:vAlign w:val="center"/>
          </w:tcPr>
          <w:p w14:paraId="19BFC7B0" w14:textId="1CA6A5FC" w:rsidR="007D6E51"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Therapist effects and correlation study</w:t>
            </w:r>
          </w:p>
        </w:tc>
      </w:tr>
      <w:tr w:rsidR="007D6E51" w:rsidRPr="007D6E51" w14:paraId="397B247E" w14:textId="6D5C727E" w:rsidTr="00AA4F9C">
        <w:trPr>
          <w:trHeight w:val="340"/>
        </w:trPr>
        <w:tc>
          <w:tcPr>
            <w:tcW w:w="851" w:type="dxa"/>
            <w:vAlign w:val="center"/>
          </w:tcPr>
          <w:p w14:paraId="1F55C006" w14:textId="2433F1FA"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17</w:t>
            </w:r>
          </w:p>
        </w:tc>
        <w:tc>
          <w:tcPr>
            <w:tcW w:w="2268" w:type="dxa"/>
            <w:vAlign w:val="center"/>
          </w:tcPr>
          <w:p w14:paraId="37B47A66" w14:textId="14E5FBDE"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Brown et al., (2013)</w:t>
            </w:r>
          </w:p>
        </w:tc>
        <w:tc>
          <w:tcPr>
            <w:tcW w:w="1417" w:type="dxa"/>
            <w:vAlign w:val="center"/>
          </w:tcPr>
          <w:p w14:paraId="21C87B31" w14:textId="3349D83B"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176</w:t>
            </w:r>
          </w:p>
        </w:tc>
        <w:tc>
          <w:tcPr>
            <w:tcW w:w="1134" w:type="dxa"/>
            <w:vAlign w:val="center"/>
          </w:tcPr>
          <w:p w14:paraId="232ABC01" w14:textId="18E8542D"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14</w:t>
            </w:r>
          </w:p>
        </w:tc>
        <w:tc>
          <w:tcPr>
            <w:tcW w:w="3350" w:type="dxa"/>
            <w:vAlign w:val="center"/>
          </w:tcPr>
          <w:p w14:paraId="0EA13786" w14:textId="1E7D40FF" w:rsidR="007D6E51" w:rsidRPr="001F76DC" w:rsidRDefault="00AF502D"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Randomised controlled study</w:t>
            </w:r>
          </w:p>
        </w:tc>
      </w:tr>
      <w:tr w:rsidR="007D6E51" w:rsidRPr="007D6E51" w14:paraId="38C0161A" w14:textId="59DBCAF2" w:rsidTr="00AA4F9C">
        <w:trPr>
          <w:trHeight w:val="340"/>
        </w:trPr>
        <w:tc>
          <w:tcPr>
            <w:tcW w:w="851" w:type="dxa"/>
            <w:vAlign w:val="center"/>
          </w:tcPr>
          <w:p w14:paraId="3C192CBB" w14:textId="07F43A3A"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18</w:t>
            </w:r>
          </w:p>
        </w:tc>
        <w:tc>
          <w:tcPr>
            <w:tcW w:w="2268" w:type="dxa"/>
            <w:vAlign w:val="center"/>
          </w:tcPr>
          <w:p w14:paraId="2CD5E777" w14:textId="793A854A"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Farmer et al., (201</w:t>
            </w:r>
            <w:r w:rsidR="00877DA3" w:rsidRPr="001F76DC">
              <w:rPr>
                <w:rFonts w:ascii="Arial" w:hAnsi="Arial" w:cs="Arial"/>
                <w:sz w:val="18"/>
                <w:szCs w:val="18"/>
                <w:lang w:val="en-US"/>
              </w:rPr>
              <w:t>7</w:t>
            </w:r>
            <w:r w:rsidRPr="001F76DC">
              <w:rPr>
                <w:rFonts w:ascii="Arial" w:hAnsi="Arial" w:cs="Arial"/>
                <w:sz w:val="18"/>
                <w:szCs w:val="18"/>
                <w:lang w:val="en-US"/>
              </w:rPr>
              <w:t>)</w:t>
            </w:r>
          </w:p>
        </w:tc>
        <w:tc>
          <w:tcPr>
            <w:tcW w:w="1417" w:type="dxa"/>
            <w:vAlign w:val="center"/>
          </w:tcPr>
          <w:p w14:paraId="251D786E" w14:textId="35D397FD"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68</w:t>
            </w:r>
          </w:p>
        </w:tc>
        <w:tc>
          <w:tcPr>
            <w:tcW w:w="1134" w:type="dxa"/>
            <w:vAlign w:val="center"/>
          </w:tcPr>
          <w:p w14:paraId="76A1D046" w14:textId="117A990F"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8</w:t>
            </w:r>
          </w:p>
        </w:tc>
        <w:tc>
          <w:tcPr>
            <w:tcW w:w="3350" w:type="dxa"/>
            <w:vAlign w:val="center"/>
          </w:tcPr>
          <w:p w14:paraId="600599C0" w14:textId="615D2852" w:rsidR="007D6E51" w:rsidRPr="001F76DC" w:rsidRDefault="00877DA3"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Process-outcome study</w:t>
            </w:r>
          </w:p>
        </w:tc>
      </w:tr>
      <w:tr w:rsidR="007D6E51" w:rsidRPr="007D6E51" w14:paraId="470F347B" w14:textId="51E853E9" w:rsidTr="00AA4F9C">
        <w:trPr>
          <w:trHeight w:val="340"/>
        </w:trPr>
        <w:tc>
          <w:tcPr>
            <w:tcW w:w="851" w:type="dxa"/>
            <w:vAlign w:val="center"/>
          </w:tcPr>
          <w:p w14:paraId="17194F1B" w14:textId="2817D18B"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19</w:t>
            </w:r>
          </w:p>
        </w:tc>
        <w:tc>
          <w:tcPr>
            <w:tcW w:w="2268" w:type="dxa"/>
            <w:vAlign w:val="center"/>
          </w:tcPr>
          <w:p w14:paraId="40FC6E63" w14:textId="01F3D7A6"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Laska et al., (2013)</w:t>
            </w:r>
          </w:p>
        </w:tc>
        <w:tc>
          <w:tcPr>
            <w:tcW w:w="1417" w:type="dxa"/>
            <w:vAlign w:val="center"/>
          </w:tcPr>
          <w:p w14:paraId="2F23B2EB" w14:textId="693B22DD"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192</w:t>
            </w:r>
          </w:p>
        </w:tc>
        <w:tc>
          <w:tcPr>
            <w:tcW w:w="1134" w:type="dxa"/>
            <w:vAlign w:val="center"/>
          </w:tcPr>
          <w:p w14:paraId="0793AAE1" w14:textId="77EB456D"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25</w:t>
            </w:r>
          </w:p>
        </w:tc>
        <w:tc>
          <w:tcPr>
            <w:tcW w:w="3350" w:type="dxa"/>
            <w:vAlign w:val="center"/>
          </w:tcPr>
          <w:p w14:paraId="58E7E078" w14:textId="7BB67AE6" w:rsidR="007D6E51"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Therapist effects study</w:t>
            </w:r>
          </w:p>
        </w:tc>
      </w:tr>
      <w:tr w:rsidR="007D6E51" w:rsidRPr="007D6E51" w14:paraId="49F23771" w14:textId="529B38BB" w:rsidTr="00AA4F9C">
        <w:trPr>
          <w:trHeight w:val="340"/>
        </w:trPr>
        <w:tc>
          <w:tcPr>
            <w:tcW w:w="851" w:type="dxa"/>
            <w:vAlign w:val="center"/>
          </w:tcPr>
          <w:p w14:paraId="6CC16EB7" w14:textId="73751792"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20</w:t>
            </w:r>
          </w:p>
        </w:tc>
        <w:tc>
          <w:tcPr>
            <w:tcW w:w="2268" w:type="dxa"/>
            <w:vAlign w:val="center"/>
          </w:tcPr>
          <w:p w14:paraId="53C15B7D" w14:textId="2693162A"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Boswell et al., (2013)</w:t>
            </w:r>
          </w:p>
        </w:tc>
        <w:tc>
          <w:tcPr>
            <w:tcW w:w="1417" w:type="dxa"/>
            <w:vAlign w:val="center"/>
          </w:tcPr>
          <w:p w14:paraId="3BDFB1BD" w14:textId="34E375D0"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226</w:t>
            </w:r>
          </w:p>
        </w:tc>
        <w:tc>
          <w:tcPr>
            <w:tcW w:w="1134" w:type="dxa"/>
            <w:vAlign w:val="center"/>
          </w:tcPr>
          <w:p w14:paraId="0FB265A5" w14:textId="41825295"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21</w:t>
            </w:r>
          </w:p>
        </w:tc>
        <w:tc>
          <w:tcPr>
            <w:tcW w:w="3350" w:type="dxa"/>
            <w:vAlign w:val="center"/>
          </w:tcPr>
          <w:p w14:paraId="27DC2F4F" w14:textId="0E3F5361" w:rsidR="007D6E51" w:rsidRPr="001F76DC" w:rsidRDefault="001C302E"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Correlation study</w:t>
            </w:r>
          </w:p>
        </w:tc>
      </w:tr>
      <w:tr w:rsidR="007D6E51" w:rsidRPr="007D6E51" w14:paraId="41193E03" w14:textId="450FA737" w:rsidTr="00AA4F9C">
        <w:trPr>
          <w:trHeight w:val="340"/>
        </w:trPr>
        <w:tc>
          <w:tcPr>
            <w:tcW w:w="851" w:type="dxa"/>
            <w:vAlign w:val="center"/>
          </w:tcPr>
          <w:p w14:paraId="5C4466B4" w14:textId="6223D588"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21</w:t>
            </w:r>
          </w:p>
        </w:tc>
        <w:tc>
          <w:tcPr>
            <w:tcW w:w="2268" w:type="dxa"/>
            <w:vAlign w:val="center"/>
          </w:tcPr>
          <w:p w14:paraId="4724F47C" w14:textId="6AC86186"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Shaw et al., (1999)</w:t>
            </w:r>
          </w:p>
        </w:tc>
        <w:tc>
          <w:tcPr>
            <w:tcW w:w="1417" w:type="dxa"/>
            <w:vAlign w:val="center"/>
          </w:tcPr>
          <w:p w14:paraId="6FC424DE" w14:textId="04AC01D2"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40</w:t>
            </w:r>
          </w:p>
        </w:tc>
        <w:tc>
          <w:tcPr>
            <w:tcW w:w="1134" w:type="dxa"/>
            <w:vAlign w:val="center"/>
          </w:tcPr>
          <w:p w14:paraId="52C74119" w14:textId="55CE8F95"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8</w:t>
            </w:r>
          </w:p>
        </w:tc>
        <w:tc>
          <w:tcPr>
            <w:tcW w:w="3350" w:type="dxa"/>
            <w:vAlign w:val="center"/>
          </w:tcPr>
          <w:p w14:paraId="048EC7B2" w14:textId="60D155A6" w:rsidR="007D6E51" w:rsidRPr="001F76DC" w:rsidRDefault="00AF502D"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Correlation study</w:t>
            </w:r>
          </w:p>
        </w:tc>
      </w:tr>
      <w:tr w:rsidR="007D6E51" w:rsidRPr="007D6E51" w14:paraId="6BD44BD8" w14:textId="748F9B8D" w:rsidTr="00AA4F9C">
        <w:trPr>
          <w:trHeight w:val="340"/>
        </w:trPr>
        <w:tc>
          <w:tcPr>
            <w:tcW w:w="851" w:type="dxa"/>
            <w:vAlign w:val="center"/>
          </w:tcPr>
          <w:p w14:paraId="44931678" w14:textId="56BA7B9A"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22</w:t>
            </w:r>
          </w:p>
        </w:tc>
        <w:tc>
          <w:tcPr>
            <w:tcW w:w="2268" w:type="dxa"/>
            <w:vAlign w:val="center"/>
          </w:tcPr>
          <w:p w14:paraId="59D1D022" w14:textId="4BD5FC1E"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Horvath et al., (2011)</w:t>
            </w:r>
          </w:p>
        </w:tc>
        <w:tc>
          <w:tcPr>
            <w:tcW w:w="1417" w:type="dxa"/>
            <w:vAlign w:val="center"/>
          </w:tcPr>
          <w:p w14:paraId="612AA0AF" w14:textId="499E34A6"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w:t>
            </w:r>
          </w:p>
        </w:tc>
        <w:tc>
          <w:tcPr>
            <w:tcW w:w="1134" w:type="dxa"/>
            <w:vAlign w:val="center"/>
          </w:tcPr>
          <w:p w14:paraId="3B634ED6" w14:textId="75151919"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w:t>
            </w:r>
          </w:p>
        </w:tc>
        <w:tc>
          <w:tcPr>
            <w:tcW w:w="3350" w:type="dxa"/>
            <w:vAlign w:val="center"/>
          </w:tcPr>
          <w:p w14:paraId="444F70A6" w14:textId="4B152244" w:rsidR="007D6E51" w:rsidRPr="001F76DC" w:rsidRDefault="00877DA3"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Meta</w:t>
            </w:r>
            <w:r w:rsidR="00030708" w:rsidRPr="001F76DC">
              <w:rPr>
                <w:rFonts w:ascii="Arial" w:hAnsi="Arial" w:cs="Arial"/>
                <w:sz w:val="18"/>
                <w:szCs w:val="18"/>
                <w:lang w:val="en-US"/>
              </w:rPr>
              <w:t>-</w:t>
            </w:r>
            <w:r w:rsidRPr="001F76DC">
              <w:rPr>
                <w:rFonts w:ascii="Arial" w:hAnsi="Arial" w:cs="Arial"/>
                <w:sz w:val="18"/>
                <w:szCs w:val="18"/>
                <w:lang w:val="en-US"/>
              </w:rPr>
              <w:t>analysis</w:t>
            </w:r>
          </w:p>
        </w:tc>
      </w:tr>
      <w:tr w:rsidR="007D6E51" w:rsidRPr="007D6E51" w14:paraId="0589EC7D" w14:textId="36A17708" w:rsidTr="00AA4F9C">
        <w:trPr>
          <w:trHeight w:val="340"/>
        </w:trPr>
        <w:tc>
          <w:tcPr>
            <w:tcW w:w="851" w:type="dxa"/>
            <w:vAlign w:val="center"/>
          </w:tcPr>
          <w:p w14:paraId="3B523655" w14:textId="5A70F0B8"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23</w:t>
            </w:r>
          </w:p>
        </w:tc>
        <w:tc>
          <w:tcPr>
            <w:tcW w:w="2268" w:type="dxa"/>
            <w:vAlign w:val="center"/>
          </w:tcPr>
          <w:p w14:paraId="5BFB2C53" w14:textId="289806EF"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Chow et al., (2015)</w:t>
            </w:r>
          </w:p>
        </w:tc>
        <w:tc>
          <w:tcPr>
            <w:tcW w:w="1417" w:type="dxa"/>
            <w:vAlign w:val="center"/>
          </w:tcPr>
          <w:p w14:paraId="4DE05700" w14:textId="5C0BD358"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1632</w:t>
            </w:r>
          </w:p>
        </w:tc>
        <w:tc>
          <w:tcPr>
            <w:tcW w:w="1134" w:type="dxa"/>
            <w:vAlign w:val="center"/>
          </w:tcPr>
          <w:p w14:paraId="32767597" w14:textId="3E85412E" w:rsidR="007D6E51" w:rsidRPr="001F76DC" w:rsidRDefault="007D6E51"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17</w:t>
            </w:r>
          </w:p>
        </w:tc>
        <w:tc>
          <w:tcPr>
            <w:tcW w:w="3350" w:type="dxa"/>
            <w:vAlign w:val="center"/>
          </w:tcPr>
          <w:p w14:paraId="6B6048DE" w14:textId="16C53511" w:rsidR="007D6E51" w:rsidRPr="001F76DC" w:rsidRDefault="00877DA3"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Therapist effects study</w:t>
            </w:r>
          </w:p>
        </w:tc>
      </w:tr>
      <w:tr w:rsidR="00A211FA" w:rsidRPr="007D6E51" w14:paraId="18CAC616" w14:textId="67D85A1E" w:rsidTr="00AA4F9C">
        <w:trPr>
          <w:trHeight w:val="340"/>
        </w:trPr>
        <w:tc>
          <w:tcPr>
            <w:tcW w:w="851" w:type="dxa"/>
            <w:vAlign w:val="center"/>
          </w:tcPr>
          <w:p w14:paraId="2ED5A2CA" w14:textId="6F66D877"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24</w:t>
            </w:r>
          </w:p>
        </w:tc>
        <w:tc>
          <w:tcPr>
            <w:tcW w:w="2268" w:type="dxa"/>
            <w:vAlign w:val="center"/>
          </w:tcPr>
          <w:p w14:paraId="54D2DD46" w14:textId="54340949"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Keen &amp; Freeston (2008)</w:t>
            </w:r>
          </w:p>
        </w:tc>
        <w:tc>
          <w:tcPr>
            <w:tcW w:w="1417" w:type="dxa"/>
            <w:vAlign w:val="center"/>
          </w:tcPr>
          <w:p w14:paraId="387FA19E" w14:textId="3B1DF85E"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52</w:t>
            </w:r>
          </w:p>
        </w:tc>
        <w:tc>
          <w:tcPr>
            <w:tcW w:w="1134" w:type="dxa"/>
            <w:vAlign w:val="center"/>
          </w:tcPr>
          <w:p w14:paraId="1368066A" w14:textId="07CE05E5"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5</w:t>
            </w:r>
          </w:p>
        </w:tc>
        <w:tc>
          <w:tcPr>
            <w:tcW w:w="3350" w:type="dxa"/>
            <w:vAlign w:val="center"/>
          </w:tcPr>
          <w:p w14:paraId="72061945" w14:textId="6825F1EB"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Naturalistic observational cohort study (CBT trainees)</w:t>
            </w:r>
          </w:p>
        </w:tc>
      </w:tr>
      <w:tr w:rsidR="00A211FA" w:rsidRPr="007D6E51" w14:paraId="24FFBB5A" w14:textId="6F046D3D" w:rsidTr="00AA4F9C">
        <w:trPr>
          <w:trHeight w:val="340"/>
        </w:trPr>
        <w:tc>
          <w:tcPr>
            <w:tcW w:w="851" w:type="dxa"/>
            <w:vAlign w:val="center"/>
          </w:tcPr>
          <w:p w14:paraId="5577C6C1" w14:textId="12D3935B"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25</w:t>
            </w:r>
          </w:p>
        </w:tc>
        <w:tc>
          <w:tcPr>
            <w:tcW w:w="2268" w:type="dxa"/>
            <w:vAlign w:val="center"/>
          </w:tcPr>
          <w:p w14:paraId="6F10D00C" w14:textId="3DFDC602"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Llewelyn &amp; Hardy (2001)</w:t>
            </w:r>
          </w:p>
        </w:tc>
        <w:tc>
          <w:tcPr>
            <w:tcW w:w="1417" w:type="dxa"/>
            <w:vAlign w:val="center"/>
          </w:tcPr>
          <w:p w14:paraId="730A58D0" w14:textId="27418AA9"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w:t>
            </w:r>
          </w:p>
        </w:tc>
        <w:tc>
          <w:tcPr>
            <w:tcW w:w="1134" w:type="dxa"/>
            <w:vAlign w:val="center"/>
          </w:tcPr>
          <w:p w14:paraId="6EFE1886" w14:textId="49477F64"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w:t>
            </w:r>
          </w:p>
        </w:tc>
        <w:tc>
          <w:tcPr>
            <w:tcW w:w="3350" w:type="dxa"/>
            <w:vAlign w:val="center"/>
          </w:tcPr>
          <w:p w14:paraId="17DFC30F" w14:textId="68D98542" w:rsidR="00A211FA" w:rsidRPr="001F76DC" w:rsidRDefault="00877DA3"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Literature review</w:t>
            </w:r>
          </w:p>
        </w:tc>
      </w:tr>
      <w:tr w:rsidR="00A211FA" w:rsidRPr="007D6E51" w14:paraId="7C3E33BE" w14:textId="7E4AE0B3" w:rsidTr="00AA4F9C">
        <w:trPr>
          <w:trHeight w:val="340"/>
        </w:trPr>
        <w:tc>
          <w:tcPr>
            <w:tcW w:w="851" w:type="dxa"/>
            <w:vAlign w:val="center"/>
          </w:tcPr>
          <w:p w14:paraId="78D8C1C9" w14:textId="04EB24A5"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26</w:t>
            </w:r>
          </w:p>
        </w:tc>
        <w:tc>
          <w:tcPr>
            <w:tcW w:w="2268" w:type="dxa"/>
            <w:vAlign w:val="center"/>
          </w:tcPr>
          <w:p w14:paraId="2E8F4584" w14:textId="0F179936"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Gyanni et al., (2013)</w:t>
            </w:r>
          </w:p>
        </w:tc>
        <w:tc>
          <w:tcPr>
            <w:tcW w:w="1417" w:type="dxa"/>
            <w:vAlign w:val="center"/>
          </w:tcPr>
          <w:p w14:paraId="496A986B" w14:textId="583FC4E7"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“up to” 19395</w:t>
            </w:r>
          </w:p>
        </w:tc>
        <w:tc>
          <w:tcPr>
            <w:tcW w:w="1134" w:type="dxa"/>
            <w:vAlign w:val="center"/>
          </w:tcPr>
          <w:p w14:paraId="196614F1" w14:textId="075DF9AB"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Not stated</w:t>
            </w:r>
          </w:p>
        </w:tc>
        <w:tc>
          <w:tcPr>
            <w:tcW w:w="3350" w:type="dxa"/>
            <w:vAlign w:val="center"/>
          </w:tcPr>
          <w:p w14:paraId="199B3375" w14:textId="58FB568E"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Naturalistic observational cohort study</w:t>
            </w:r>
          </w:p>
        </w:tc>
      </w:tr>
      <w:tr w:rsidR="00A211FA" w:rsidRPr="007D6E51" w14:paraId="1D43A239" w14:textId="7211CFDD" w:rsidTr="00AA4F9C">
        <w:trPr>
          <w:trHeight w:val="340"/>
        </w:trPr>
        <w:tc>
          <w:tcPr>
            <w:tcW w:w="851" w:type="dxa"/>
            <w:vAlign w:val="center"/>
          </w:tcPr>
          <w:p w14:paraId="02391801" w14:textId="1B8A0175"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27</w:t>
            </w:r>
          </w:p>
        </w:tc>
        <w:tc>
          <w:tcPr>
            <w:tcW w:w="2268" w:type="dxa"/>
            <w:vAlign w:val="center"/>
          </w:tcPr>
          <w:p w14:paraId="635A84F3" w14:textId="32EE5DDC"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Tracy &amp; Wampold (2014)</w:t>
            </w:r>
          </w:p>
        </w:tc>
        <w:tc>
          <w:tcPr>
            <w:tcW w:w="1417" w:type="dxa"/>
            <w:vAlign w:val="center"/>
          </w:tcPr>
          <w:p w14:paraId="22AB4D07" w14:textId="06D0B9D0"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w:t>
            </w:r>
          </w:p>
        </w:tc>
        <w:tc>
          <w:tcPr>
            <w:tcW w:w="1134" w:type="dxa"/>
            <w:vAlign w:val="center"/>
          </w:tcPr>
          <w:p w14:paraId="20B6BB7E" w14:textId="107524C0"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w:t>
            </w:r>
          </w:p>
        </w:tc>
        <w:tc>
          <w:tcPr>
            <w:tcW w:w="3350" w:type="dxa"/>
            <w:vAlign w:val="center"/>
          </w:tcPr>
          <w:p w14:paraId="3060529D" w14:textId="581DE982" w:rsidR="00A211FA" w:rsidRPr="001F76DC" w:rsidRDefault="00877DA3"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Literature review</w:t>
            </w:r>
          </w:p>
        </w:tc>
      </w:tr>
      <w:tr w:rsidR="00A211FA" w:rsidRPr="007D6E51" w14:paraId="34CB6617" w14:textId="7A4E184A" w:rsidTr="00AA4F9C">
        <w:trPr>
          <w:trHeight w:val="340"/>
        </w:trPr>
        <w:tc>
          <w:tcPr>
            <w:tcW w:w="851" w:type="dxa"/>
            <w:vAlign w:val="center"/>
          </w:tcPr>
          <w:p w14:paraId="4D44EED5" w14:textId="35A288DA"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28</w:t>
            </w:r>
          </w:p>
        </w:tc>
        <w:tc>
          <w:tcPr>
            <w:tcW w:w="2268" w:type="dxa"/>
            <w:vAlign w:val="center"/>
          </w:tcPr>
          <w:p w14:paraId="688B3047" w14:textId="152EFBD4"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 xml:space="preserve">Kingdon </w:t>
            </w:r>
            <w:r w:rsidR="001C302E" w:rsidRPr="001F76DC">
              <w:rPr>
                <w:rFonts w:ascii="Arial" w:hAnsi="Arial" w:cs="Arial"/>
                <w:sz w:val="18"/>
                <w:szCs w:val="18"/>
                <w:lang w:val="en-US"/>
              </w:rPr>
              <w:t>et al.,</w:t>
            </w:r>
            <w:r w:rsidRPr="001F76DC">
              <w:rPr>
                <w:rFonts w:ascii="Arial" w:hAnsi="Arial" w:cs="Arial"/>
                <w:sz w:val="18"/>
                <w:szCs w:val="18"/>
                <w:lang w:val="en-US"/>
              </w:rPr>
              <w:t xml:space="preserve"> (1996)</w:t>
            </w:r>
          </w:p>
        </w:tc>
        <w:tc>
          <w:tcPr>
            <w:tcW w:w="1417" w:type="dxa"/>
            <w:vAlign w:val="center"/>
          </w:tcPr>
          <w:p w14:paraId="3EC7F7E6" w14:textId="5CD8E90B"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70</w:t>
            </w:r>
          </w:p>
        </w:tc>
        <w:tc>
          <w:tcPr>
            <w:tcW w:w="1134" w:type="dxa"/>
            <w:vAlign w:val="center"/>
          </w:tcPr>
          <w:p w14:paraId="187DFFCF" w14:textId="7B9B6980"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30</w:t>
            </w:r>
          </w:p>
        </w:tc>
        <w:tc>
          <w:tcPr>
            <w:tcW w:w="3350" w:type="dxa"/>
            <w:vAlign w:val="center"/>
          </w:tcPr>
          <w:p w14:paraId="2106C51F" w14:textId="33D5F7D5" w:rsidR="00A211FA" w:rsidRPr="001F76DC" w:rsidRDefault="001C302E"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Correlation study</w:t>
            </w:r>
          </w:p>
        </w:tc>
      </w:tr>
      <w:tr w:rsidR="00A211FA" w:rsidRPr="007D6E51" w14:paraId="635FD63B" w14:textId="1BC50204" w:rsidTr="00AA4F9C">
        <w:trPr>
          <w:trHeight w:val="340"/>
        </w:trPr>
        <w:tc>
          <w:tcPr>
            <w:tcW w:w="851" w:type="dxa"/>
            <w:vAlign w:val="center"/>
          </w:tcPr>
          <w:p w14:paraId="210F342A" w14:textId="4FBBFF8B"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29</w:t>
            </w:r>
          </w:p>
        </w:tc>
        <w:tc>
          <w:tcPr>
            <w:tcW w:w="2268" w:type="dxa"/>
            <w:vAlign w:val="center"/>
          </w:tcPr>
          <w:p w14:paraId="5F50E19C" w14:textId="0EC09A1D"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Schmidt et al., (2018)</w:t>
            </w:r>
          </w:p>
        </w:tc>
        <w:tc>
          <w:tcPr>
            <w:tcW w:w="1417" w:type="dxa"/>
            <w:vAlign w:val="center"/>
          </w:tcPr>
          <w:p w14:paraId="3CEBF9E9" w14:textId="0DE50D00"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6</w:t>
            </w:r>
          </w:p>
        </w:tc>
        <w:tc>
          <w:tcPr>
            <w:tcW w:w="1134" w:type="dxa"/>
            <w:vAlign w:val="center"/>
          </w:tcPr>
          <w:p w14:paraId="43DF2A20" w14:textId="273070E6"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6</w:t>
            </w:r>
          </w:p>
        </w:tc>
        <w:tc>
          <w:tcPr>
            <w:tcW w:w="3350" w:type="dxa"/>
            <w:vAlign w:val="center"/>
          </w:tcPr>
          <w:p w14:paraId="6FEB1F6E" w14:textId="05E0CBB4"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Pilot study</w:t>
            </w:r>
          </w:p>
        </w:tc>
      </w:tr>
      <w:tr w:rsidR="00A211FA" w:rsidRPr="007D6E51" w14:paraId="14410FC9" w14:textId="2A219FD8" w:rsidTr="00AA4F9C">
        <w:trPr>
          <w:trHeight w:val="340"/>
        </w:trPr>
        <w:tc>
          <w:tcPr>
            <w:tcW w:w="851" w:type="dxa"/>
            <w:vAlign w:val="center"/>
          </w:tcPr>
          <w:p w14:paraId="5CA4D74E" w14:textId="462CDDDC"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30</w:t>
            </w:r>
          </w:p>
        </w:tc>
        <w:tc>
          <w:tcPr>
            <w:tcW w:w="2268" w:type="dxa"/>
            <w:vAlign w:val="center"/>
          </w:tcPr>
          <w:p w14:paraId="3AE4BDAD" w14:textId="00EB075E"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Ricks (1974)</w:t>
            </w:r>
          </w:p>
        </w:tc>
        <w:tc>
          <w:tcPr>
            <w:tcW w:w="1417" w:type="dxa"/>
            <w:vAlign w:val="center"/>
          </w:tcPr>
          <w:p w14:paraId="744D76BA" w14:textId="6026F4DF"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Not stated</w:t>
            </w:r>
          </w:p>
        </w:tc>
        <w:tc>
          <w:tcPr>
            <w:tcW w:w="1134" w:type="dxa"/>
            <w:vAlign w:val="center"/>
          </w:tcPr>
          <w:p w14:paraId="5AD0B874" w14:textId="538649AF"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2</w:t>
            </w:r>
          </w:p>
        </w:tc>
        <w:tc>
          <w:tcPr>
            <w:tcW w:w="3350" w:type="dxa"/>
            <w:vAlign w:val="center"/>
          </w:tcPr>
          <w:p w14:paraId="66FDF610" w14:textId="529B3A2C"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Case study</w:t>
            </w:r>
          </w:p>
        </w:tc>
      </w:tr>
      <w:tr w:rsidR="00A211FA" w:rsidRPr="007D6E51" w14:paraId="18B6639D" w14:textId="37D5A06D" w:rsidTr="00AA4F9C">
        <w:trPr>
          <w:trHeight w:val="340"/>
        </w:trPr>
        <w:tc>
          <w:tcPr>
            <w:tcW w:w="851" w:type="dxa"/>
            <w:vAlign w:val="center"/>
          </w:tcPr>
          <w:p w14:paraId="6183259D" w14:textId="6598E118"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31</w:t>
            </w:r>
          </w:p>
        </w:tc>
        <w:tc>
          <w:tcPr>
            <w:tcW w:w="2268" w:type="dxa"/>
            <w:vAlign w:val="center"/>
          </w:tcPr>
          <w:p w14:paraId="7F46E31B" w14:textId="01C1F76B"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Elkin et al.,</w:t>
            </w:r>
          </w:p>
        </w:tc>
        <w:tc>
          <w:tcPr>
            <w:tcW w:w="1417" w:type="dxa"/>
            <w:vAlign w:val="center"/>
          </w:tcPr>
          <w:p w14:paraId="5D83724D" w14:textId="756A78C0"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119</w:t>
            </w:r>
          </w:p>
        </w:tc>
        <w:tc>
          <w:tcPr>
            <w:tcW w:w="1134" w:type="dxa"/>
            <w:vAlign w:val="center"/>
          </w:tcPr>
          <w:p w14:paraId="16C4D89B" w14:textId="7F719F6C"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17</w:t>
            </w:r>
          </w:p>
        </w:tc>
        <w:tc>
          <w:tcPr>
            <w:tcW w:w="3350" w:type="dxa"/>
            <w:vAlign w:val="center"/>
          </w:tcPr>
          <w:p w14:paraId="19783C8F" w14:textId="698FB683" w:rsidR="00A211FA" w:rsidRPr="001F76DC" w:rsidRDefault="00A211FA" w:rsidP="008F6585">
            <w:pPr>
              <w:widowControl w:val="0"/>
              <w:autoSpaceDE w:val="0"/>
              <w:autoSpaceDN w:val="0"/>
              <w:adjustRightInd w:val="0"/>
              <w:rPr>
                <w:rFonts w:ascii="Arial" w:hAnsi="Arial" w:cs="Arial"/>
                <w:sz w:val="18"/>
                <w:szCs w:val="18"/>
                <w:lang w:val="en-US"/>
              </w:rPr>
            </w:pPr>
            <w:r w:rsidRPr="001F76DC">
              <w:rPr>
                <w:rFonts w:ascii="Arial" w:hAnsi="Arial" w:cs="Arial"/>
                <w:sz w:val="18"/>
                <w:szCs w:val="18"/>
                <w:lang w:val="en-US"/>
              </w:rPr>
              <w:t>Therapist effects</w:t>
            </w:r>
          </w:p>
        </w:tc>
      </w:tr>
    </w:tbl>
    <w:p w14:paraId="4BB2F3F1" w14:textId="77777777" w:rsidR="00365540" w:rsidRDefault="00365540" w:rsidP="00EA08A3">
      <w:pPr>
        <w:widowControl w:val="0"/>
        <w:autoSpaceDE w:val="0"/>
        <w:autoSpaceDN w:val="0"/>
        <w:adjustRightInd w:val="0"/>
        <w:spacing w:after="240" w:line="480" w:lineRule="auto"/>
        <w:rPr>
          <w:rFonts w:ascii="Arial" w:hAnsi="Arial" w:cs="Arial"/>
          <w:sz w:val="22"/>
          <w:szCs w:val="22"/>
          <w:lang w:val="en-US"/>
        </w:rPr>
      </w:pPr>
    </w:p>
    <w:p w14:paraId="28787A2C" w14:textId="77777777" w:rsidR="00AA4F9C" w:rsidRDefault="00EA08A3" w:rsidP="00EA08A3">
      <w:pPr>
        <w:widowControl w:val="0"/>
        <w:autoSpaceDE w:val="0"/>
        <w:autoSpaceDN w:val="0"/>
        <w:adjustRightInd w:val="0"/>
        <w:spacing w:after="240" w:line="480" w:lineRule="auto"/>
        <w:rPr>
          <w:rFonts w:ascii="Arial" w:hAnsi="Arial" w:cs="Arial"/>
          <w:sz w:val="22"/>
          <w:szCs w:val="22"/>
          <w:lang w:val="en-US"/>
        </w:rPr>
      </w:pPr>
      <w:r w:rsidRPr="00C4077E">
        <w:rPr>
          <w:rFonts w:ascii="Arial" w:hAnsi="Arial" w:cs="Arial"/>
          <w:sz w:val="22"/>
          <w:szCs w:val="22"/>
          <w:lang w:val="en-US"/>
        </w:rPr>
        <w:t xml:space="preserve"> </w:t>
      </w:r>
    </w:p>
    <w:p w14:paraId="0D3D05EC" w14:textId="77777777" w:rsidR="00AA4F9C" w:rsidRDefault="00AA4F9C">
      <w:pPr>
        <w:rPr>
          <w:rFonts w:ascii="Arial" w:hAnsi="Arial" w:cs="Arial"/>
          <w:sz w:val="22"/>
          <w:szCs w:val="22"/>
          <w:lang w:val="en-US"/>
        </w:rPr>
      </w:pPr>
      <w:r>
        <w:rPr>
          <w:rFonts w:ascii="Arial" w:hAnsi="Arial" w:cs="Arial"/>
          <w:sz w:val="22"/>
          <w:szCs w:val="22"/>
          <w:lang w:val="en-US"/>
        </w:rPr>
        <w:br w:type="page"/>
      </w:r>
    </w:p>
    <w:p w14:paraId="059346F4" w14:textId="6B596605" w:rsidR="00AB6933" w:rsidRDefault="00B96399" w:rsidP="00EA08A3">
      <w:pPr>
        <w:widowControl w:val="0"/>
        <w:autoSpaceDE w:val="0"/>
        <w:autoSpaceDN w:val="0"/>
        <w:adjustRightInd w:val="0"/>
        <w:spacing w:after="240" w:line="480" w:lineRule="auto"/>
        <w:rPr>
          <w:rFonts w:ascii="Arial" w:hAnsi="Arial" w:cs="Arial"/>
          <w:sz w:val="22"/>
          <w:szCs w:val="22"/>
          <w:lang w:val="en-US"/>
        </w:rPr>
      </w:pPr>
      <w:r>
        <w:rPr>
          <w:rFonts w:ascii="Arial" w:hAnsi="Arial" w:cs="Arial"/>
          <w:sz w:val="22"/>
          <w:szCs w:val="22"/>
          <w:lang w:val="en-US"/>
        </w:rPr>
        <w:lastRenderedPageBreak/>
        <w:t>Additionally, meta-analyses of therapist effects studies have estimated that between 3</w:t>
      </w:r>
      <w:r w:rsidR="00D1400D">
        <w:rPr>
          <w:rFonts w:ascii="Arial" w:hAnsi="Arial" w:cs="Arial"/>
          <w:sz w:val="22"/>
          <w:szCs w:val="22"/>
          <w:lang w:val="en-US"/>
        </w:rPr>
        <w:t>%</w:t>
      </w:r>
      <w:r>
        <w:rPr>
          <w:rFonts w:ascii="Arial" w:hAnsi="Arial" w:cs="Arial"/>
          <w:sz w:val="22"/>
          <w:szCs w:val="22"/>
          <w:lang w:val="en-US"/>
        </w:rPr>
        <w:t xml:space="preserve"> and 8% of variance in outcome is due to random therapist effects. Random therapist effects have been defined as the effect of all therapist variables (e.g</w:t>
      </w:r>
      <w:r w:rsidR="00ED2602">
        <w:rPr>
          <w:rFonts w:ascii="Arial" w:hAnsi="Arial" w:cs="Arial"/>
          <w:sz w:val="22"/>
          <w:szCs w:val="22"/>
          <w:lang w:val="en-US"/>
        </w:rPr>
        <w:t>.</w:t>
      </w:r>
      <w:r>
        <w:rPr>
          <w:rFonts w:ascii="Arial" w:hAnsi="Arial" w:cs="Arial"/>
          <w:sz w:val="22"/>
          <w:szCs w:val="22"/>
          <w:lang w:val="en-US"/>
        </w:rPr>
        <w:t xml:space="preserve"> therapist demographics, competence, adherence, ability to maintain a therapeutic relationship and other therapist qualities). Whilst the impact of therapist variance on patient outcomes is of significant concern</w:t>
      </w:r>
      <w:r w:rsidR="00D1400D">
        <w:rPr>
          <w:rFonts w:ascii="Arial" w:hAnsi="Arial" w:cs="Arial"/>
          <w:sz w:val="22"/>
          <w:szCs w:val="22"/>
          <w:lang w:val="en-US"/>
        </w:rPr>
        <w:t>,</w:t>
      </w:r>
      <w:r w:rsidR="00AB6933">
        <w:rPr>
          <w:rFonts w:ascii="Arial" w:hAnsi="Arial" w:cs="Arial"/>
          <w:sz w:val="22"/>
          <w:szCs w:val="22"/>
          <w:lang w:val="en-US"/>
        </w:rPr>
        <w:t xml:space="preserve"> and this has motivated research in this area, there are still several unanswered questions in relation to what therapist variables are related to outcome and how might this knowledge be used to improve outcomes for patients. Improving outcomes for patients is one of the aims of the Improving Access to Psychological Therapy (IAPT) programme</w:t>
      </w:r>
      <w:r w:rsidR="00DE20F7">
        <w:rPr>
          <w:rFonts w:ascii="Arial" w:hAnsi="Arial" w:cs="Arial"/>
          <w:sz w:val="22"/>
          <w:szCs w:val="22"/>
          <w:lang w:val="en-US"/>
        </w:rPr>
        <w:t xml:space="preserve"> and</w:t>
      </w:r>
      <w:r w:rsidR="00D1400D">
        <w:rPr>
          <w:rFonts w:ascii="Arial" w:hAnsi="Arial" w:cs="Arial"/>
          <w:sz w:val="22"/>
          <w:szCs w:val="22"/>
          <w:lang w:val="en-US"/>
        </w:rPr>
        <w:t>,</w:t>
      </w:r>
      <w:r w:rsidR="00DE20F7">
        <w:rPr>
          <w:rFonts w:ascii="Arial" w:hAnsi="Arial" w:cs="Arial"/>
          <w:sz w:val="22"/>
          <w:szCs w:val="22"/>
          <w:lang w:val="en-US"/>
        </w:rPr>
        <w:t xml:space="preserve"> whilst the mean recovery rates for the programme are improving year on year (Clark, 2018)</w:t>
      </w:r>
      <w:r w:rsidR="00D1400D">
        <w:rPr>
          <w:rFonts w:ascii="Arial" w:hAnsi="Arial" w:cs="Arial"/>
          <w:sz w:val="22"/>
          <w:szCs w:val="22"/>
          <w:lang w:val="en-US"/>
        </w:rPr>
        <w:t>,</w:t>
      </w:r>
      <w:r w:rsidR="00DE20F7">
        <w:rPr>
          <w:rFonts w:ascii="Arial" w:hAnsi="Arial" w:cs="Arial"/>
          <w:sz w:val="22"/>
          <w:szCs w:val="22"/>
          <w:lang w:val="en-US"/>
        </w:rPr>
        <w:t xml:space="preserve"> there is a significant variance in outcome with some services reporting recovery rates as low as 8% and others 80%. This is an ongoing concern and the focus of a small but expanding body of research. The following section will discuss a systematic review of the literature relating to therapist variables and their relationship to outcome in High Intensity CBT (step 3) IAPT.</w:t>
      </w:r>
    </w:p>
    <w:p w14:paraId="5FABCAB8" w14:textId="77777777" w:rsidR="00E164C2" w:rsidRPr="00AB6933" w:rsidRDefault="00E164C2" w:rsidP="00E164C2">
      <w:pPr>
        <w:widowControl w:val="0"/>
        <w:autoSpaceDE w:val="0"/>
        <w:autoSpaceDN w:val="0"/>
        <w:adjustRightInd w:val="0"/>
        <w:spacing w:after="240" w:line="480" w:lineRule="auto"/>
        <w:rPr>
          <w:rFonts w:ascii="Arial" w:hAnsi="Arial" w:cs="Arial"/>
          <w:sz w:val="22"/>
          <w:szCs w:val="22"/>
          <w:lang w:val="en-US"/>
        </w:rPr>
      </w:pPr>
    </w:p>
    <w:p w14:paraId="06F83912" w14:textId="7DBDC439" w:rsidR="00EA08A3" w:rsidRDefault="00D3045D" w:rsidP="00D3045D">
      <w:pPr>
        <w:pStyle w:val="Heading2"/>
        <w:spacing w:line="480" w:lineRule="auto"/>
        <w:rPr>
          <w:rFonts w:ascii="Arial" w:hAnsi="Arial" w:cs="Arial"/>
          <w:color w:val="000000" w:themeColor="text1"/>
          <w:sz w:val="22"/>
          <w:szCs w:val="22"/>
          <w:lang w:val="en-US"/>
        </w:rPr>
      </w:pPr>
      <w:bookmarkStart w:id="205" w:name="_Toc46770767"/>
      <w:bookmarkStart w:id="206" w:name="_Toc79414178"/>
      <w:r>
        <w:rPr>
          <w:rFonts w:ascii="Arial" w:hAnsi="Arial" w:cs="Arial"/>
          <w:color w:val="000000" w:themeColor="text1"/>
          <w:sz w:val="22"/>
          <w:szCs w:val="22"/>
          <w:lang w:val="en-US"/>
        </w:rPr>
        <w:t>3.</w:t>
      </w:r>
      <w:r w:rsidR="00441DB8">
        <w:rPr>
          <w:rFonts w:ascii="Arial" w:hAnsi="Arial" w:cs="Arial"/>
          <w:color w:val="000000" w:themeColor="text1"/>
          <w:sz w:val="22"/>
          <w:szCs w:val="22"/>
          <w:lang w:val="en-US"/>
        </w:rPr>
        <w:t>2</w:t>
      </w:r>
      <w:r>
        <w:rPr>
          <w:rFonts w:ascii="Arial" w:hAnsi="Arial" w:cs="Arial"/>
          <w:color w:val="000000" w:themeColor="text1"/>
          <w:sz w:val="22"/>
          <w:szCs w:val="22"/>
          <w:lang w:val="en-US"/>
        </w:rPr>
        <w:t xml:space="preserve"> </w:t>
      </w:r>
      <w:r w:rsidR="00EA08A3">
        <w:rPr>
          <w:rFonts w:ascii="Arial" w:hAnsi="Arial" w:cs="Arial"/>
          <w:color w:val="000000" w:themeColor="text1"/>
          <w:sz w:val="22"/>
          <w:szCs w:val="22"/>
          <w:lang w:val="en-US"/>
        </w:rPr>
        <w:t>SYSTEMATIC</w:t>
      </w:r>
      <w:r w:rsidR="00F70119">
        <w:rPr>
          <w:rFonts w:ascii="Arial" w:hAnsi="Arial" w:cs="Arial"/>
          <w:color w:val="000000" w:themeColor="text1"/>
          <w:sz w:val="22"/>
          <w:szCs w:val="22"/>
          <w:lang w:val="en-US"/>
        </w:rPr>
        <w:t xml:space="preserve"> LITERATURE</w:t>
      </w:r>
      <w:r w:rsidR="00EA08A3">
        <w:rPr>
          <w:rFonts w:ascii="Arial" w:hAnsi="Arial" w:cs="Arial"/>
          <w:color w:val="000000" w:themeColor="text1"/>
          <w:sz w:val="22"/>
          <w:szCs w:val="22"/>
          <w:lang w:val="en-US"/>
        </w:rPr>
        <w:t xml:space="preserve"> REVIEW</w:t>
      </w:r>
      <w:bookmarkEnd w:id="205"/>
      <w:bookmarkEnd w:id="206"/>
    </w:p>
    <w:p w14:paraId="635B65D9" w14:textId="5C8CED41" w:rsidR="00F70119" w:rsidRDefault="00441DB8" w:rsidP="00F70119">
      <w:pPr>
        <w:widowControl w:val="0"/>
        <w:autoSpaceDE w:val="0"/>
        <w:autoSpaceDN w:val="0"/>
        <w:adjustRightInd w:val="0"/>
        <w:spacing w:after="240" w:line="480" w:lineRule="auto"/>
        <w:rPr>
          <w:rFonts w:ascii="Arial" w:hAnsi="Arial" w:cs="Arial"/>
          <w:sz w:val="22"/>
          <w:szCs w:val="22"/>
          <w:lang w:val="en-US"/>
        </w:rPr>
      </w:pPr>
      <w:r>
        <w:rPr>
          <w:rFonts w:ascii="Arial" w:hAnsi="Arial" w:cs="Arial"/>
          <w:sz w:val="22"/>
          <w:szCs w:val="22"/>
          <w:lang w:val="en-US"/>
        </w:rPr>
        <w:t>Having conducted a preliminary scoping review of the wider literature</w:t>
      </w:r>
      <w:r w:rsidR="00D1400D">
        <w:rPr>
          <w:rFonts w:ascii="Arial" w:hAnsi="Arial" w:cs="Arial"/>
          <w:sz w:val="22"/>
          <w:szCs w:val="22"/>
          <w:lang w:val="en-US"/>
        </w:rPr>
        <w:t>,</w:t>
      </w:r>
      <w:r>
        <w:rPr>
          <w:rFonts w:ascii="Arial" w:hAnsi="Arial" w:cs="Arial"/>
          <w:sz w:val="22"/>
          <w:szCs w:val="22"/>
          <w:lang w:val="en-US"/>
        </w:rPr>
        <w:t xml:space="preserve"> t</w:t>
      </w:r>
      <w:r w:rsidR="00F70119" w:rsidRPr="00F70119">
        <w:rPr>
          <w:rFonts w:ascii="Arial" w:hAnsi="Arial" w:cs="Arial"/>
          <w:sz w:val="22"/>
          <w:szCs w:val="22"/>
          <w:lang w:val="en-US"/>
        </w:rPr>
        <w:t xml:space="preserve">he purpose of this systematic literature review </w:t>
      </w:r>
      <w:r>
        <w:rPr>
          <w:rFonts w:ascii="Arial" w:hAnsi="Arial" w:cs="Arial"/>
          <w:sz w:val="22"/>
          <w:szCs w:val="22"/>
          <w:lang w:val="en-US"/>
        </w:rPr>
        <w:t>was</w:t>
      </w:r>
      <w:r w:rsidR="00F70119" w:rsidRPr="00F70119">
        <w:rPr>
          <w:rFonts w:ascii="Arial" w:hAnsi="Arial" w:cs="Arial"/>
          <w:sz w:val="22"/>
          <w:szCs w:val="22"/>
          <w:lang w:val="en-US"/>
        </w:rPr>
        <w:t xml:space="preserve"> to </w:t>
      </w:r>
      <w:r w:rsidR="0053485E">
        <w:rPr>
          <w:rFonts w:ascii="Arial" w:hAnsi="Arial" w:cs="Arial"/>
          <w:sz w:val="22"/>
          <w:szCs w:val="22"/>
          <w:lang w:val="en-US"/>
        </w:rPr>
        <w:t>identify which therapist variables have a statistically si</w:t>
      </w:r>
      <w:r w:rsidR="00AB4512">
        <w:rPr>
          <w:rFonts w:ascii="Arial" w:hAnsi="Arial" w:cs="Arial"/>
          <w:sz w:val="22"/>
          <w:szCs w:val="22"/>
          <w:lang w:val="en-US"/>
        </w:rPr>
        <w:t>gnificant relationship with clinical outcome</w:t>
      </w:r>
      <w:r w:rsidR="00F70119" w:rsidRPr="00F70119">
        <w:rPr>
          <w:rFonts w:ascii="Arial" w:hAnsi="Arial" w:cs="Arial"/>
          <w:sz w:val="22"/>
          <w:szCs w:val="22"/>
          <w:lang w:val="en-US"/>
        </w:rPr>
        <w:t xml:space="preserve"> </w:t>
      </w:r>
      <w:r>
        <w:rPr>
          <w:rFonts w:ascii="Arial" w:hAnsi="Arial" w:cs="Arial"/>
          <w:sz w:val="22"/>
          <w:szCs w:val="22"/>
          <w:lang w:val="en-US"/>
        </w:rPr>
        <w:t xml:space="preserve">specifically </w:t>
      </w:r>
      <w:r w:rsidR="00F70119" w:rsidRPr="00F70119">
        <w:rPr>
          <w:rFonts w:ascii="Arial" w:hAnsi="Arial" w:cs="Arial"/>
          <w:sz w:val="22"/>
          <w:szCs w:val="22"/>
          <w:lang w:val="en-US"/>
        </w:rPr>
        <w:t>in High Intensity cognitive behavioural therapists</w:t>
      </w:r>
      <w:r w:rsidR="00587457">
        <w:rPr>
          <w:rFonts w:ascii="Arial" w:hAnsi="Arial" w:cs="Arial"/>
          <w:sz w:val="22"/>
          <w:szCs w:val="22"/>
          <w:lang w:val="en-US"/>
        </w:rPr>
        <w:t>,</w:t>
      </w:r>
      <w:r w:rsidR="00F70119" w:rsidRPr="00F70119">
        <w:rPr>
          <w:rFonts w:ascii="Arial" w:hAnsi="Arial" w:cs="Arial"/>
          <w:sz w:val="22"/>
          <w:szCs w:val="22"/>
          <w:lang w:val="en-US"/>
        </w:rPr>
        <w:t xml:space="preserve"> </w:t>
      </w:r>
      <w:r w:rsidR="0053485E" w:rsidRPr="00587457">
        <w:rPr>
          <w:rFonts w:ascii="Arial" w:hAnsi="Arial" w:cs="Arial"/>
          <w:sz w:val="22"/>
          <w:szCs w:val="22"/>
          <w:lang w:val="en-US"/>
        </w:rPr>
        <w:t>treating patients at</w:t>
      </w:r>
      <w:r w:rsidR="00F70119" w:rsidRPr="00587457">
        <w:rPr>
          <w:rFonts w:ascii="Arial" w:hAnsi="Arial" w:cs="Arial"/>
          <w:sz w:val="22"/>
          <w:szCs w:val="22"/>
          <w:lang w:val="en-US"/>
        </w:rPr>
        <w:t xml:space="preserve"> step 3</w:t>
      </w:r>
      <w:r w:rsidR="00587457">
        <w:rPr>
          <w:rFonts w:ascii="Arial" w:hAnsi="Arial" w:cs="Arial"/>
          <w:sz w:val="22"/>
          <w:szCs w:val="22"/>
          <w:lang w:val="en-US"/>
        </w:rPr>
        <w:t>,</w:t>
      </w:r>
      <w:r w:rsidR="00F70119" w:rsidRPr="00587457">
        <w:rPr>
          <w:rFonts w:ascii="Arial" w:hAnsi="Arial" w:cs="Arial"/>
          <w:b/>
          <w:bCs/>
          <w:sz w:val="22"/>
          <w:szCs w:val="22"/>
          <w:lang w:val="en-US"/>
        </w:rPr>
        <w:t xml:space="preserve"> </w:t>
      </w:r>
      <w:r w:rsidR="00F70119" w:rsidRPr="00F70119">
        <w:rPr>
          <w:rFonts w:ascii="Arial" w:hAnsi="Arial" w:cs="Arial"/>
          <w:sz w:val="22"/>
          <w:szCs w:val="22"/>
          <w:lang w:val="en-US"/>
        </w:rPr>
        <w:t>in IAPT.</w:t>
      </w:r>
    </w:p>
    <w:p w14:paraId="2576AC7C" w14:textId="77777777" w:rsidR="00E164C2" w:rsidRDefault="00E164C2" w:rsidP="00F70119">
      <w:pPr>
        <w:widowControl w:val="0"/>
        <w:autoSpaceDE w:val="0"/>
        <w:autoSpaceDN w:val="0"/>
        <w:adjustRightInd w:val="0"/>
        <w:spacing w:after="240" w:line="480" w:lineRule="auto"/>
        <w:rPr>
          <w:rFonts w:ascii="Arial" w:hAnsi="Arial" w:cs="Arial"/>
          <w:sz w:val="22"/>
          <w:szCs w:val="22"/>
          <w:lang w:val="en-US"/>
        </w:rPr>
      </w:pPr>
    </w:p>
    <w:p w14:paraId="10266049" w14:textId="34DB5AD6" w:rsidR="00536D30" w:rsidRDefault="00536D30" w:rsidP="00536D30">
      <w:pPr>
        <w:pStyle w:val="Heading3"/>
        <w:rPr>
          <w:rFonts w:cs="Arial"/>
          <w:color w:val="000000" w:themeColor="text1"/>
          <w:szCs w:val="22"/>
          <w:lang w:val="en-US"/>
        </w:rPr>
      </w:pPr>
      <w:bookmarkStart w:id="207" w:name="_Toc46770768"/>
      <w:bookmarkStart w:id="208" w:name="_Toc79414179"/>
      <w:r w:rsidRPr="00536D30">
        <w:rPr>
          <w:rFonts w:cs="Arial"/>
          <w:color w:val="000000" w:themeColor="text1"/>
          <w:szCs w:val="22"/>
          <w:lang w:val="en-US"/>
        </w:rPr>
        <w:t>3.</w:t>
      </w:r>
      <w:r w:rsidR="00441DB8">
        <w:rPr>
          <w:rFonts w:cs="Arial"/>
          <w:color w:val="000000" w:themeColor="text1"/>
          <w:szCs w:val="22"/>
          <w:lang w:val="en-US"/>
        </w:rPr>
        <w:t>2</w:t>
      </w:r>
      <w:r w:rsidRPr="00536D30">
        <w:rPr>
          <w:rFonts w:cs="Arial"/>
          <w:color w:val="000000" w:themeColor="text1"/>
          <w:szCs w:val="22"/>
          <w:lang w:val="en-US"/>
        </w:rPr>
        <w:t>.1 Objectives</w:t>
      </w:r>
      <w:bookmarkEnd w:id="207"/>
      <w:bookmarkEnd w:id="208"/>
    </w:p>
    <w:p w14:paraId="30538C1A" w14:textId="10328A81" w:rsidR="0053485E" w:rsidRDefault="0053485E" w:rsidP="0053485E">
      <w:pPr>
        <w:rPr>
          <w:lang w:val="en-US"/>
        </w:rPr>
      </w:pPr>
    </w:p>
    <w:p w14:paraId="64E8E03F" w14:textId="59ADEBF4" w:rsidR="00AB4512" w:rsidRDefault="0053485E" w:rsidP="0053485E">
      <w:pPr>
        <w:spacing w:line="480" w:lineRule="auto"/>
        <w:rPr>
          <w:rFonts w:ascii="Arial" w:hAnsi="Arial" w:cs="Arial"/>
          <w:sz w:val="22"/>
          <w:szCs w:val="22"/>
          <w:lang w:val="en-US"/>
        </w:rPr>
      </w:pPr>
      <w:r w:rsidRPr="0053485E">
        <w:rPr>
          <w:rFonts w:ascii="Arial" w:hAnsi="Arial" w:cs="Arial"/>
          <w:sz w:val="22"/>
          <w:szCs w:val="22"/>
          <w:lang w:val="en-US"/>
        </w:rPr>
        <w:t>The objectives for this systematic literature review are:</w:t>
      </w:r>
    </w:p>
    <w:p w14:paraId="7FD52171" w14:textId="5FFD3BDB" w:rsidR="0053485E" w:rsidRPr="00AB4512" w:rsidRDefault="00AB4512" w:rsidP="00934842">
      <w:pPr>
        <w:pStyle w:val="ListParagraph"/>
        <w:numPr>
          <w:ilvl w:val="0"/>
          <w:numId w:val="24"/>
        </w:numPr>
        <w:spacing w:line="480" w:lineRule="auto"/>
        <w:rPr>
          <w:rFonts w:ascii="Arial" w:hAnsi="Arial" w:cs="Arial"/>
          <w:sz w:val="22"/>
          <w:szCs w:val="22"/>
          <w:lang w:val="en-US"/>
        </w:rPr>
      </w:pPr>
      <w:r w:rsidRPr="00AB4512">
        <w:rPr>
          <w:rFonts w:ascii="Arial" w:hAnsi="Arial" w:cs="Arial"/>
          <w:sz w:val="22"/>
          <w:szCs w:val="22"/>
          <w:lang w:val="en-US"/>
        </w:rPr>
        <w:lastRenderedPageBreak/>
        <w:t>To search for primary articles that investigate the relationship between therapist variables and clinical outcome in High Intensity CBT therapists treating patients at step 3 in IAPT.</w:t>
      </w:r>
    </w:p>
    <w:p w14:paraId="07915A9A" w14:textId="1E5ED5F0" w:rsidR="0053485E" w:rsidRPr="0053485E" w:rsidRDefault="0053485E" w:rsidP="00934842">
      <w:pPr>
        <w:pStyle w:val="ListParagraph"/>
        <w:numPr>
          <w:ilvl w:val="0"/>
          <w:numId w:val="24"/>
        </w:numPr>
        <w:spacing w:line="480" w:lineRule="auto"/>
        <w:rPr>
          <w:rFonts w:ascii="Arial" w:hAnsi="Arial" w:cs="Arial"/>
          <w:sz w:val="22"/>
          <w:szCs w:val="22"/>
          <w:lang w:val="en-US"/>
        </w:rPr>
      </w:pPr>
      <w:r w:rsidRPr="0053485E">
        <w:rPr>
          <w:rFonts w:ascii="Arial" w:hAnsi="Arial" w:cs="Arial"/>
          <w:sz w:val="22"/>
          <w:szCs w:val="22"/>
          <w:lang w:val="en-US"/>
        </w:rPr>
        <w:t>To compare primary articles on therapist variables and their relationship to outcome in High Intensity CBT therapists treating patients at step 3 in IAPT</w:t>
      </w:r>
    </w:p>
    <w:p w14:paraId="2B901383" w14:textId="1C843FC8" w:rsidR="0053485E" w:rsidRPr="0053485E" w:rsidRDefault="0053485E" w:rsidP="00934842">
      <w:pPr>
        <w:pStyle w:val="ListParagraph"/>
        <w:numPr>
          <w:ilvl w:val="0"/>
          <w:numId w:val="24"/>
        </w:numPr>
        <w:spacing w:line="480" w:lineRule="auto"/>
        <w:rPr>
          <w:rFonts w:ascii="Arial" w:hAnsi="Arial" w:cs="Arial"/>
          <w:sz w:val="22"/>
          <w:szCs w:val="22"/>
          <w:lang w:val="en-US"/>
        </w:rPr>
      </w:pPr>
      <w:r w:rsidRPr="0053485E">
        <w:rPr>
          <w:rFonts w:ascii="Arial" w:hAnsi="Arial" w:cs="Arial"/>
          <w:sz w:val="22"/>
          <w:szCs w:val="22"/>
          <w:lang w:val="en-US"/>
        </w:rPr>
        <w:t>To identify the research designs, statistical analyses and limitations of the studies that have been undertaken</w:t>
      </w:r>
    </w:p>
    <w:p w14:paraId="188F9847" w14:textId="6EA52256" w:rsidR="0053485E" w:rsidRPr="0053485E" w:rsidRDefault="0053485E" w:rsidP="00934842">
      <w:pPr>
        <w:pStyle w:val="ListParagraph"/>
        <w:numPr>
          <w:ilvl w:val="0"/>
          <w:numId w:val="24"/>
        </w:numPr>
        <w:spacing w:line="480" w:lineRule="auto"/>
        <w:rPr>
          <w:rFonts w:ascii="Arial" w:hAnsi="Arial" w:cs="Arial"/>
          <w:sz w:val="22"/>
          <w:szCs w:val="22"/>
          <w:lang w:val="en-US"/>
        </w:rPr>
      </w:pPr>
      <w:r w:rsidRPr="0053485E">
        <w:rPr>
          <w:rFonts w:ascii="Arial" w:hAnsi="Arial" w:cs="Arial"/>
          <w:sz w:val="22"/>
          <w:szCs w:val="22"/>
          <w:lang w:val="en-US"/>
        </w:rPr>
        <w:t>To identify recommendations for further research</w:t>
      </w:r>
    </w:p>
    <w:p w14:paraId="41D0BAB4" w14:textId="7F97642D" w:rsidR="00536D30" w:rsidRDefault="00536D30" w:rsidP="00536D30">
      <w:pPr>
        <w:rPr>
          <w:lang w:val="en-US"/>
        </w:rPr>
      </w:pPr>
    </w:p>
    <w:p w14:paraId="3BA09A93" w14:textId="2ED5693D" w:rsidR="00F70119" w:rsidRDefault="00F70119" w:rsidP="005A3B72">
      <w:pPr>
        <w:pStyle w:val="Heading3"/>
        <w:rPr>
          <w:rFonts w:cs="Arial"/>
          <w:color w:val="000000" w:themeColor="text1"/>
          <w:szCs w:val="22"/>
          <w:lang w:val="en-US"/>
        </w:rPr>
      </w:pPr>
      <w:bookmarkStart w:id="209" w:name="_Toc46770769"/>
      <w:bookmarkStart w:id="210" w:name="_Toc79414180"/>
      <w:r w:rsidRPr="005A3B72">
        <w:rPr>
          <w:rFonts w:cs="Arial"/>
          <w:color w:val="000000" w:themeColor="text1"/>
          <w:szCs w:val="22"/>
          <w:lang w:val="en-US"/>
        </w:rPr>
        <w:t>3.</w:t>
      </w:r>
      <w:r w:rsidR="00441DB8">
        <w:rPr>
          <w:rFonts w:cs="Arial"/>
          <w:color w:val="000000" w:themeColor="text1"/>
          <w:szCs w:val="22"/>
          <w:lang w:val="en-US"/>
        </w:rPr>
        <w:t>2</w:t>
      </w:r>
      <w:r w:rsidRPr="005A3B72">
        <w:rPr>
          <w:rFonts w:cs="Arial"/>
          <w:color w:val="000000" w:themeColor="text1"/>
          <w:szCs w:val="22"/>
          <w:lang w:val="en-US"/>
        </w:rPr>
        <w:t>.</w:t>
      </w:r>
      <w:r w:rsidR="00536D30">
        <w:rPr>
          <w:rFonts w:cs="Arial"/>
          <w:color w:val="000000" w:themeColor="text1"/>
          <w:szCs w:val="22"/>
          <w:lang w:val="en-US"/>
        </w:rPr>
        <w:t>2</w:t>
      </w:r>
      <w:r w:rsidRPr="005A3B72">
        <w:rPr>
          <w:rFonts w:cs="Arial"/>
          <w:color w:val="000000" w:themeColor="text1"/>
          <w:szCs w:val="22"/>
          <w:lang w:val="en-US"/>
        </w:rPr>
        <w:t xml:space="preserve"> </w:t>
      </w:r>
      <w:r w:rsidR="008A3963" w:rsidRPr="005A3B72">
        <w:rPr>
          <w:rFonts w:cs="Arial"/>
          <w:color w:val="000000" w:themeColor="text1"/>
          <w:szCs w:val="22"/>
          <w:lang w:val="en-US"/>
        </w:rPr>
        <w:t>Methodology</w:t>
      </w:r>
      <w:bookmarkEnd w:id="209"/>
      <w:bookmarkEnd w:id="210"/>
    </w:p>
    <w:p w14:paraId="78BB7698" w14:textId="77777777" w:rsidR="005A3B72" w:rsidRPr="005A3B72" w:rsidRDefault="005A3B72" w:rsidP="005A3B72">
      <w:pPr>
        <w:rPr>
          <w:lang w:val="en-US"/>
        </w:rPr>
      </w:pPr>
    </w:p>
    <w:p w14:paraId="516D41D5" w14:textId="7174F319" w:rsidR="00EA08A3" w:rsidRPr="0022405F" w:rsidRDefault="008A3963" w:rsidP="00EA08A3">
      <w:pPr>
        <w:widowControl w:val="0"/>
        <w:autoSpaceDE w:val="0"/>
        <w:autoSpaceDN w:val="0"/>
        <w:adjustRightInd w:val="0"/>
        <w:spacing w:after="240" w:line="480" w:lineRule="auto"/>
        <w:rPr>
          <w:rFonts w:ascii="Arial" w:hAnsi="Arial" w:cs="Arial"/>
          <w:sz w:val="22"/>
          <w:szCs w:val="22"/>
          <w:lang w:val="en-US"/>
        </w:rPr>
      </w:pPr>
      <w:r w:rsidRPr="008A3963">
        <w:rPr>
          <w:rFonts w:ascii="Arial" w:hAnsi="Arial" w:cs="Arial"/>
          <w:sz w:val="22"/>
          <w:szCs w:val="22"/>
          <w:lang w:val="en-US"/>
        </w:rPr>
        <w:t xml:space="preserve">This systematic literature review was conducted following </w:t>
      </w:r>
      <w:r w:rsidR="00EA08A3" w:rsidRPr="008A3963">
        <w:rPr>
          <w:rFonts w:ascii="Arial" w:hAnsi="Arial" w:cs="Arial"/>
          <w:sz w:val="22"/>
          <w:szCs w:val="22"/>
          <w:lang w:val="en-US"/>
        </w:rPr>
        <w:t xml:space="preserve">the </w:t>
      </w:r>
      <w:r w:rsidR="004A75C6">
        <w:rPr>
          <w:rFonts w:ascii="Arial" w:hAnsi="Arial" w:cs="Arial"/>
          <w:sz w:val="22"/>
          <w:szCs w:val="22"/>
          <w:lang w:val="en-US"/>
        </w:rPr>
        <w:t>Preferred Reporting Items for Systematic Reviews and Meta Analys</w:t>
      </w:r>
      <w:r w:rsidR="00536D30">
        <w:rPr>
          <w:rFonts w:ascii="Arial" w:hAnsi="Arial" w:cs="Arial"/>
          <w:sz w:val="22"/>
          <w:szCs w:val="22"/>
          <w:lang w:val="en-US"/>
        </w:rPr>
        <w:t>es</w:t>
      </w:r>
      <w:r w:rsidR="004A75C6">
        <w:rPr>
          <w:rFonts w:ascii="Arial" w:hAnsi="Arial" w:cs="Arial"/>
          <w:sz w:val="22"/>
          <w:szCs w:val="22"/>
          <w:lang w:val="en-US"/>
        </w:rPr>
        <w:t xml:space="preserve"> (</w:t>
      </w:r>
      <w:r w:rsidR="00EA08A3" w:rsidRPr="008A3963">
        <w:rPr>
          <w:rFonts w:ascii="Arial" w:hAnsi="Arial" w:cs="Arial"/>
          <w:sz w:val="22"/>
          <w:szCs w:val="22"/>
          <w:lang w:val="en-US"/>
        </w:rPr>
        <w:t>PRISMA</w:t>
      </w:r>
      <w:r w:rsidR="004A75C6">
        <w:rPr>
          <w:rFonts w:ascii="Arial" w:hAnsi="Arial" w:cs="Arial"/>
          <w:sz w:val="22"/>
          <w:szCs w:val="22"/>
          <w:lang w:val="en-US"/>
        </w:rPr>
        <w:t xml:space="preserve">, </w:t>
      </w:r>
      <w:r w:rsidR="00EA08A3" w:rsidRPr="008A3963">
        <w:rPr>
          <w:rFonts w:ascii="Arial" w:hAnsi="Arial" w:cs="Arial"/>
          <w:sz w:val="22"/>
          <w:szCs w:val="22"/>
          <w:lang w:val="en-US"/>
        </w:rPr>
        <w:t>2009) checklist and guidelines</w:t>
      </w:r>
      <w:r w:rsidRPr="008A3963">
        <w:rPr>
          <w:rFonts w:ascii="Arial" w:hAnsi="Arial" w:cs="Arial"/>
          <w:sz w:val="22"/>
          <w:szCs w:val="22"/>
          <w:lang w:val="en-US"/>
        </w:rPr>
        <w:t>,</w:t>
      </w:r>
      <w:r w:rsidR="00EA08A3" w:rsidRPr="008A3963">
        <w:rPr>
          <w:rFonts w:ascii="Arial" w:hAnsi="Arial" w:cs="Arial"/>
          <w:sz w:val="22"/>
          <w:szCs w:val="22"/>
          <w:lang w:val="en-US"/>
        </w:rPr>
        <w:t xml:space="preserve"> with a particular focus on establishing explicit objective</w:t>
      </w:r>
      <w:r w:rsidR="00AB4512">
        <w:rPr>
          <w:rFonts w:ascii="Arial" w:hAnsi="Arial" w:cs="Arial"/>
          <w:sz w:val="22"/>
          <w:szCs w:val="22"/>
          <w:lang w:val="en-US"/>
        </w:rPr>
        <w:t>s</w:t>
      </w:r>
      <w:r w:rsidR="00EA08A3" w:rsidRPr="008A3963">
        <w:rPr>
          <w:rFonts w:ascii="Arial" w:hAnsi="Arial" w:cs="Arial"/>
          <w:sz w:val="22"/>
          <w:szCs w:val="22"/>
          <w:lang w:val="en-US"/>
        </w:rPr>
        <w:t>, clearly</w:t>
      </w:r>
      <w:r w:rsidR="00EA08A3" w:rsidRPr="0022405F">
        <w:rPr>
          <w:rFonts w:ascii="Arial" w:hAnsi="Arial" w:cs="Arial"/>
          <w:sz w:val="22"/>
          <w:szCs w:val="22"/>
          <w:lang w:val="en-US"/>
        </w:rPr>
        <w:t xml:space="preserve"> identifying search terms and inclusion criteria as well as a diagrammatic representation of the literature reviewed (PRISMA diagram see figure </w:t>
      </w:r>
      <w:r w:rsidR="004B0BEF">
        <w:rPr>
          <w:rFonts w:ascii="Arial" w:hAnsi="Arial" w:cs="Arial"/>
          <w:sz w:val="22"/>
          <w:szCs w:val="22"/>
          <w:lang w:val="en-US"/>
        </w:rPr>
        <w:t>3.</w:t>
      </w:r>
      <w:r w:rsidR="00441DB8">
        <w:rPr>
          <w:rFonts w:ascii="Arial" w:hAnsi="Arial" w:cs="Arial"/>
          <w:sz w:val="22"/>
          <w:szCs w:val="22"/>
          <w:lang w:val="en-US"/>
        </w:rPr>
        <w:t>1</w:t>
      </w:r>
      <w:r w:rsidR="00EA08A3" w:rsidRPr="0022405F">
        <w:rPr>
          <w:rFonts w:ascii="Arial" w:hAnsi="Arial" w:cs="Arial"/>
          <w:sz w:val="22"/>
          <w:szCs w:val="22"/>
          <w:lang w:val="en-US"/>
        </w:rPr>
        <w:t xml:space="preserve">). </w:t>
      </w:r>
      <w:r w:rsidR="00536D30">
        <w:rPr>
          <w:rFonts w:ascii="Arial" w:hAnsi="Arial" w:cs="Arial"/>
          <w:sz w:val="22"/>
          <w:szCs w:val="22"/>
          <w:lang w:val="en-US"/>
        </w:rPr>
        <w:t>An a priori protocol was developed to guide this systematic review establishing a clear structure, process and framework.</w:t>
      </w:r>
      <w:r w:rsidR="00850776">
        <w:rPr>
          <w:rFonts w:ascii="Arial" w:hAnsi="Arial" w:cs="Arial"/>
          <w:sz w:val="22"/>
          <w:szCs w:val="22"/>
          <w:lang w:val="en-US"/>
        </w:rPr>
        <w:t xml:space="preserve"> </w:t>
      </w:r>
      <w:r w:rsidR="00EA08A3" w:rsidRPr="0022405F">
        <w:rPr>
          <w:rFonts w:ascii="Arial" w:hAnsi="Arial" w:cs="Arial"/>
          <w:sz w:val="22"/>
          <w:szCs w:val="22"/>
          <w:lang w:val="en-US"/>
        </w:rPr>
        <w:t>Liberati et al., (2009) argue that it is essential to transparently report the processes involved when conducting a review of the available literature</w:t>
      </w:r>
      <w:r>
        <w:rPr>
          <w:rFonts w:ascii="Arial" w:hAnsi="Arial" w:cs="Arial"/>
          <w:sz w:val="22"/>
          <w:szCs w:val="22"/>
          <w:lang w:val="en-US"/>
        </w:rPr>
        <w:t xml:space="preserve"> in order that it is generalizable.</w:t>
      </w:r>
      <w:r w:rsidR="00EA08A3" w:rsidRPr="0022405F">
        <w:rPr>
          <w:rFonts w:ascii="Arial" w:hAnsi="Arial" w:cs="Arial"/>
          <w:sz w:val="22"/>
          <w:szCs w:val="22"/>
          <w:lang w:val="en-US"/>
        </w:rPr>
        <w:t xml:space="preserve"> The PRISMA guidelines were developed to provide a robust structure for researchers to adopt in order to enhance the quality of a </w:t>
      </w:r>
      <w:r>
        <w:rPr>
          <w:rFonts w:ascii="Arial" w:hAnsi="Arial" w:cs="Arial"/>
          <w:sz w:val="22"/>
          <w:szCs w:val="22"/>
          <w:lang w:val="en-US"/>
        </w:rPr>
        <w:t xml:space="preserve">systematic </w:t>
      </w:r>
      <w:r w:rsidR="00EA08A3" w:rsidRPr="0022405F">
        <w:rPr>
          <w:rFonts w:ascii="Arial" w:hAnsi="Arial" w:cs="Arial"/>
          <w:sz w:val="22"/>
          <w:szCs w:val="22"/>
          <w:lang w:val="en-US"/>
        </w:rPr>
        <w:t>literature review (Booth, Sutton</w:t>
      </w:r>
      <w:r w:rsidR="00423D06">
        <w:rPr>
          <w:rFonts w:ascii="Arial" w:hAnsi="Arial" w:cs="Arial"/>
          <w:sz w:val="22"/>
          <w:szCs w:val="22"/>
          <w:lang w:val="en-US"/>
        </w:rPr>
        <w:t xml:space="preserve"> and </w:t>
      </w:r>
      <w:r w:rsidR="00423D06" w:rsidRPr="0022405F">
        <w:rPr>
          <w:rFonts w:ascii="Arial" w:hAnsi="Arial" w:cs="Arial"/>
          <w:sz w:val="22"/>
          <w:szCs w:val="22"/>
          <w:lang w:val="en-US"/>
        </w:rPr>
        <w:t>Popaioannou</w:t>
      </w:r>
      <w:r w:rsidR="00423D06">
        <w:rPr>
          <w:rFonts w:ascii="Arial" w:hAnsi="Arial" w:cs="Arial"/>
          <w:sz w:val="22"/>
          <w:szCs w:val="22"/>
          <w:lang w:val="en-US"/>
        </w:rPr>
        <w:t>,</w:t>
      </w:r>
      <w:r w:rsidR="00EA08A3" w:rsidRPr="0022405F">
        <w:rPr>
          <w:rFonts w:ascii="Arial" w:hAnsi="Arial" w:cs="Arial"/>
          <w:sz w:val="22"/>
          <w:szCs w:val="22"/>
          <w:lang w:val="en-US"/>
        </w:rPr>
        <w:t xml:space="preserve"> 201</w:t>
      </w:r>
      <w:r w:rsidR="00423D06">
        <w:rPr>
          <w:rFonts w:ascii="Arial" w:hAnsi="Arial" w:cs="Arial"/>
          <w:sz w:val="22"/>
          <w:szCs w:val="22"/>
          <w:lang w:val="en-US"/>
        </w:rPr>
        <w:t>6</w:t>
      </w:r>
      <w:r w:rsidR="00EA08A3" w:rsidRPr="0022405F">
        <w:rPr>
          <w:rFonts w:ascii="Arial" w:hAnsi="Arial" w:cs="Arial"/>
          <w:sz w:val="22"/>
          <w:szCs w:val="22"/>
          <w:lang w:val="en-US"/>
        </w:rPr>
        <w:t xml:space="preserve">). The review of the wider available literature, relating to how </w:t>
      </w:r>
      <w:r>
        <w:rPr>
          <w:rFonts w:ascii="Arial" w:hAnsi="Arial" w:cs="Arial"/>
          <w:sz w:val="22"/>
          <w:szCs w:val="22"/>
          <w:lang w:val="en-US"/>
        </w:rPr>
        <w:t>High Intensity cognitive beh</w:t>
      </w:r>
      <w:r w:rsidR="005A3B72">
        <w:rPr>
          <w:rFonts w:ascii="Arial" w:hAnsi="Arial" w:cs="Arial"/>
          <w:sz w:val="22"/>
          <w:szCs w:val="22"/>
          <w:lang w:val="en-US"/>
        </w:rPr>
        <w:t>a</w:t>
      </w:r>
      <w:r>
        <w:rPr>
          <w:rFonts w:ascii="Arial" w:hAnsi="Arial" w:cs="Arial"/>
          <w:sz w:val="22"/>
          <w:szCs w:val="22"/>
          <w:lang w:val="en-US"/>
        </w:rPr>
        <w:t xml:space="preserve">vioural </w:t>
      </w:r>
      <w:r w:rsidR="00EA08A3" w:rsidRPr="0022405F">
        <w:rPr>
          <w:rFonts w:ascii="Arial" w:hAnsi="Arial" w:cs="Arial"/>
          <w:sz w:val="22"/>
          <w:szCs w:val="22"/>
          <w:lang w:val="en-US"/>
        </w:rPr>
        <w:t xml:space="preserve">therapist variables </w:t>
      </w:r>
      <w:r w:rsidR="008208F2">
        <w:rPr>
          <w:rFonts w:ascii="Arial" w:hAnsi="Arial" w:cs="Arial"/>
          <w:sz w:val="22"/>
          <w:szCs w:val="22"/>
          <w:lang w:val="en-US"/>
        </w:rPr>
        <w:t xml:space="preserve">relate </w:t>
      </w:r>
      <w:r w:rsidR="00EA08A3" w:rsidRPr="0022405F">
        <w:rPr>
          <w:rFonts w:ascii="Arial" w:hAnsi="Arial" w:cs="Arial"/>
          <w:sz w:val="22"/>
          <w:szCs w:val="22"/>
          <w:lang w:val="en-US"/>
        </w:rPr>
        <w:t>with clinical outcome</w:t>
      </w:r>
      <w:r>
        <w:rPr>
          <w:rFonts w:ascii="Arial" w:hAnsi="Arial" w:cs="Arial"/>
          <w:sz w:val="22"/>
          <w:szCs w:val="22"/>
          <w:lang w:val="en-US"/>
        </w:rPr>
        <w:t xml:space="preserve"> in IAPT</w:t>
      </w:r>
      <w:r w:rsidR="00D1400D">
        <w:rPr>
          <w:rFonts w:ascii="Arial" w:hAnsi="Arial" w:cs="Arial"/>
          <w:sz w:val="22"/>
          <w:szCs w:val="22"/>
          <w:lang w:val="en-US"/>
        </w:rPr>
        <w:t>,</w:t>
      </w:r>
      <w:r w:rsidR="00EA08A3" w:rsidRPr="0022405F">
        <w:rPr>
          <w:rFonts w:ascii="Arial" w:hAnsi="Arial" w:cs="Arial"/>
          <w:sz w:val="22"/>
          <w:szCs w:val="22"/>
          <w:lang w:val="en-US"/>
        </w:rPr>
        <w:t xml:space="preserve"> was conducted by methodically searching for all available materials and then appraising and synthesising the materials and available outcomes.</w:t>
      </w:r>
      <w:r w:rsidR="008208F2">
        <w:rPr>
          <w:rFonts w:ascii="Arial" w:hAnsi="Arial" w:cs="Arial"/>
          <w:sz w:val="22"/>
          <w:szCs w:val="22"/>
          <w:lang w:val="en-US"/>
        </w:rPr>
        <w:t xml:space="preserve"> </w:t>
      </w:r>
      <w:r w:rsidR="00EA08A3" w:rsidRPr="0022405F">
        <w:rPr>
          <w:rFonts w:ascii="Arial" w:hAnsi="Arial" w:cs="Arial"/>
          <w:sz w:val="22"/>
          <w:szCs w:val="22"/>
          <w:lang w:val="en-US"/>
        </w:rPr>
        <w:t>All materials reviewed in this search were assessed in relation to their quality and relevance to the research question, using a 0 to 6 rating scale, where 0 represented poor</w:t>
      </w:r>
      <w:r w:rsidR="00441DB8">
        <w:rPr>
          <w:rFonts w:ascii="Arial" w:hAnsi="Arial" w:cs="Arial"/>
          <w:sz w:val="22"/>
          <w:szCs w:val="22"/>
          <w:lang w:val="en-US"/>
        </w:rPr>
        <w:t>-</w:t>
      </w:r>
      <w:r w:rsidR="00EA08A3" w:rsidRPr="0022405F">
        <w:rPr>
          <w:rFonts w:ascii="Arial" w:hAnsi="Arial" w:cs="Arial"/>
          <w:sz w:val="22"/>
          <w:szCs w:val="22"/>
          <w:lang w:val="en-US"/>
        </w:rPr>
        <w:t>quality evidence and 6 represented very high</w:t>
      </w:r>
      <w:r>
        <w:rPr>
          <w:rFonts w:ascii="Arial" w:hAnsi="Arial" w:cs="Arial"/>
          <w:sz w:val="22"/>
          <w:szCs w:val="22"/>
          <w:lang w:val="en-US"/>
        </w:rPr>
        <w:t>-</w:t>
      </w:r>
      <w:r w:rsidR="00EA08A3" w:rsidRPr="0022405F">
        <w:rPr>
          <w:rFonts w:ascii="Arial" w:hAnsi="Arial" w:cs="Arial"/>
          <w:sz w:val="22"/>
          <w:szCs w:val="22"/>
          <w:lang w:val="en-US"/>
        </w:rPr>
        <w:t>quality evidence (</w:t>
      </w:r>
      <w:r w:rsidR="00423D06">
        <w:rPr>
          <w:rFonts w:ascii="Arial" w:hAnsi="Arial" w:cs="Arial"/>
          <w:sz w:val="22"/>
          <w:szCs w:val="22"/>
          <w:lang w:val="en-US"/>
        </w:rPr>
        <w:t>Centre for Reviews and Dissemination, 2008</w:t>
      </w:r>
      <w:r w:rsidR="00EA08A3" w:rsidRPr="0022405F">
        <w:rPr>
          <w:rFonts w:ascii="Arial" w:hAnsi="Arial" w:cs="Arial"/>
          <w:sz w:val="22"/>
          <w:szCs w:val="22"/>
          <w:lang w:val="en-US"/>
        </w:rPr>
        <w:t xml:space="preserve">). The articles were examined in relation to </w:t>
      </w:r>
      <w:r w:rsidR="00EA08A3" w:rsidRPr="0022405F">
        <w:rPr>
          <w:rFonts w:ascii="Arial" w:hAnsi="Arial" w:cs="Arial"/>
          <w:sz w:val="22"/>
          <w:szCs w:val="22"/>
          <w:lang w:val="en-US"/>
        </w:rPr>
        <w:lastRenderedPageBreak/>
        <w:t>their relevance in addressing the following question:</w:t>
      </w:r>
    </w:p>
    <w:p w14:paraId="67835B79" w14:textId="4398CE8A" w:rsidR="00EA08A3" w:rsidRPr="0022405F" w:rsidRDefault="00EA08A3" w:rsidP="00934842">
      <w:pPr>
        <w:pStyle w:val="ListParagraph"/>
        <w:widowControl w:val="0"/>
        <w:numPr>
          <w:ilvl w:val="0"/>
          <w:numId w:val="23"/>
        </w:numPr>
        <w:autoSpaceDE w:val="0"/>
        <w:autoSpaceDN w:val="0"/>
        <w:adjustRightInd w:val="0"/>
        <w:spacing w:after="240" w:line="480" w:lineRule="auto"/>
        <w:rPr>
          <w:rFonts w:ascii="Arial" w:hAnsi="Arial" w:cs="Arial"/>
          <w:sz w:val="22"/>
          <w:szCs w:val="22"/>
          <w:lang w:val="en-US"/>
        </w:rPr>
      </w:pPr>
      <w:r w:rsidRPr="0022405F">
        <w:rPr>
          <w:rFonts w:ascii="Arial" w:hAnsi="Arial" w:cs="Arial"/>
          <w:sz w:val="22"/>
          <w:szCs w:val="22"/>
          <w:lang w:val="en-US"/>
        </w:rPr>
        <w:t xml:space="preserve">What therapist variables </w:t>
      </w:r>
      <w:r w:rsidR="008208F2">
        <w:rPr>
          <w:rFonts w:ascii="Arial" w:hAnsi="Arial" w:cs="Arial"/>
          <w:sz w:val="22"/>
          <w:szCs w:val="22"/>
          <w:lang w:val="en-US"/>
        </w:rPr>
        <w:t>relate to</w:t>
      </w:r>
      <w:r w:rsidRPr="0022405F">
        <w:rPr>
          <w:rFonts w:ascii="Arial" w:hAnsi="Arial" w:cs="Arial"/>
          <w:sz w:val="22"/>
          <w:szCs w:val="22"/>
          <w:lang w:val="en-US"/>
        </w:rPr>
        <w:t xml:space="preserve"> clinical outcome in High Intensity Cognitive Behavioural Therapists working in the Improving Access to Psychological Therapy (IAPT) programme?</w:t>
      </w:r>
    </w:p>
    <w:p w14:paraId="35591BA8" w14:textId="53F2BC82" w:rsidR="00EA08A3" w:rsidRDefault="00EA08A3" w:rsidP="008A3963">
      <w:pPr>
        <w:spacing w:line="480" w:lineRule="auto"/>
        <w:rPr>
          <w:rFonts w:ascii="Arial" w:hAnsi="Arial" w:cs="Arial"/>
          <w:sz w:val="22"/>
          <w:szCs w:val="22"/>
          <w:lang w:val="en-US"/>
        </w:rPr>
      </w:pPr>
      <w:r w:rsidRPr="0022405F">
        <w:rPr>
          <w:rFonts w:ascii="Arial" w:hAnsi="Arial" w:cs="Arial"/>
          <w:sz w:val="22"/>
          <w:szCs w:val="22"/>
          <w:lang w:val="en-US"/>
        </w:rPr>
        <w:t>This question was developed with the function of developing a better understanding of what is currently known about High Intensity cognitive behavioral therapist variables and how these might relate to clinical outcomes in IAPT.</w:t>
      </w:r>
      <w:r w:rsidR="00EB7F65">
        <w:rPr>
          <w:rFonts w:ascii="Arial" w:hAnsi="Arial" w:cs="Arial"/>
          <w:sz w:val="22"/>
          <w:szCs w:val="22"/>
          <w:lang w:val="en-US"/>
        </w:rPr>
        <w:t xml:space="preserve"> Following initial screening,</w:t>
      </w:r>
      <w:r w:rsidR="00CA0A08">
        <w:rPr>
          <w:rFonts w:ascii="Arial" w:hAnsi="Arial" w:cs="Arial"/>
          <w:sz w:val="22"/>
          <w:szCs w:val="22"/>
          <w:lang w:val="en-US"/>
        </w:rPr>
        <w:t xml:space="preserve"> </w:t>
      </w:r>
      <w:r w:rsidR="00EB7F65">
        <w:rPr>
          <w:rFonts w:ascii="Arial" w:hAnsi="Arial" w:cs="Arial"/>
          <w:sz w:val="22"/>
          <w:szCs w:val="22"/>
          <w:lang w:val="en-US"/>
        </w:rPr>
        <w:t>a</w:t>
      </w:r>
      <w:r w:rsidR="00CA0A08">
        <w:rPr>
          <w:rFonts w:ascii="Arial" w:hAnsi="Arial" w:cs="Arial"/>
          <w:sz w:val="22"/>
          <w:szCs w:val="22"/>
          <w:lang w:val="en-US"/>
        </w:rPr>
        <w:t>rticles were included if the</w:t>
      </w:r>
      <w:r w:rsidR="008208F2">
        <w:rPr>
          <w:rFonts w:ascii="Arial" w:hAnsi="Arial" w:cs="Arial"/>
          <w:sz w:val="22"/>
          <w:szCs w:val="22"/>
          <w:lang w:val="en-US"/>
        </w:rPr>
        <w:t>y</w:t>
      </w:r>
      <w:r w:rsidR="00CA0A08">
        <w:rPr>
          <w:rFonts w:ascii="Arial" w:hAnsi="Arial" w:cs="Arial"/>
          <w:sz w:val="22"/>
          <w:szCs w:val="22"/>
          <w:lang w:val="en-US"/>
        </w:rPr>
        <w:t xml:space="preserve"> met the following inclusion criteria:</w:t>
      </w:r>
    </w:p>
    <w:p w14:paraId="1BA124EA" w14:textId="6D708AE6" w:rsidR="00CA0A08" w:rsidRDefault="00CA0A08" w:rsidP="00934842">
      <w:pPr>
        <w:pStyle w:val="ListParagraph"/>
        <w:numPr>
          <w:ilvl w:val="2"/>
          <w:numId w:val="8"/>
        </w:numPr>
        <w:spacing w:line="480" w:lineRule="auto"/>
        <w:rPr>
          <w:rFonts w:ascii="Arial" w:hAnsi="Arial" w:cs="Arial"/>
          <w:sz w:val="22"/>
          <w:szCs w:val="22"/>
          <w:lang w:val="en-US"/>
        </w:rPr>
      </w:pPr>
      <w:r>
        <w:rPr>
          <w:rFonts w:ascii="Arial" w:hAnsi="Arial" w:cs="Arial"/>
          <w:sz w:val="22"/>
          <w:szCs w:val="22"/>
          <w:lang w:val="en-US"/>
        </w:rPr>
        <w:t>Published between 2009 and the current time (July 2019)</w:t>
      </w:r>
    </w:p>
    <w:p w14:paraId="09DFEE21" w14:textId="7F3F8337" w:rsidR="00CA0A08" w:rsidRDefault="00CA0A08" w:rsidP="00934842">
      <w:pPr>
        <w:pStyle w:val="ListParagraph"/>
        <w:numPr>
          <w:ilvl w:val="2"/>
          <w:numId w:val="8"/>
        </w:numPr>
        <w:spacing w:line="480" w:lineRule="auto"/>
        <w:rPr>
          <w:rFonts w:ascii="Arial" w:hAnsi="Arial" w:cs="Arial"/>
          <w:sz w:val="22"/>
          <w:szCs w:val="22"/>
          <w:lang w:val="en-US"/>
        </w:rPr>
      </w:pPr>
      <w:r>
        <w:rPr>
          <w:rFonts w:ascii="Arial" w:hAnsi="Arial" w:cs="Arial"/>
          <w:sz w:val="22"/>
          <w:szCs w:val="22"/>
          <w:lang w:val="en-US"/>
        </w:rPr>
        <w:t>Published in the English language</w:t>
      </w:r>
    </w:p>
    <w:p w14:paraId="5CCEA93D" w14:textId="463B79BF" w:rsidR="00CA0A08" w:rsidRDefault="00CA0A08" w:rsidP="00934842">
      <w:pPr>
        <w:pStyle w:val="ListParagraph"/>
        <w:numPr>
          <w:ilvl w:val="2"/>
          <w:numId w:val="8"/>
        </w:numPr>
        <w:spacing w:line="480" w:lineRule="auto"/>
        <w:rPr>
          <w:rFonts w:ascii="Arial" w:hAnsi="Arial" w:cs="Arial"/>
          <w:sz w:val="22"/>
          <w:szCs w:val="22"/>
          <w:lang w:val="en-US"/>
        </w:rPr>
      </w:pPr>
      <w:r>
        <w:rPr>
          <w:rFonts w:ascii="Arial" w:hAnsi="Arial" w:cs="Arial"/>
          <w:sz w:val="22"/>
          <w:szCs w:val="22"/>
          <w:lang w:val="en-US"/>
        </w:rPr>
        <w:t>Research related to qualified High Intensity (step 3) cognitive behavioural therapists working in IAPT</w:t>
      </w:r>
    </w:p>
    <w:p w14:paraId="03AB0F0B" w14:textId="416B3EF7" w:rsidR="00CA0A08" w:rsidRDefault="00CA0A08" w:rsidP="00934842">
      <w:pPr>
        <w:pStyle w:val="ListParagraph"/>
        <w:numPr>
          <w:ilvl w:val="2"/>
          <w:numId w:val="8"/>
        </w:numPr>
        <w:spacing w:line="480" w:lineRule="auto"/>
        <w:rPr>
          <w:rFonts w:ascii="Arial" w:hAnsi="Arial" w:cs="Arial"/>
          <w:sz w:val="22"/>
          <w:szCs w:val="22"/>
          <w:lang w:val="en-US"/>
        </w:rPr>
      </w:pPr>
      <w:r>
        <w:rPr>
          <w:rFonts w:ascii="Arial" w:hAnsi="Arial" w:cs="Arial"/>
          <w:sz w:val="22"/>
          <w:szCs w:val="22"/>
          <w:lang w:val="en-US"/>
        </w:rPr>
        <w:t xml:space="preserve">Results included </w:t>
      </w:r>
      <w:r w:rsidR="005B0739">
        <w:rPr>
          <w:rFonts w:ascii="Arial" w:hAnsi="Arial" w:cs="Arial"/>
          <w:sz w:val="22"/>
          <w:szCs w:val="22"/>
          <w:lang w:val="en-US"/>
        </w:rPr>
        <w:t xml:space="preserve">statistical </w:t>
      </w:r>
      <w:r>
        <w:rPr>
          <w:rFonts w:ascii="Arial" w:hAnsi="Arial" w:cs="Arial"/>
          <w:sz w:val="22"/>
          <w:szCs w:val="22"/>
          <w:lang w:val="en-US"/>
        </w:rPr>
        <w:t>findings on</w:t>
      </w:r>
      <w:r w:rsidR="005B0739">
        <w:rPr>
          <w:rFonts w:ascii="Arial" w:hAnsi="Arial" w:cs="Arial"/>
          <w:sz w:val="22"/>
          <w:szCs w:val="22"/>
          <w:lang w:val="en-US"/>
        </w:rPr>
        <w:t xml:space="preserve"> the</w:t>
      </w:r>
      <w:r>
        <w:rPr>
          <w:rFonts w:ascii="Arial" w:hAnsi="Arial" w:cs="Arial"/>
          <w:sz w:val="22"/>
          <w:szCs w:val="22"/>
          <w:lang w:val="en-US"/>
        </w:rPr>
        <w:t xml:space="preserve"> relationship between therapist variables and IAPT definitions of recovery and reliable improvement</w:t>
      </w:r>
    </w:p>
    <w:p w14:paraId="4A5B5D93" w14:textId="001E3FFF" w:rsidR="00EB7F65" w:rsidRDefault="00EB7F65" w:rsidP="00934842">
      <w:pPr>
        <w:pStyle w:val="ListParagraph"/>
        <w:numPr>
          <w:ilvl w:val="2"/>
          <w:numId w:val="8"/>
        </w:numPr>
        <w:spacing w:line="480" w:lineRule="auto"/>
        <w:rPr>
          <w:rFonts w:ascii="Arial" w:hAnsi="Arial" w:cs="Arial"/>
          <w:sz w:val="22"/>
          <w:szCs w:val="22"/>
          <w:lang w:val="en-US"/>
        </w:rPr>
      </w:pPr>
      <w:r>
        <w:rPr>
          <w:rFonts w:ascii="Arial" w:hAnsi="Arial" w:cs="Arial"/>
          <w:sz w:val="22"/>
          <w:szCs w:val="22"/>
          <w:lang w:val="en-US"/>
        </w:rPr>
        <w:t>Primary source</w:t>
      </w:r>
    </w:p>
    <w:p w14:paraId="076530B9" w14:textId="58385C3F" w:rsidR="00CA0A08" w:rsidRDefault="00CA0A08" w:rsidP="00934842">
      <w:pPr>
        <w:pStyle w:val="ListParagraph"/>
        <w:numPr>
          <w:ilvl w:val="2"/>
          <w:numId w:val="8"/>
        </w:numPr>
        <w:spacing w:line="480" w:lineRule="auto"/>
        <w:rPr>
          <w:rFonts w:ascii="Arial" w:hAnsi="Arial" w:cs="Arial"/>
          <w:sz w:val="22"/>
          <w:szCs w:val="22"/>
          <w:lang w:val="en-US"/>
        </w:rPr>
      </w:pPr>
      <w:r>
        <w:rPr>
          <w:rFonts w:ascii="Arial" w:hAnsi="Arial" w:cs="Arial"/>
          <w:sz w:val="22"/>
          <w:szCs w:val="22"/>
          <w:lang w:val="en-US"/>
        </w:rPr>
        <w:t xml:space="preserve">Patients were adults </w:t>
      </w:r>
      <m:oMath>
        <m:r>
          <w:rPr>
            <w:rFonts w:ascii="Cambria Math" w:hAnsi="Cambria Math" w:cs="Arial"/>
            <w:sz w:val="22"/>
            <w:szCs w:val="22"/>
            <w:lang w:val="en-US"/>
          </w:rPr>
          <m:t>≥</m:t>
        </m:r>
      </m:oMath>
      <w:r>
        <w:rPr>
          <w:rFonts w:ascii="Arial" w:hAnsi="Arial" w:cs="Arial"/>
          <w:sz w:val="22"/>
          <w:szCs w:val="22"/>
          <w:lang w:val="en-US"/>
        </w:rPr>
        <w:t xml:space="preserve"> 18 years of age</w:t>
      </w:r>
    </w:p>
    <w:p w14:paraId="40A3412D" w14:textId="73893B7D" w:rsidR="008208F2" w:rsidRPr="008208F2" w:rsidRDefault="008208F2" w:rsidP="008208F2">
      <w:pPr>
        <w:spacing w:line="480" w:lineRule="auto"/>
        <w:rPr>
          <w:rFonts w:ascii="Arial" w:hAnsi="Arial" w:cs="Arial"/>
          <w:sz w:val="22"/>
          <w:szCs w:val="22"/>
          <w:lang w:val="en-US"/>
        </w:rPr>
      </w:pPr>
    </w:p>
    <w:p w14:paraId="79EEDE6D" w14:textId="2E9F0B02" w:rsidR="008208F2" w:rsidRDefault="005A3B72" w:rsidP="00EA08A3">
      <w:pPr>
        <w:widowControl w:val="0"/>
        <w:autoSpaceDE w:val="0"/>
        <w:autoSpaceDN w:val="0"/>
        <w:adjustRightInd w:val="0"/>
        <w:spacing w:after="240" w:line="480" w:lineRule="auto"/>
        <w:rPr>
          <w:rFonts w:ascii="Arial" w:hAnsi="Arial" w:cs="Arial"/>
          <w:sz w:val="22"/>
          <w:szCs w:val="22"/>
          <w:lang w:val="en-US"/>
        </w:rPr>
      </w:pPr>
      <w:r>
        <w:rPr>
          <w:rFonts w:ascii="Arial" w:hAnsi="Arial" w:cs="Arial"/>
          <w:sz w:val="22"/>
          <w:szCs w:val="22"/>
          <w:lang w:val="en-US"/>
        </w:rPr>
        <w:t xml:space="preserve">The search included </w:t>
      </w:r>
      <w:r w:rsidR="005B0739">
        <w:rPr>
          <w:rFonts w:ascii="Arial" w:hAnsi="Arial" w:cs="Arial"/>
          <w:sz w:val="22"/>
          <w:szCs w:val="22"/>
          <w:lang w:val="en-US"/>
        </w:rPr>
        <w:t xml:space="preserve">articles </w:t>
      </w:r>
      <w:r>
        <w:rPr>
          <w:rFonts w:ascii="Arial" w:hAnsi="Arial" w:cs="Arial"/>
          <w:sz w:val="22"/>
          <w:szCs w:val="22"/>
          <w:lang w:val="en-US"/>
        </w:rPr>
        <w:t xml:space="preserve">published between </w:t>
      </w:r>
      <w:r w:rsidR="00EA08A3" w:rsidRPr="0022405F">
        <w:rPr>
          <w:rFonts w:ascii="Arial" w:hAnsi="Arial" w:cs="Arial"/>
          <w:sz w:val="22"/>
          <w:szCs w:val="22"/>
          <w:lang w:val="en-US"/>
        </w:rPr>
        <w:t>2009 and the current time (</w:t>
      </w:r>
      <w:r>
        <w:rPr>
          <w:rFonts w:ascii="Arial" w:hAnsi="Arial" w:cs="Arial"/>
          <w:sz w:val="22"/>
          <w:szCs w:val="22"/>
          <w:lang w:val="en-US"/>
        </w:rPr>
        <w:t>July,</w:t>
      </w:r>
      <w:r w:rsidR="00D1400D">
        <w:rPr>
          <w:rFonts w:ascii="Arial" w:hAnsi="Arial" w:cs="Arial"/>
          <w:sz w:val="22"/>
          <w:szCs w:val="22"/>
          <w:lang w:val="en-US"/>
        </w:rPr>
        <w:t xml:space="preserve"> </w:t>
      </w:r>
      <w:r>
        <w:rPr>
          <w:rFonts w:ascii="Arial" w:hAnsi="Arial" w:cs="Arial"/>
          <w:sz w:val="22"/>
          <w:szCs w:val="22"/>
          <w:lang w:val="en-US"/>
        </w:rPr>
        <w:t>2019</w:t>
      </w:r>
      <w:r w:rsidR="00EA08A3" w:rsidRPr="0022405F">
        <w:rPr>
          <w:rFonts w:ascii="Arial" w:hAnsi="Arial" w:cs="Arial"/>
          <w:sz w:val="22"/>
          <w:szCs w:val="22"/>
          <w:lang w:val="en-US"/>
        </w:rPr>
        <w:t>). The Improving Access to Psychological Therapy Programme (IAPT) began in 2009 and therefore the years between 2009 and 201</w:t>
      </w:r>
      <w:r w:rsidR="005B0739">
        <w:rPr>
          <w:rFonts w:ascii="Arial" w:hAnsi="Arial" w:cs="Arial"/>
          <w:sz w:val="22"/>
          <w:szCs w:val="22"/>
          <w:lang w:val="en-US"/>
        </w:rPr>
        <w:t>9</w:t>
      </w:r>
      <w:r w:rsidR="00EA08A3" w:rsidRPr="0022405F">
        <w:rPr>
          <w:rFonts w:ascii="Arial" w:hAnsi="Arial" w:cs="Arial"/>
          <w:sz w:val="22"/>
          <w:szCs w:val="22"/>
          <w:lang w:val="en-US"/>
        </w:rPr>
        <w:t xml:space="preserve"> were selected in order to ensure that all the available literature was examined. The initial search terms used in this review were kept broad. An initial search </w:t>
      </w:r>
      <w:r w:rsidR="005B0739">
        <w:rPr>
          <w:rFonts w:ascii="Arial" w:hAnsi="Arial" w:cs="Arial"/>
          <w:sz w:val="22"/>
          <w:szCs w:val="22"/>
          <w:lang w:val="en-US"/>
        </w:rPr>
        <w:t xml:space="preserve">was conducted </w:t>
      </w:r>
      <w:r w:rsidR="00EA08A3" w:rsidRPr="0022405F">
        <w:rPr>
          <w:rFonts w:ascii="Arial" w:hAnsi="Arial" w:cs="Arial"/>
          <w:sz w:val="22"/>
          <w:szCs w:val="22"/>
          <w:lang w:val="en-US"/>
        </w:rPr>
        <w:t>using the Boolean operators AND, OR and the terms</w:t>
      </w:r>
      <w:r w:rsidR="008208F2">
        <w:rPr>
          <w:rFonts w:ascii="Arial" w:hAnsi="Arial" w:cs="Arial"/>
          <w:sz w:val="22"/>
          <w:szCs w:val="22"/>
          <w:lang w:val="en-US"/>
        </w:rPr>
        <w:t>:</w:t>
      </w:r>
    </w:p>
    <w:p w14:paraId="72AFEA60" w14:textId="1550B173" w:rsidR="008853D1" w:rsidRPr="008853D1" w:rsidRDefault="008853D1" w:rsidP="004C3E7E">
      <w:pPr>
        <w:widowControl w:val="0"/>
        <w:autoSpaceDE w:val="0"/>
        <w:autoSpaceDN w:val="0"/>
        <w:adjustRightInd w:val="0"/>
        <w:spacing w:after="240" w:line="480" w:lineRule="auto"/>
        <w:rPr>
          <w:rFonts w:ascii="Arial" w:hAnsi="Arial" w:cs="Arial"/>
          <w:i/>
          <w:iCs/>
          <w:sz w:val="22"/>
          <w:szCs w:val="22"/>
          <w:lang w:val="en-US"/>
        </w:rPr>
      </w:pPr>
      <w:r>
        <w:rPr>
          <w:rFonts w:ascii="Arial" w:hAnsi="Arial" w:cs="Arial"/>
          <w:sz w:val="22"/>
          <w:szCs w:val="22"/>
          <w:lang w:val="en-US"/>
        </w:rPr>
        <w:t>“</w:t>
      </w:r>
      <w:r w:rsidR="00EA08A3" w:rsidRPr="008853D1">
        <w:rPr>
          <w:rFonts w:ascii="Arial" w:hAnsi="Arial" w:cs="Arial"/>
          <w:i/>
          <w:iCs/>
          <w:sz w:val="22"/>
          <w:szCs w:val="22"/>
          <w:lang w:val="en-US"/>
        </w:rPr>
        <w:t>therapist effect</w:t>
      </w:r>
      <w:r>
        <w:rPr>
          <w:rFonts w:ascii="Arial" w:hAnsi="Arial" w:cs="Arial"/>
          <w:sz w:val="22"/>
          <w:szCs w:val="22"/>
          <w:lang w:val="en-US"/>
        </w:rPr>
        <w:t>”</w:t>
      </w:r>
      <w:r w:rsidR="004C3E7E">
        <w:rPr>
          <w:rFonts w:ascii="Arial" w:hAnsi="Arial" w:cs="Arial"/>
          <w:sz w:val="22"/>
          <w:szCs w:val="22"/>
          <w:lang w:val="en-US"/>
        </w:rPr>
        <w:t xml:space="preserve"> OR </w:t>
      </w:r>
      <w:r w:rsidR="004C3E7E">
        <w:rPr>
          <w:rFonts w:ascii="Arial" w:hAnsi="Arial" w:cs="Arial"/>
          <w:i/>
          <w:iCs/>
          <w:sz w:val="22"/>
          <w:szCs w:val="22"/>
          <w:lang w:val="en-US"/>
        </w:rPr>
        <w:t>“</w:t>
      </w:r>
      <w:r w:rsidR="004C3E7E" w:rsidRPr="008853D1">
        <w:rPr>
          <w:rFonts w:ascii="Arial" w:hAnsi="Arial" w:cs="Arial"/>
          <w:i/>
          <w:iCs/>
          <w:sz w:val="22"/>
          <w:szCs w:val="22"/>
          <w:lang w:val="en-US"/>
        </w:rPr>
        <w:t>therapist variables</w:t>
      </w:r>
      <w:r w:rsidR="004C3E7E">
        <w:rPr>
          <w:rFonts w:ascii="Arial" w:hAnsi="Arial" w:cs="Arial"/>
          <w:i/>
          <w:iCs/>
          <w:sz w:val="22"/>
          <w:szCs w:val="22"/>
          <w:lang w:val="en-US"/>
        </w:rPr>
        <w:t>”</w:t>
      </w:r>
      <w:r w:rsidR="004C3E7E">
        <w:rPr>
          <w:rFonts w:ascii="Arial" w:hAnsi="Arial" w:cs="Arial"/>
          <w:sz w:val="22"/>
          <w:szCs w:val="22"/>
          <w:lang w:val="en-US"/>
        </w:rPr>
        <w:t xml:space="preserve"> </w:t>
      </w:r>
      <w:r w:rsidR="008208F2">
        <w:rPr>
          <w:rFonts w:ascii="Arial" w:hAnsi="Arial" w:cs="Arial"/>
          <w:sz w:val="22"/>
          <w:szCs w:val="22"/>
          <w:lang w:val="en-US"/>
        </w:rPr>
        <w:t xml:space="preserve">AND </w:t>
      </w:r>
      <w:r>
        <w:rPr>
          <w:rFonts w:ascii="Arial" w:hAnsi="Arial" w:cs="Arial"/>
          <w:sz w:val="22"/>
          <w:szCs w:val="22"/>
          <w:lang w:val="en-US"/>
        </w:rPr>
        <w:t>“</w:t>
      </w:r>
      <w:r w:rsidRPr="008853D1">
        <w:rPr>
          <w:rFonts w:ascii="Arial" w:hAnsi="Arial" w:cs="Arial"/>
          <w:i/>
          <w:iCs/>
          <w:sz w:val="22"/>
          <w:szCs w:val="22"/>
          <w:lang w:val="en-US"/>
        </w:rPr>
        <w:t>IAPT</w:t>
      </w:r>
      <w:r>
        <w:rPr>
          <w:rFonts w:ascii="Arial" w:hAnsi="Arial" w:cs="Arial"/>
          <w:sz w:val="22"/>
          <w:szCs w:val="22"/>
          <w:lang w:val="en-US"/>
        </w:rPr>
        <w:t>” OR “</w:t>
      </w:r>
      <w:r w:rsidR="004C3E7E">
        <w:rPr>
          <w:rFonts w:ascii="Arial" w:hAnsi="Arial" w:cs="Arial"/>
          <w:i/>
          <w:iCs/>
          <w:sz w:val="22"/>
          <w:szCs w:val="22"/>
          <w:lang w:val="en-US"/>
        </w:rPr>
        <w:t>improving access to psychological therapy”</w:t>
      </w:r>
    </w:p>
    <w:p w14:paraId="344188FE" w14:textId="7BBA22A7" w:rsidR="0035088B" w:rsidRDefault="008853D1" w:rsidP="00EA08A3">
      <w:pPr>
        <w:widowControl w:val="0"/>
        <w:autoSpaceDE w:val="0"/>
        <w:autoSpaceDN w:val="0"/>
        <w:adjustRightInd w:val="0"/>
        <w:spacing w:after="240" w:line="480" w:lineRule="auto"/>
        <w:rPr>
          <w:rFonts w:ascii="Arial" w:hAnsi="Arial" w:cs="Arial"/>
          <w:sz w:val="22"/>
          <w:szCs w:val="22"/>
          <w:lang w:val="en-US"/>
        </w:rPr>
      </w:pPr>
      <w:r>
        <w:rPr>
          <w:rFonts w:ascii="Arial" w:hAnsi="Arial" w:cs="Arial"/>
          <w:sz w:val="22"/>
          <w:szCs w:val="22"/>
          <w:lang w:val="en-US"/>
        </w:rPr>
        <w:t xml:space="preserve">The search </w:t>
      </w:r>
      <w:r w:rsidR="00EA08A3" w:rsidRPr="0022405F">
        <w:rPr>
          <w:rFonts w:ascii="Arial" w:hAnsi="Arial" w:cs="Arial"/>
          <w:sz w:val="22"/>
          <w:szCs w:val="22"/>
          <w:lang w:val="en-US"/>
        </w:rPr>
        <w:t xml:space="preserve">yielded </w:t>
      </w:r>
      <w:r w:rsidR="004C3E7E">
        <w:rPr>
          <w:rFonts w:ascii="Arial" w:hAnsi="Arial" w:cs="Arial"/>
          <w:sz w:val="22"/>
          <w:szCs w:val="22"/>
          <w:lang w:val="en-US"/>
        </w:rPr>
        <w:t>119</w:t>
      </w:r>
      <w:r w:rsidR="00EA08A3" w:rsidRPr="0022405F">
        <w:rPr>
          <w:rFonts w:ascii="Arial" w:hAnsi="Arial" w:cs="Arial"/>
          <w:sz w:val="22"/>
          <w:szCs w:val="22"/>
          <w:lang w:val="en-US"/>
        </w:rPr>
        <w:t xml:space="preserve"> resources in SCOPUS, </w:t>
      </w:r>
      <w:r w:rsidR="004C3E7E">
        <w:rPr>
          <w:rFonts w:ascii="Arial" w:hAnsi="Arial" w:cs="Arial"/>
          <w:sz w:val="22"/>
          <w:szCs w:val="22"/>
          <w:lang w:val="en-US"/>
        </w:rPr>
        <w:t>5</w:t>
      </w:r>
      <w:r w:rsidR="00EA08A3" w:rsidRPr="0022405F">
        <w:rPr>
          <w:rFonts w:ascii="Arial" w:hAnsi="Arial" w:cs="Arial"/>
          <w:sz w:val="22"/>
          <w:szCs w:val="22"/>
          <w:lang w:val="en-US"/>
        </w:rPr>
        <w:t xml:space="preserve"> in MEDLINE, </w:t>
      </w:r>
      <w:r w:rsidR="004C3E7E">
        <w:rPr>
          <w:rFonts w:ascii="Arial" w:hAnsi="Arial" w:cs="Arial"/>
          <w:sz w:val="22"/>
          <w:szCs w:val="22"/>
          <w:lang w:val="en-US"/>
        </w:rPr>
        <w:t>0</w:t>
      </w:r>
      <w:r w:rsidR="00EA08A3" w:rsidRPr="0022405F">
        <w:rPr>
          <w:rFonts w:ascii="Arial" w:hAnsi="Arial" w:cs="Arial"/>
          <w:sz w:val="22"/>
          <w:szCs w:val="22"/>
          <w:lang w:val="en-US"/>
        </w:rPr>
        <w:t xml:space="preserve"> in PsychARTICLES, </w:t>
      </w:r>
      <w:r w:rsidR="004C3E7E">
        <w:rPr>
          <w:rFonts w:ascii="Arial" w:hAnsi="Arial" w:cs="Arial"/>
          <w:sz w:val="22"/>
          <w:szCs w:val="22"/>
          <w:lang w:val="en-US"/>
        </w:rPr>
        <w:t>4</w:t>
      </w:r>
      <w:r w:rsidR="00EA08A3" w:rsidRPr="0022405F">
        <w:rPr>
          <w:rFonts w:ascii="Arial" w:hAnsi="Arial" w:cs="Arial"/>
          <w:sz w:val="22"/>
          <w:szCs w:val="22"/>
          <w:lang w:val="en-US"/>
        </w:rPr>
        <w:t xml:space="preserve"> in </w:t>
      </w:r>
      <w:r w:rsidR="00EA08A3" w:rsidRPr="0022405F">
        <w:rPr>
          <w:rFonts w:ascii="Arial" w:hAnsi="Arial" w:cs="Arial"/>
          <w:sz w:val="22"/>
          <w:szCs w:val="22"/>
          <w:lang w:val="en-US"/>
        </w:rPr>
        <w:lastRenderedPageBreak/>
        <w:t xml:space="preserve">PsychINFO, </w:t>
      </w:r>
      <w:r w:rsidR="004C3E7E">
        <w:rPr>
          <w:rFonts w:ascii="Arial" w:hAnsi="Arial" w:cs="Arial"/>
          <w:sz w:val="22"/>
          <w:szCs w:val="22"/>
          <w:lang w:val="en-US"/>
        </w:rPr>
        <w:t xml:space="preserve">39 </w:t>
      </w:r>
      <w:r w:rsidR="00EA08A3" w:rsidRPr="0022405F">
        <w:rPr>
          <w:rFonts w:ascii="Arial" w:hAnsi="Arial" w:cs="Arial"/>
          <w:sz w:val="22"/>
          <w:szCs w:val="22"/>
          <w:lang w:val="en-US"/>
        </w:rPr>
        <w:t xml:space="preserve">in PubMedCentral, </w:t>
      </w:r>
      <w:r w:rsidR="004C3E7E">
        <w:rPr>
          <w:rFonts w:ascii="Arial" w:hAnsi="Arial" w:cs="Arial"/>
          <w:sz w:val="22"/>
          <w:szCs w:val="22"/>
          <w:lang w:val="en-US"/>
        </w:rPr>
        <w:t>1</w:t>
      </w:r>
      <w:r w:rsidR="00EA08A3" w:rsidRPr="0022405F">
        <w:rPr>
          <w:rFonts w:ascii="Arial" w:hAnsi="Arial" w:cs="Arial"/>
          <w:sz w:val="22"/>
          <w:szCs w:val="22"/>
          <w:lang w:val="en-US"/>
        </w:rPr>
        <w:t xml:space="preserve"> in CINAHL</w:t>
      </w:r>
      <w:r w:rsidR="004C3E7E">
        <w:rPr>
          <w:rFonts w:ascii="Arial" w:hAnsi="Arial" w:cs="Arial"/>
          <w:sz w:val="22"/>
          <w:szCs w:val="22"/>
          <w:lang w:val="en-US"/>
        </w:rPr>
        <w:t xml:space="preserve"> Plus, 15 i</w:t>
      </w:r>
      <w:r w:rsidR="00EA08A3" w:rsidRPr="0022405F">
        <w:rPr>
          <w:rFonts w:ascii="Arial" w:hAnsi="Arial" w:cs="Arial"/>
          <w:sz w:val="22"/>
          <w:szCs w:val="22"/>
          <w:lang w:val="en-US"/>
        </w:rPr>
        <w:t xml:space="preserve">n JSTOR, and </w:t>
      </w:r>
      <w:r w:rsidR="004C3E7E">
        <w:rPr>
          <w:rFonts w:ascii="Arial" w:hAnsi="Arial" w:cs="Arial"/>
          <w:sz w:val="22"/>
          <w:szCs w:val="22"/>
          <w:lang w:val="en-US"/>
        </w:rPr>
        <w:t xml:space="preserve">2 </w:t>
      </w:r>
      <w:r w:rsidR="00EA08A3" w:rsidRPr="0022405F">
        <w:rPr>
          <w:rFonts w:ascii="Arial" w:hAnsi="Arial" w:cs="Arial"/>
          <w:sz w:val="22"/>
          <w:szCs w:val="22"/>
          <w:lang w:val="en-US"/>
        </w:rPr>
        <w:t>in Psychology and Behavioural Sciences</w:t>
      </w:r>
      <w:r w:rsidR="004C3E7E">
        <w:rPr>
          <w:rFonts w:ascii="Arial" w:hAnsi="Arial" w:cs="Arial"/>
          <w:sz w:val="22"/>
          <w:szCs w:val="22"/>
          <w:lang w:val="en-US"/>
        </w:rPr>
        <w:t>.</w:t>
      </w:r>
      <w:r w:rsidR="006A58F8">
        <w:rPr>
          <w:rFonts w:ascii="Arial" w:hAnsi="Arial" w:cs="Arial"/>
          <w:sz w:val="22"/>
          <w:szCs w:val="22"/>
          <w:lang w:val="en-US"/>
        </w:rPr>
        <w:t xml:space="preserve"> In addition to the search using these data bases, </w:t>
      </w:r>
      <w:r w:rsidR="006A58F8" w:rsidRPr="0022405F">
        <w:rPr>
          <w:rFonts w:ascii="Arial" w:hAnsi="Arial" w:cs="Arial"/>
          <w:sz w:val="22"/>
          <w:szCs w:val="22"/>
          <w:lang w:val="en-US"/>
        </w:rPr>
        <w:t>academics</w:t>
      </w:r>
      <w:r w:rsidR="006A58F8">
        <w:rPr>
          <w:rFonts w:ascii="Arial" w:hAnsi="Arial" w:cs="Arial"/>
          <w:sz w:val="22"/>
          <w:szCs w:val="22"/>
          <w:lang w:val="en-US"/>
        </w:rPr>
        <w:t>,</w:t>
      </w:r>
      <w:r w:rsidR="006A58F8" w:rsidRPr="0022405F">
        <w:rPr>
          <w:rFonts w:ascii="Arial" w:hAnsi="Arial" w:cs="Arial"/>
          <w:sz w:val="22"/>
          <w:szCs w:val="22"/>
          <w:lang w:val="en-US"/>
        </w:rPr>
        <w:t xml:space="preserve"> </w:t>
      </w:r>
      <w:r w:rsidR="006A58F8">
        <w:rPr>
          <w:rFonts w:ascii="Arial" w:hAnsi="Arial" w:cs="Arial"/>
          <w:sz w:val="22"/>
          <w:szCs w:val="22"/>
          <w:lang w:val="en-US"/>
        </w:rPr>
        <w:t xml:space="preserve">authors </w:t>
      </w:r>
      <w:r w:rsidR="006A58F8" w:rsidRPr="0022405F">
        <w:rPr>
          <w:rFonts w:ascii="Arial" w:hAnsi="Arial" w:cs="Arial"/>
          <w:sz w:val="22"/>
          <w:szCs w:val="22"/>
          <w:lang w:val="en-US"/>
        </w:rPr>
        <w:t>and senior clinical leaders were contacted either via email</w:t>
      </w:r>
      <w:r w:rsidR="00D1400D">
        <w:rPr>
          <w:rFonts w:ascii="Arial" w:hAnsi="Arial" w:cs="Arial"/>
          <w:sz w:val="22"/>
          <w:szCs w:val="22"/>
          <w:lang w:val="en-US"/>
        </w:rPr>
        <w:t>,</w:t>
      </w:r>
      <w:r w:rsidR="006A58F8" w:rsidRPr="0022405F">
        <w:rPr>
          <w:rFonts w:ascii="Arial" w:hAnsi="Arial" w:cs="Arial"/>
          <w:sz w:val="22"/>
          <w:szCs w:val="22"/>
          <w:lang w:val="en-US"/>
        </w:rPr>
        <w:t xml:space="preserve"> or personally</w:t>
      </w:r>
      <w:r w:rsidR="00D1400D">
        <w:rPr>
          <w:rFonts w:ascii="Arial" w:hAnsi="Arial" w:cs="Arial"/>
          <w:sz w:val="22"/>
          <w:szCs w:val="22"/>
          <w:lang w:val="en-US"/>
        </w:rPr>
        <w:t>,</w:t>
      </w:r>
      <w:r w:rsidR="006A58F8" w:rsidRPr="0022405F">
        <w:rPr>
          <w:rFonts w:ascii="Arial" w:hAnsi="Arial" w:cs="Arial"/>
          <w:sz w:val="22"/>
          <w:szCs w:val="22"/>
          <w:lang w:val="en-US"/>
        </w:rPr>
        <w:t xml:space="preserve"> at conferences</w:t>
      </w:r>
      <w:r w:rsidR="006A58F8">
        <w:rPr>
          <w:rFonts w:ascii="Arial" w:hAnsi="Arial" w:cs="Arial"/>
          <w:sz w:val="22"/>
          <w:szCs w:val="22"/>
          <w:lang w:val="en-US"/>
        </w:rPr>
        <w:t>.</w:t>
      </w:r>
      <w:r w:rsidR="006A58F8" w:rsidRPr="0022405F">
        <w:rPr>
          <w:rFonts w:ascii="Arial" w:hAnsi="Arial" w:cs="Arial"/>
          <w:sz w:val="22"/>
          <w:szCs w:val="22"/>
          <w:lang w:val="en-US"/>
        </w:rPr>
        <w:t xml:space="preserve"> These further searches</w:t>
      </w:r>
      <w:r w:rsidR="00AB4512">
        <w:rPr>
          <w:rFonts w:ascii="Arial" w:hAnsi="Arial" w:cs="Arial"/>
          <w:sz w:val="22"/>
          <w:szCs w:val="22"/>
          <w:lang w:val="en-US"/>
        </w:rPr>
        <w:t xml:space="preserve"> yielded</w:t>
      </w:r>
      <w:r w:rsidR="006A58F8" w:rsidRPr="0022405F">
        <w:rPr>
          <w:rFonts w:ascii="Arial" w:hAnsi="Arial" w:cs="Arial"/>
          <w:sz w:val="22"/>
          <w:szCs w:val="22"/>
          <w:lang w:val="en-US"/>
        </w:rPr>
        <w:t xml:space="preserve"> </w:t>
      </w:r>
      <w:r w:rsidR="006A58F8">
        <w:rPr>
          <w:rFonts w:ascii="Arial" w:hAnsi="Arial" w:cs="Arial"/>
          <w:sz w:val="22"/>
          <w:szCs w:val="22"/>
          <w:lang w:val="en-US"/>
        </w:rPr>
        <w:t>one</w:t>
      </w:r>
      <w:r w:rsidR="006A58F8" w:rsidRPr="0022405F">
        <w:rPr>
          <w:rFonts w:ascii="Arial" w:hAnsi="Arial" w:cs="Arial"/>
          <w:sz w:val="22"/>
          <w:szCs w:val="22"/>
          <w:lang w:val="en-US"/>
        </w:rPr>
        <w:t xml:space="preserve"> unpublished paper (</w:t>
      </w:r>
      <w:r w:rsidR="00030708">
        <w:rPr>
          <w:rFonts w:ascii="Arial" w:hAnsi="Arial" w:cs="Arial"/>
          <w:sz w:val="22"/>
          <w:szCs w:val="22"/>
          <w:lang w:val="en-US"/>
        </w:rPr>
        <w:t>Bruijniks, in</w:t>
      </w:r>
      <w:r w:rsidR="00441DB8">
        <w:rPr>
          <w:rFonts w:ascii="Arial" w:hAnsi="Arial" w:cs="Arial"/>
          <w:sz w:val="22"/>
          <w:szCs w:val="22"/>
          <w:lang w:val="en-US"/>
        </w:rPr>
        <w:t xml:space="preserve"> review</w:t>
      </w:r>
      <w:r w:rsidR="006A58F8" w:rsidRPr="0022405F">
        <w:rPr>
          <w:rFonts w:ascii="Arial" w:hAnsi="Arial" w:cs="Arial"/>
          <w:sz w:val="22"/>
          <w:szCs w:val="22"/>
          <w:lang w:val="en-US"/>
        </w:rPr>
        <w:t>)</w:t>
      </w:r>
      <w:r w:rsidR="006A58F8">
        <w:rPr>
          <w:rFonts w:ascii="Arial" w:hAnsi="Arial" w:cs="Arial"/>
          <w:sz w:val="22"/>
          <w:szCs w:val="22"/>
          <w:lang w:val="en-US"/>
        </w:rPr>
        <w:t>.</w:t>
      </w:r>
      <w:r w:rsidR="00441DB8">
        <w:rPr>
          <w:rFonts w:ascii="Arial" w:hAnsi="Arial" w:cs="Arial"/>
          <w:sz w:val="22"/>
          <w:szCs w:val="22"/>
          <w:lang w:val="en-US"/>
        </w:rPr>
        <w:t xml:space="preserve"> This paper had not been published at the time of writing (December 2019).</w:t>
      </w:r>
      <w:r w:rsidR="006A58F8">
        <w:rPr>
          <w:rFonts w:ascii="Arial" w:hAnsi="Arial" w:cs="Arial"/>
          <w:sz w:val="22"/>
          <w:szCs w:val="22"/>
          <w:lang w:val="en-US"/>
        </w:rPr>
        <w:t xml:space="preserve"> A further search of secondary sources, including a snowballing search of all articles, texts and meta-analyses was conducted</w:t>
      </w:r>
      <w:r w:rsidR="005B0739">
        <w:rPr>
          <w:rFonts w:ascii="Arial" w:hAnsi="Arial" w:cs="Arial"/>
          <w:sz w:val="22"/>
          <w:szCs w:val="22"/>
          <w:lang w:val="en-US"/>
        </w:rPr>
        <w:t xml:space="preserve">, yielding no further articles. </w:t>
      </w:r>
      <w:r w:rsidR="0035088B">
        <w:rPr>
          <w:rFonts w:ascii="Arial" w:hAnsi="Arial" w:cs="Arial"/>
          <w:sz w:val="22"/>
          <w:szCs w:val="22"/>
          <w:lang w:val="en-US"/>
        </w:rPr>
        <w:t xml:space="preserve">A total of </w:t>
      </w:r>
      <w:r w:rsidR="002E65E5">
        <w:rPr>
          <w:rFonts w:ascii="Arial" w:hAnsi="Arial" w:cs="Arial"/>
          <w:sz w:val="22"/>
          <w:szCs w:val="22"/>
          <w:lang w:val="en-US"/>
        </w:rPr>
        <w:t xml:space="preserve">186 </w:t>
      </w:r>
      <w:r w:rsidR="0035088B">
        <w:rPr>
          <w:rFonts w:ascii="Arial" w:hAnsi="Arial" w:cs="Arial"/>
          <w:sz w:val="22"/>
          <w:szCs w:val="22"/>
          <w:lang w:val="en-US"/>
        </w:rPr>
        <w:t>articles were found, after removing duplicates a total of 1</w:t>
      </w:r>
      <w:r w:rsidR="002E65E5">
        <w:rPr>
          <w:rFonts w:ascii="Arial" w:hAnsi="Arial" w:cs="Arial"/>
          <w:sz w:val="22"/>
          <w:szCs w:val="22"/>
          <w:lang w:val="en-US"/>
        </w:rPr>
        <w:t>12</w:t>
      </w:r>
      <w:r w:rsidR="0035088B">
        <w:rPr>
          <w:rFonts w:ascii="Arial" w:hAnsi="Arial" w:cs="Arial"/>
          <w:sz w:val="22"/>
          <w:szCs w:val="22"/>
          <w:lang w:val="en-US"/>
        </w:rPr>
        <w:t xml:space="preserve"> remained.</w:t>
      </w:r>
      <w:r w:rsidR="004B0BEF">
        <w:rPr>
          <w:rFonts w:ascii="Arial" w:hAnsi="Arial" w:cs="Arial"/>
          <w:sz w:val="22"/>
          <w:szCs w:val="22"/>
          <w:lang w:val="en-US"/>
        </w:rPr>
        <w:t xml:space="preserve"> The selection of articles is shown in the PRISMA diagram i</w:t>
      </w:r>
      <w:r w:rsidR="00E9565E">
        <w:rPr>
          <w:rFonts w:ascii="Arial" w:hAnsi="Arial" w:cs="Arial"/>
          <w:sz w:val="22"/>
          <w:szCs w:val="22"/>
          <w:lang w:val="en-US"/>
        </w:rPr>
        <w:t>n</w:t>
      </w:r>
      <w:r w:rsidR="004B0BEF">
        <w:rPr>
          <w:rFonts w:ascii="Arial" w:hAnsi="Arial" w:cs="Arial"/>
          <w:sz w:val="22"/>
          <w:szCs w:val="22"/>
          <w:lang w:val="en-US"/>
        </w:rPr>
        <w:t xml:space="preserve"> figure 3.</w:t>
      </w:r>
      <w:r w:rsidR="00441DB8">
        <w:rPr>
          <w:rFonts w:ascii="Arial" w:hAnsi="Arial" w:cs="Arial"/>
          <w:sz w:val="22"/>
          <w:szCs w:val="22"/>
          <w:lang w:val="en-US"/>
        </w:rPr>
        <w:t>1</w:t>
      </w:r>
      <w:r w:rsidR="004B0BEF">
        <w:rPr>
          <w:rFonts w:ascii="Arial" w:hAnsi="Arial" w:cs="Arial"/>
          <w:sz w:val="22"/>
          <w:szCs w:val="22"/>
          <w:lang w:val="en-US"/>
        </w:rPr>
        <w:t>.</w:t>
      </w:r>
    </w:p>
    <w:p w14:paraId="17A8C936" w14:textId="25110860" w:rsidR="007C1AB6" w:rsidRDefault="007C1AB6" w:rsidP="007C1AB6">
      <w:pPr>
        <w:pStyle w:val="Figures"/>
        <w:rPr>
          <w:b w:val="0"/>
        </w:rPr>
      </w:pPr>
      <w:bookmarkStart w:id="211" w:name="_Toc46770941"/>
      <w:r w:rsidRPr="00C101E3">
        <w:t xml:space="preserve">Figure 3.1 </w:t>
      </w:r>
      <w:r w:rsidRPr="007C1AB6">
        <w:rPr>
          <w:b w:val="0"/>
        </w:rPr>
        <w:t>PRISMA Diagram showing article selection process</w:t>
      </w:r>
      <w:bookmarkEnd w:id="211"/>
    </w:p>
    <w:p w14:paraId="197B0D0A" w14:textId="77777777" w:rsidR="00C5556E" w:rsidRPr="007C1AB6" w:rsidRDefault="00C5556E" w:rsidP="007C1AB6">
      <w:pPr>
        <w:pStyle w:val="Figures"/>
        <w:rPr>
          <w:b w:val="0"/>
        </w:rPr>
      </w:pPr>
    </w:p>
    <w:p w14:paraId="78728B0A" w14:textId="420EE6B0" w:rsidR="00E164C2" w:rsidRPr="00D238AD" w:rsidRDefault="00450F6A" w:rsidP="00D238AD">
      <w:pPr>
        <w:widowControl w:val="0"/>
        <w:autoSpaceDE w:val="0"/>
        <w:autoSpaceDN w:val="0"/>
        <w:adjustRightInd w:val="0"/>
        <w:spacing w:after="240" w:line="480" w:lineRule="auto"/>
        <w:rPr>
          <w:rFonts w:ascii="Arial" w:hAnsi="Arial" w:cs="Arial"/>
          <w:sz w:val="22"/>
          <w:szCs w:val="22"/>
          <w:lang w:val="en-US"/>
        </w:rPr>
      </w:pPr>
      <w:r>
        <w:rPr>
          <w:rFonts w:ascii="Arial" w:hAnsi="Arial" w:cs="Arial"/>
          <w:noProof/>
          <w:sz w:val="22"/>
          <w:szCs w:val="22"/>
          <w:lang w:val="en-US"/>
        </w:rPr>
        <w:drawing>
          <wp:inline distT="0" distB="0" distL="0" distR="0" wp14:anchorId="496022CD" wp14:editId="5FB275F7">
            <wp:extent cx="5727700" cy="2566670"/>
            <wp:effectExtent l="0" t="0" r="0" b="0"/>
            <wp:docPr id="27" name="Picture 27" descr="P132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P1329#yIS1"/>
                    <pic:cNvPicPr/>
                  </pic:nvPicPr>
                  <pic:blipFill>
                    <a:blip r:embed="rId40"/>
                    <a:stretch>
                      <a:fillRect/>
                    </a:stretch>
                  </pic:blipFill>
                  <pic:spPr>
                    <a:xfrm>
                      <a:off x="0" y="0"/>
                      <a:ext cx="5727700" cy="2566670"/>
                    </a:xfrm>
                    <a:prstGeom prst="rect">
                      <a:avLst/>
                    </a:prstGeom>
                  </pic:spPr>
                </pic:pic>
              </a:graphicData>
            </a:graphic>
          </wp:inline>
        </w:drawing>
      </w:r>
      <w:r w:rsidR="00D238AD">
        <w:rPr>
          <w:rFonts w:ascii="Arial" w:hAnsi="Arial" w:cs="Arial"/>
          <w:sz w:val="22"/>
          <w:szCs w:val="22"/>
          <w:lang w:val="en-US"/>
        </w:rPr>
        <w:br/>
      </w:r>
    </w:p>
    <w:p w14:paraId="06DA6DDB" w14:textId="485863AF" w:rsidR="0035088B" w:rsidRPr="00F91448" w:rsidRDefault="0035088B" w:rsidP="00F91448">
      <w:pPr>
        <w:pStyle w:val="Heading3"/>
        <w:rPr>
          <w:rFonts w:cs="Arial"/>
          <w:color w:val="000000" w:themeColor="text1"/>
          <w:szCs w:val="22"/>
        </w:rPr>
      </w:pPr>
      <w:bookmarkStart w:id="212" w:name="_Toc46770770"/>
      <w:bookmarkStart w:id="213" w:name="_Toc79414181"/>
      <w:r w:rsidRPr="00F91448">
        <w:rPr>
          <w:rFonts w:cs="Arial"/>
          <w:color w:val="000000" w:themeColor="text1"/>
          <w:szCs w:val="22"/>
        </w:rPr>
        <w:t>3.</w:t>
      </w:r>
      <w:r w:rsidR="00441DB8" w:rsidRPr="00F91448">
        <w:rPr>
          <w:rFonts w:cs="Arial"/>
          <w:color w:val="000000" w:themeColor="text1"/>
          <w:szCs w:val="22"/>
        </w:rPr>
        <w:t>2</w:t>
      </w:r>
      <w:r w:rsidRPr="00F91448">
        <w:rPr>
          <w:rFonts w:cs="Arial"/>
          <w:color w:val="000000" w:themeColor="text1"/>
          <w:szCs w:val="22"/>
        </w:rPr>
        <w:t>.</w:t>
      </w:r>
      <w:r w:rsidR="00AD0A0A">
        <w:rPr>
          <w:rFonts w:cs="Arial"/>
          <w:color w:val="000000" w:themeColor="text1"/>
          <w:szCs w:val="22"/>
        </w:rPr>
        <w:t>3</w:t>
      </w:r>
      <w:r w:rsidRPr="00F91448">
        <w:rPr>
          <w:rFonts w:cs="Arial"/>
          <w:color w:val="000000" w:themeColor="text1"/>
          <w:szCs w:val="22"/>
        </w:rPr>
        <w:t xml:space="preserve"> The selection of articles</w:t>
      </w:r>
      <w:bookmarkEnd w:id="212"/>
      <w:bookmarkEnd w:id="213"/>
    </w:p>
    <w:p w14:paraId="7D6C16B2" w14:textId="77777777" w:rsidR="00F91448" w:rsidRDefault="00F91448" w:rsidP="005D0440">
      <w:pPr>
        <w:widowControl w:val="0"/>
        <w:autoSpaceDE w:val="0"/>
        <w:autoSpaceDN w:val="0"/>
        <w:adjustRightInd w:val="0"/>
        <w:spacing w:after="240" w:line="480" w:lineRule="auto"/>
        <w:rPr>
          <w:rFonts w:ascii="Arial" w:hAnsi="Arial" w:cs="Arial"/>
          <w:sz w:val="22"/>
          <w:szCs w:val="22"/>
          <w:lang w:val="en-US"/>
        </w:rPr>
      </w:pPr>
    </w:p>
    <w:p w14:paraId="741493EC" w14:textId="6237397A" w:rsidR="005D0440" w:rsidRDefault="00CA0A08" w:rsidP="005D0440">
      <w:pPr>
        <w:widowControl w:val="0"/>
        <w:autoSpaceDE w:val="0"/>
        <w:autoSpaceDN w:val="0"/>
        <w:adjustRightInd w:val="0"/>
        <w:spacing w:after="240" w:line="480" w:lineRule="auto"/>
        <w:rPr>
          <w:rFonts w:ascii="Arial" w:hAnsi="Arial" w:cs="Arial"/>
          <w:sz w:val="22"/>
          <w:szCs w:val="22"/>
          <w:lang w:val="en-US"/>
        </w:rPr>
      </w:pPr>
      <w:r>
        <w:rPr>
          <w:rFonts w:ascii="Arial" w:hAnsi="Arial" w:cs="Arial"/>
          <w:sz w:val="22"/>
          <w:szCs w:val="22"/>
          <w:lang w:val="en-US"/>
        </w:rPr>
        <w:t>After reading study titles and abstracts</w:t>
      </w:r>
      <w:r w:rsidR="00D1400D">
        <w:rPr>
          <w:rFonts w:ascii="Arial" w:hAnsi="Arial" w:cs="Arial"/>
          <w:sz w:val="22"/>
          <w:szCs w:val="22"/>
          <w:lang w:val="en-US"/>
        </w:rPr>
        <w:t>,</w:t>
      </w:r>
      <w:r>
        <w:rPr>
          <w:rFonts w:ascii="Arial" w:hAnsi="Arial" w:cs="Arial"/>
          <w:sz w:val="22"/>
          <w:szCs w:val="22"/>
          <w:lang w:val="en-US"/>
        </w:rPr>
        <w:t xml:space="preserve"> </w:t>
      </w:r>
      <w:r w:rsidR="00917F29">
        <w:rPr>
          <w:rFonts w:ascii="Arial" w:hAnsi="Arial" w:cs="Arial"/>
          <w:sz w:val="22"/>
          <w:szCs w:val="22"/>
          <w:lang w:val="en-US"/>
        </w:rPr>
        <w:t>5</w:t>
      </w:r>
      <w:r w:rsidR="00AC4265">
        <w:rPr>
          <w:rFonts w:ascii="Arial" w:hAnsi="Arial" w:cs="Arial"/>
          <w:sz w:val="22"/>
          <w:szCs w:val="22"/>
          <w:lang w:val="en-US"/>
        </w:rPr>
        <w:t>5</w:t>
      </w:r>
      <w:r>
        <w:rPr>
          <w:rFonts w:ascii="Arial" w:hAnsi="Arial" w:cs="Arial"/>
          <w:sz w:val="22"/>
          <w:szCs w:val="22"/>
          <w:lang w:val="en-US"/>
        </w:rPr>
        <w:t xml:space="preserve"> </w:t>
      </w:r>
      <w:r w:rsidR="00EB7F65">
        <w:rPr>
          <w:rFonts w:ascii="Arial" w:hAnsi="Arial" w:cs="Arial"/>
          <w:sz w:val="22"/>
          <w:szCs w:val="22"/>
          <w:lang w:val="en-US"/>
        </w:rPr>
        <w:t>articles</w:t>
      </w:r>
      <w:r>
        <w:rPr>
          <w:rFonts w:ascii="Arial" w:hAnsi="Arial" w:cs="Arial"/>
          <w:sz w:val="22"/>
          <w:szCs w:val="22"/>
          <w:lang w:val="en-US"/>
        </w:rPr>
        <w:t xml:space="preserve"> were discarded as</w:t>
      </w:r>
      <w:r w:rsidR="00EB7F65">
        <w:rPr>
          <w:rFonts w:ascii="Arial" w:hAnsi="Arial" w:cs="Arial"/>
          <w:sz w:val="22"/>
          <w:szCs w:val="22"/>
          <w:lang w:val="en-US"/>
        </w:rPr>
        <w:t xml:space="preserve"> they did not relate to IAPT, </w:t>
      </w:r>
      <w:r w:rsidR="002E65E5">
        <w:rPr>
          <w:rFonts w:ascii="Arial" w:hAnsi="Arial" w:cs="Arial"/>
          <w:sz w:val="22"/>
          <w:szCs w:val="22"/>
          <w:lang w:val="en-US"/>
        </w:rPr>
        <w:t>18</w:t>
      </w:r>
      <w:r w:rsidR="00EB7F65">
        <w:rPr>
          <w:rFonts w:ascii="Arial" w:hAnsi="Arial" w:cs="Arial"/>
          <w:sz w:val="22"/>
          <w:szCs w:val="22"/>
          <w:lang w:val="en-US"/>
        </w:rPr>
        <w:t xml:space="preserve"> did not relate to CBT, 12 contained no statistical analysis, </w:t>
      </w:r>
      <w:r w:rsidR="002E65E5">
        <w:rPr>
          <w:rFonts w:ascii="Arial" w:hAnsi="Arial" w:cs="Arial"/>
          <w:sz w:val="22"/>
          <w:szCs w:val="22"/>
          <w:lang w:val="en-US"/>
        </w:rPr>
        <w:t>8</w:t>
      </w:r>
      <w:r w:rsidR="00EB7F65">
        <w:rPr>
          <w:rFonts w:ascii="Arial" w:hAnsi="Arial" w:cs="Arial"/>
          <w:sz w:val="22"/>
          <w:szCs w:val="22"/>
          <w:lang w:val="en-US"/>
        </w:rPr>
        <w:t xml:space="preserve"> related to step 2 CBT only, </w:t>
      </w:r>
      <w:r w:rsidR="002E65E5">
        <w:rPr>
          <w:rFonts w:ascii="Arial" w:hAnsi="Arial" w:cs="Arial"/>
          <w:sz w:val="22"/>
          <w:szCs w:val="22"/>
          <w:lang w:val="en-US"/>
        </w:rPr>
        <w:t>5</w:t>
      </w:r>
      <w:r w:rsidR="00EB7F65">
        <w:rPr>
          <w:rFonts w:ascii="Arial" w:hAnsi="Arial" w:cs="Arial"/>
          <w:sz w:val="22"/>
          <w:szCs w:val="22"/>
          <w:lang w:val="en-US"/>
        </w:rPr>
        <w:t xml:space="preserve"> related to children</w:t>
      </w:r>
      <w:r w:rsidR="002E65E5">
        <w:rPr>
          <w:rFonts w:ascii="Arial" w:hAnsi="Arial" w:cs="Arial"/>
          <w:sz w:val="22"/>
          <w:szCs w:val="22"/>
          <w:lang w:val="en-US"/>
        </w:rPr>
        <w:t>, 1 paper was incomplete (</w:t>
      </w:r>
      <w:r w:rsidR="00441DB8">
        <w:rPr>
          <w:rFonts w:ascii="Arial" w:hAnsi="Arial" w:cs="Arial"/>
          <w:sz w:val="22"/>
          <w:szCs w:val="22"/>
          <w:lang w:val="en-US"/>
        </w:rPr>
        <w:t>Bruijniks</w:t>
      </w:r>
      <w:r w:rsidR="002E65E5">
        <w:rPr>
          <w:rFonts w:ascii="Arial" w:hAnsi="Arial" w:cs="Arial"/>
          <w:sz w:val="22"/>
          <w:szCs w:val="22"/>
          <w:lang w:val="en-US"/>
        </w:rPr>
        <w:t>, unpublished)</w:t>
      </w:r>
      <w:r w:rsidR="00EB7F65">
        <w:rPr>
          <w:rFonts w:ascii="Arial" w:hAnsi="Arial" w:cs="Arial"/>
          <w:sz w:val="22"/>
          <w:szCs w:val="22"/>
          <w:lang w:val="en-US"/>
        </w:rPr>
        <w:t xml:space="preserve"> and 1 was not written in English language. This yielded </w:t>
      </w:r>
      <w:r w:rsidR="00917F29">
        <w:rPr>
          <w:rFonts w:ascii="Arial" w:hAnsi="Arial" w:cs="Arial"/>
          <w:sz w:val="22"/>
          <w:szCs w:val="22"/>
          <w:lang w:val="en-US"/>
        </w:rPr>
        <w:t>1</w:t>
      </w:r>
      <w:r w:rsidR="00F652E8">
        <w:rPr>
          <w:rFonts w:ascii="Arial" w:hAnsi="Arial" w:cs="Arial"/>
          <w:sz w:val="22"/>
          <w:szCs w:val="22"/>
          <w:lang w:val="en-US"/>
        </w:rPr>
        <w:t>2</w:t>
      </w:r>
      <w:r w:rsidR="00EB7F65">
        <w:rPr>
          <w:rFonts w:ascii="Arial" w:hAnsi="Arial" w:cs="Arial"/>
          <w:sz w:val="22"/>
          <w:szCs w:val="22"/>
          <w:lang w:val="en-US"/>
        </w:rPr>
        <w:t xml:space="preserve"> articles for full review (</w:t>
      </w:r>
      <w:r w:rsidR="00AB4512">
        <w:rPr>
          <w:rFonts w:ascii="Arial" w:hAnsi="Arial" w:cs="Arial"/>
          <w:sz w:val="22"/>
          <w:szCs w:val="22"/>
          <w:lang w:val="en-US"/>
        </w:rPr>
        <w:t xml:space="preserve">see </w:t>
      </w:r>
      <w:r w:rsidR="00EB7F65">
        <w:rPr>
          <w:rFonts w:ascii="Arial" w:hAnsi="Arial" w:cs="Arial"/>
          <w:sz w:val="22"/>
          <w:szCs w:val="22"/>
          <w:lang w:val="en-US"/>
        </w:rPr>
        <w:t>table 3.2). These 1</w:t>
      </w:r>
      <w:r w:rsidR="00F652E8">
        <w:rPr>
          <w:rFonts w:ascii="Arial" w:hAnsi="Arial" w:cs="Arial"/>
          <w:sz w:val="22"/>
          <w:szCs w:val="22"/>
          <w:lang w:val="en-US"/>
        </w:rPr>
        <w:t>2</w:t>
      </w:r>
      <w:r w:rsidR="00EB7F65">
        <w:rPr>
          <w:rFonts w:ascii="Arial" w:hAnsi="Arial" w:cs="Arial"/>
          <w:sz w:val="22"/>
          <w:szCs w:val="22"/>
          <w:lang w:val="en-US"/>
        </w:rPr>
        <w:t xml:space="preserve"> </w:t>
      </w:r>
      <w:r w:rsidR="00EB7F65">
        <w:rPr>
          <w:rFonts w:ascii="Arial" w:hAnsi="Arial" w:cs="Arial"/>
          <w:sz w:val="22"/>
          <w:szCs w:val="22"/>
          <w:lang w:val="en-US"/>
        </w:rPr>
        <w:lastRenderedPageBreak/>
        <w:t>articles</w:t>
      </w:r>
      <w:r w:rsidR="00EA08A3" w:rsidRPr="0022405F">
        <w:rPr>
          <w:rFonts w:ascii="Arial" w:hAnsi="Arial" w:cs="Arial"/>
          <w:sz w:val="22"/>
          <w:szCs w:val="22"/>
          <w:lang w:val="en-US"/>
        </w:rPr>
        <w:t xml:space="preserve"> </w:t>
      </w:r>
      <w:r w:rsidR="00D033CF">
        <w:rPr>
          <w:rFonts w:ascii="Arial" w:hAnsi="Arial" w:cs="Arial"/>
          <w:sz w:val="22"/>
          <w:szCs w:val="22"/>
          <w:lang w:val="en-US"/>
        </w:rPr>
        <w:t>comprised</w:t>
      </w:r>
      <w:r w:rsidR="00AC4FDD">
        <w:rPr>
          <w:rFonts w:ascii="Arial" w:hAnsi="Arial" w:cs="Arial"/>
          <w:sz w:val="22"/>
          <w:szCs w:val="22"/>
          <w:lang w:val="en-US"/>
        </w:rPr>
        <w:t xml:space="preserve"> </w:t>
      </w:r>
      <w:r w:rsidR="00AC4265">
        <w:rPr>
          <w:rFonts w:ascii="Arial" w:hAnsi="Arial" w:cs="Arial"/>
          <w:sz w:val="22"/>
          <w:szCs w:val="22"/>
          <w:lang w:val="en-US"/>
        </w:rPr>
        <w:t xml:space="preserve">of </w:t>
      </w:r>
      <w:r w:rsidR="00F652E8">
        <w:rPr>
          <w:rFonts w:ascii="Arial" w:hAnsi="Arial" w:cs="Arial"/>
          <w:sz w:val="22"/>
          <w:szCs w:val="22"/>
          <w:lang w:val="en-US"/>
        </w:rPr>
        <w:t>6</w:t>
      </w:r>
      <w:r w:rsidR="00AC4FDD">
        <w:rPr>
          <w:rFonts w:ascii="Arial" w:hAnsi="Arial" w:cs="Arial"/>
          <w:sz w:val="22"/>
          <w:szCs w:val="22"/>
          <w:lang w:val="en-US"/>
        </w:rPr>
        <w:t xml:space="preserve"> naturalistic </w:t>
      </w:r>
      <w:r w:rsidR="00AB4512">
        <w:rPr>
          <w:rFonts w:ascii="Arial" w:hAnsi="Arial" w:cs="Arial"/>
          <w:sz w:val="22"/>
          <w:szCs w:val="22"/>
          <w:lang w:val="en-US"/>
        </w:rPr>
        <w:t xml:space="preserve">observational </w:t>
      </w:r>
      <w:r w:rsidR="00AC4FDD">
        <w:rPr>
          <w:rFonts w:ascii="Arial" w:hAnsi="Arial" w:cs="Arial"/>
          <w:sz w:val="22"/>
          <w:szCs w:val="22"/>
          <w:lang w:val="en-US"/>
        </w:rPr>
        <w:t xml:space="preserve">cohort studies and </w:t>
      </w:r>
      <w:r w:rsidR="00917F29">
        <w:rPr>
          <w:rFonts w:ascii="Arial" w:hAnsi="Arial" w:cs="Arial"/>
          <w:sz w:val="22"/>
          <w:szCs w:val="22"/>
          <w:lang w:val="en-US"/>
        </w:rPr>
        <w:t>6</w:t>
      </w:r>
      <w:r w:rsidR="00AC4FDD">
        <w:rPr>
          <w:rFonts w:ascii="Arial" w:hAnsi="Arial" w:cs="Arial"/>
          <w:sz w:val="22"/>
          <w:szCs w:val="22"/>
          <w:lang w:val="en-US"/>
        </w:rPr>
        <w:t xml:space="preserve"> Therapist Effects studies. </w:t>
      </w:r>
      <w:r w:rsidR="0020257C">
        <w:rPr>
          <w:rFonts w:ascii="Arial" w:hAnsi="Arial" w:cs="Arial"/>
          <w:sz w:val="22"/>
          <w:szCs w:val="22"/>
          <w:lang w:val="en-US"/>
        </w:rPr>
        <w:t xml:space="preserve">Each article was reviewed and scored in relation to the </w:t>
      </w:r>
      <w:r w:rsidR="00917F29">
        <w:rPr>
          <w:rFonts w:ascii="Arial" w:hAnsi="Arial" w:cs="Arial"/>
          <w:sz w:val="22"/>
          <w:szCs w:val="22"/>
          <w:lang w:val="en-US"/>
        </w:rPr>
        <w:t xml:space="preserve">literature </w:t>
      </w:r>
      <w:r w:rsidR="0020257C">
        <w:rPr>
          <w:rFonts w:ascii="Arial" w:hAnsi="Arial" w:cs="Arial"/>
          <w:sz w:val="22"/>
          <w:szCs w:val="22"/>
          <w:lang w:val="en-US"/>
        </w:rPr>
        <w:t>review question and inclusion criteria</w:t>
      </w:r>
      <w:r w:rsidR="00917F29">
        <w:rPr>
          <w:rFonts w:ascii="Arial" w:hAnsi="Arial" w:cs="Arial"/>
          <w:sz w:val="22"/>
          <w:szCs w:val="22"/>
          <w:lang w:val="en-US"/>
        </w:rPr>
        <w:t>.</w:t>
      </w:r>
      <w:r w:rsidR="0020257C">
        <w:rPr>
          <w:rFonts w:ascii="Arial" w:hAnsi="Arial" w:cs="Arial"/>
          <w:sz w:val="22"/>
          <w:szCs w:val="22"/>
          <w:lang w:val="en-US"/>
        </w:rPr>
        <w:t xml:space="preserve"> </w:t>
      </w:r>
      <w:r w:rsidR="006A79E8">
        <w:rPr>
          <w:rFonts w:ascii="Arial" w:hAnsi="Arial" w:cs="Arial"/>
          <w:sz w:val="22"/>
          <w:szCs w:val="22"/>
          <w:lang w:val="en-US"/>
        </w:rPr>
        <w:t xml:space="preserve">Of the </w:t>
      </w:r>
      <w:r w:rsidR="00AC4265">
        <w:rPr>
          <w:rFonts w:ascii="Arial" w:hAnsi="Arial" w:cs="Arial"/>
          <w:sz w:val="22"/>
          <w:szCs w:val="22"/>
          <w:lang w:val="en-US"/>
        </w:rPr>
        <w:t>1</w:t>
      </w:r>
      <w:r w:rsidR="00F652E8">
        <w:rPr>
          <w:rFonts w:ascii="Arial" w:hAnsi="Arial" w:cs="Arial"/>
          <w:sz w:val="22"/>
          <w:szCs w:val="22"/>
          <w:lang w:val="en-US"/>
        </w:rPr>
        <w:t>2</w:t>
      </w:r>
      <w:r w:rsidR="006A79E8">
        <w:rPr>
          <w:rFonts w:ascii="Arial" w:hAnsi="Arial" w:cs="Arial"/>
          <w:sz w:val="22"/>
          <w:szCs w:val="22"/>
          <w:lang w:val="en-US"/>
        </w:rPr>
        <w:t xml:space="preserve"> articles, </w:t>
      </w:r>
      <w:r w:rsidR="00AC4265">
        <w:rPr>
          <w:rFonts w:ascii="Arial" w:hAnsi="Arial" w:cs="Arial"/>
          <w:sz w:val="22"/>
          <w:szCs w:val="22"/>
          <w:lang w:val="en-US"/>
        </w:rPr>
        <w:t>7</w:t>
      </w:r>
      <w:r w:rsidR="006A79E8">
        <w:rPr>
          <w:rFonts w:ascii="Arial" w:hAnsi="Arial" w:cs="Arial"/>
          <w:sz w:val="22"/>
          <w:szCs w:val="22"/>
          <w:lang w:val="en-US"/>
        </w:rPr>
        <w:t xml:space="preserve"> did not meet the inclusion criteria. Waller and Turner (2</w:t>
      </w:r>
      <w:r w:rsidR="00D1295A">
        <w:rPr>
          <w:rFonts w:ascii="Arial" w:hAnsi="Arial" w:cs="Arial"/>
          <w:sz w:val="22"/>
          <w:szCs w:val="22"/>
          <w:lang w:val="en-US"/>
        </w:rPr>
        <w:t>01</w:t>
      </w:r>
      <w:r w:rsidR="006A79E8">
        <w:rPr>
          <w:rFonts w:ascii="Arial" w:hAnsi="Arial" w:cs="Arial"/>
          <w:sz w:val="22"/>
          <w:szCs w:val="22"/>
          <w:lang w:val="en-US"/>
        </w:rPr>
        <w:t xml:space="preserve">6) provide a highly useful discussion relating to the therapist variables that may relate to clinical outcome in the delivery of cognitive behavioural therapy. However, their discussion does not specifically relate to IAPT and they fail to include any substantive data analysis or findings. This article was excluded on the basis that it lacked scientific rigor. Clark, Canvin, Green, Layard, Pilling and Janecka (2017) report on the </w:t>
      </w:r>
      <w:r w:rsidR="00A05EED">
        <w:rPr>
          <w:rFonts w:ascii="Arial" w:hAnsi="Arial" w:cs="Arial"/>
          <w:sz w:val="22"/>
          <w:szCs w:val="22"/>
          <w:lang w:val="en-US"/>
        </w:rPr>
        <w:t>“</w:t>
      </w:r>
      <w:r w:rsidR="006A79E8" w:rsidRPr="00A05EED">
        <w:rPr>
          <w:rFonts w:ascii="Arial" w:hAnsi="Arial" w:cs="Arial"/>
          <w:i/>
          <w:iCs/>
          <w:sz w:val="22"/>
          <w:szCs w:val="22"/>
          <w:lang w:val="en-US"/>
        </w:rPr>
        <w:t>transparency</w:t>
      </w:r>
      <w:r w:rsidR="00A05EED">
        <w:rPr>
          <w:rFonts w:ascii="Arial" w:hAnsi="Arial" w:cs="Arial"/>
          <w:sz w:val="22"/>
          <w:szCs w:val="22"/>
          <w:lang w:val="en-US"/>
        </w:rPr>
        <w:t>”</w:t>
      </w:r>
      <w:r w:rsidR="006A79E8">
        <w:rPr>
          <w:rFonts w:ascii="Arial" w:hAnsi="Arial" w:cs="Arial"/>
          <w:sz w:val="22"/>
          <w:szCs w:val="22"/>
          <w:lang w:val="en-US"/>
        </w:rPr>
        <w:t xml:space="preserve"> of data in IAPT in a naturalistic</w:t>
      </w:r>
      <w:r w:rsidR="00A05EED">
        <w:rPr>
          <w:rFonts w:ascii="Arial" w:hAnsi="Arial" w:cs="Arial"/>
          <w:sz w:val="22"/>
          <w:szCs w:val="22"/>
          <w:lang w:val="en-US"/>
        </w:rPr>
        <w:t xml:space="preserve"> observational cohort study.</w:t>
      </w:r>
      <w:r w:rsidR="006A79E8">
        <w:rPr>
          <w:rFonts w:ascii="Arial" w:hAnsi="Arial" w:cs="Arial"/>
          <w:sz w:val="22"/>
          <w:szCs w:val="22"/>
          <w:lang w:val="en-US"/>
        </w:rPr>
        <w:t xml:space="preserve"> Whilst they suggest that their sample is in excess of 500,000 patients</w:t>
      </w:r>
      <w:r w:rsidR="003F1843">
        <w:rPr>
          <w:rFonts w:ascii="Arial" w:hAnsi="Arial" w:cs="Arial"/>
          <w:sz w:val="22"/>
          <w:szCs w:val="22"/>
          <w:lang w:val="en-US"/>
        </w:rPr>
        <w:t>,</w:t>
      </w:r>
      <w:r w:rsidR="006A79E8">
        <w:rPr>
          <w:rFonts w:ascii="Arial" w:hAnsi="Arial" w:cs="Arial"/>
          <w:sz w:val="22"/>
          <w:szCs w:val="22"/>
          <w:lang w:val="en-US"/>
        </w:rPr>
        <w:t xml:space="preserve"> they fail to give further details</w:t>
      </w:r>
      <w:r w:rsidR="00AB4512">
        <w:rPr>
          <w:rFonts w:ascii="Arial" w:hAnsi="Arial" w:cs="Arial"/>
          <w:sz w:val="22"/>
          <w:szCs w:val="22"/>
          <w:lang w:val="en-US"/>
        </w:rPr>
        <w:t xml:space="preserve"> of the sample of interest. Furthermore, </w:t>
      </w:r>
      <w:r w:rsidR="006A79E8">
        <w:rPr>
          <w:rFonts w:ascii="Arial" w:hAnsi="Arial" w:cs="Arial"/>
          <w:sz w:val="22"/>
          <w:szCs w:val="22"/>
          <w:lang w:val="en-US"/>
        </w:rPr>
        <w:t>they give no details of the therapists that treated the patients.</w:t>
      </w:r>
      <w:r w:rsidR="00A05EED">
        <w:rPr>
          <w:rFonts w:ascii="Arial" w:hAnsi="Arial" w:cs="Arial"/>
          <w:sz w:val="22"/>
          <w:szCs w:val="22"/>
          <w:lang w:val="en-US"/>
        </w:rPr>
        <w:t xml:space="preserve"> The main recommendation of the article </w:t>
      </w:r>
      <w:r w:rsidR="00AB4512">
        <w:rPr>
          <w:rFonts w:ascii="Arial" w:hAnsi="Arial" w:cs="Arial"/>
          <w:sz w:val="22"/>
          <w:szCs w:val="22"/>
          <w:lang w:val="en-US"/>
        </w:rPr>
        <w:t xml:space="preserve">is that </w:t>
      </w:r>
      <w:r w:rsidR="00A05EED">
        <w:rPr>
          <w:rFonts w:ascii="Arial" w:hAnsi="Arial" w:cs="Arial"/>
          <w:sz w:val="22"/>
          <w:szCs w:val="22"/>
          <w:lang w:val="en-US"/>
        </w:rPr>
        <w:t>IAPT should be adopted in other countries. Close inspection of the article reveals that, unlike its title, there is a</w:t>
      </w:r>
      <w:r w:rsidR="00AB4512">
        <w:rPr>
          <w:rFonts w:ascii="Arial" w:hAnsi="Arial" w:cs="Arial"/>
          <w:sz w:val="22"/>
          <w:szCs w:val="22"/>
          <w:lang w:val="en-US"/>
        </w:rPr>
        <w:t>ctually a</w:t>
      </w:r>
      <w:r w:rsidR="00A05EED">
        <w:rPr>
          <w:rFonts w:ascii="Arial" w:hAnsi="Arial" w:cs="Arial"/>
          <w:sz w:val="22"/>
          <w:szCs w:val="22"/>
          <w:lang w:val="en-US"/>
        </w:rPr>
        <w:t xml:space="preserve"> lack of transparency in the data. </w:t>
      </w:r>
      <w:r w:rsidR="00652690">
        <w:rPr>
          <w:rFonts w:ascii="Arial" w:hAnsi="Arial" w:cs="Arial"/>
          <w:sz w:val="22"/>
          <w:szCs w:val="22"/>
          <w:lang w:val="en-US"/>
        </w:rPr>
        <w:t xml:space="preserve">IAPT collect large volumes of data about therapists, patients and services (Layard and Clark, 2014) and yet the authors fail to discuss this. They focus on data in a very broad sense, looking at aggregated data reported by groups of IAPT services situated in geographical areas (National Health Service Clinical Commissioning Groups). They present the data using a largely positive stance reporting that recovery rates are in line with </w:t>
      </w:r>
      <w:r w:rsidR="003067B6">
        <w:rPr>
          <w:rFonts w:ascii="Arial" w:hAnsi="Arial" w:cs="Arial"/>
          <w:sz w:val="22"/>
          <w:szCs w:val="22"/>
          <w:lang w:val="en-US"/>
        </w:rPr>
        <w:t>those reported by clinical trials and that IAPT is able to capture 98% of outcome data for all patients. Whilst there is a brief discussion about variance in outcomes the authors ultimately present the achievements of IAPT.</w:t>
      </w:r>
      <w:r w:rsidR="00A05EED">
        <w:rPr>
          <w:rFonts w:ascii="Arial" w:hAnsi="Arial" w:cs="Arial"/>
          <w:sz w:val="22"/>
          <w:szCs w:val="22"/>
          <w:lang w:val="en-US"/>
        </w:rPr>
        <w:t xml:space="preserve"> It could be argued that the authors’ primary aim </w:t>
      </w:r>
      <w:r w:rsidR="003067B6">
        <w:rPr>
          <w:rFonts w:ascii="Arial" w:hAnsi="Arial" w:cs="Arial"/>
          <w:sz w:val="22"/>
          <w:szCs w:val="22"/>
          <w:lang w:val="en-US"/>
        </w:rPr>
        <w:t>is</w:t>
      </w:r>
      <w:r w:rsidR="00A05EED">
        <w:rPr>
          <w:rFonts w:ascii="Arial" w:hAnsi="Arial" w:cs="Arial"/>
          <w:sz w:val="22"/>
          <w:szCs w:val="22"/>
          <w:lang w:val="en-US"/>
        </w:rPr>
        <w:t xml:space="preserve"> to market the IAPT concept to other countries in the world. The third study in the review (Branson, Shaffran and Myles, 2015)</w:t>
      </w:r>
      <w:r w:rsidR="00667D7D">
        <w:rPr>
          <w:rFonts w:ascii="Arial" w:hAnsi="Arial" w:cs="Arial"/>
          <w:sz w:val="22"/>
          <w:szCs w:val="22"/>
          <w:lang w:val="en-US"/>
        </w:rPr>
        <w:t xml:space="preserve"> also failed to meet the inclusion criteria for this review in that the authors discuss the relationship between competence and outcomes in High Intensity CBT trainees. Additionally</w:t>
      </w:r>
      <w:r w:rsidR="007D5C8A">
        <w:rPr>
          <w:rFonts w:ascii="Arial" w:hAnsi="Arial" w:cs="Arial"/>
          <w:sz w:val="22"/>
          <w:szCs w:val="22"/>
          <w:lang w:val="en-US"/>
        </w:rPr>
        <w:t>,</w:t>
      </w:r>
      <w:r w:rsidR="00667D7D">
        <w:rPr>
          <w:rFonts w:ascii="Arial" w:hAnsi="Arial" w:cs="Arial"/>
          <w:sz w:val="22"/>
          <w:szCs w:val="22"/>
          <w:lang w:val="en-US"/>
        </w:rPr>
        <w:t xml:space="preserve"> their study has significant limitations in that the n=43 trainees who participated in the study were allowed to self-select three therapy sessions to be assessed for competence, using the CTS-R. Self-selection, particularly in the context of a training programme</w:t>
      </w:r>
      <w:r w:rsidR="008E1C14">
        <w:rPr>
          <w:rFonts w:ascii="Arial" w:hAnsi="Arial" w:cs="Arial"/>
          <w:sz w:val="22"/>
          <w:szCs w:val="22"/>
          <w:lang w:val="en-US"/>
        </w:rPr>
        <w:t>,</w:t>
      </w:r>
      <w:r w:rsidR="00667D7D">
        <w:rPr>
          <w:rFonts w:ascii="Arial" w:hAnsi="Arial" w:cs="Arial"/>
          <w:sz w:val="22"/>
          <w:szCs w:val="22"/>
          <w:lang w:val="en-US"/>
        </w:rPr>
        <w:t xml:space="preserve"> can be problematic in that the trainees are likely to submit recordings </w:t>
      </w:r>
      <w:r w:rsidR="00667D7D">
        <w:rPr>
          <w:rFonts w:ascii="Arial" w:hAnsi="Arial" w:cs="Arial"/>
          <w:sz w:val="22"/>
          <w:szCs w:val="22"/>
          <w:lang w:val="en-US"/>
        </w:rPr>
        <w:lastRenderedPageBreak/>
        <w:t>which they believe to be better examples of their clinical work</w:t>
      </w:r>
      <w:r w:rsidR="007D5C8A">
        <w:rPr>
          <w:rFonts w:ascii="Arial" w:hAnsi="Arial" w:cs="Arial"/>
          <w:sz w:val="22"/>
          <w:szCs w:val="22"/>
          <w:lang w:val="en-US"/>
        </w:rPr>
        <w:t xml:space="preserve"> </w:t>
      </w:r>
      <w:r w:rsidR="007D5C8A" w:rsidRPr="007D5C8A">
        <w:rPr>
          <w:rFonts w:ascii="Arial" w:hAnsi="Arial" w:cs="Arial"/>
          <w:sz w:val="22"/>
          <w:szCs w:val="22"/>
          <w:lang w:val="en-US"/>
        </w:rPr>
        <w:t>(Walfish, McAlister, O’Donnell and Lambert, 2012)</w:t>
      </w:r>
      <w:r w:rsidR="00667D7D" w:rsidRPr="007D5C8A">
        <w:rPr>
          <w:rFonts w:ascii="Arial" w:hAnsi="Arial" w:cs="Arial"/>
          <w:sz w:val="22"/>
          <w:szCs w:val="22"/>
          <w:lang w:val="en-US"/>
        </w:rPr>
        <w:t>.</w:t>
      </w:r>
      <w:r w:rsidR="00667D7D">
        <w:rPr>
          <w:rFonts w:ascii="Arial" w:hAnsi="Arial" w:cs="Arial"/>
          <w:sz w:val="22"/>
          <w:szCs w:val="22"/>
          <w:lang w:val="en-US"/>
        </w:rPr>
        <w:t xml:space="preserve"> </w:t>
      </w:r>
      <w:r w:rsidR="007D5C8A">
        <w:rPr>
          <w:rFonts w:ascii="Arial" w:hAnsi="Arial" w:cs="Arial"/>
          <w:sz w:val="22"/>
          <w:szCs w:val="22"/>
          <w:lang w:val="en-US"/>
        </w:rPr>
        <w:t>The authors findings are perhaps unsurprising in that they report that trainees CTS-R scores improved over time, however the</w:t>
      </w:r>
      <w:r w:rsidR="00AC4265">
        <w:rPr>
          <w:rFonts w:ascii="Arial" w:hAnsi="Arial" w:cs="Arial"/>
          <w:sz w:val="22"/>
          <w:szCs w:val="22"/>
          <w:lang w:val="en-US"/>
        </w:rPr>
        <w:t>re</w:t>
      </w:r>
      <w:r w:rsidR="007D5C8A">
        <w:rPr>
          <w:rFonts w:ascii="Arial" w:hAnsi="Arial" w:cs="Arial"/>
          <w:sz w:val="22"/>
          <w:szCs w:val="22"/>
          <w:lang w:val="en-US"/>
        </w:rPr>
        <w:t xml:space="preserve"> was no evidence (p= 0.08) that CTS-R scores correlated with clinical outcome in this cohort of trainees. </w:t>
      </w:r>
      <w:r w:rsidR="00380415">
        <w:rPr>
          <w:rFonts w:ascii="Arial" w:hAnsi="Arial" w:cs="Arial"/>
          <w:sz w:val="22"/>
          <w:szCs w:val="22"/>
          <w:lang w:val="en-US"/>
        </w:rPr>
        <w:t>It is important to note that</w:t>
      </w:r>
      <w:r w:rsidR="007D5C8A">
        <w:rPr>
          <w:rFonts w:ascii="Arial" w:hAnsi="Arial" w:cs="Arial"/>
          <w:sz w:val="22"/>
          <w:szCs w:val="22"/>
          <w:lang w:val="en-US"/>
        </w:rPr>
        <w:t xml:space="preserve"> the authors reported this finding as “limited evidence” rather than no evidence that CTS-R scores related to clinical outcome. Furthermore</w:t>
      </w:r>
      <w:r w:rsidR="00667D7D">
        <w:rPr>
          <w:rFonts w:ascii="Arial" w:hAnsi="Arial" w:cs="Arial"/>
          <w:sz w:val="22"/>
          <w:szCs w:val="22"/>
          <w:lang w:val="en-US"/>
        </w:rPr>
        <w:t>, the results from this</w:t>
      </w:r>
      <w:r w:rsidR="007D5C8A">
        <w:rPr>
          <w:rFonts w:ascii="Arial" w:hAnsi="Arial" w:cs="Arial"/>
          <w:sz w:val="22"/>
          <w:szCs w:val="22"/>
          <w:lang w:val="en-US"/>
        </w:rPr>
        <w:t xml:space="preserve"> study may not be generalizable to the population of qualified therapists working in IAPT.</w:t>
      </w:r>
      <w:r w:rsidR="00AC4265">
        <w:rPr>
          <w:rFonts w:ascii="Arial" w:hAnsi="Arial" w:cs="Arial"/>
          <w:sz w:val="22"/>
          <w:szCs w:val="22"/>
          <w:lang w:val="en-US"/>
        </w:rPr>
        <w:t xml:space="preserve"> The fourth article which was excluded from the review was Saxon and Barkham’s (2012) therapist effects study. Whilst the authors add to the literature in this well</w:t>
      </w:r>
      <w:r w:rsidR="008E1C14">
        <w:rPr>
          <w:rFonts w:ascii="Arial" w:hAnsi="Arial" w:cs="Arial"/>
          <w:sz w:val="22"/>
          <w:szCs w:val="22"/>
          <w:lang w:val="en-US"/>
        </w:rPr>
        <w:t>-</w:t>
      </w:r>
      <w:r w:rsidR="00AC4265">
        <w:rPr>
          <w:rFonts w:ascii="Arial" w:hAnsi="Arial" w:cs="Arial"/>
          <w:sz w:val="22"/>
          <w:szCs w:val="22"/>
          <w:lang w:val="en-US"/>
        </w:rPr>
        <w:t>powered study</w:t>
      </w:r>
      <w:r w:rsidR="00747434">
        <w:rPr>
          <w:rFonts w:ascii="Arial" w:hAnsi="Arial" w:cs="Arial"/>
          <w:sz w:val="22"/>
          <w:szCs w:val="22"/>
          <w:lang w:val="en-US"/>
        </w:rPr>
        <w:t>, close inspection reveal</w:t>
      </w:r>
      <w:r w:rsidR="00D1295A">
        <w:rPr>
          <w:rFonts w:ascii="Arial" w:hAnsi="Arial" w:cs="Arial"/>
          <w:sz w:val="22"/>
          <w:szCs w:val="22"/>
          <w:lang w:val="en-US"/>
        </w:rPr>
        <w:t>s</w:t>
      </w:r>
      <w:r w:rsidR="00747434">
        <w:rPr>
          <w:rFonts w:ascii="Arial" w:hAnsi="Arial" w:cs="Arial"/>
          <w:sz w:val="22"/>
          <w:szCs w:val="22"/>
          <w:lang w:val="en-US"/>
        </w:rPr>
        <w:t xml:space="preserve"> that they repurpose an old data set derived from </w:t>
      </w:r>
      <w:r w:rsidR="00747434" w:rsidRPr="00747434">
        <w:rPr>
          <w:rFonts w:ascii="Arial" w:hAnsi="Arial" w:cs="Arial"/>
          <w:sz w:val="22"/>
          <w:szCs w:val="22"/>
          <w:lang w:val="en-US"/>
        </w:rPr>
        <w:t xml:space="preserve">the </w:t>
      </w:r>
      <w:r w:rsidR="00747434" w:rsidRPr="00747434">
        <w:rPr>
          <w:rFonts w:ascii="Arial" w:hAnsi="Arial" w:cs="Arial"/>
          <w:sz w:val="22"/>
          <w:szCs w:val="22"/>
        </w:rPr>
        <w:t>Clinical Outcomes in Routine Evaluation</w:t>
      </w:r>
      <w:r w:rsidR="00747434">
        <w:rPr>
          <w:rFonts w:ascii="Arial" w:hAnsi="Arial" w:cs="Arial"/>
          <w:sz w:val="22"/>
          <w:szCs w:val="22"/>
        </w:rPr>
        <w:t xml:space="preserve"> (CORE) p</w:t>
      </w:r>
      <w:r w:rsidR="00747434" w:rsidRPr="00747434">
        <w:rPr>
          <w:rFonts w:ascii="Arial" w:hAnsi="Arial" w:cs="Arial"/>
          <w:sz w:val="22"/>
          <w:szCs w:val="22"/>
        </w:rPr>
        <w:t>ractice</w:t>
      </w:r>
      <w:r w:rsidR="00ED2602">
        <w:rPr>
          <w:rFonts w:ascii="Arial" w:hAnsi="Arial" w:cs="Arial"/>
          <w:sz w:val="22"/>
          <w:szCs w:val="22"/>
        </w:rPr>
        <w:t>-</w:t>
      </w:r>
      <w:r w:rsidR="00747434">
        <w:rPr>
          <w:rFonts w:ascii="Arial" w:hAnsi="Arial" w:cs="Arial"/>
          <w:sz w:val="22"/>
          <w:szCs w:val="22"/>
        </w:rPr>
        <w:t>b</w:t>
      </w:r>
      <w:r w:rsidR="00747434" w:rsidRPr="00747434">
        <w:rPr>
          <w:rFonts w:ascii="Arial" w:hAnsi="Arial" w:cs="Arial"/>
          <w:sz w:val="22"/>
          <w:szCs w:val="22"/>
        </w:rPr>
        <w:t xml:space="preserve">ased </w:t>
      </w:r>
      <w:r w:rsidR="00747434">
        <w:rPr>
          <w:rFonts w:ascii="Arial" w:hAnsi="Arial" w:cs="Arial"/>
          <w:sz w:val="22"/>
          <w:szCs w:val="22"/>
        </w:rPr>
        <w:t>e</w:t>
      </w:r>
      <w:r w:rsidR="00747434" w:rsidRPr="00747434">
        <w:rPr>
          <w:rFonts w:ascii="Arial" w:hAnsi="Arial" w:cs="Arial"/>
          <w:sz w:val="22"/>
          <w:szCs w:val="22"/>
        </w:rPr>
        <w:t xml:space="preserve">vidence </w:t>
      </w:r>
      <w:r w:rsidR="00747434">
        <w:rPr>
          <w:rFonts w:ascii="Arial" w:hAnsi="Arial" w:cs="Arial"/>
          <w:sz w:val="22"/>
          <w:szCs w:val="22"/>
        </w:rPr>
        <w:t>n</w:t>
      </w:r>
      <w:r w:rsidR="00747434" w:rsidRPr="00747434">
        <w:rPr>
          <w:rFonts w:ascii="Arial" w:hAnsi="Arial" w:cs="Arial"/>
          <w:sz w:val="22"/>
          <w:szCs w:val="22"/>
        </w:rPr>
        <w:t>ational data base</w:t>
      </w:r>
      <w:r w:rsidR="00D1295A">
        <w:rPr>
          <w:rFonts w:ascii="Arial" w:hAnsi="Arial" w:cs="Arial"/>
          <w:sz w:val="22"/>
          <w:szCs w:val="22"/>
        </w:rPr>
        <w:t>,</w:t>
      </w:r>
      <w:r w:rsidR="00747434">
        <w:rPr>
          <w:rFonts w:ascii="Arial" w:hAnsi="Arial" w:cs="Arial"/>
          <w:sz w:val="22"/>
          <w:szCs w:val="22"/>
        </w:rPr>
        <w:t xml:space="preserve"> which collected data from patients treated</w:t>
      </w:r>
      <w:r w:rsidR="00747434">
        <w:rPr>
          <w:rFonts w:ascii="Arial" w:hAnsi="Arial" w:cs="Arial"/>
          <w:sz w:val="22"/>
          <w:szCs w:val="22"/>
          <w:lang w:val="en-US"/>
        </w:rPr>
        <w:t xml:space="preserve"> between the years of 1999 and 2008 (Saxon and Barkham, 2012).</w:t>
      </w:r>
      <w:r w:rsidR="00D1295A">
        <w:rPr>
          <w:rFonts w:ascii="Arial" w:hAnsi="Arial" w:cs="Arial"/>
          <w:sz w:val="22"/>
          <w:szCs w:val="22"/>
          <w:lang w:val="en-US"/>
        </w:rPr>
        <w:t xml:space="preserve"> Therefore, whilst the paper appears to relate to IAPT the data was actually collected prior to IAPT.</w:t>
      </w:r>
      <w:r w:rsidR="00747434">
        <w:rPr>
          <w:rFonts w:ascii="Arial" w:hAnsi="Arial" w:cs="Arial"/>
          <w:sz w:val="22"/>
          <w:szCs w:val="22"/>
          <w:lang w:val="en-US"/>
        </w:rPr>
        <w:t xml:space="preserve"> </w:t>
      </w:r>
      <w:r w:rsidR="000F2ED5">
        <w:rPr>
          <w:rFonts w:ascii="Arial" w:hAnsi="Arial" w:cs="Arial"/>
          <w:sz w:val="22"/>
          <w:szCs w:val="22"/>
          <w:lang w:val="en-US"/>
        </w:rPr>
        <w:t>Two</w:t>
      </w:r>
      <w:r w:rsidR="00747434">
        <w:rPr>
          <w:rFonts w:ascii="Arial" w:hAnsi="Arial" w:cs="Arial"/>
          <w:sz w:val="22"/>
          <w:szCs w:val="22"/>
          <w:lang w:val="en-US"/>
        </w:rPr>
        <w:t xml:space="preserve"> other articles</w:t>
      </w:r>
      <w:r w:rsidR="000F2ED5">
        <w:rPr>
          <w:rFonts w:ascii="Arial" w:hAnsi="Arial" w:cs="Arial"/>
          <w:sz w:val="22"/>
          <w:szCs w:val="22"/>
          <w:lang w:val="en-US"/>
        </w:rPr>
        <w:t xml:space="preserve"> </w:t>
      </w:r>
      <w:r w:rsidR="00747434">
        <w:rPr>
          <w:rFonts w:ascii="Arial" w:hAnsi="Arial" w:cs="Arial"/>
          <w:sz w:val="22"/>
          <w:szCs w:val="22"/>
          <w:lang w:val="en-US"/>
        </w:rPr>
        <w:t>w</w:t>
      </w:r>
      <w:r w:rsidR="000F2ED5">
        <w:rPr>
          <w:rFonts w:ascii="Arial" w:hAnsi="Arial" w:cs="Arial"/>
          <w:sz w:val="22"/>
          <w:szCs w:val="22"/>
          <w:lang w:val="en-US"/>
        </w:rPr>
        <w:t>ere</w:t>
      </w:r>
      <w:r w:rsidR="00747434">
        <w:rPr>
          <w:rFonts w:ascii="Arial" w:hAnsi="Arial" w:cs="Arial"/>
          <w:sz w:val="22"/>
          <w:szCs w:val="22"/>
          <w:lang w:val="en-US"/>
        </w:rPr>
        <w:t xml:space="preserve"> excluded on the same basis. </w:t>
      </w:r>
      <w:r w:rsidR="000F2ED5">
        <w:rPr>
          <w:rFonts w:ascii="Arial" w:hAnsi="Arial" w:cs="Arial"/>
          <w:sz w:val="22"/>
          <w:szCs w:val="22"/>
          <w:lang w:val="en-US"/>
        </w:rPr>
        <w:t>Firth, Saxon</w:t>
      </w:r>
      <w:r w:rsidR="00747434">
        <w:rPr>
          <w:rFonts w:ascii="Arial" w:hAnsi="Arial" w:cs="Arial"/>
          <w:sz w:val="22"/>
          <w:szCs w:val="22"/>
          <w:lang w:val="en-US"/>
        </w:rPr>
        <w:t>,</w:t>
      </w:r>
      <w:r w:rsidR="000F2ED5">
        <w:rPr>
          <w:rFonts w:ascii="Arial" w:hAnsi="Arial" w:cs="Arial"/>
          <w:sz w:val="22"/>
          <w:szCs w:val="22"/>
          <w:lang w:val="en-US"/>
        </w:rPr>
        <w:t xml:space="preserve"> Stiles and Barkham</w:t>
      </w:r>
      <w:r w:rsidR="00747434">
        <w:rPr>
          <w:rFonts w:ascii="Arial" w:hAnsi="Arial" w:cs="Arial"/>
          <w:sz w:val="22"/>
          <w:szCs w:val="22"/>
          <w:lang w:val="en-US"/>
        </w:rPr>
        <w:t xml:space="preserve"> (201</w:t>
      </w:r>
      <w:r w:rsidR="000F2ED5">
        <w:rPr>
          <w:rFonts w:ascii="Arial" w:hAnsi="Arial" w:cs="Arial"/>
          <w:sz w:val="22"/>
          <w:szCs w:val="22"/>
          <w:lang w:val="en-US"/>
        </w:rPr>
        <w:t>9</w:t>
      </w:r>
      <w:r w:rsidR="00747434">
        <w:rPr>
          <w:rFonts w:ascii="Arial" w:hAnsi="Arial" w:cs="Arial"/>
          <w:sz w:val="22"/>
          <w:szCs w:val="22"/>
          <w:lang w:val="en-US"/>
        </w:rPr>
        <w:t>)</w:t>
      </w:r>
      <w:r w:rsidR="000F2ED5">
        <w:rPr>
          <w:rFonts w:ascii="Arial" w:hAnsi="Arial" w:cs="Arial"/>
          <w:sz w:val="22"/>
          <w:szCs w:val="22"/>
          <w:lang w:val="en-US"/>
        </w:rPr>
        <w:t xml:space="preserve"> and Saxon, Barkham, Foster and Parry, (2016)</w:t>
      </w:r>
      <w:r w:rsidR="00747434">
        <w:rPr>
          <w:rFonts w:ascii="Arial" w:hAnsi="Arial" w:cs="Arial"/>
          <w:sz w:val="22"/>
          <w:szCs w:val="22"/>
          <w:lang w:val="en-US"/>
        </w:rPr>
        <w:t xml:space="preserve"> also use the CORE (1999-2008) database.</w:t>
      </w:r>
      <w:r w:rsidR="000F2ED5">
        <w:rPr>
          <w:rFonts w:ascii="Arial" w:hAnsi="Arial" w:cs="Arial"/>
          <w:sz w:val="22"/>
          <w:szCs w:val="22"/>
          <w:lang w:val="en-US"/>
        </w:rPr>
        <w:t xml:space="preserve"> </w:t>
      </w:r>
      <w:r w:rsidR="00747434">
        <w:rPr>
          <w:rFonts w:ascii="Arial" w:hAnsi="Arial" w:cs="Arial"/>
          <w:sz w:val="22"/>
          <w:szCs w:val="22"/>
          <w:lang w:val="en-US"/>
        </w:rPr>
        <w:t xml:space="preserve">Pybis, Saxon, Hill and Barkham, (2017) similarly repurpose secondary data in their study. The authors </w:t>
      </w:r>
      <w:r w:rsidR="000F2ED5">
        <w:rPr>
          <w:rFonts w:ascii="Arial" w:hAnsi="Arial" w:cs="Arial"/>
          <w:sz w:val="22"/>
          <w:szCs w:val="22"/>
          <w:lang w:val="en-US"/>
        </w:rPr>
        <w:t>conduct a secondary analysis from data collected as part of the 2</w:t>
      </w:r>
      <w:r w:rsidR="000F2ED5" w:rsidRPr="000F2ED5">
        <w:rPr>
          <w:rFonts w:ascii="Arial" w:hAnsi="Arial" w:cs="Arial"/>
          <w:sz w:val="22"/>
          <w:szCs w:val="22"/>
          <w:vertAlign w:val="superscript"/>
          <w:lang w:val="en-US"/>
        </w:rPr>
        <w:t>nd</w:t>
      </w:r>
      <w:r w:rsidR="000F2ED5">
        <w:rPr>
          <w:rFonts w:ascii="Arial" w:hAnsi="Arial" w:cs="Arial"/>
          <w:sz w:val="22"/>
          <w:szCs w:val="22"/>
          <w:lang w:val="en-US"/>
        </w:rPr>
        <w:t xml:space="preserve"> National Audit of Psychological Therapies.  Again, this is a very large data set (n=11750 IAPT patients) however the data set did not contain details of therapists and this article was excluded on that basis. </w:t>
      </w:r>
      <w:r w:rsidR="005D0440" w:rsidRPr="005144E4">
        <w:rPr>
          <w:rFonts w:ascii="Arial" w:hAnsi="Arial" w:cs="Arial"/>
          <w:sz w:val="22"/>
          <w:szCs w:val="22"/>
          <w:lang w:val="en-US"/>
        </w:rPr>
        <w:t xml:space="preserve">The remaining </w:t>
      </w:r>
      <w:r w:rsidR="00CB607F" w:rsidRPr="005144E4">
        <w:rPr>
          <w:rFonts w:ascii="Arial" w:hAnsi="Arial" w:cs="Arial"/>
          <w:sz w:val="22"/>
          <w:szCs w:val="22"/>
          <w:lang w:val="en-US"/>
        </w:rPr>
        <w:t>five</w:t>
      </w:r>
      <w:r w:rsidR="005D0440" w:rsidRPr="005144E4">
        <w:rPr>
          <w:rFonts w:ascii="Arial" w:hAnsi="Arial" w:cs="Arial"/>
          <w:sz w:val="22"/>
          <w:szCs w:val="22"/>
          <w:lang w:val="en-US"/>
        </w:rPr>
        <w:t xml:space="preserve"> articles were critically reviewed using the McMaster Critical Review Guidelines (Law, Stewart, Pollack, Letts, Bosch, Westmorland, 1998). The McMaster guidelines (for quantitative methods) are commonly used by health care professionals when </w:t>
      </w:r>
      <w:r w:rsidR="007A2929" w:rsidRPr="005144E4">
        <w:rPr>
          <w:rFonts w:ascii="Arial" w:hAnsi="Arial" w:cs="Arial"/>
          <w:sz w:val="22"/>
          <w:szCs w:val="22"/>
          <w:lang w:val="en-US"/>
        </w:rPr>
        <w:t xml:space="preserve">critically </w:t>
      </w:r>
      <w:r w:rsidR="00070B1E" w:rsidRPr="005144E4">
        <w:rPr>
          <w:rFonts w:ascii="Arial" w:hAnsi="Arial" w:cs="Arial"/>
          <w:sz w:val="22"/>
          <w:szCs w:val="22"/>
          <w:lang w:val="en-US"/>
        </w:rPr>
        <w:t>appraising</w:t>
      </w:r>
      <w:r w:rsidR="00424C2D" w:rsidRPr="005144E4">
        <w:rPr>
          <w:rFonts w:ascii="Arial" w:hAnsi="Arial" w:cs="Arial"/>
          <w:sz w:val="22"/>
          <w:szCs w:val="22"/>
          <w:lang w:val="en-US"/>
        </w:rPr>
        <w:t xml:space="preserve"> studies for</w:t>
      </w:r>
      <w:r w:rsidR="000C16C7" w:rsidRPr="005144E4">
        <w:rPr>
          <w:rFonts w:ascii="Arial" w:hAnsi="Arial" w:cs="Arial"/>
          <w:sz w:val="22"/>
          <w:szCs w:val="22"/>
          <w:lang w:val="en-US"/>
        </w:rPr>
        <w:t xml:space="preserve"> inclusion in </w:t>
      </w:r>
      <w:r w:rsidR="005D0440" w:rsidRPr="005144E4">
        <w:rPr>
          <w:rFonts w:ascii="Arial" w:hAnsi="Arial" w:cs="Arial"/>
          <w:sz w:val="22"/>
          <w:szCs w:val="22"/>
          <w:lang w:val="en-US"/>
        </w:rPr>
        <w:t>systematic literature reviews</w:t>
      </w:r>
      <w:r w:rsidR="0053577B" w:rsidRPr="005144E4">
        <w:rPr>
          <w:rFonts w:ascii="Arial" w:hAnsi="Arial" w:cs="Arial"/>
          <w:sz w:val="22"/>
          <w:szCs w:val="22"/>
          <w:lang w:val="en-US"/>
        </w:rPr>
        <w:t xml:space="preserve"> (Bettany-Saltikov, 2012)</w:t>
      </w:r>
      <w:r w:rsidR="00441DB8" w:rsidRPr="005144E4">
        <w:rPr>
          <w:rFonts w:ascii="Arial" w:hAnsi="Arial" w:cs="Arial"/>
          <w:sz w:val="22"/>
          <w:szCs w:val="22"/>
          <w:lang w:val="en-US"/>
        </w:rPr>
        <w:t xml:space="preserve">. </w:t>
      </w:r>
      <w:r w:rsidR="005D0440" w:rsidRPr="005144E4">
        <w:rPr>
          <w:rFonts w:ascii="Arial" w:hAnsi="Arial" w:cs="Arial"/>
          <w:sz w:val="22"/>
          <w:szCs w:val="22"/>
          <w:lang w:val="en-US"/>
        </w:rPr>
        <w:t>Table 3.</w:t>
      </w:r>
      <w:r w:rsidR="00544EF7" w:rsidRPr="005144E4">
        <w:rPr>
          <w:rFonts w:ascii="Arial" w:hAnsi="Arial" w:cs="Arial"/>
          <w:sz w:val="22"/>
          <w:szCs w:val="22"/>
          <w:lang w:val="en-US"/>
        </w:rPr>
        <w:t>3</w:t>
      </w:r>
      <w:r w:rsidR="005D0440" w:rsidRPr="005144E4">
        <w:rPr>
          <w:rFonts w:ascii="Arial" w:hAnsi="Arial" w:cs="Arial"/>
          <w:sz w:val="22"/>
          <w:szCs w:val="22"/>
          <w:lang w:val="en-US"/>
        </w:rPr>
        <w:t xml:space="preserve"> shows the McMaster review</w:t>
      </w:r>
      <w:r w:rsidR="00D317E9" w:rsidRPr="005144E4">
        <w:rPr>
          <w:rFonts w:ascii="Arial" w:hAnsi="Arial" w:cs="Arial"/>
          <w:sz w:val="22"/>
          <w:szCs w:val="22"/>
          <w:lang w:val="en-US"/>
        </w:rPr>
        <w:t xml:space="preserve"> form</w:t>
      </w:r>
      <w:r w:rsidR="005D0440" w:rsidRPr="005144E4">
        <w:rPr>
          <w:rFonts w:ascii="Arial" w:hAnsi="Arial" w:cs="Arial"/>
          <w:sz w:val="22"/>
          <w:szCs w:val="22"/>
          <w:lang w:val="en-US"/>
        </w:rPr>
        <w:t xml:space="preserve"> for </w:t>
      </w:r>
      <w:r w:rsidR="00D317E9" w:rsidRPr="005144E4">
        <w:rPr>
          <w:rFonts w:ascii="Arial" w:hAnsi="Arial" w:cs="Arial"/>
          <w:sz w:val="22"/>
          <w:szCs w:val="22"/>
          <w:lang w:val="en-US"/>
        </w:rPr>
        <w:t>the five</w:t>
      </w:r>
      <w:r w:rsidR="005D0440" w:rsidRPr="005144E4">
        <w:rPr>
          <w:rFonts w:ascii="Arial" w:hAnsi="Arial" w:cs="Arial"/>
          <w:sz w:val="22"/>
          <w:szCs w:val="22"/>
          <w:lang w:val="en-US"/>
        </w:rPr>
        <w:t xml:space="preserve"> articles</w:t>
      </w:r>
      <w:r w:rsidR="002D337F" w:rsidRPr="005144E4">
        <w:rPr>
          <w:rFonts w:ascii="Arial" w:hAnsi="Arial" w:cs="Arial"/>
          <w:sz w:val="22"/>
          <w:szCs w:val="22"/>
          <w:lang w:val="en-US"/>
        </w:rPr>
        <w:t xml:space="preserve">. The form shows how each article was </w:t>
      </w:r>
      <w:r w:rsidR="005622EA" w:rsidRPr="005144E4">
        <w:rPr>
          <w:rFonts w:ascii="Arial" w:hAnsi="Arial" w:cs="Arial"/>
          <w:sz w:val="22"/>
          <w:szCs w:val="22"/>
          <w:lang w:val="en-US"/>
        </w:rPr>
        <w:t>appraised in relation to</w:t>
      </w:r>
      <w:r w:rsidR="00B84AE8" w:rsidRPr="005144E4">
        <w:rPr>
          <w:rFonts w:ascii="Arial" w:hAnsi="Arial" w:cs="Arial"/>
          <w:sz w:val="22"/>
          <w:szCs w:val="22"/>
          <w:lang w:val="en-US"/>
        </w:rPr>
        <w:t xml:space="preserve"> </w:t>
      </w:r>
      <w:r w:rsidR="002B2F1D" w:rsidRPr="005144E4">
        <w:rPr>
          <w:rFonts w:ascii="Arial" w:hAnsi="Arial" w:cs="Arial"/>
          <w:sz w:val="22"/>
          <w:szCs w:val="22"/>
          <w:lang w:val="en-US"/>
        </w:rPr>
        <w:t>whether</w:t>
      </w:r>
      <w:r w:rsidR="00523734" w:rsidRPr="005144E4">
        <w:rPr>
          <w:rFonts w:ascii="Arial" w:hAnsi="Arial" w:cs="Arial"/>
          <w:sz w:val="22"/>
          <w:szCs w:val="22"/>
          <w:lang w:val="en-US"/>
        </w:rPr>
        <w:t>:</w:t>
      </w:r>
      <w:r w:rsidR="002B2F1D" w:rsidRPr="005144E4">
        <w:rPr>
          <w:rFonts w:ascii="Arial" w:hAnsi="Arial" w:cs="Arial"/>
          <w:sz w:val="22"/>
          <w:szCs w:val="22"/>
          <w:lang w:val="en-US"/>
        </w:rPr>
        <w:t xml:space="preserve"> the study purpose was clearly stated and relevant</w:t>
      </w:r>
      <w:r w:rsidR="00B84AE8" w:rsidRPr="005144E4">
        <w:rPr>
          <w:rFonts w:ascii="Arial" w:hAnsi="Arial" w:cs="Arial"/>
          <w:sz w:val="22"/>
          <w:szCs w:val="22"/>
          <w:lang w:val="en-US"/>
        </w:rPr>
        <w:t>, the article included a relevant literature review and an identified gap in knowledge,</w:t>
      </w:r>
      <w:r w:rsidR="0089592B" w:rsidRPr="005144E4">
        <w:rPr>
          <w:rFonts w:ascii="Arial" w:hAnsi="Arial" w:cs="Arial"/>
          <w:sz w:val="22"/>
          <w:szCs w:val="22"/>
          <w:lang w:val="en-US"/>
        </w:rPr>
        <w:t xml:space="preserve"> the research design is clearly outlined,</w:t>
      </w:r>
      <w:r w:rsidR="00C35C75" w:rsidRPr="005144E4">
        <w:rPr>
          <w:rFonts w:ascii="Arial" w:hAnsi="Arial" w:cs="Arial"/>
          <w:sz w:val="22"/>
          <w:szCs w:val="22"/>
          <w:lang w:val="en-US"/>
        </w:rPr>
        <w:t xml:space="preserve"> the sample is described and </w:t>
      </w:r>
      <w:r w:rsidR="00CE3C43" w:rsidRPr="005144E4">
        <w:rPr>
          <w:rFonts w:ascii="Arial" w:hAnsi="Arial" w:cs="Arial"/>
          <w:sz w:val="22"/>
          <w:szCs w:val="22"/>
          <w:lang w:val="en-US"/>
        </w:rPr>
        <w:t>the</w:t>
      </w:r>
      <w:r w:rsidR="00C35C75" w:rsidRPr="005144E4">
        <w:rPr>
          <w:rFonts w:ascii="Arial" w:hAnsi="Arial" w:cs="Arial"/>
          <w:sz w:val="22"/>
          <w:szCs w:val="22"/>
          <w:lang w:val="en-US"/>
        </w:rPr>
        <w:t xml:space="preserve"> sample size</w:t>
      </w:r>
      <w:r w:rsidR="00CE3C43" w:rsidRPr="005144E4">
        <w:rPr>
          <w:rFonts w:ascii="Arial" w:hAnsi="Arial" w:cs="Arial"/>
          <w:sz w:val="22"/>
          <w:szCs w:val="22"/>
          <w:lang w:val="en-US"/>
        </w:rPr>
        <w:t xml:space="preserve"> is stated and justified,</w:t>
      </w:r>
      <w:r w:rsidR="00FF6909" w:rsidRPr="005144E4">
        <w:rPr>
          <w:rFonts w:ascii="Arial" w:hAnsi="Arial" w:cs="Arial"/>
          <w:sz w:val="22"/>
          <w:szCs w:val="22"/>
          <w:lang w:val="en-US"/>
        </w:rPr>
        <w:t xml:space="preserve"> outcome</w:t>
      </w:r>
      <w:r w:rsidR="006D5335" w:rsidRPr="005144E4">
        <w:rPr>
          <w:rFonts w:ascii="Arial" w:hAnsi="Arial" w:cs="Arial"/>
          <w:sz w:val="22"/>
          <w:szCs w:val="22"/>
          <w:lang w:val="en-US"/>
        </w:rPr>
        <w:t>s are clearly defined and</w:t>
      </w:r>
      <w:r w:rsidR="00FF6909" w:rsidRPr="005144E4">
        <w:rPr>
          <w:rFonts w:ascii="Arial" w:hAnsi="Arial" w:cs="Arial"/>
          <w:sz w:val="22"/>
          <w:szCs w:val="22"/>
          <w:lang w:val="en-US"/>
        </w:rPr>
        <w:t xml:space="preserve"> </w:t>
      </w:r>
      <w:r w:rsidR="00FF6909" w:rsidRPr="005144E4">
        <w:rPr>
          <w:rFonts w:ascii="Arial" w:hAnsi="Arial" w:cs="Arial"/>
          <w:sz w:val="22"/>
          <w:szCs w:val="22"/>
          <w:lang w:val="en-US"/>
        </w:rPr>
        <w:lastRenderedPageBreak/>
        <w:t xml:space="preserve">measures </w:t>
      </w:r>
      <w:r w:rsidR="006D5335" w:rsidRPr="005144E4">
        <w:rPr>
          <w:rFonts w:ascii="Arial" w:hAnsi="Arial" w:cs="Arial"/>
          <w:sz w:val="22"/>
          <w:szCs w:val="22"/>
          <w:lang w:val="en-US"/>
        </w:rPr>
        <w:t>have sound psychometric properties</w:t>
      </w:r>
      <w:r w:rsidR="00F420E8" w:rsidRPr="005144E4">
        <w:rPr>
          <w:rFonts w:ascii="Arial" w:hAnsi="Arial" w:cs="Arial"/>
          <w:sz w:val="22"/>
          <w:szCs w:val="22"/>
          <w:lang w:val="en-US"/>
        </w:rPr>
        <w:t>, the intervention is described and replicabl</w:t>
      </w:r>
      <w:r w:rsidR="001927DB" w:rsidRPr="005144E4">
        <w:rPr>
          <w:rFonts w:ascii="Arial" w:hAnsi="Arial" w:cs="Arial"/>
          <w:sz w:val="22"/>
          <w:szCs w:val="22"/>
          <w:lang w:val="en-US"/>
        </w:rPr>
        <w:t xml:space="preserve">e, the findings are reported including the statistical analyses used, the </w:t>
      </w:r>
      <w:r w:rsidR="00B67ED6" w:rsidRPr="005144E4">
        <w:rPr>
          <w:rFonts w:ascii="Arial" w:hAnsi="Arial" w:cs="Arial"/>
          <w:sz w:val="22"/>
          <w:szCs w:val="22"/>
          <w:lang w:val="en-US"/>
        </w:rPr>
        <w:t xml:space="preserve">statistical significance is reported and the relevance </w:t>
      </w:r>
      <w:r w:rsidR="00085832" w:rsidRPr="005144E4">
        <w:rPr>
          <w:rFonts w:ascii="Arial" w:hAnsi="Arial" w:cs="Arial"/>
          <w:sz w:val="22"/>
          <w:szCs w:val="22"/>
          <w:lang w:val="en-US"/>
        </w:rPr>
        <w:t>and impact on clinical practice are discussed</w:t>
      </w:r>
      <w:r w:rsidR="00450B75" w:rsidRPr="005144E4">
        <w:rPr>
          <w:rFonts w:ascii="Arial" w:hAnsi="Arial" w:cs="Arial"/>
          <w:sz w:val="22"/>
          <w:szCs w:val="22"/>
          <w:lang w:val="en-US"/>
        </w:rPr>
        <w:t xml:space="preserve"> (Law et al.,</w:t>
      </w:r>
      <w:r w:rsidR="009465E7" w:rsidRPr="005144E4">
        <w:rPr>
          <w:rFonts w:ascii="Arial" w:hAnsi="Arial" w:cs="Arial"/>
          <w:sz w:val="22"/>
          <w:szCs w:val="22"/>
          <w:lang w:val="en-US"/>
        </w:rPr>
        <w:t xml:space="preserve"> 1998).</w:t>
      </w:r>
      <w:r w:rsidR="00AF7CCB" w:rsidRPr="005144E4">
        <w:rPr>
          <w:rFonts w:ascii="Arial" w:hAnsi="Arial" w:cs="Arial"/>
          <w:sz w:val="22"/>
          <w:szCs w:val="22"/>
          <w:lang w:val="en-US"/>
        </w:rPr>
        <w:t xml:space="preserve"> </w:t>
      </w:r>
      <w:r w:rsidR="00493A0D" w:rsidRPr="005144E4">
        <w:rPr>
          <w:rFonts w:ascii="Arial" w:hAnsi="Arial" w:cs="Arial"/>
          <w:sz w:val="22"/>
          <w:szCs w:val="22"/>
          <w:lang w:val="en-US"/>
        </w:rPr>
        <w:t>Table</w:t>
      </w:r>
      <w:r w:rsidR="0001206C" w:rsidRPr="005144E4">
        <w:rPr>
          <w:rFonts w:ascii="Arial" w:hAnsi="Arial" w:cs="Arial"/>
          <w:sz w:val="22"/>
          <w:szCs w:val="22"/>
          <w:lang w:val="en-US"/>
        </w:rPr>
        <w:t xml:space="preserve"> 3.3 shows that</w:t>
      </w:r>
      <w:r w:rsidR="00AF7CCB" w:rsidRPr="005144E4">
        <w:rPr>
          <w:rFonts w:ascii="Arial" w:hAnsi="Arial" w:cs="Arial"/>
          <w:sz w:val="22"/>
          <w:szCs w:val="22"/>
          <w:lang w:val="en-US"/>
        </w:rPr>
        <w:t xml:space="preserve"> </w:t>
      </w:r>
      <w:r w:rsidR="00C13CCA" w:rsidRPr="005144E4">
        <w:rPr>
          <w:rFonts w:ascii="Arial" w:hAnsi="Arial" w:cs="Arial"/>
          <w:sz w:val="22"/>
          <w:szCs w:val="22"/>
          <w:lang w:val="en-US"/>
        </w:rPr>
        <w:t>all 5 articles met the significant majority of the criteria</w:t>
      </w:r>
      <w:r w:rsidR="006173C4" w:rsidRPr="005144E4">
        <w:rPr>
          <w:rFonts w:ascii="Arial" w:hAnsi="Arial" w:cs="Arial"/>
          <w:sz w:val="22"/>
          <w:szCs w:val="22"/>
          <w:lang w:val="en-US"/>
        </w:rPr>
        <w:t xml:space="preserve"> and the</w:t>
      </w:r>
      <w:r w:rsidR="008571D5" w:rsidRPr="005144E4">
        <w:rPr>
          <w:rFonts w:ascii="Arial" w:hAnsi="Arial" w:cs="Arial"/>
          <w:sz w:val="22"/>
          <w:szCs w:val="22"/>
          <w:lang w:val="en-US"/>
        </w:rPr>
        <w:t xml:space="preserve"> </w:t>
      </w:r>
      <w:r w:rsidR="0001206C" w:rsidRPr="005144E4">
        <w:rPr>
          <w:rFonts w:ascii="Arial" w:hAnsi="Arial" w:cs="Arial"/>
          <w:sz w:val="22"/>
          <w:szCs w:val="22"/>
          <w:lang w:val="en-US"/>
        </w:rPr>
        <w:t xml:space="preserve">Liness et al., </w:t>
      </w:r>
      <w:r w:rsidR="006173C4" w:rsidRPr="005144E4">
        <w:rPr>
          <w:rFonts w:ascii="Arial" w:hAnsi="Arial" w:cs="Arial"/>
          <w:sz w:val="22"/>
          <w:szCs w:val="22"/>
          <w:lang w:val="en-US"/>
        </w:rPr>
        <w:t>(</w:t>
      </w:r>
      <w:r w:rsidR="0001206C" w:rsidRPr="005144E4">
        <w:rPr>
          <w:rFonts w:ascii="Arial" w:hAnsi="Arial" w:cs="Arial"/>
          <w:sz w:val="22"/>
          <w:szCs w:val="22"/>
          <w:lang w:val="en-US"/>
        </w:rPr>
        <w:t xml:space="preserve">2018) </w:t>
      </w:r>
      <w:r w:rsidR="006173C4" w:rsidRPr="005144E4">
        <w:rPr>
          <w:rFonts w:ascii="Arial" w:hAnsi="Arial" w:cs="Arial"/>
          <w:sz w:val="22"/>
          <w:szCs w:val="22"/>
          <w:lang w:val="en-US"/>
        </w:rPr>
        <w:t xml:space="preserve">article </w:t>
      </w:r>
      <w:r w:rsidR="0001206C" w:rsidRPr="005144E4">
        <w:rPr>
          <w:rFonts w:ascii="Arial" w:hAnsi="Arial" w:cs="Arial"/>
          <w:sz w:val="22"/>
          <w:szCs w:val="22"/>
          <w:lang w:val="en-US"/>
        </w:rPr>
        <w:t>met all the criteria</w:t>
      </w:r>
      <w:r w:rsidR="006173C4" w:rsidRPr="005144E4">
        <w:rPr>
          <w:rFonts w:ascii="Arial" w:hAnsi="Arial" w:cs="Arial"/>
          <w:sz w:val="22"/>
          <w:szCs w:val="22"/>
          <w:lang w:val="en-US"/>
        </w:rPr>
        <w:t>. Given th</w:t>
      </w:r>
      <w:r w:rsidR="008571D5" w:rsidRPr="005144E4">
        <w:rPr>
          <w:rFonts w:ascii="Arial" w:hAnsi="Arial" w:cs="Arial"/>
          <w:sz w:val="22"/>
          <w:szCs w:val="22"/>
          <w:lang w:val="en-US"/>
        </w:rPr>
        <w:t xml:space="preserve">at </w:t>
      </w:r>
      <w:r w:rsidR="0050138F" w:rsidRPr="005144E4">
        <w:rPr>
          <w:rFonts w:ascii="Arial" w:hAnsi="Arial" w:cs="Arial"/>
          <w:sz w:val="22"/>
          <w:szCs w:val="22"/>
          <w:lang w:val="en-US"/>
        </w:rPr>
        <w:t>the search reve</w:t>
      </w:r>
      <w:r w:rsidR="00523734" w:rsidRPr="005144E4">
        <w:rPr>
          <w:rFonts w:ascii="Arial" w:hAnsi="Arial" w:cs="Arial"/>
          <w:sz w:val="22"/>
          <w:szCs w:val="22"/>
          <w:lang w:val="en-US"/>
        </w:rPr>
        <w:t>a</w:t>
      </w:r>
      <w:r w:rsidR="0050138F" w:rsidRPr="005144E4">
        <w:rPr>
          <w:rFonts w:ascii="Arial" w:hAnsi="Arial" w:cs="Arial"/>
          <w:sz w:val="22"/>
          <w:szCs w:val="22"/>
          <w:lang w:val="en-US"/>
        </w:rPr>
        <w:t xml:space="preserve">led </w:t>
      </w:r>
      <w:r w:rsidR="000C3BBF" w:rsidRPr="005144E4">
        <w:rPr>
          <w:rFonts w:ascii="Arial" w:hAnsi="Arial" w:cs="Arial"/>
          <w:sz w:val="22"/>
          <w:szCs w:val="22"/>
          <w:lang w:val="en-US"/>
        </w:rPr>
        <w:t>so few relevant papers</w:t>
      </w:r>
      <w:r w:rsidR="0050138F" w:rsidRPr="005144E4">
        <w:rPr>
          <w:rFonts w:ascii="Arial" w:hAnsi="Arial" w:cs="Arial"/>
          <w:sz w:val="22"/>
          <w:szCs w:val="22"/>
          <w:lang w:val="en-US"/>
        </w:rPr>
        <w:t>, all 5 papers were retained.</w:t>
      </w:r>
    </w:p>
    <w:p w14:paraId="5BB7ECAD" w14:textId="77777777" w:rsidR="009A277D" w:rsidRDefault="009A277D">
      <w:pPr>
        <w:rPr>
          <w:rFonts w:ascii="Arial" w:hAnsi="Arial"/>
          <w:b/>
          <w:iCs/>
          <w:sz w:val="22"/>
          <w:szCs w:val="18"/>
        </w:rPr>
      </w:pPr>
      <w:bookmarkStart w:id="214" w:name="_Toc28347774"/>
      <w:r>
        <w:br w:type="page"/>
      </w:r>
    </w:p>
    <w:p w14:paraId="768DECFA" w14:textId="2767FF3F" w:rsidR="00C5556E" w:rsidRPr="00C5556E" w:rsidRDefault="00C5556E" w:rsidP="00C5556E">
      <w:pPr>
        <w:pStyle w:val="Tables"/>
        <w:rPr>
          <w:b w:val="0"/>
        </w:rPr>
      </w:pPr>
      <w:bookmarkStart w:id="215" w:name="_Toc46770975"/>
      <w:r w:rsidRPr="001E7190">
        <w:lastRenderedPageBreak/>
        <w:t xml:space="preserve">Table 3.2 </w:t>
      </w:r>
      <w:r w:rsidRPr="00C5556E">
        <w:rPr>
          <w:b w:val="0"/>
        </w:rPr>
        <w:t>Articles yielded from the review</w:t>
      </w:r>
      <w:bookmarkEnd w:id="214"/>
      <w:bookmarkEnd w:id="21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1657"/>
        <w:gridCol w:w="1849"/>
        <w:gridCol w:w="3739"/>
        <w:gridCol w:w="1358"/>
      </w:tblGrid>
      <w:tr w:rsidR="005D0440" w14:paraId="4E1A636C" w14:textId="77777777" w:rsidTr="006A79E8">
        <w:tc>
          <w:tcPr>
            <w:tcW w:w="0" w:type="auto"/>
          </w:tcPr>
          <w:p w14:paraId="1EAC28DA" w14:textId="77777777" w:rsidR="00671AB5" w:rsidRPr="00671AB5" w:rsidRDefault="00671AB5" w:rsidP="00671AB5">
            <w:pPr>
              <w:widowControl w:val="0"/>
              <w:autoSpaceDE w:val="0"/>
              <w:autoSpaceDN w:val="0"/>
              <w:adjustRightInd w:val="0"/>
              <w:spacing w:after="240"/>
              <w:rPr>
                <w:rFonts w:ascii="Arial" w:hAnsi="Arial" w:cs="Arial"/>
                <w:b/>
                <w:bCs/>
                <w:sz w:val="18"/>
                <w:szCs w:val="18"/>
                <w:lang w:val="en-US"/>
              </w:rPr>
            </w:pPr>
          </w:p>
        </w:tc>
        <w:tc>
          <w:tcPr>
            <w:tcW w:w="0" w:type="auto"/>
          </w:tcPr>
          <w:p w14:paraId="6E9D0393" w14:textId="2BD82911" w:rsidR="00671AB5" w:rsidRPr="00671AB5" w:rsidRDefault="00671AB5" w:rsidP="00671AB5">
            <w:pPr>
              <w:widowControl w:val="0"/>
              <w:autoSpaceDE w:val="0"/>
              <w:autoSpaceDN w:val="0"/>
              <w:adjustRightInd w:val="0"/>
              <w:spacing w:after="240"/>
              <w:rPr>
                <w:rFonts w:ascii="Arial" w:hAnsi="Arial" w:cs="Arial"/>
                <w:b/>
                <w:bCs/>
                <w:sz w:val="18"/>
                <w:szCs w:val="18"/>
                <w:lang w:val="en-US"/>
              </w:rPr>
            </w:pPr>
            <w:r w:rsidRPr="00671AB5">
              <w:rPr>
                <w:rFonts w:ascii="Arial" w:hAnsi="Arial" w:cs="Arial"/>
                <w:b/>
                <w:bCs/>
                <w:sz w:val="18"/>
                <w:szCs w:val="18"/>
                <w:lang w:val="en-US"/>
              </w:rPr>
              <w:t>Author &amp; year</w:t>
            </w:r>
          </w:p>
        </w:tc>
        <w:tc>
          <w:tcPr>
            <w:tcW w:w="0" w:type="auto"/>
          </w:tcPr>
          <w:p w14:paraId="189F0BBA" w14:textId="52F203EC" w:rsidR="00671AB5" w:rsidRPr="00671AB5" w:rsidRDefault="00671AB5" w:rsidP="00EA08A3">
            <w:pPr>
              <w:widowControl w:val="0"/>
              <w:autoSpaceDE w:val="0"/>
              <w:autoSpaceDN w:val="0"/>
              <w:adjustRightInd w:val="0"/>
              <w:spacing w:after="240" w:line="480" w:lineRule="auto"/>
              <w:rPr>
                <w:rFonts w:ascii="Arial" w:hAnsi="Arial" w:cs="Arial"/>
                <w:b/>
                <w:bCs/>
                <w:sz w:val="18"/>
                <w:szCs w:val="18"/>
                <w:lang w:val="en-US"/>
              </w:rPr>
            </w:pPr>
            <w:r w:rsidRPr="00671AB5">
              <w:rPr>
                <w:rFonts w:ascii="Arial" w:hAnsi="Arial" w:cs="Arial"/>
                <w:b/>
                <w:bCs/>
                <w:sz w:val="18"/>
                <w:szCs w:val="18"/>
                <w:lang w:val="en-US"/>
              </w:rPr>
              <w:t>Type of study</w:t>
            </w:r>
          </w:p>
        </w:tc>
        <w:tc>
          <w:tcPr>
            <w:tcW w:w="0" w:type="auto"/>
          </w:tcPr>
          <w:p w14:paraId="289192A6" w14:textId="03DCA889" w:rsidR="00671AB5" w:rsidRPr="00671AB5" w:rsidRDefault="00671AB5" w:rsidP="00671AB5">
            <w:pPr>
              <w:widowControl w:val="0"/>
              <w:autoSpaceDE w:val="0"/>
              <w:autoSpaceDN w:val="0"/>
              <w:adjustRightInd w:val="0"/>
              <w:spacing w:after="240"/>
              <w:rPr>
                <w:rFonts w:ascii="Arial" w:hAnsi="Arial" w:cs="Arial"/>
                <w:b/>
                <w:bCs/>
                <w:sz w:val="18"/>
                <w:szCs w:val="18"/>
                <w:lang w:val="en-US"/>
              </w:rPr>
            </w:pPr>
            <w:r w:rsidRPr="00671AB5">
              <w:rPr>
                <w:rFonts w:ascii="Arial" w:hAnsi="Arial" w:cs="Arial"/>
                <w:b/>
                <w:bCs/>
                <w:sz w:val="18"/>
                <w:szCs w:val="18"/>
                <w:lang w:val="en-US"/>
              </w:rPr>
              <w:t>Focus of study</w:t>
            </w:r>
          </w:p>
        </w:tc>
        <w:tc>
          <w:tcPr>
            <w:tcW w:w="0" w:type="auto"/>
          </w:tcPr>
          <w:p w14:paraId="73B3A6FE" w14:textId="4D689CBE" w:rsidR="00671AB5" w:rsidRPr="00671AB5" w:rsidRDefault="00671AB5" w:rsidP="00671AB5">
            <w:pPr>
              <w:widowControl w:val="0"/>
              <w:autoSpaceDE w:val="0"/>
              <w:autoSpaceDN w:val="0"/>
              <w:adjustRightInd w:val="0"/>
              <w:spacing w:after="240"/>
              <w:rPr>
                <w:rFonts w:ascii="Arial" w:hAnsi="Arial" w:cs="Arial"/>
                <w:b/>
                <w:bCs/>
                <w:sz w:val="18"/>
                <w:szCs w:val="18"/>
                <w:lang w:val="en-US"/>
              </w:rPr>
            </w:pPr>
            <w:r w:rsidRPr="00671AB5">
              <w:rPr>
                <w:rFonts w:ascii="Arial" w:hAnsi="Arial" w:cs="Arial"/>
                <w:b/>
                <w:bCs/>
                <w:sz w:val="18"/>
                <w:szCs w:val="18"/>
                <w:lang w:val="en-US"/>
              </w:rPr>
              <w:t>Relevance to review</w:t>
            </w:r>
          </w:p>
        </w:tc>
      </w:tr>
      <w:tr w:rsidR="005D0440" w14:paraId="6B13FB03" w14:textId="77777777" w:rsidTr="006A79E8">
        <w:tc>
          <w:tcPr>
            <w:tcW w:w="0" w:type="auto"/>
          </w:tcPr>
          <w:p w14:paraId="3D0CC8DF" w14:textId="7D9E2BBC" w:rsidR="00671AB5" w:rsidRPr="00671AB5" w:rsidRDefault="00671AB5" w:rsidP="00671AB5">
            <w:pPr>
              <w:widowControl w:val="0"/>
              <w:autoSpaceDE w:val="0"/>
              <w:autoSpaceDN w:val="0"/>
              <w:adjustRightInd w:val="0"/>
              <w:spacing w:after="240"/>
              <w:rPr>
                <w:rFonts w:ascii="Arial" w:hAnsi="Arial" w:cs="Arial"/>
                <w:sz w:val="18"/>
                <w:szCs w:val="18"/>
                <w:lang w:val="en-US"/>
              </w:rPr>
            </w:pPr>
            <w:r>
              <w:rPr>
                <w:rFonts w:ascii="Arial" w:hAnsi="Arial" w:cs="Arial"/>
                <w:sz w:val="18"/>
                <w:szCs w:val="18"/>
                <w:lang w:val="en-US"/>
              </w:rPr>
              <w:t>1</w:t>
            </w:r>
          </w:p>
        </w:tc>
        <w:tc>
          <w:tcPr>
            <w:tcW w:w="0" w:type="auto"/>
          </w:tcPr>
          <w:p w14:paraId="6564F788" w14:textId="4DA7E519" w:rsidR="00671AB5" w:rsidRPr="00671AB5" w:rsidRDefault="00671AB5" w:rsidP="00671AB5">
            <w:pPr>
              <w:widowControl w:val="0"/>
              <w:autoSpaceDE w:val="0"/>
              <w:autoSpaceDN w:val="0"/>
              <w:adjustRightInd w:val="0"/>
              <w:spacing w:after="240"/>
              <w:rPr>
                <w:rFonts w:ascii="Arial" w:hAnsi="Arial" w:cs="Arial"/>
                <w:sz w:val="18"/>
                <w:szCs w:val="18"/>
                <w:lang w:val="en-US"/>
              </w:rPr>
            </w:pPr>
            <w:r w:rsidRPr="00671AB5">
              <w:rPr>
                <w:rFonts w:ascii="Arial" w:hAnsi="Arial" w:cs="Arial"/>
                <w:sz w:val="18"/>
                <w:szCs w:val="18"/>
                <w:lang w:val="en-US"/>
              </w:rPr>
              <w:t>Waller and Turner (2016)</w:t>
            </w:r>
          </w:p>
        </w:tc>
        <w:tc>
          <w:tcPr>
            <w:tcW w:w="0" w:type="auto"/>
          </w:tcPr>
          <w:p w14:paraId="6D78F951" w14:textId="23135E07" w:rsidR="00671AB5" w:rsidRPr="00FD2497" w:rsidRDefault="00A05EED" w:rsidP="00FD2497">
            <w:pPr>
              <w:widowControl w:val="0"/>
              <w:autoSpaceDE w:val="0"/>
              <w:autoSpaceDN w:val="0"/>
              <w:adjustRightInd w:val="0"/>
              <w:spacing w:after="240"/>
              <w:rPr>
                <w:rFonts w:ascii="Arial" w:hAnsi="Arial" w:cs="Arial"/>
                <w:sz w:val="18"/>
                <w:szCs w:val="18"/>
                <w:lang w:val="en-US"/>
              </w:rPr>
            </w:pPr>
            <w:r w:rsidRPr="00FD2497">
              <w:rPr>
                <w:rFonts w:ascii="Arial" w:hAnsi="Arial" w:cs="Arial"/>
                <w:sz w:val="18"/>
                <w:szCs w:val="18"/>
                <w:lang w:val="en-US"/>
              </w:rPr>
              <w:t>Observational</w:t>
            </w:r>
          </w:p>
        </w:tc>
        <w:tc>
          <w:tcPr>
            <w:tcW w:w="0" w:type="auto"/>
          </w:tcPr>
          <w:p w14:paraId="55017B41" w14:textId="5A982AFC" w:rsidR="00671AB5" w:rsidRPr="00FD2497" w:rsidRDefault="00FD2497" w:rsidP="00FD2497">
            <w:pPr>
              <w:widowControl w:val="0"/>
              <w:autoSpaceDE w:val="0"/>
              <w:autoSpaceDN w:val="0"/>
              <w:adjustRightInd w:val="0"/>
              <w:spacing w:after="240"/>
              <w:rPr>
                <w:rFonts w:ascii="Arial" w:hAnsi="Arial" w:cs="Arial"/>
                <w:sz w:val="18"/>
                <w:szCs w:val="18"/>
                <w:lang w:val="en-US"/>
              </w:rPr>
            </w:pPr>
            <w:r w:rsidRPr="00FD2497">
              <w:rPr>
                <w:rFonts w:ascii="Arial" w:hAnsi="Arial" w:cs="Arial"/>
                <w:sz w:val="18"/>
                <w:szCs w:val="18"/>
                <w:lang w:val="en-US"/>
              </w:rPr>
              <w:t xml:space="preserve">Therapist </w:t>
            </w:r>
            <w:r>
              <w:rPr>
                <w:rFonts w:ascii="Arial" w:hAnsi="Arial" w:cs="Arial"/>
                <w:sz w:val="18"/>
                <w:szCs w:val="18"/>
                <w:lang w:val="en-US"/>
              </w:rPr>
              <w:t>a</w:t>
            </w:r>
            <w:r w:rsidRPr="00FD2497">
              <w:rPr>
                <w:rFonts w:ascii="Arial" w:hAnsi="Arial" w:cs="Arial"/>
                <w:sz w:val="18"/>
                <w:szCs w:val="18"/>
                <w:lang w:val="en-US"/>
              </w:rPr>
              <w:t>dherence</w:t>
            </w:r>
          </w:p>
        </w:tc>
        <w:tc>
          <w:tcPr>
            <w:tcW w:w="0" w:type="auto"/>
          </w:tcPr>
          <w:p w14:paraId="34E25CEF" w14:textId="2FDB26DE" w:rsidR="00671AB5" w:rsidRPr="00FD2497" w:rsidRDefault="00FD2497" w:rsidP="00EA08A3">
            <w:pPr>
              <w:widowControl w:val="0"/>
              <w:autoSpaceDE w:val="0"/>
              <w:autoSpaceDN w:val="0"/>
              <w:adjustRightInd w:val="0"/>
              <w:spacing w:after="240" w:line="480" w:lineRule="auto"/>
              <w:rPr>
                <w:rFonts w:ascii="Arial" w:hAnsi="Arial" w:cs="Arial"/>
                <w:sz w:val="18"/>
                <w:szCs w:val="18"/>
                <w:lang w:val="en-US"/>
              </w:rPr>
            </w:pPr>
            <w:r w:rsidRPr="00FD2497">
              <w:rPr>
                <w:rFonts w:ascii="Arial" w:hAnsi="Arial" w:cs="Arial"/>
                <w:sz w:val="18"/>
                <w:szCs w:val="18"/>
                <w:lang w:val="en-US"/>
              </w:rPr>
              <w:t>No -excluded</w:t>
            </w:r>
          </w:p>
        </w:tc>
      </w:tr>
      <w:tr w:rsidR="005D0440" w14:paraId="67521201" w14:textId="77777777" w:rsidTr="006A79E8">
        <w:tc>
          <w:tcPr>
            <w:tcW w:w="0" w:type="auto"/>
          </w:tcPr>
          <w:p w14:paraId="712C88B3" w14:textId="3800C25C" w:rsidR="00671AB5" w:rsidRPr="00671AB5" w:rsidRDefault="00671AB5" w:rsidP="00671AB5">
            <w:pPr>
              <w:widowControl w:val="0"/>
              <w:autoSpaceDE w:val="0"/>
              <w:autoSpaceDN w:val="0"/>
              <w:adjustRightInd w:val="0"/>
              <w:spacing w:after="240"/>
              <w:rPr>
                <w:rFonts w:ascii="Arial" w:hAnsi="Arial" w:cs="Arial"/>
                <w:sz w:val="18"/>
                <w:szCs w:val="18"/>
                <w:lang w:val="en-US"/>
              </w:rPr>
            </w:pPr>
            <w:r>
              <w:rPr>
                <w:rFonts w:ascii="Arial" w:hAnsi="Arial" w:cs="Arial"/>
                <w:sz w:val="18"/>
                <w:szCs w:val="18"/>
                <w:lang w:val="en-US"/>
              </w:rPr>
              <w:t>2</w:t>
            </w:r>
          </w:p>
        </w:tc>
        <w:tc>
          <w:tcPr>
            <w:tcW w:w="0" w:type="auto"/>
          </w:tcPr>
          <w:p w14:paraId="78919926" w14:textId="2E82F638" w:rsidR="00671AB5" w:rsidRPr="00671AB5" w:rsidRDefault="00671AB5" w:rsidP="00671AB5">
            <w:pPr>
              <w:widowControl w:val="0"/>
              <w:autoSpaceDE w:val="0"/>
              <w:autoSpaceDN w:val="0"/>
              <w:adjustRightInd w:val="0"/>
              <w:spacing w:after="240"/>
              <w:rPr>
                <w:rFonts w:ascii="Arial" w:hAnsi="Arial" w:cs="Arial"/>
                <w:sz w:val="18"/>
                <w:szCs w:val="18"/>
                <w:lang w:val="en-US"/>
              </w:rPr>
            </w:pPr>
            <w:r w:rsidRPr="00671AB5">
              <w:rPr>
                <w:rFonts w:ascii="Arial" w:hAnsi="Arial" w:cs="Arial"/>
                <w:sz w:val="18"/>
                <w:szCs w:val="18"/>
                <w:lang w:val="en-US"/>
              </w:rPr>
              <w:t>Clark et al., (2017)</w:t>
            </w:r>
          </w:p>
        </w:tc>
        <w:tc>
          <w:tcPr>
            <w:tcW w:w="0" w:type="auto"/>
          </w:tcPr>
          <w:p w14:paraId="04AD38C6" w14:textId="5874E0C1" w:rsidR="00671AB5" w:rsidRPr="00FD2497" w:rsidRDefault="00A05EED" w:rsidP="00FD2497">
            <w:pPr>
              <w:widowControl w:val="0"/>
              <w:autoSpaceDE w:val="0"/>
              <w:autoSpaceDN w:val="0"/>
              <w:adjustRightInd w:val="0"/>
              <w:spacing w:after="240"/>
              <w:rPr>
                <w:rFonts w:ascii="Arial" w:hAnsi="Arial" w:cs="Arial"/>
                <w:sz w:val="18"/>
                <w:szCs w:val="18"/>
                <w:lang w:val="en-US"/>
              </w:rPr>
            </w:pPr>
            <w:r w:rsidRPr="00FD2497">
              <w:rPr>
                <w:rFonts w:ascii="Arial" w:hAnsi="Arial" w:cs="Arial"/>
                <w:sz w:val="18"/>
                <w:szCs w:val="18"/>
                <w:lang w:val="en-US"/>
              </w:rPr>
              <w:t>Naturalistic observational cohort study</w:t>
            </w:r>
          </w:p>
        </w:tc>
        <w:tc>
          <w:tcPr>
            <w:tcW w:w="0" w:type="auto"/>
          </w:tcPr>
          <w:p w14:paraId="0467C20D" w14:textId="0FB17383" w:rsidR="00671AB5" w:rsidRPr="00FD2497" w:rsidRDefault="00FD2497" w:rsidP="00EA08A3">
            <w:pPr>
              <w:widowControl w:val="0"/>
              <w:autoSpaceDE w:val="0"/>
              <w:autoSpaceDN w:val="0"/>
              <w:adjustRightInd w:val="0"/>
              <w:spacing w:after="240" w:line="480" w:lineRule="auto"/>
              <w:rPr>
                <w:rFonts w:ascii="Arial" w:hAnsi="Arial" w:cs="Arial"/>
                <w:sz w:val="18"/>
                <w:szCs w:val="18"/>
                <w:lang w:val="en-US"/>
              </w:rPr>
            </w:pPr>
            <w:r w:rsidRPr="00FD2497">
              <w:rPr>
                <w:rFonts w:ascii="Arial" w:hAnsi="Arial" w:cs="Arial"/>
                <w:sz w:val="18"/>
                <w:szCs w:val="18"/>
                <w:lang w:val="en-US"/>
              </w:rPr>
              <w:t>IAPT data</w:t>
            </w:r>
          </w:p>
        </w:tc>
        <w:tc>
          <w:tcPr>
            <w:tcW w:w="0" w:type="auto"/>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42"/>
            </w:tblGrid>
            <w:tr w:rsidR="00FD2497" w:rsidRPr="00FD2497" w14:paraId="2E98F928" w14:textId="77777777" w:rsidTr="000C661A">
              <w:tc>
                <w:tcPr>
                  <w:tcW w:w="0" w:type="auto"/>
                </w:tcPr>
                <w:p w14:paraId="68C37CD5" w14:textId="35C466A9" w:rsidR="00FD2497" w:rsidRPr="00FD2497" w:rsidRDefault="00FD2497" w:rsidP="00F652E8">
                  <w:pPr>
                    <w:widowControl w:val="0"/>
                    <w:autoSpaceDE w:val="0"/>
                    <w:autoSpaceDN w:val="0"/>
                    <w:adjustRightInd w:val="0"/>
                    <w:spacing w:after="240"/>
                    <w:rPr>
                      <w:rFonts w:ascii="Arial" w:hAnsi="Arial" w:cs="Arial"/>
                      <w:sz w:val="18"/>
                      <w:szCs w:val="18"/>
                      <w:lang w:val="en-US"/>
                    </w:rPr>
                  </w:pPr>
                  <w:r w:rsidRPr="00FD2497">
                    <w:rPr>
                      <w:rFonts w:ascii="Arial" w:hAnsi="Arial" w:cs="Arial"/>
                      <w:sz w:val="18"/>
                      <w:szCs w:val="18"/>
                      <w:lang w:val="en-US"/>
                    </w:rPr>
                    <w:t>No</w:t>
                  </w:r>
                  <w:r w:rsidR="00F652E8">
                    <w:rPr>
                      <w:rFonts w:ascii="Arial" w:hAnsi="Arial" w:cs="Arial"/>
                      <w:sz w:val="18"/>
                      <w:szCs w:val="18"/>
                      <w:lang w:val="en-US"/>
                    </w:rPr>
                    <w:t>-</w:t>
                  </w:r>
                  <w:r w:rsidRPr="00FD2497">
                    <w:rPr>
                      <w:rFonts w:ascii="Arial" w:hAnsi="Arial" w:cs="Arial"/>
                      <w:sz w:val="18"/>
                      <w:szCs w:val="18"/>
                      <w:lang w:val="en-US"/>
                    </w:rPr>
                    <w:t>excluded</w:t>
                  </w:r>
                </w:p>
              </w:tc>
            </w:tr>
          </w:tbl>
          <w:p w14:paraId="1B8C1017" w14:textId="77777777" w:rsidR="00671AB5" w:rsidRPr="00FD2497" w:rsidRDefault="00671AB5" w:rsidP="00EA08A3">
            <w:pPr>
              <w:widowControl w:val="0"/>
              <w:autoSpaceDE w:val="0"/>
              <w:autoSpaceDN w:val="0"/>
              <w:adjustRightInd w:val="0"/>
              <w:spacing w:after="240" w:line="480" w:lineRule="auto"/>
              <w:rPr>
                <w:rFonts w:ascii="Arial" w:hAnsi="Arial" w:cs="Arial"/>
                <w:sz w:val="18"/>
                <w:szCs w:val="18"/>
                <w:lang w:val="en-US"/>
              </w:rPr>
            </w:pPr>
          </w:p>
        </w:tc>
      </w:tr>
      <w:tr w:rsidR="005D0440" w14:paraId="36BD5306" w14:textId="77777777" w:rsidTr="006A79E8">
        <w:tc>
          <w:tcPr>
            <w:tcW w:w="0" w:type="auto"/>
          </w:tcPr>
          <w:p w14:paraId="13B7555B" w14:textId="102D0F07" w:rsidR="00FD2497" w:rsidRPr="00671AB5" w:rsidRDefault="00FD2497" w:rsidP="00FD2497">
            <w:pPr>
              <w:widowControl w:val="0"/>
              <w:autoSpaceDE w:val="0"/>
              <w:autoSpaceDN w:val="0"/>
              <w:adjustRightInd w:val="0"/>
              <w:spacing w:after="240"/>
              <w:rPr>
                <w:rFonts w:ascii="Arial" w:hAnsi="Arial" w:cs="Arial"/>
                <w:sz w:val="18"/>
                <w:szCs w:val="18"/>
                <w:lang w:val="en-US"/>
              </w:rPr>
            </w:pPr>
            <w:r>
              <w:rPr>
                <w:rFonts w:ascii="Arial" w:hAnsi="Arial" w:cs="Arial"/>
                <w:sz w:val="18"/>
                <w:szCs w:val="18"/>
                <w:lang w:val="en-US"/>
              </w:rPr>
              <w:t>3</w:t>
            </w:r>
          </w:p>
        </w:tc>
        <w:tc>
          <w:tcPr>
            <w:tcW w:w="0" w:type="auto"/>
          </w:tcPr>
          <w:p w14:paraId="52898D6C" w14:textId="46E0B41D" w:rsidR="00FD2497" w:rsidRPr="00671AB5" w:rsidRDefault="00FD2497" w:rsidP="00FD2497">
            <w:pPr>
              <w:widowControl w:val="0"/>
              <w:autoSpaceDE w:val="0"/>
              <w:autoSpaceDN w:val="0"/>
              <w:adjustRightInd w:val="0"/>
              <w:spacing w:after="240"/>
              <w:rPr>
                <w:rFonts w:ascii="Arial" w:hAnsi="Arial" w:cs="Arial"/>
                <w:sz w:val="18"/>
                <w:szCs w:val="18"/>
                <w:lang w:val="en-US"/>
              </w:rPr>
            </w:pPr>
            <w:r w:rsidRPr="00671AB5">
              <w:rPr>
                <w:rFonts w:ascii="Arial" w:hAnsi="Arial" w:cs="Arial"/>
                <w:sz w:val="18"/>
                <w:szCs w:val="18"/>
                <w:lang w:val="en-US"/>
              </w:rPr>
              <w:t>Branson, Shafran &amp; Myles</w:t>
            </w:r>
            <w:r w:rsidR="00A91B73">
              <w:rPr>
                <w:rFonts w:ascii="Arial" w:hAnsi="Arial" w:cs="Arial"/>
                <w:sz w:val="18"/>
                <w:szCs w:val="18"/>
                <w:lang w:val="en-US"/>
              </w:rPr>
              <w:t xml:space="preserve"> (2015)</w:t>
            </w:r>
          </w:p>
        </w:tc>
        <w:tc>
          <w:tcPr>
            <w:tcW w:w="0" w:type="auto"/>
          </w:tcPr>
          <w:p w14:paraId="02035901" w14:textId="5BA88630" w:rsidR="00FD2497" w:rsidRPr="00FD2497" w:rsidRDefault="00FD2497" w:rsidP="00FD2497">
            <w:pPr>
              <w:widowControl w:val="0"/>
              <w:autoSpaceDE w:val="0"/>
              <w:autoSpaceDN w:val="0"/>
              <w:adjustRightInd w:val="0"/>
              <w:spacing w:after="240"/>
              <w:rPr>
                <w:rFonts w:ascii="Arial" w:hAnsi="Arial" w:cs="Arial"/>
                <w:sz w:val="18"/>
                <w:szCs w:val="18"/>
                <w:lang w:val="en-US"/>
              </w:rPr>
            </w:pPr>
            <w:r w:rsidRPr="00FD2497">
              <w:rPr>
                <w:rFonts w:ascii="Arial" w:hAnsi="Arial" w:cs="Arial"/>
                <w:sz w:val="18"/>
                <w:szCs w:val="18"/>
                <w:lang w:val="en-US"/>
              </w:rPr>
              <w:t>Observational cohort study</w:t>
            </w:r>
          </w:p>
        </w:tc>
        <w:tc>
          <w:tcPr>
            <w:tcW w:w="0" w:type="auto"/>
          </w:tcPr>
          <w:p w14:paraId="557A3D00" w14:textId="74AEE905" w:rsidR="00FD2497" w:rsidRPr="00FD2497" w:rsidRDefault="00FD2497" w:rsidP="00FD2497">
            <w:pPr>
              <w:widowControl w:val="0"/>
              <w:autoSpaceDE w:val="0"/>
              <w:autoSpaceDN w:val="0"/>
              <w:adjustRightInd w:val="0"/>
              <w:spacing w:after="240" w:line="480" w:lineRule="auto"/>
              <w:rPr>
                <w:rFonts w:ascii="Arial" w:hAnsi="Arial" w:cs="Arial"/>
                <w:sz w:val="18"/>
                <w:szCs w:val="18"/>
                <w:lang w:val="en-US"/>
              </w:rPr>
            </w:pPr>
            <w:r w:rsidRPr="00FD2497">
              <w:rPr>
                <w:rFonts w:ascii="Arial" w:hAnsi="Arial" w:cs="Arial"/>
                <w:sz w:val="18"/>
                <w:szCs w:val="18"/>
                <w:lang w:val="en-US"/>
              </w:rPr>
              <w:t>IAPT trainees</w:t>
            </w:r>
          </w:p>
        </w:tc>
        <w:tc>
          <w:tcPr>
            <w:tcW w:w="0" w:type="auto"/>
          </w:tcPr>
          <w:p w14:paraId="4D830756" w14:textId="30AF86E3" w:rsidR="00FD2497" w:rsidRPr="00FD2497" w:rsidRDefault="00FD2497" w:rsidP="00FD2497">
            <w:pPr>
              <w:widowControl w:val="0"/>
              <w:autoSpaceDE w:val="0"/>
              <w:autoSpaceDN w:val="0"/>
              <w:adjustRightInd w:val="0"/>
              <w:spacing w:after="240" w:line="480" w:lineRule="auto"/>
              <w:rPr>
                <w:rFonts w:ascii="Arial" w:hAnsi="Arial" w:cs="Arial"/>
                <w:sz w:val="18"/>
                <w:szCs w:val="18"/>
                <w:lang w:val="en-US"/>
              </w:rPr>
            </w:pPr>
            <w:r w:rsidRPr="00FD2497">
              <w:rPr>
                <w:rFonts w:ascii="Arial" w:hAnsi="Arial" w:cs="Arial"/>
                <w:sz w:val="18"/>
                <w:szCs w:val="18"/>
                <w:lang w:val="en-US"/>
              </w:rPr>
              <w:t>No -excluded</w:t>
            </w:r>
          </w:p>
        </w:tc>
      </w:tr>
      <w:tr w:rsidR="005D0440" w14:paraId="26756D38" w14:textId="77777777" w:rsidTr="006A79E8">
        <w:tc>
          <w:tcPr>
            <w:tcW w:w="0" w:type="auto"/>
          </w:tcPr>
          <w:p w14:paraId="1CB0DF4A" w14:textId="47C204A5" w:rsidR="00FD2497" w:rsidRPr="00671AB5" w:rsidRDefault="00FD2497" w:rsidP="00FD2497">
            <w:pPr>
              <w:widowControl w:val="0"/>
              <w:autoSpaceDE w:val="0"/>
              <w:autoSpaceDN w:val="0"/>
              <w:adjustRightInd w:val="0"/>
              <w:spacing w:after="240"/>
              <w:rPr>
                <w:rFonts w:ascii="Arial" w:hAnsi="Arial" w:cs="Arial"/>
                <w:sz w:val="18"/>
                <w:szCs w:val="18"/>
                <w:lang w:val="en-US"/>
              </w:rPr>
            </w:pPr>
            <w:r>
              <w:rPr>
                <w:rFonts w:ascii="Arial" w:hAnsi="Arial" w:cs="Arial"/>
                <w:sz w:val="18"/>
                <w:szCs w:val="18"/>
                <w:lang w:val="en-US"/>
              </w:rPr>
              <w:t>4</w:t>
            </w:r>
          </w:p>
        </w:tc>
        <w:tc>
          <w:tcPr>
            <w:tcW w:w="0" w:type="auto"/>
          </w:tcPr>
          <w:p w14:paraId="2F9EB8D9" w14:textId="7C09BD52" w:rsidR="00FD2497" w:rsidRPr="00671AB5" w:rsidRDefault="00FD2497" w:rsidP="00FD2497">
            <w:pPr>
              <w:widowControl w:val="0"/>
              <w:autoSpaceDE w:val="0"/>
              <w:autoSpaceDN w:val="0"/>
              <w:adjustRightInd w:val="0"/>
              <w:spacing w:after="240"/>
              <w:rPr>
                <w:rFonts w:ascii="Arial" w:hAnsi="Arial" w:cs="Arial"/>
                <w:sz w:val="18"/>
                <w:szCs w:val="18"/>
                <w:lang w:val="en-US"/>
              </w:rPr>
            </w:pPr>
            <w:r w:rsidRPr="00671AB5">
              <w:rPr>
                <w:rFonts w:ascii="Arial" w:hAnsi="Arial" w:cs="Arial"/>
                <w:sz w:val="18"/>
                <w:szCs w:val="18"/>
                <w:lang w:val="en-US"/>
              </w:rPr>
              <w:t>Saxon &amp; Barkham (2012)</w:t>
            </w:r>
          </w:p>
        </w:tc>
        <w:tc>
          <w:tcPr>
            <w:tcW w:w="0" w:type="auto"/>
          </w:tcPr>
          <w:p w14:paraId="772630E6" w14:textId="17107EBD" w:rsidR="00FD2497" w:rsidRPr="00FD2497" w:rsidRDefault="00FD2497" w:rsidP="00FD2497">
            <w:pPr>
              <w:widowControl w:val="0"/>
              <w:autoSpaceDE w:val="0"/>
              <w:autoSpaceDN w:val="0"/>
              <w:adjustRightInd w:val="0"/>
              <w:spacing w:after="240" w:line="480" w:lineRule="auto"/>
              <w:rPr>
                <w:rFonts w:ascii="Arial" w:hAnsi="Arial" w:cs="Arial"/>
                <w:sz w:val="18"/>
                <w:szCs w:val="18"/>
                <w:lang w:val="en-US"/>
              </w:rPr>
            </w:pPr>
            <w:r w:rsidRPr="00FD2497">
              <w:rPr>
                <w:rFonts w:ascii="Arial" w:hAnsi="Arial" w:cs="Arial"/>
                <w:sz w:val="18"/>
                <w:szCs w:val="18"/>
                <w:lang w:val="en-US"/>
              </w:rPr>
              <w:t>Therapist effects</w:t>
            </w:r>
          </w:p>
        </w:tc>
        <w:tc>
          <w:tcPr>
            <w:tcW w:w="0" w:type="auto"/>
          </w:tcPr>
          <w:p w14:paraId="0F2EE01E" w14:textId="50008015" w:rsidR="00FD2497" w:rsidRPr="00FD2497" w:rsidRDefault="00FD2497" w:rsidP="00FD2497">
            <w:pPr>
              <w:widowControl w:val="0"/>
              <w:autoSpaceDE w:val="0"/>
              <w:autoSpaceDN w:val="0"/>
              <w:adjustRightInd w:val="0"/>
              <w:spacing w:after="240"/>
              <w:rPr>
                <w:rFonts w:ascii="Arial" w:hAnsi="Arial" w:cs="Arial"/>
                <w:sz w:val="18"/>
                <w:szCs w:val="18"/>
                <w:lang w:val="en-US"/>
              </w:rPr>
            </w:pPr>
            <w:r w:rsidRPr="00FD2497">
              <w:rPr>
                <w:rFonts w:ascii="Arial" w:hAnsi="Arial" w:cs="Arial"/>
                <w:sz w:val="18"/>
                <w:szCs w:val="18"/>
                <w:lang w:val="en-US"/>
              </w:rPr>
              <w:t>Investigate therapist effects in primary care services</w:t>
            </w:r>
          </w:p>
        </w:tc>
        <w:tc>
          <w:tcPr>
            <w:tcW w:w="0" w:type="auto"/>
          </w:tcPr>
          <w:p w14:paraId="14589C6B" w14:textId="64C8C9CD" w:rsidR="00FD2497" w:rsidRPr="00FD2497" w:rsidRDefault="00FD2497" w:rsidP="00FD2497">
            <w:pPr>
              <w:widowControl w:val="0"/>
              <w:autoSpaceDE w:val="0"/>
              <w:autoSpaceDN w:val="0"/>
              <w:adjustRightInd w:val="0"/>
              <w:spacing w:after="240" w:line="480" w:lineRule="auto"/>
              <w:rPr>
                <w:rFonts w:ascii="Arial" w:hAnsi="Arial" w:cs="Arial"/>
                <w:sz w:val="18"/>
                <w:szCs w:val="18"/>
                <w:lang w:val="en-US"/>
              </w:rPr>
            </w:pPr>
            <w:r w:rsidRPr="00FD2497">
              <w:rPr>
                <w:rFonts w:ascii="Arial" w:hAnsi="Arial" w:cs="Arial"/>
                <w:sz w:val="18"/>
                <w:szCs w:val="18"/>
                <w:lang w:val="en-US"/>
              </w:rPr>
              <w:t>No -excluded</w:t>
            </w:r>
          </w:p>
        </w:tc>
      </w:tr>
      <w:tr w:rsidR="005D0440" w14:paraId="1B96609E" w14:textId="77777777" w:rsidTr="006A79E8">
        <w:tc>
          <w:tcPr>
            <w:tcW w:w="0" w:type="auto"/>
          </w:tcPr>
          <w:p w14:paraId="7754130E" w14:textId="14157279" w:rsidR="00FD2497" w:rsidRPr="00671AB5" w:rsidRDefault="00FD2497" w:rsidP="00FD2497">
            <w:pPr>
              <w:widowControl w:val="0"/>
              <w:autoSpaceDE w:val="0"/>
              <w:autoSpaceDN w:val="0"/>
              <w:adjustRightInd w:val="0"/>
              <w:spacing w:after="240"/>
              <w:rPr>
                <w:rFonts w:ascii="Arial" w:hAnsi="Arial" w:cs="Arial"/>
                <w:sz w:val="18"/>
                <w:szCs w:val="18"/>
                <w:lang w:val="en-US"/>
              </w:rPr>
            </w:pPr>
            <w:r>
              <w:rPr>
                <w:rFonts w:ascii="Arial" w:hAnsi="Arial" w:cs="Arial"/>
                <w:sz w:val="18"/>
                <w:szCs w:val="18"/>
                <w:lang w:val="en-US"/>
              </w:rPr>
              <w:t>5</w:t>
            </w:r>
          </w:p>
        </w:tc>
        <w:tc>
          <w:tcPr>
            <w:tcW w:w="0" w:type="auto"/>
          </w:tcPr>
          <w:p w14:paraId="01EBC79A" w14:textId="4872CDF5" w:rsidR="00FD2497" w:rsidRPr="00671AB5" w:rsidRDefault="00FD2497" w:rsidP="00FD2497">
            <w:pPr>
              <w:widowControl w:val="0"/>
              <w:autoSpaceDE w:val="0"/>
              <w:autoSpaceDN w:val="0"/>
              <w:adjustRightInd w:val="0"/>
              <w:spacing w:after="240"/>
              <w:rPr>
                <w:rFonts w:ascii="Arial" w:hAnsi="Arial" w:cs="Arial"/>
                <w:sz w:val="18"/>
                <w:szCs w:val="18"/>
                <w:lang w:val="en-US"/>
              </w:rPr>
            </w:pPr>
            <w:r w:rsidRPr="00671AB5">
              <w:rPr>
                <w:rFonts w:ascii="Arial" w:hAnsi="Arial" w:cs="Arial"/>
                <w:sz w:val="18"/>
                <w:szCs w:val="18"/>
                <w:lang w:val="en-US"/>
              </w:rPr>
              <w:t>Firth et al., (2019)</w:t>
            </w:r>
          </w:p>
        </w:tc>
        <w:tc>
          <w:tcPr>
            <w:tcW w:w="0" w:type="auto"/>
          </w:tcPr>
          <w:p w14:paraId="4D5512A5" w14:textId="6EBFDF5A" w:rsidR="00FD2497" w:rsidRPr="00FD2497" w:rsidRDefault="00FD2497" w:rsidP="00FD2497">
            <w:pPr>
              <w:widowControl w:val="0"/>
              <w:autoSpaceDE w:val="0"/>
              <w:autoSpaceDN w:val="0"/>
              <w:adjustRightInd w:val="0"/>
              <w:spacing w:after="240" w:line="480" w:lineRule="auto"/>
              <w:rPr>
                <w:rFonts w:ascii="Arial" w:hAnsi="Arial" w:cs="Arial"/>
                <w:sz w:val="18"/>
                <w:szCs w:val="18"/>
                <w:lang w:val="en-US"/>
              </w:rPr>
            </w:pPr>
            <w:r w:rsidRPr="00FD2497">
              <w:rPr>
                <w:rFonts w:ascii="Arial" w:hAnsi="Arial" w:cs="Arial"/>
                <w:sz w:val="18"/>
                <w:szCs w:val="18"/>
                <w:lang w:val="en-US"/>
              </w:rPr>
              <w:t>Therapist effects</w:t>
            </w:r>
          </w:p>
        </w:tc>
        <w:tc>
          <w:tcPr>
            <w:tcW w:w="0" w:type="auto"/>
          </w:tcPr>
          <w:p w14:paraId="53B92A85" w14:textId="073D38AD" w:rsidR="00FD2497" w:rsidRPr="00FD2497" w:rsidRDefault="00FD2497" w:rsidP="00FD2497">
            <w:pPr>
              <w:widowControl w:val="0"/>
              <w:autoSpaceDE w:val="0"/>
              <w:autoSpaceDN w:val="0"/>
              <w:adjustRightInd w:val="0"/>
              <w:spacing w:after="240"/>
              <w:rPr>
                <w:rFonts w:ascii="Arial" w:hAnsi="Arial" w:cs="Arial"/>
                <w:sz w:val="18"/>
                <w:szCs w:val="18"/>
                <w:lang w:val="en-US"/>
              </w:rPr>
            </w:pPr>
            <w:r w:rsidRPr="00FD2497">
              <w:rPr>
                <w:rFonts w:ascii="Arial" w:hAnsi="Arial" w:cs="Arial"/>
                <w:sz w:val="18"/>
                <w:szCs w:val="18"/>
                <w:lang w:val="en-US"/>
              </w:rPr>
              <w:t>Clinic &amp; therapist effects</w:t>
            </w:r>
          </w:p>
        </w:tc>
        <w:tc>
          <w:tcPr>
            <w:tcW w:w="0" w:type="auto"/>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42"/>
            </w:tblGrid>
            <w:tr w:rsidR="00FD2497" w:rsidRPr="00FD2497" w14:paraId="0D72D33B" w14:textId="77777777" w:rsidTr="000C661A">
              <w:tc>
                <w:tcPr>
                  <w:tcW w:w="0" w:type="auto"/>
                </w:tcPr>
                <w:p w14:paraId="1FB21240" w14:textId="77777777" w:rsidR="00FD2497" w:rsidRPr="00FD2497" w:rsidRDefault="00FD2497" w:rsidP="00F652E8">
                  <w:pPr>
                    <w:widowControl w:val="0"/>
                    <w:autoSpaceDE w:val="0"/>
                    <w:autoSpaceDN w:val="0"/>
                    <w:adjustRightInd w:val="0"/>
                    <w:spacing w:after="240"/>
                    <w:rPr>
                      <w:rFonts w:ascii="Arial" w:hAnsi="Arial" w:cs="Arial"/>
                      <w:sz w:val="18"/>
                      <w:szCs w:val="18"/>
                      <w:lang w:val="en-US"/>
                    </w:rPr>
                  </w:pPr>
                  <w:r w:rsidRPr="00FD2497">
                    <w:rPr>
                      <w:rFonts w:ascii="Arial" w:hAnsi="Arial" w:cs="Arial"/>
                      <w:sz w:val="18"/>
                      <w:szCs w:val="18"/>
                      <w:lang w:val="en-US"/>
                    </w:rPr>
                    <w:t>No -excluded</w:t>
                  </w:r>
                </w:p>
              </w:tc>
            </w:tr>
          </w:tbl>
          <w:p w14:paraId="01A1145A" w14:textId="77777777" w:rsidR="00FD2497" w:rsidRPr="00FD2497" w:rsidRDefault="00FD2497" w:rsidP="00FD2497">
            <w:pPr>
              <w:widowControl w:val="0"/>
              <w:autoSpaceDE w:val="0"/>
              <w:autoSpaceDN w:val="0"/>
              <w:adjustRightInd w:val="0"/>
              <w:spacing w:after="240" w:line="480" w:lineRule="auto"/>
              <w:rPr>
                <w:rFonts w:ascii="Arial" w:hAnsi="Arial" w:cs="Arial"/>
                <w:sz w:val="18"/>
                <w:szCs w:val="18"/>
                <w:lang w:val="en-US"/>
              </w:rPr>
            </w:pPr>
          </w:p>
        </w:tc>
      </w:tr>
      <w:tr w:rsidR="005D0440" w14:paraId="2800E73B" w14:textId="77777777" w:rsidTr="006A79E8">
        <w:tc>
          <w:tcPr>
            <w:tcW w:w="0" w:type="auto"/>
          </w:tcPr>
          <w:p w14:paraId="1E11A019" w14:textId="315C9215" w:rsidR="00FD2497" w:rsidRPr="00671AB5" w:rsidRDefault="00FD2497" w:rsidP="00FD2497">
            <w:pPr>
              <w:widowControl w:val="0"/>
              <w:autoSpaceDE w:val="0"/>
              <w:autoSpaceDN w:val="0"/>
              <w:adjustRightInd w:val="0"/>
              <w:spacing w:after="240"/>
              <w:rPr>
                <w:rFonts w:ascii="Arial" w:hAnsi="Arial" w:cs="Arial"/>
                <w:sz w:val="18"/>
                <w:szCs w:val="18"/>
                <w:lang w:val="en-US"/>
              </w:rPr>
            </w:pPr>
            <w:r>
              <w:rPr>
                <w:rFonts w:ascii="Arial" w:hAnsi="Arial" w:cs="Arial"/>
                <w:sz w:val="18"/>
                <w:szCs w:val="18"/>
                <w:lang w:val="en-US"/>
              </w:rPr>
              <w:t>6</w:t>
            </w:r>
          </w:p>
        </w:tc>
        <w:tc>
          <w:tcPr>
            <w:tcW w:w="0" w:type="auto"/>
          </w:tcPr>
          <w:p w14:paraId="73054F69" w14:textId="6F6C053B" w:rsidR="00FD2497" w:rsidRPr="00671AB5" w:rsidRDefault="00FD2497" w:rsidP="00FD2497">
            <w:pPr>
              <w:widowControl w:val="0"/>
              <w:autoSpaceDE w:val="0"/>
              <w:autoSpaceDN w:val="0"/>
              <w:adjustRightInd w:val="0"/>
              <w:spacing w:after="240"/>
              <w:rPr>
                <w:rFonts w:ascii="Arial" w:hAnsi="Arial" w:cs="Arial"/>
                <w:sz w:val="18"/>
                <w:szCs w:val="18"/>
                <w:lang w:val="en-US"/>
              </w:rPr>
            </w:pPr>
            <w:r w:rsidRPr="00671AB5">
              <w:rPr>
                <w:rFonts w:ascii="Arial" w:hAnsi="Arial" w:cs="Arial"/>
                <w:sz w:val="18"/>
                <w:szCs w:val="18"/>
                <w:lang w:val="en-US"/>
              </w:rPr>
              <w:t>Saxon et al., (2016)</w:t>
            </w:r>
          </w:p>
        </w:tc>
        <w:tc>
          <w:tcPr>
            <w:tcW w:w="0" w:type="auto"/>
          </w:tcPr>
          <w:p w14:paraId="2DC45576" w14:textId="70397F49" w:rsidR="00FD2497" w:rsidRPr="00FD2497" w:rsidRDefault="00FD2497" w:rsidP="00FD2497">
            <w:pPr>
              <w:widowControl w:val="0"/>
              <w:autoSpaceDE w:val="0"/>
              <w:autoSpaceDN w:val="0"/>
              <w:adjustRightInd w:val="0"/>
              <w:spacing w:after="240" w:line="480" w:lineRule="auto"/>
              <w:rPr>
                <w:rFonts w:ascii="Arial" w:hAnsi="Arial" w:cs="Arial"/>
                <w:sz w:val="18"/>
                <w:szCs w:val="18"/>
                <w:lang w:val="en-US"/>
              </w:rPr>
            </w:pPr>
            <w:r w:rsidRPr="00FD2497">
              <w:rPr>
                <w:rFonts w:ascii="Arial" w:hAnsi="Arial" w:cs="Arial"/>
                <w:sz w:val="18"/>
                <w:szCs w:val="18"/>
                <w:lang w:val="en-US"/>
              </w:rPr>
              <w:t>Therapist effects</w:t>
            </w:r>
          </w:p>
        </w:tc>
        <w:tc>
          <w:tcPr>
            <w:tcW w:w="0" w:type="auto"/>
          </w:tcPr>
          <w:p w14:paraId="600F57B9" w14:textId="7AC0AFA5" w:rsidR="00FD2497" w:rsidRPr="00FD2497" w:rsidRDefault="00FD2497" w:rsidP="00FD2497">
            <w:pPr>
              <w:widowControl w:val="0"/>
              <w:autoSpaceDE w:val="0"/>
              <w:autoSpaceDN w:val="0"/>
              <w:adjustRightInd w:val="0"/>
              <w:spacing w:after="240"/>
              <w:rPr>
                <w:rFonts w:ascii="Arial" w:hAnsi="Arial" w:cs="Arial"/>
                <w:sz w:val="18"/>
                <w:szCs w:val="18"/>
                <w:lang w:val="en-US"/>
              </w:rPr>
            </w:pPr>
            <w:r w:rsidRPr="00FD2497">
              <w:rPr>
                <w:rFonts w:ascii="Arial" w:hAnsi="Arial" w:cs="Arial"/>
                <w:sz w:val="18"/>
                <w:szCs w:val="18"/>
                <w:lang w:val="en-US"/>
              </w:rPr>
              <w:t>Therapist effects and patient drop out/</w:t>
            </w:r>
            <w:r w:rsidR="00030708" w:rsidRPr="00FD2497">
              <w:rPr>
                <w:rFonts w:ascii="Arial" w:hAnsi="Arial" w:cs="Arial"/>
                <w:sz w:val="18"/>
                <w:szCs w:val="18"/>
                <w:lang w:val="en-US"/>
              </w:rPr>
              <w:t>deter</w:t>
            </w:r>
            <w:r w:rsidR="00030708">
              <w:rPr>
                <w:rFonts w:ascii="Arial" w:hAnsi="Arial" w:cs="Arial"/>
                <w:sz w:val="18"/>
                <w:szCs w:val="18"/>
                <w:lang w:val="en-US"/>
              </w:rPr>
              <w:t>ioration</w:t>
            </w:r>
          </w:p>
        </w:tc>
        <w:tc>
          <w:tcPr>
            <w:tcW w:w="0" w:type="auto"/>
          </w:tcPr>
          <w:p w14:paraId="47A53577" w14:textId="2DC78434" w:rsidR="00FD2497" w:rsidRPr="00FD2497" w:rsidRDefault="00FD2497" w:rsidP="00FD2497">
            <w:pPr>
              <w:widowControl w:val="0"/>
              <w:autoSpaceDE w:val="0"/>
              <w:autoSpaceDN w:val="0"/>
              <w:adjustRightInd w:val="0"/>
              <w:spacing w:after="240" w:line="480" w:lineRule="auto"/>
              <w:rPr>
                <w:rFonts w:ascii="Arial" w:hAnsi="Arial" w:cs="Arial"/>
                <w:sz w:val="18"/>
                <w:szCs w:val="18"/>
                <w:lang w:val="en-US"/>
              </w:rPr>
            </w:pPr>
            <w:r w:rsidRPr="00FD2497">
              <w:rPr>
                <w:rFonts w:ascii="Arial" w:hAnsi="Arial" w:cs="Arial"/>
                <w:sz w:val="18"/>
                <w:szCs w:val="18"/>
                <w:lang w:val="en-US"/>
              </w:rPr>
              <w:t>No -excluded</w:t>
            </w:r>
          </w:p>
        </w:tc>
      </w:tr>
      <w:tr w:rsidR="005D0440" w14:paraId="75A096B5" w14:textId="77777777" w:rsidTr="006A79E8">
        <w:tc>
          <w:tcPr>
            <w:tcW w:w="0" w:type="auto"/>
          </w:tcPr>
          <w:p w14:paraId="60770430" w14:textId="56B71879" w:rsidR="00FD2497" w:rsidRPr="00671AB5" w:rsidRDefault="00FD2497" w:rsidP="00FD2497">
            <w:pPr>
              <w:widowControl w:val="0"/>
              <w:autoSpaceDE w:val="0"/>
              <w:autoSpaceDN w:val="0"/>
              <w:adjustRightInd w:val="0"/>
              <w:spacing w:after="240"/>
              <w:rPr>
                <w:rFonts w:ascii="Arial" w:hAnsi="Arial" w:cs="Arial"/>
                <w:sz w:val="18"/>
                <w:szCs w:val="18"/>
                <w:lang w:val="en-US"/>
              </w:rPr>
            </w:pPr>
            <w:r>
              <w:rPr>
                <w:rFonts w:ascii="Arial" w:hAnsi="Arial" w:cs="Arial"/>
                <w:sz w:val="18"/>
                <w:szCs w:val="18"/>
                <w:lang w:val="en-US"/>
              </w:rPr>
              <w:t>7</w:t>
            </w:r>
          </w:p>
        </w:tc>
        <w:tc>
          <w:tcPr>
            <w:tcW w:w="0" w:type="auto"/>
          </w:tcPr>
          <w:p w14:paraId="45B38379" w14:textId="253795B5" w:rsidR="00FD2497" w:rsidRPr="00671AB5" w:rsidRDefault="00FD2497" w:rsidP="00FD2497">
            <w:pPr>
              <w:widowControl w:val="0"/>
              <w:autoSpaceDE w:val="0"/>
              <w:autoSpaceDN w:val="0"/>
              <w:adjustRightInd w:val="0"/>
              <w:spacing w:after="240"/>
              <w:rPr>
                <w:rFonts w:ascii="Arial" w:hAnsi="Arial" w:cs="Arial"/>
                <w:sz w:val="18"/>
                <w:szCs w:val="18"/>
                <w:lang w:val="en-US"/>
              </w:rPr>
            </w:pPr>
            <w:r w:rsidRPr="00671AB5">
              <w:rPr>
                <w:rFonts w:ascii="Arial" w:hAnsi="Arial" w:cs="Arial"/>
                <w:sz w:val="18"/>
                <w:szCs w:val="18"/>
                <w:lang w:val="en-US"/>
              </w:rPr>
              <w:t>Pybis et al., (2017)</w:t>
            </w:r>
          </w:p>
        </w:tc>
        <w:tc>
          <w:tcPr>
            <w:tcW w:w="0" w:type="auto"/>
          </w:tcPr>
          <w:p w14:paraId="12C785E9" w14:textId="16A19AEA" w:rsidR="00FD2497" w:rsidRPr="00FD2497" w:rsidRDefault="00FD2497" w:rsidP="00FD2497">
            <w:pPr>
              <w:widowControl w:val="0"/>
              <w:autoSpaceDE w:val="0"/>
              <w:autoSpaceDN w:val="0"/>
              <w:adjustRightInd w:val="0"/>
              <w:spacing w:after="240" w:line="480" w:lineRule="auto"/>
              <w:rPr>
                <w:rFonts w:ascii="Arial" w:hAnsi="Arial" w:cs="Arial"/>
                <w:sz w:val="18"/>
                <w:szCs w:val="18"/>
                <w:lang w:val="en-US"/>
              </w:rPr>
            </w:pPr>
            <w:r w:rsidRPr="00FD2497">
              <w:rPr>
                <w:rFonts w:ascii="Arial" w:hAnsi="Arial" w:cs="Arial"/>
                <w:sz w:val="18"/>
                <w:szCs w:val="18"/>
                <w:lang w:val="en-US"/>
              </w:rPr>
              <w:t>Therapist effects</w:t>
            </w:r>
          </w:p>
        </w:tc>
        <w:tc>
          <w:tcPr>
            <w:tcW w:w="0" w:type="auto"/>
          </w:tcPr>
          <w:p w14:paraId="0B690407" w14:textId="17BA799F" w:rsidR="00FD2497" w:rsidRPr="00FD2497" w:rsidRDefault="00FD2497" w:rsidP="00FD2497">
            <w:pPr>
              <w:widowControl w:val="0"/>
              <w:autoSpaceDE w:val="0"/>
              <w:autoSpaceDN w:val="0"/>
              <w:adjustRightInd w:val="0"/>
              <w:spacing w:after="240"/>
              <w:rPr>
                <w:rFonts w:ascii="Arial" w:hAnsi="Arial" w:cs="Arial"/>
                <w:sz w:val="18"/>
                <w:szCs w:val="18"/>
                <w:lang w:val="en-US"/>
              </w:rPr>
            </w:pPr>
            <w:r w:rsidRPr="00FD2497">
              <w:rPr>
                <w:rFonts w:ascii="Arial" w:hAnsi="Arial" w:cs="Arial"/>
                <w:sz w:val="18"/>
                <w:szCs w:val="18"/>
                <w:lang w:val="en-US"/>
              </w:rPr>
              <w:t>Secondary analysis of outcome data in IAPT &amp; other psychological therapy service</w:t>
            </w:r>
            <w:r>
              <w:rPr>
                <w:rFonts w:ascii="Arial" w:hAnsi="Arial" w:cs="Arial"/>
                <w:sz w:val="18"/>
                <w:szCs w:val="18"/>
                <w:lang w:val="en-US"/>
              </w:rPr>
              <w:t>s</w:t>
            </w:r>
          </w:p>
        </w:tc>
        <w:tc>
          <w:tcPr>
            <w:tcW w:w="0" w:type="auto"/>
          </w:tcPr>
          <w:p w14:paraId="56CC45DA" w14:textId="63FFAB28" w:rsidR="00FD2497" w:rsidRPr="00FD2497" w:rsidRDefault="00FD2497" w:rsidP="00FD2497">
            <w:pPr>
              <w:widowControl w:val="0"/>
              <w:autoSpaceDE w:val="0"/>
              <w:autoSpaceDN w:val="0"/>
              <w:adjustRightInd w:val="0"/>
              <w:spacing w:after="240" w:line="480" w:lineRule="auto"/>
              <w:rPr>
                <w:rFonts w:ascii="Arial" w:hAnsi="Arial" w:cs="Arial"/>
                <w:sz w:val="18"/>
                <w:szCs w:val="18"/>
                <w:lang w:val="en-US"/>
              </w:rPr>
            </w:pPr>
            <w:r w:rsidRPr="00FD2497">
              <w:rPr>
                <w:rFonts w:ascii="Arial" w:hAnsi="Arial" w:cs="Arial"/>
                <w:sz w:val="18"/>
                <w:szCs w:val="18"/>
                <w:lang w:val="en-US"/>
              </w:rPr>
              <w:t>No -excluded</w:t>
            </w:r>
          </w:p>
        </w:tc>
      </w:tr>
      <w:tr w:rsidR="005D0440" w14:paraId="033821B4" w14:textId="77777777" w:rsidTr="006A79E8">
        <w:tc>
          <w:tcPr>
            <w:tcW w:w="0" w:type="auto"/>
          </w:tcPr>
          <w:p w14:paraId="0524F8EA" w14:textId="39FD2136" w:rsidR="00FD2497" w:rsidRPr="00671AB5" w:rsidRDefault="00FD2497" w:rsidP="00FD2497">
            <w:pPr>
              <w:widowControl w:val="0"/>
              <w:autoSpaceDE w:val="0"/>
              <w:autoSpaceDN w:val="0"/>
              <w:adjustRightInd w:val="0"/>
              <w:spacing w:after="240"/>
              <w:rPr>
                <w:rFonts w:ascii="Arial" w:hAnsi="Arial" w:cs="Arial"/>
                <w:sz w:val="18"/>
                <w:szCs w:val="18"/>
                <w:lang w:val="en-US"/>
              </w:rPr>
            </w:pPr>
            <w:r>
              <w:rPr>
                <w:rFonts w:ascii="Arial" w:hAnsi="Arial" w:cs="Arial"/>
                <w:sz w:val="18"/>
                <w:szCs w:val="18"/>
                <w:lang w:val="en-US"/>
              </w:rPr>
              <w:t>8</w:t>
            </w:r>
          </w:p>
        </w:tc>
        <w:tc>
          <w:tcPr>
            <w:tcW w:w="0" w:type="auto"/>
          </w:tcPr>
          <w:p w14:paraId="2CC287C7" w14:textId="50E8918F" w:rsidR="00FD2497" w:rsidRPr="00671AB5" w:rsidRDefault="00FD2497" w:rsidP="00FD2497">
            <w:pPr>
              <w:widowControl w:val="0"/>
              <w:autoSpaceDE w:val="0"/>
              <w:autoSpaceDN w:val="0"/>
              <w:adjustRightInd w:val="0"/>
              <w:spacing w:after="240"/>
              <w:rPr>
                <w:rFonts w:ascii="Arial" w:hAnsi="Arial" w:cs="Arial"/>
                <w:sz w:val="18"/>
                <w:szCs w:val="18"/>
                <w:lang w:val="en-US"/>
              </w:rPr>
            </w:pPr>
            <w:r w:rsidRPr="00671AB5">
              <w:rPr>
                <w:rFonts w:ascii="Arial" w:hAnsi="Arial" w:cs="Arial"/>
                <w:sz w:val="18"/>
                <w:szCs w:val="18"/>
                <w:lang w:val="en-US"/>
              </w:rPr>
              <w:t>Pereira et al., (2017)</w:t>
            </w:r>
          </w:p>
        </w:tc>
        <w:tc>
          <w:tcPr>
            <w:tcW w:w="0" w:type="auto"/>
          </w:tcPr>
          <w:p w14:paraId="3DDFB808" w14:textId="2A42A0D7" w:rsidR="00FD2497" w:rsidRPr="00FD2497" w:rsidRDefault="00FD2497" w:rsidP="00FD2497">
            <w:pPr>
              <w:widowControl w:val="0"/>
              <w:autoSpaceDE w:val="0"/>
              <w:autoSpaceDN w:val="0"/>
              <w:adjustRightInd w:val="0"/>
              <w:spacing w:after="240" w:line="480" w:lineRule="auto"/>
              <w:rPr>
                <w:rFonts w:ascii="Arial" w:hAnsi="Arial" w:cs="Arial"/>
                <w:sz w:val="18"/>
                <w:szCs w:val="18"/>
                <w:lang w:val="en-US"/>
              </w:rPr>
            </w:pPr>
            <w:r w:rsidRPr="00FD2497">
              <w:rPr>
                <w:rFonts w:ascii="Arial" w:hAnsi="Arial" w:cs="Arial"/>
                <w:sz w:val="18"/>
                <w:szCs w:val="18"/>
                <w:lang w:val="en-US"/>
              </w:rPr>
              <w:t>Therapist effects</w:t>
            </w:r>
          </w:p>
        </w:tc>
        <w:tc>
          <w:tcPr>
            <w:tcW w:w="0" w:type="auto"/>
          </w:tcPr>
          <w:p w14:paraId="4AA3E379" w14:textId="222C45F9" w:rsidR="00FD2497" w:rsidRPr="005D0440" w:rsidRDefault="00FD2497" w:rsidP="005D0440">
            <w:pPr>
              <w:widowControl w:val="0"/>
              <w:autoSpaceDE w:val="0"/>
              <w:autoSpaceDN w:val="0"/>
              <w:adjustRightInd w:val="0"/>
              <w:spacing w:after="240"/>
              <w:rPr>
                <w:rFonts w:ascii="Arial" w:hAnsi="Arial" w:cs="Arial"/>
                <w:sz w:val="18"/>
                <w:szCs w:val="18"/>
                <w:lang w:val="en-US"/>
              </w:rPr>
            </w:pPr>
            <w:r w:rsidRPr="005D0440">
              <w:rPr>
                <w:rFonts w:ascii="Arial" w:hAnsi="Arial" w:cs="Arial"/>
                <w:sz w:val="18"/>
                <w:szCs w:val="18"/>
                <w:lang w:val="en-US"/>
              </w:rPr>
              <w:t>Therapist effects &amp;</w:t>
            </w:r>
            <w:r w:rsidR="005D0440" w:rsidRPr="005D0440">
              <w:rPr>
                <w:rFonts w:ascii="Arial" w:hAnsi="Arial" w:cs="Arial"/>
                <w:sz w:val="18"/>
                <w:szCs w:val="18"/>
                <w:lang w:val="en-US"/>
              </w:rPr>
              <w:t xml:space="preserve"> therapist resilience/mindfulness/job satisfaction in relation to clinical outcome</w:t>
            </w:r>
          </w:p>
        </w:tc>
        <w:tc>
          <w:tcPr>
            <w:tcW w:w="0" w:type="auto"/>
          </w:tcPr>
          <w:p w14:paraId="0C5A6743" w14:textId="6DB62C73" w:rsidR="00FD2497" w:rsidRPr="00FD2497" w:rsidRDefault="00FD2497" w:rsidP="00FD2497">
            <w:pPr>
              <w:widowControl w:val="0"/>
              <w:autoSpaceDE w:val="0"/>
              <w:autoSpaceDN w:val="0"/>
              <w:adjustRightInd w:val="0"/>
              <w:spacing w:after="240" w:line="480" w:lineRule="auto"/>
              <w:rPr>
                <w:rFonts w:ascii="Arial" w:hAnsi="Arial" w:cs="Arial"/>
                <w:sz w:val="18"/>
                <w:szCs w:val="18"/>
                <w:lang w:val="en-US"/>
              </w:rPr>
            </w:pPr>
            <w:r w:rsidRPr="00FD2497">
              <w:rPr>
                <w:rFonts w:ascii="Arial" w:hAnsi="Arial" w:cs="Arial"/>
                <w:sz w:val="18"/>
                <w:szCs w:val="18"/>
                <w:lang w:val="en-US"/>
              </w:rPr>
              <w:t>Yes- included</w:t>
            </w:r>
          </w:p>
        </w:tc>
      </w:tr>
      <w:tr w:rsidR="005D0440" w14:paraId="45DF62E4" w14:textId="77777777" w:rsidTr="006A79E8">
        <w:tc>
          <w:tcPr>
            <w:tcW w:w="0" w:type="auto"/>
          </w:tcPr>
          <w:p w14:paraId="6E68A176" w14:textId="10D7E29A" w:rsidR="00FD2497" w:rsidRPr="00671AB5" w:rsidRDefault="00FD2497" w:rsidP="00FD2497">
            <w:pPr>
              <w:widowControl w:val="0"/>
              <w:autoSpaceDE w:val="0"/>
              <w:autoSpaceDN w:val="0"/>
              <w:adjustRightInd w:val="0"/>
              <w:spacing w:after="240"/>
              <w:rPr>
                <w:rFonts w:ascii="Arial" w:hAnsi="Arial" w:cs="Arial"/>
                <w:sz w:val="18"/>
                <w:szCs w:val="18"/>
                <w:lang w:val="en-US"/>
              </w:rPr>
            </w:pPr>
            <w:r>
              <w:rPr>
                <w:rFonts w:ascii="Arial" w:hAnsi="Arial" w:cs="Arial"/>
                <w:sz w:val="18"/>
                <w:szCs w:val="18"/>
                <w:lang w:val="en-US"/>
              </w:rPr>
              <w:t>9</w:t>
            </w:r>
          </w:p>
        </w:tc>
        <w:tc>
          <w:tcPr>
            <w:tcW w:w="0" w:type="auto"/>
          </w:tcPr>
          <w:p w14:paraId="1B7197E3" w14:textId="766DD3F0" w:rsidR="00FD2497" w:rsidRPr="00671AB5" w:rsidRDefault="00FD2497" w:rsidP="00FD2497">
            <w:pPr>
              <w:widowControl w:val="0"/>
              <w:autoSpaceDE w:val="0"/>
              <w:autoSpaceDN w:val="0"/>
              <w:adjustRightInd w:val="0"/>
              <w:spacing w:after="240"/>
              <w:rPr>
                <w:rFonts w:ascii="Arial" w:hAnsi="Arial" w:cs="Arial"/>
                <w:sz w:val="18"/>
                <w:szCs w:val="18"/>
                <w:lang w:val="en-US"/>
              </w:rPr>
            </w:pPr>
            <w:r w:rsidRPr="00671AB5">
              <w:rPr>
                <w:rFonts w:ascii="Arial" w:hAnsi="Arial" w:cs="Arial"/>
                <w:sz w:val="18"/>
                <w:szCs w:val="18"/>
                <w:lang w:val="en-US"/>
              </w:rPr>
              <w:t>Delgadillo, Saxon and Barkham, (2017)</w:t>
            </w:r>
          </w:p>
        </w:tc>
        <w:tc>
          <w:tcPr>
            <w:tcW w:w="0" w:type="auto"/>
          </w:tcPr>
          <w:p w14:paraId="6FDC9A5C" w14:textId="2EC05334" w:rsidR="00FD2497" w:rsidRPr="005D0440" w:rsidRDefault="00FD2497" w:rsidP="00FD2497">
            <w:pPr>
              <w:widowControl w:val="0"/>
              <w:autoSpaceDE w:val="0"/>
              <w:autoSpaceDN w:val="0"/>
              <w:adjustRightInd w:val="0"/>
              <w:spacing w:after="240" w:line="480" w:lineRule="auto"/>
              <w:rPr>
                <w:rFonts w:ascii="Arial" w:hAnsi="Arial" w:cs="Arial"/>
                <w:sz w:val="18"/>
                <w:szCs w:val="18"/>
                <w:lang w:val="en-US"/>
              </w:rPr>
            </w:pPr>
            <w:r w:rsidRPr="005D0440">
              <w:rPr>
                <w:rFonts w:ascii="Arial" w:hAnsi="Arial" w:cs="Arial"/>
                <w:sz w:val="18"/>
                <w:szCs w:val="18"/>
                <w:lang w:val="en-US"/>
              </w:rPr>
              <w:t>Therapist effects</w:t>
            </w:r>
          </w:p>
        </w:tc>
        <w:tc>
          <w:tcPr>
            <w:tcW w:w="0" w:type="auto"/>
          </w:tcPr>
          <w:p w14:paraId="7D1AA36B" w14:textId="71B63891" w:rsidR="00FD2497" w:rsidRPr="005D0440" w:rsidRDefault="005D0440" w:rsidP="005D0440">
            <w:pPr>
              <w:widowControl w:val="0"/>
              <w:autoSpaceDE w:val="0"/>
              <w:autoSpaceDN w:val="0"/>
              <w:adjustRightInd w:val="0"/>
              <w:spacing w:after="240"/>
              <w:rPr>
                <w:rFonts w:ascii="Arial" w:hAnsi="Arial" w:cs="Arial"/>
                <w:sz w:val="18"/>
                <w:szCs w:val="18"/>
                <w:lang w:val="en-US"/>
              </w:rPr>
            </w:pPr>
            <w:r w:rsidRPr="005D0440">
              <w:rPr>
                <w:rFonts w:ascii="Arial" w:hAnsi="Arial" w:cs="Arial"/>
                <w:sz w:val="18"/>
                <w:szCs w:val="18"/>
                <w:lang w:val="en-US"/>
              </w:rPr>
              <w:t>Therapist effects &amp; therapist burnout in relation to outcome</w:t>
            </w:r>
          </w:p>
        </w:tc>
        <w:tc>
          <w:tcPr>
            <w:tcW w:w="0" w:type="auto"/>
          </w:tcPr>
          <w:p w14:paraId="01FC4493" w14:textId="11612DA6" w:rsidR="00FD2497" w:rsidRPr="00FD2497" w:rsidRDefault="00FD2497" w:rsidP="00FD2497">
            <w:pPr>
              <w:widowControl w:val="0"/>
              <w:autoSpaceDE w:val="0"/>
              <w:autoSpaceDN w:val="0"/>
              <w:adjustRightInd w:val="0"/>
              <w:spacing w:after="240" w:line="480" w:lineRule="auto"/>
              <w:rPr>
                <w:rFonts w:ascii="Arial" w:hAnsi="Arial" w:cs="Arial"/>
                <w:sz w:val="18"/>
                <w:szCs w:val="18"/>
                <w:lang w:val="en-US"/>
              </w:rPr>
            </w:pPr>
            <w:r w:rsidRPr="00FD2497">
              <w:rPr>
                <w:rFonts w:ascii="Arial" w:hAnsi="Arial" w:cs="Arial"/>
                <w:sz w:val="18"/>
                <w:szCs w:val="18"/>
                <w:lang w:val="en-US"/>
              </w:rPr>
              <w:t>Yes- included</w:t>
            </w:r>
          </w:p>
        </w:tc>
      </w:tr>
      <w:tr w:rsidR="005D0440" w14:paraId="38CB3B78" w14:textId="77777777" w:rsidTr="006A79E8">
        <w:tc>
          <w:tcPr>
            <w:tcW w:w="0" w:type="auto"/>
          </w:tcPr>
          <w:p w14:paraId="0CCBB2FC" w14:textId="6D1167F6" w:rsidR="00FD2497" w:rsidRPr="00671AB5" w:rsidRDefault="00FD2497" w:rsidP="00FD2497">
            <w:pPr>
              <w:widowControl w:val="0"/>
              <w:autoSpaceDE w:val="0"/>
              <w:autoSpaceDN w:val="0"/>
              <w:adjustRightInd w:val="0"/>
              <w:spacing w:after="240"/>
              <w:rPr>
                <w:rFonts w:ascii="Arial" w:hAnsi="Arial" w:cs="Arial"/>
                <w:sz w:val="18"/>
                <w:szCs w:val="18"/>
                <w:lang w:val="en-US"/>
              </w:rPr>
            </w:pPr>
            <w:r>
              <w:rPr>
                <w:rFonts w:ascii="Arial" w:hAnsi="Arial" w:cs="Arial"/>
                <w:sz w:val="18"/>
                <w:szCs w:val="18"/>
                <w:lang w:val="en-US"/>
              </w:rPr>
              <w:t>10</w:t>
            </w:r>
          </w:p>
        </w:tc>
        <w:tc>
          <w:tcPr>
            <w:tcW w:w="0" w:type="auto"/>
          </w:tcPr>
          <w:p w14:paraId="5ABB75D0" w14:textId="3F070EB3" w:rsidR="00FD2497" w:rsidRPr="00671AB5" w:rsidRDefault="00FD2497" w:rsidP="00FD2497">
            <w:pPr>
              <w:widowControl w:val="0"/>
              <w:autoSpaceDE w:val="0"/>
              <w:autoSpaceDN w:val="0"/>
              <w:adjustRightInd w:val="0"/>
              <w:spacing w:after="240"/>
              <w:rPr>
                <w:rFonts w:ascii="Arial" w:hAnsi="Arial" w:cs="Arial"/>
                <w:sz w:val="18"/>
                <w:szCs w:val="18"/>
                <w:lang w:val="en-US"/>
              </w:rPr>
            </w:pPr>
            <w:r w:rsidRPr="00671AB5">
              <w:rPr>
                <w:rFonts w:ascii="Arial" w:hAnsi="Arial" w:cs="Arial"/>
                <w:sz w:val="18"/>
                <w:szCs w:val="18"/>
                <w:lang w:val="en-US"/>
              </w:rPr>
              <w:t>Gyani et al., (2013)</w:t>
            </w:r>
          </w:p>
        </w:tc>
        <w:tc>
          <w:tcPr>
            <w:tcW w:w="0" w:type="auto"/>
          </w:tcPr>
          <w:p w14:paraId="64A3A0ED" w14:textId="79F793B1" w:rsidR="00FD2497" w:rsidRPr="00671AB5" w:rsidRDefault="00FD2497" w:rsidP="00FD2497">
            <w:pPr>
              <w:widowControl w:val="0"/>
              <w:autoSpaceDE w:val="0"/>
              <w:autoSpaceDN w:val="0"/>
              <w:adjustRightInd w:val="0"/>
              <w:spacing w:after="240"/>
              <w:rPr>
                <w:rFonts w:ascii="Arial" w:hAnsi="Arial" w:cs="Arial"/>
                <w:sz w:val="18"/>
                <w:szCs w:val="18"/>
                <w:lang w:val="en-US"/>
              </w:rPr>
            </w:pPr>
            <w:r w:rsidRPr="00671AB5">
              <w:rPr>
                <w:rFonts w:ascii="Arial" w:hAnsi="Arial" w:cs="Arial"/>
                <w:sz w:val="18"/>
                <w:szCs w:val="18"/>
                <w:lang w:val="en-US"/>
              </w:rPr>
              <w:t>Observational prospective cohort</w:t>
            </w:r>
            <w:r>
              <w:rPr>
                <w:rFonts w:ascii="Arial" w:hAnsi="Arial" w:cs="Arial"/>
                <w:sz w:val="18"/>
                <w:szCs w:val="18"/>
                <w:lang w:val="en-US"/>
              </w:rPr>
              <w:t xml:space="preserve"> study</w:t>
            </w:r>
          </w:p>
        </w:tc>
        <w:tc>
          <w:tcPr>
            <w:tcW w:w="0" w:type="auto"/>
          </w:tcPr>
          <w:p w14:paraId="7461814E" w14:textId="5DFCB385" w:rsidR="00FD2497" w:rsidRPr="005D0440" w:rsidRDefault="005D0440" w:rsidP="00FD2497">
            <w:pPr>
              <w:widowControl w:val="0"/>
              <w:autoSpaceDE w:val="0"/>
              <w:autoSpaceDN w:val="0"/>
              <w:adjustRightInd w:val="0"/>
              <w:spacing w:after="240" w:line="480" w:lineRule="auto"/>
              <w:rPr>
                <w:rFonts w:ascii="Arial" w:hAnsi="Arial" w:cs="Arial"/>
                <w:sz w:val="18"/>
                <w:szCs w:val="18"/>
                <w:lang w:val="en-US"/>
              </w:rPr>
            </w:pPr>
            <w:r w:rsidRPr="005D0440">
              <w:rPr>
                <w:rFonts w:ascii="Arial" w:hAnsi="Arial" w:cs="Arial"/>
                <w:sz w:val="18"/>
                <w:szCs w:val="18"/>
                <w:lang w:val="en-US"/>
              </w:rPr>
              <w:t>Variables that predict outcome</w:t>
            </w:r>
          </w:p>
        </w:tc>
        <w:tc>
          <w:tcPr>
            <w:tcW w:w="0" w:type="auto"/>
          </w:tcPr>
          <w:p w14:paraId="5BAA8C0A" w14:textId="094B2929" w:rsidR="00FD2497" w:rsidRPr="00FD2497" w:rsidRDefault="00FD2497" w:rsidP="00FD2497">
            <w:pPr>
              <w:widowControl w:val="0"/>
              <w:autoSpaceDE w:val="0"/>
              <w:autoSpaceDN w:val="0"/>
              <w:adjustRightInd w:val="0"/>
              <w:spacing w:after="240" w:line="480" w:lineRule="auto"/>
              <w:rPr>
                <w:rFonts w:ascii="Arial" w:hAnsi="Arial" w:cs="Arial"/>
                <w:sz w:val="18"/>
                <w:szCs w:val="18"/>
                <w:lang w:val="en-US"/>
              </w:rPr>
            </w:pPr>
            <w:r w:rsidRPr="00FD2497">
              <w:rPr>
                <w:rFonts w:ascii="Arial" w:hAnsi="Arial" w:cs="Arial"/>
                <w:sz w:val="18"/>
                <w:szCs w:val="18"/>
                <w:lang w:val="en-US"/>
              </w:rPr>
              <w:t>Yes - included</w:t>
            </w:r>
          </w:p>
        </w:tc>
      </w:tr>
      <w:tr w:rsidR="005D0440" w14:paraId="540B20DD" w14:textId="77777777" w:rsidTr="006A79E8">
        <w:tc>
          <w:tcPr>
            <w:tcW w:w="0" w:type="auto"/>
          </w:tcPr>
          <w:p w14:paraId="59A2F693" w14:textId="432D061F" w:rsidR="00FD2497" w:rsidRDefault="00FD2497" w:rsidP="00FD2497">
            <w:pPr>
              <w:widowControl w:val="0"/>
              <w:autoSpaceDE w:val="0"/>
              <w:autoSpaceDN w:val="0"/>
              <w:adjustRightInd w:val="0"/>
              <w:spacing w:after="240"/>
              <w:rPr>
                <w:rFonts w:ascii="Arial" w:hAnsi="Arial" w:cs="Arial"/>
                <w:sz w:val="18"/>
                <w:szCs w:val="18"/>
                <w:lang w:val="en-US"/>
              </w:rPr>
            </w:pPr>
            <w:r>
              <w:rPr>
                <w:rFonts w:ascii="Arial" w:hAnsi="Arial" w:cs="Arial"/>
                <w:sz w:val="18"/>
                <w:szCs w:val="18"/>
                <w:lang w:val="en-US"/>
              </w:rPr>
              <w:t>11</w:t>
            </w:r>
          </w:p>
        </w:tc>
        <w:tc>
          <w:tcPr>
            <w:tcW w:w="0" w:type="auto"/>
          </w:tcPr>
          <w:p w14:paraId="5BDA5DD0" w14:textId="2F432094" w:rsidR="00FD2497" w:rsidRPr="00671AB5" w:rsidRDefault="00FD2497" w:rsidP="00FD2497">
            <w:pPr>
              <w:widowControl w:val="0"/>
              <w:autoSpaceDE w:val="0"/>
              <w:autoSpaceDN w:val="0"/>
              <w:adjustRightInd w:val="0"/>
              <w:spacing w:after="240"/>
              <w:rPr>
                <w:rFonts w:ascii="Arial" w:hAnsi="Arial" w:cs="Arial"/>
                <w:sz w:val="18"/>
                <w:szCs w:val="18"/>
                <w:lang w:val="en-US"/>
              </w:rPr>
            </w:pPr>
            <w:r>
              <w:rPr>
                <w:rFonts w:ascii="Arial" w:hAnsi="Arial" w:cs="Arial"/>
                <w:sz w:val="18"/>
                <w:szCs w:val="18"/>
                <w:lang w:val="en-US"/>
              </w:rPr>
              <w:t>Liness et al., (2019)</w:t>
            </w:r>
          </w:p>
        </w:tc>
        <w:tc>
          <w:tcPr>
            <w:tcW w:w="0" w:type="auto"/>
          </w:tcPr>
          <w:p w14:paraId="634DCA6E" w14:textId="17E354B5" w:rsidR="00FD2497" w:rsidRPr="00671AB5" w:rsidRDefault="00FD2497" w:rsidP="00FD2497">
            <w:pPr>
              <w:widowControl w:val="0"/>
              <w:autoSpaceDE w:val="0"/>
              <w:autoSpaceDN w:val="0"/>
              <w:adjustRightInd w:val="0"/>
              <w:spacing w:after="240"/>
              <w:rPr>
                <w:rFonts w:ascii="Arial" w:hAnsi="Arial" w:cs="Arial"/>
                <w:sz w:val="18"/>
                <w:szCs w:val="18"/>
                <w:lang w:val="en-US"/>
              </w:rPr>
            </w:pPr>
            <w:r>
              <w:rPr>
                <w:rFonts w:ascii="Arial" w:hAnsi="Arial" w:cs="Arial"/>
                <w:sz w:val="18"/>
                <w:szCs w:val="18"/>
                <w:lang w:val="en-US"/>
              </w:rPr>
              <w:t>Observational longitudinal study</w:t>
            </w:r>
          </w:p>
        </w:tc>
        <w:tc>
          <w:tcPr>
            <w:tcW w:w="0" w:type="auto"/>
          </w:tcPr>
          <w:p w14:paraId="3A5BBDF2" w14:textId="5CC46E76" w:rsidR="00FD2497" w:rsidRPr="005D0440" w:rsidRDefault="005D0440" w:rsidP="005D0440">
            <w:pPr>
              <w:widowControl w:val="0"/>
              <w:autoSpaceDE w:val="0"/>
              <w:autoSpaceDN w:val="0"/>
              <w:adjustRightInd w:val="0"/>
              <w:spacing w:after="240"/>
              <w:rPr>
                <w:rFonts w:ascii="Arial" w:hAnsi="Arial" w:cs="Arial"/>
                <w:sz w:val="18"/>
                <w:szCs w:val="18"/>
                <w:lang w:val="en-US"/>
              </w:rPr>
            </w:pPr>
            <w:r w:rsidRPr="005D0440">
              <w:rPr>
                <w:rFonts w:ascii="Arial" w:hAnsi="Arial" w:cs="Arial"/>
                <w:sz w:val="18"/>
                <w:szCs w:val="18"/>
                <w:lang w:val="en-US"/>
              </w:rPr>
              <w:t>Relationship between competence &amp; outcome</w:t>
            </w:r>
          </w:p>
        </w:tc>
        <w:tc>
          <w:tcPr>
            <w:tcW w:w="0" w:type="auto"/>
          </w:tcPr>
          <w:p w14:paraId="6C92BA8A" w14:textId="08E2C198" w:rsidR="00FD2497" w:rsidRPr="00FD2497" w:rsidRDefault="00FD2497" w:rsidP="00FD2497">
            <w:pPr>
              <w:widowControl w:val="0"/>
              <w:autoSpaceDE w:val="0"/>
              <w:autoSpaceDN w:val="0"/>
              <w:adjustRightInd w:val="0"/>
              <w:spacing w:after="240" w:line="480" w:lineRule="auto"/>
              <w:rPr>
                <w:rFonts w:ascii="Arial" w:hAnsi="Arial" w:cs="Arial"/>
                <w:sz w:val="18"/>
                <w:szCs w:val="18"/>
                <w:lang w:val="en-US"/>
              </w:rPr>
            </w:pPr>
            <w:r w:rsidRPr="00FD2497">
              <w:rPr>
                <w:rFonts w:ascii="Arial" w:hAnsi="Arial" w:cs="Arial"/>
                <w:sz w:val="18"/>
                <w:szCs w:val="18"/>
                <w:lang w:val="en-US"/>
              </w:rPr>
              <w:t>Yes - included</w:t>
            </w:r>
          </w:p>
        </w:tc>
      </w:tr>
      <w:tr w:rsidR="00D135D6" w14:paraId="745E7DF4" w14:textId="77777777" w:rsidTr="006A79E8">
        <w:tc>
          <w:tcPr>
            <w:tcW w:w="0" w:type="auto"/>
          </w:tcPr>
          <w:p w14:paraId="416D03C0" w14:textId="3BFBFA26" w:rsidR="00D135D6" w:rsidRDefault="00D135D6" w:rsidP="00FD2497">
            <w:pPr>
              <w:widowControl w:val="0"/>
              <w:autoSpaceDE w:val="0"/>
              <w:autoSpaceDN w:val="0"/>
              <w:adjustRightInd w:val="0"/>
              <w:spacing w:after="240"/>
              <w:rPr>
                <w:rFonts w:ascii="Arial" w:hAnsi="Arial" w:cs="Arial"/>
                <w:sz w:val="18"/>
                <w:szCs w:val="18"/>
                <w:lang w:val="en-US"/>
              </w:rPr>
            </w:pPr>
            <w:r>
              <w:rPr>
                <w:rFonts w:ascii="Arial" w:hAnsi="Arial" w:cs="Arial"/>
                <w:sz w:val="18"/>
                <w:szCs w:val="18"/>
                <w:lang w:val="en-US"/>
              </w:rPr>
              <w:t>12</w:t>
            </w:r>
          </w:p>
        </w:tc>
        <w:tc>
          <w:tcPr>
            <w:tcW w:w="0" w:type="auto"/>
          </w:tcPr>
          <w:p w14:paraId="0E35AD73" w14:textId="36081B1D" w:rsidR="00D135D6" w:rsidRDefault="00D135D6" w:rsidP="00FD2497">
            <w:pPr>
              <w:widowControl w:val="0"/>
              <w:autoSpaceDE w:val="0"/>
              <w:autoSpaceDN w:val="0"/>
              <w:adjustRightInd w:val="0"/>
              <w:spacing w:after="240"/>
              <w:rPr>
                <w:rFonts w:ascii="Arial" w:hAnsi="Arial" w:cs="Arial"/>
                <w:sz w:val="18"/>
                <w:szCs w:val="18"/>
                <w:lang w:val="en-US"/>
              </w:rPr>
            </w:pPr>
            <w:r>
              <w:rPr>
                <w:rFonts w:ascii="Arial" w:hAnsi="Arial" w:cs="Arial"/>
                <w:sz w:val="18"/>
                <w:szCs w:val="18"/>
                <w:lang w:val="en-US"/>
              </w:rPr>
              <w:t>Saxon, Firth and Barkham (2017)</w:t>
            </w:r>
          </w:p>
        </w:tc>
        <w:tc>
          <w:tcPr>
            <w:tcW w:w="0" w:type="auto"/>
          </w:tcPr>
          <w:p w14:paraId="3C4BE04E" w14:textId="0CDC2F2B" w:rsidR="00D135D6" w:rsidRDefault="00D135D6" w:rsidP="00FD2497">
            <w:pPr>
              <w:widowControl w:val="0"/>
              <w:autoSpaceDE w:val="0"/>
              <w:autoSpaceDN w:val="0"/>
              <w:adjustRightInd w:val="0"/>
              <w:spacing w:after="240"/>
              <w:rPr>
                <w:rFonts w:ascii="Arial" w:hAnsi="Arial" w:cs="Arial"/>
                <w:sz w:val="18"/>
                <w:szCs w:val="18"/>
                <w:lang w:val="en-US"/>
              </w:rPr>
            </w:pPr>
            <w:r>
              <w:rPr>
                <w:rFonts w:ascii="Arial" w:hAnsi="Arial" w:cs="Arial"/>
                <w:sz w:val="18"/>
                <w:szCs w:val="18"/>
                <w:lang w:val="en-US"/>
              </w:rPr>
              <w:t>Therapist effects</w:t>
            </w:r>
          </w:p>
        </w:tc>
        <w:tc>
          <w:tcPr>
            <w:tcW w:w="0" w:type="auto"/>
          </w:tcPr>
          <w:p w14:paraId="45E8EDC5" w14:textId="60B47FFC" w:rsidR="00D135D6" w:rsidRPr="005D0440" w:rsidRDefault="00D135D6" w:rsidP="005D0440">
            <w:pPr>
              <w:widowControl w:val="0"/>
              <w:autoSpaceDE w:val="0"/>
              <w:autoSpaceDN w:val="0"/>
              <w:adjustRightInd w:val="0"/>
              <w:spacing w:after="240"/>
              <w:rPr>
                <w:rFonts w:ascii="Arial" w:hAnsi="Arial" w:cs="Arial"/>
                <w:sz w:val="18"/>
                <w:szCs w:val="18"/>
                <w:lang w:val="en-US"/>
              </w:rPr>
            </w:pPr>
            <w:r>
              <w:rPr>
                <w:rFonts w:ascii="Arial" w:hAnsi="Arial" w:cs="Arial"/>
                <w:sz w:val="18"/>
                <w:szCs w:val="18"/>
                <w:lang w:val="en-US"/>
              </w:rPr>
              <w:t>Relationship between therapist effects, therapy modality dose</w:t>
            </w:r>
            <w:r w:rsidR="00F652E8">
              <w:rPr>
                <w:rFonts w:ascii="Arial" w:hAnsi="Arial" w:cs="Arial"/>
                <w:sz w:val="18"/>
                <w:szCs w:val="18"/>
                <w:lang w:val="en-US"/>
              </w:rPr>
              <w:t>,</w:t>
            </w:r>
            <w:r>
              <w:rPr>
                <w:rFonts w:ascii="Arial" w:hAnsi="Arial" w:cs="Arial"/>
                <w:sz w:val="18"/>
                <w:szCs w:val="18"/>
                <w:lang w:val="en-US"/>
              </w:rPr>
              <w:t xml:space="preserve"> no</w:t>
            </w:r>
            <w:r w:rsidR="00F652E8">
              <w:rPr>
                <w:rFonts w:ascii="Arial" w:hAnsi="Arial" w:cs="Arial"/>
                <w:sz w:val="18"/>
                <w:szCs w:val="18"/>
                <w:lang w:val="en-US"/>
              </w:rPr>
              <w:t>- attendance and outcome</w:t>
            </w:r>
          </w:p>
        </w:tc>
        <w:tc>
          <w:tcPr>
            <w:tcW w:w="0" w:type="auto"/>
          </w:tcPr>
          <w:p w14:paraId="13F68BD1" w14:textId="37659277" w:rsidR="00D135D6" w:rsidRPr="00FD2497" w:rsidRDefault="00F652E8" w:rsidP="00FD2497">
            <w:pPr>
              <w:widowControl w:val="0"/>
              <w:autoSpaceDE w:val="0"/>
              <w:autoSpaceDN w:val="0"/>
              <w:adjustRightInd w:val="0"/>
              <w:spacing w:after="240" w:line="480" w:lineRule="auto"/>
              <w:rPr>
                <w:rFonts w:ascii="Arial" w:hAnsi="Arial" w:cs="Arial"/>
                <w:sz w:val="18"/>
                <w:szCs w:val="18"/>
                <w:lang w:val="en-US"/>
              </w:rPr>
            </w:pPr>
            <w:r>
              <w:rPr>
                <w:rFonts w:ascii="Arial" w:hAnsi="Arial" w:cs="Arial"/>
                <w:sz w:val="18"/>
                <w:szCs w:val="18"/>
                <w:lang w:val="en-US"/>
              </w:rPr>
              <w:t>Yes- included</w:t>
            </w:r>
          </w:p>
        </w:tc>
      </w:tr>
    </w:tbl>
    <w:p w14:paraId="49560B08" w14:textId="3186B111" w:rsidR="00917F29" w:rsidRDefault="00917F29" w:rsidP="00EA08A3">
      <w:pPr>
        <w:widowControl w:val="0"/>
        <w:autoSpaceDE w:val="0"/>
        <w:autoSpaceDN w:val="0"/>
        <w:adjustRightInd w:val="0"/>
        <w:spacing w:after="240" w:line="480" w:lineRule="auto"/>
        <w:rPr>
          <w:rFonts w:ascii="Arial" w:hAnsi="Arial" w:cs="Arial"/>
          <w:sz w:val="22"/>
          <w:szCs w:val="22"/>
          <w:lang w:val="en-US"/>
        </w:rPr>
      </w:pPr>
    </w:p>
    <w:p w14:paraId="1BACBB72" w14:textId="77777777" w:rsidR="009A277D" w:rsidRDefault="009A277D">
      <w:pPr>
        <w:rPr>
          <w:rFonts w:ascii="Arial" w:hAnsi="Arial"/>
          <w:b/>
          <w:iCs/>
          <w:sz w:val="22"/>
          <w:szCs w:val="18"/>
        </w:rPr>
      </w:pPr>
      <w:bookmarkStart w:id="216" w:name="_Toc28347775"/>
      <w:r>
        <w:br w:type="page"/>
      </w:r>
    </w:p>
    <w:p w14:paraId="4FBAE152" w14:textId="39FF8C0E" w:rsidR="00F660A9" w:rsidRPr="00F660A9" w:rsidRDefault="00F660A9" w:rsidP="00F660A9">
      <w:pPr>
        <w:pStyle w:val="Tables"/>
        <w:rPr>
          <w:b w:val="0"/>
        </w:rPr>
      </w:pPr>
      <w:bookmarkStart w:id="217" w:name="_Toc46770976"/>
      <w:r w:rsidRPr="00E92DBC">
        <w:lastRenderedPageBreak/>
        <w:t xml:space="preserve">Table 3.3 </w:t>
      </w:r>
      <w:r w:rsidRPr="00F660A9">
        <w:rPr>
          <w:b w:val="0"/>
        </w:rPr>
        <w:t>McMaster Critical Review Form (Law et al., 1998)</w:t>
      </w:r>
      <w:bookmarkEnd w:id="216"/>
      <w:r w:rsidR="00841D39">
        <w:rPr>
          <w:b w:val="0"/>
        </w:rPr>
        <w:t xml:space="preserve">. </w:t>
      </w:r>
      <w:r w:rsidR="00841D39" w:rsidRPr="005144E4">
        <w:rPr>
          <w:b w:val="0"/>
        </w:rPr>
        <w:t xml:space="preserve">The table shows the </w:t>
      </w:r>
      <w:r w:rsidR="00D8604B" w:rsidRPr="005144E4">
        <w:rPr>
          <w:b w:val="0"/>
        </w:rPr>
        <w:t>components</w:t>
      </w:r>
      <w:r w:rsidR="000E251E" w:rsidRPr="005144E4">
        <w:rPr>
          <w:b w:val="0"/>
        </w:rPr>
        <w:t xml:space="preserve"> (left hand column)</w:t>
      </w:r>
      <w:r w:rsidR="00D8604B" w:rsidRPr="005144E4">
        <w:rPr>
          <w:b w:val="0"/>
        </w:rPr>
        <w:t xml:space="preserve"> that were used to </w:t>
      </w:r>
      <w:r w:rsidR="000E251E" w:rsidRPr="005144E4">
        <w:rPr>
          <w:b w:val="0"/>
        </w:rPr>
        <w:t>critically review each paper.</w:t>
      </w:r>
      <w:r w:rsidR="00A91B18" w:rsidRPr="005144E4">
        <w:rPr>
          <w:b w:val="0"/>
        </w:rPr>
        <w:t xml:space="preserve"> </w:t>
      </w:r>
      <w:r w:rsidR="003E5CFC" w:rsidRPr="005144E4">
        <w:rPr>
          <w:b w:val="0"/>
        </w:rPr>
        <w:t xml:space="preserve">A </w:t>
      </w:r>
      <w:r w:rsidR="00555EE8" w:rsidRPr="005144E4">
        <w:rPr>
          <w:b w:val="0"/>
        </w:rPr>
        <w:t xml:space="preserve">mark of </w:t>
      </w:r>
      <w:r w:rsidR="003E5CFC" w:rsidRPr="005144E4">
        <w:rPr>
          <w:b w:val="0"/>
        </w:rPr>
        <w:t>‘x’ denotes that the ar</w:t>
      </w:r>
      <w:r w:rsidR="00A77914" w:rsidRPr="005144E4">
        <w:rPr>
          <w:b w:val="0"/>
        </w:rPr>
        <w:t>t</w:t>
      </w:r>
      <w:r w:rsidR="003E5CFC" w:rsidRPr="005144E4">
        <w:rPr>
          <w:b w:val="0"/>
        </w:rPr>
        <w:t>icle</w:t>
      </w:r>
      <w:r w:rsidR="00A77914" w:rsidRPr="005144E4">
        <w:rPr>
          <w:b w:val="0"/>
        </w:rPr>
        <w:t xml:space="preserve"> met the component. Where </w:t>
      </w:r>
      <w:r w:rsidR="00555EE8" w:rsidRPr="005144E4">
        <w:rPr>
          <w:b w:val="0"/>
        </w:rPr>
        <w:t xml:space="preserve">there is no ‘x’ the article did not meet the criteria. </w:t>
      </w:r>
      <w:r w:rsidR="00983907" w:rsidRPr="005144E4">
        <w:rPr>
          <w:b w:val="0"/>
        </w:rPr>
        <w:t>A mark of ‘NA’</w:t>
      </w:r>
      <w:r w:rsidR="00410F26" w:rsidRPr="005144E4">
        <w:rPr>
          <w:b w:val="0"/>
        </w:rPr>
        <w:t xml:space="preserve"> </w:t>
      </w:r>
      <w:r w:rsidR="00EA7FC6" w:rsidRPr="005144E4">
        <w:rPr>
          <w:b w:val="0"/>
        </w:rPr>
        <w:t xml:space="preserve">shows that </w:t>
      </w:r>
      <w:r w:rsidR="00414172" w:rsidRPr="005144E4">
        <w:rPr>
          <w:b w:val="0"/>
        </w:rPr>
        <w:t>this</w:t>
      </w:r>
      <w:r w:rsidR="00ED25B7" w:rsidRPr="005144E4">
        <w:rPr>
          <w:b w:val="0"/>
        </w:rPr>
        <w:t xml:space="preserve"> component was not applicable to the article</w:t>
      </w:r>
      <w:r w:rsidR="00581EE5" w:rsidRPr="005144E4">
        <w:rPr>
          <w:b w:val="0"/>
        </w:rPr>
        <w:t>.</w:t>
      </w:r>
      <w:bookmarkEnd w:id="217"/>
    </w:p>
    <w:tbl>
      <w:tblPr>
        <w:tblW w:w="0" w:type="auto"/>
        <w:tblCellMar>
          <w:top w:w="72" w:type="dxa"/>
          <w:left w:w="72" w:type="dxa"/>
          <w:bottom w:w="72" w:type="dxa"/>
          <w:right w:w="72" w:type="dxa"/>
        </w:tblCellMar>
        <w:tblLook w:val="01E0" w:firstRow="1" w:lastRow="1" w:firstColumn="1" w:lastColumn="1" w:noHBand="0" w:noVBand="0"/>
      </w:tblPr>
      <w:tblGrid>
        <w:gridCol w:w="2607"/>
        <w:gridCol w:w="1388"/>
        <w:gridCol w:w="1322"/>
        <w:gridCol w:w="1251"/>
        <w:gridCol w:w="1362"/>
        <w:gridCol w:w="1090"/>
      </w:tblGrid>
      <w:tr w:rsidR="00D24200" w:rsidRPr="007F00EF" w14:paraId="22688447" w14:textId="77777777" w:rsidTr="00F660A9">
        <w:tc>
          <w:tcPr>
            <w:tcW w:w="2607" w:type="dxa"/>
            <w:tcBorders>
              <w:top w:val="single" w:sz="4" w:space="0" w:color="auto"/>
              <w:bottom w:val="single" w:sz="4" w:space="0" w:color="auto"/>
            </w:tcBorders>
            <w:shd w:val="clear" w:color="auto" w:fill="auto"/>
          </w:tcPr>
          <w:p w14:paraId="06A72722" w14:textId="77777777" w:rsidR="00D24200" w:rsidRPr="007F00EF" w:rsidRDefault="00D24200" w:rsidP="00D24200">
            <w:pPr>
              <w:rPr>
                <w:rFonts w:ascii="Arial" w:hAnsi="Arial" w:cs="Arial"/>
                <w:b/>
                <w:sz w:val="22"/>
                <w:szCs w:val="22"/>
              </w:rPr>
            </w:pPr>
          </w:p>
        </w:tc>
        <w:tc>
          <w:tcPr>
            <w:tcW w:w="1388" w:type="dxa"/>
            <w:tcBorders>
              <w:top w:val="single" w:sz="4" w:space="0" w:color="auto"/>
              <w:bottom w:val="single" w:sz="4" w:space="0" w:color="auto"/>
            </w:tcBorders>
          </w:tcPr>
          <w:p w14:paraId="5594F939" w14:textId="77777777" w:rsidR="00D24200" w:rsidRPr="007F00EF" w:rsidRDefault="00D24200" w:rsidP="00D24200">
            <w:pPr>
              <w:rPr>
                <w:rFonts w:ascii="Arial" w:hAnsi="Arial" w:cs="Arial"/>
                <w:b/>
                <w:sz w:val="22"/>
                <w:szCs w:val="22"/>
              </w:rPr>
            </w:pPr>
            <w:r w:rsidRPr="004240AA">
              <w:rPr>
                <w:rFonts w:ascii="Arial" w:hAnsi="Arial" w:cs="Arial"/>
                <w:b/>
                <w:sz w:val="22"/>
                <w:szCs w:val="22"/>
              </w:rPr>
              <w:t>Delgadillo, Saxon and Barkham 2017</w:t>
            </w:r>
          </w:p>
        </w:tc>
        <w:tc>
          <w:tcPr>
            <w:tcW w:w="1322" w:type="dxa"/>
            <w:tcBorders>
              <w:top w:val="single" w:sz="4" w:space="0" w:color="auto"/>
              <w:bottom w:val="single" w:sz="4" w:space="0" w:color="auto"/>
            </w:tcBorders>
          </w:tcPr>
          <w:p w14:paraId="4F29F08C" w14:textId="77777777" w:rsidR="00D24200" w:rsidRPr="007F00EF" w:rsidRDefault="00D24200" w:rsidP="00D24200">
            <w:pPr>
              <w:rPr>
                <w:rFonts w:ascii="Arial" w:hAnsi="Arial" w:cs="Arial"/>
                <w:b/>
                <w:sz w:val="22"/>
                <w:szCs w:val="22"/>
              </w:rPr>
            </w:pPr>
            <w:r w:rsidRPr="007F00EF">
              <w:rPr>
                <w:rFonts w:ascii="Arial" w:hAnsi="Arial" w:cs="Arial"/>
                <w:b/>
                <w:sz w:val="22"/>
                <w:szCs w:val="22"/>
              </w:rPr>
              <w:t>Pereira, Barkham, Kellett and Saxon (2017)</w:t>
            </w:r>
          </w:p>
        </w:tc>
        <w:tc>
          <w:tcPr>
            <w:tcW w:w="1251" w:type="dxa"/>
            <w:tcBorders>
              <w:top w:val="single" w:sz="4" w:space="0" w:color="auto"/>
              <w:bottom w:val="single" w:sz="4" w:space="0" w:color="auto"/>
            </w:tcBorders>
          </w:tcPr>
          <w:p w14:paraId="16FE19D5" w14:textId="77777777" w:rsidR="00D24200" w:rsidRPr="007F00EF" w:rsidRDefault="00D24200" w:rsidP="00D24200">
            <w:pPr>
              <w:rPr>
                <w:rFonts w:ascii="Arial" w:hAnsi="Arial" w:cs="Arial"/>
                <w:b/>
                <w:sz w:val="22"/>
                <w:szCs w:val="22"/>
              </w:rPr>
            </w:pPr>
            <w:r w:rsidRPr="007F00EF">
              <w:rPr>
                <w:rFonts w:ascii="Arial" w:hAnsi="Arial" w:cs="Arial"/>
                <w:b/>
                <w:sz w:val="22"/>
                <w:szCs w:val="22"/>
              </w:rPr>
              <w:t>Gyani, Shafran, Layard and Clark (2013)</w:t>
            </w:r>
          </w:p>
        </w:tc>
        <w:tc>
          <w:tcPr>
            <w:tcW w:w="1362" w:type="dxa"/>
            <w:tcBorders>
              <w:top w:val="single" w:sz="4" w:space="0" w:color="auto"/>
              <w:bottom w:val="single" w:sz="4" w:space="0" w:color="auto"/>
            </w:tcBorders>
          </w:tcPr>
          <w:p w14:paraId="2D31B43B" w14:textId="1DE21E38" w:rsidR="00D24200" w:rsidRPr="007F00EF" w:rsidRDefault="00D24200" w:rsidP="00D24200">
            <w:pPr>
              <w:rPr>
                <w:rFonts w:ascii="Arial" w:hAnsi="Arial" w:cs="Arial"/>
                <w:b/>
                <w:sz w:val="22"/>
                <w:szCs w:val="22"/>
              </w:rPr>
            </w:pPr>
            <w:r w:rsidRPr="005144E4">
              <w:rPr>
                <w:rFonts w:ascii="Arial" w:hAnsi="Arial" w:cs="Arial"/>
                <w:b/>
                <w:sz w:val="22"/>
                <w:szCs w:val="22"/>
              </w:rPr>
              <w:t>Saxon, Firth and Barkham (2016)</w:t>
            </w:r>
          </w:p>
        </w:tc>
        <w:tc>
          <w:tcPr>
            <w:tcW w:w="1090" w:type="dxa"/>
            <w:tcBorders>
              <w:top w:val="single" w:sz="4" w:space="0" w:color="auto"/>
              <w:bottom w:val="single" w:sz="4" w:space="0" w:color="auto"/>
            </w:tcBorders>
          </w:tcPr>
          <w:p w14:paraId="66DC0995" w14:textId="77777777" w:rsidR="00D24200" w:rsidRPr="007F00EF" w:rsidRDefault="00D24200" w:rsidP="00D24200">
            <w:pPr>
              <w:rPr>
                <w:rFonts w:ascii="Arial" w:hAnsi="Arial" w:cs="Arial"/>
                <w:b/>
                <w:sz w:val="22"/>
                <w:szCs w:val="22"/>
              </w:rPr>
            </w:pPr>
            <w:r w:rsidRPr="007F00EF">
              <w:rPr>
                <w:rFonts w:ascii="Arial" w:hAnsi="Arial" w:cs="Arial"/>
                <w:b/>
                <w:sz w:val="22"/>
                <w:szCs w:val="22"/>
              </w:rPr>
              <w:t>Liness, Beale, Lea, Byrne, Hirsch and Clark (2018)</w:t>
            </w:r>
          </w:p>
        </w:tc>
      </w:tr>
      <w:tr w:rsidR="00D24200" w:rsidRPr="00666EC3" w14:paraId="33AE00C5" w14:textId="77777777" w:rsidTr="00F660A9">
        <w:tc>
          <w:tcPr>
            <w:tcW w:w="2607" w:type="dxa"/>
            <w:tcBorders>
              <w:top w:val="single" w:sz="4" w:space="0" w:color="auto"/>
            </w:tcBorders>
            <w:shd w:val="clear" w:color="auto" w:fill="auto"/>
          </w:tcPr>
          <w:p w14:paraId="1EA767E5" w14:textId="77777777" w:rsidR="00D24200" w:rsidRPr="00666EC3" w:rsidRDefault="00D24200" w:rsidP="00D24200">
            <w:pPr>
              <w:rPr>
                <w:rFonts w:ascii="Arial" w:hAnsi="Arial" w:cs="Arial"/>
                <w:bCs/>
                <w:sz w:val="22"/>
                <w:szCs w:val="22"/>
              </w:rPr>
            </w:pPr>
            <w:r w:rsidRPr="00666EC3">
              <w:rPr>
                <w:rFonts w:ascii="Arial" w:hAnsi="Arial" w:cs="Arial"/>
                <w:bCs/>
                <w:sz w:val="22"/>
                <w:szCs w:val="22"/>
              </w:rPr>
              <w:t>Study Purpose</w:t>
            </w:r>
          </w:p>
        </w:tc>
        <w:tc>
          <w:tcPr>
            <w:tcW w:w="1388" w:type="dxa"/>
            <w:tcBorders>
              <w:top w:val="single" w:sz="4" w:space="0" w:color="auto"/>
            </w:tcBorders>
          </w:tcPr>
          <w:p w14:paraId="17497657" w14:textId="77777777" w:rsidR="00D24200" w:rsidRPr="00666EC3" w:rsidRDefault="00D24200" w:rsidP="00D24200">
            <w:pPr>
              <w:jc w:val="center"/>
              <w:rPr>
                <w:rFonts w:ascii="Arial" w:hAnsi="Arial" w:cs="Arial"/>
                <w:bCs/>
                <w:sz w:val="22"/>
                <w:szCs w:val="22"/>
              </w:rPr>
            </w:pPr>
            <w:r w:rsidRPr="00666EC3">
              <w:rPr>
                <w:rFonts w:ascii="Arial" w:hAnsi="Arial" w:cs="Arial"/>
                <w:bCs/>
                <w:sz w:val="22"/>
                <w:szCs w:val="22"/>
              </w:rPr>
              <w:t>x</w:t>
            </w:r>
          </w:p>
        </w:tc>
        <w:tc>
          <w:tcPr>
            <w:tcW w:w="1322" w:type="dxa"/>
            <w:tcBorders>
              <w:top w:val="single" w:sz="4" w:space="0" w:color="auto"/>
            </w:tcBorders>
          </w:tcPr>
          <w:p w14:paraId="784D9948" w14:textId="77777777" w:rsidR="00D24200" w:rsidRPr="00666EC3" w:rsidRDefault="00D24200" w:rsidP="00D24200">
            <w:pPr>
              <w:jc w:val="center"/>
              <w:rPr>
                <w:rFonts w:ascii="Arial" w:hAnsi="Arial" w:cs="Arial"/>
                <w:bCs/>
                <w:sz w:val="22"/>
                <w:szCs w:val="22"/>
              </w:rPr>
            </w:pPr>
            <w:r w:rsidRPr="00666EC3">
              <w:rPr>
                <w:rFonts w:ascii="Arial" w:hAnsi="Arial" w:cs="Arial"/>
                <w:bCs/>
                <w:sz w:val="22"/>
                <w:szCs w:val="22"/>
              </w:rPr>
              <w:t>x</w:t>
            </w:r>
          </w:p>
        </w:tc>
        <w:tc>
          <w:tcPr>
            <w:tcW w:w="1251" w:type="dxa"/>
            <w:tcBorders>
              <w:top w:val="single" w:sz="4" w:space="0" w:color="auto"/>
            </w:tcBorders>
          </w:tcPr>
          <w:p w14:paraId="53FE4967" w14:textId="77777777" w:rsidR="00D24200" w:rsidRPr="00666EC3" w:rsidRDefault="00D24200" w:rsidP="00D24200">
            <w:pPr>
              <w:jc w:val="center"/>
              <w:rPr>
                <w:rFonts w:ascii="Arial" w:hAnsi="Arial" w:cs="Arial"/>
                <w:bCs/>
                <w:sz w:val="22"/>
                <w:szCs w:val="22"/>
              </w:rPr>
            </w:pPr>
            <w:r w:rsidRPr="00666EC3">
              <w:rPr>
                <w:rFonts w:ascii="Arial" w:hAnsi="Arial" w:cs="Arial"/>
                <w:bCs/>
                <w:sz w:val="22"/>
                <w:szCs w:val="22"/>
              </w:rPr>
              <w:t>x</w:t>
            </w:r>
          </w:p>
        </w:tc>
        <w:tc>
          <w:tcPr>
            <w:tcW w:w="1362" w:type="dxa"/>
            <w:tcBorders>
              <w:top w:val="single" w:sz="4" w:space="0" w:color="auto"/>
            </w:tcBorders>
          </w:tcPr>
          <w:p w14:paraId="5D52E422" w14:textId="77777777" w:rsidR="00D24200" w:rsidRPr="00666EC3" w:rsidRDefault="00D24200" w:rsidP="00D24200">
            <w:pPr>
              <w:jc w:val="center"/>
              <w:rPr>
                <w:rFonts w:ascii="Arial" w:hAnsi="Arial" w:cs="Arial"/>
                <w:bCs/>
                <w:sz w:val="22"/>
                <w:szCs w:val="22"/>
              </w:rPr>
            </w:pPr>
            <w:r w:rsidRPr="00666EC3">
              <w:rPr>
                <w:rFonts w:ascii="Arial" w:hAnsi="Arial" w:cs="Arial"/>
                <w:bCs/>
                <w:sz w:val="22"/>
                <w:szCs w:val="22"/>
              </w:rPr>
              <w:t>x</w:t>
            </w:r>
          </w:p>
        </w:tc>
        <w:tc>
          <w:tcPr>
            <w:tcW w:w="1090" w:type="dxa"/>
            <w:tcBorders>
              <w:top w:val="single" w:sz="4" w:space="0" w:color="auto"/>
            </w:tcBorders>
          </w:tcPr>
          <w:p w14:paraId="5006E5E2" w14:textId="77777777" w:rsidR="00D24200" w:rsidRPr="00666EC3" w:rsidRDefault="00D24200" w:rsidP="00D24200">
            <w:pPr>
              <w:jc w:val="center"/>
              <w:rPr>
                <w:rFonts w:ascii="Arial" w:hAnsi="Arial" w:cs="Arial"/>
                <w:bCs/>
                <w:sz w:val="22"/>
                <w:szCs w:val="22"/>
              </w:rPr>
            </w:pPr>
            <w:r w:rsidRPr="00666EC3">
              <w:rPr>
                <w:rFonts w:ascii="Arial" w:hAnsi="Arial" w:cs="Arial"/>
                <w:bCs/>
                <w:sz w:val="22"/>
                <w:szCs w:val="22"/>
              </w:rPr>
              <w:t>x</w:t>
            </w:r>
          </w:p>
        </w:tc>
      </w:tr>
      <w:tr w:rsidR="00D24200" w:rsidRPr="00666EC3" w14:paraId="110F75BA" w14:textId="77777777" w:rsidTr="00F660A9">
        <w:tc>
          <w:tcPr>
            <w:tcW w:w="2607" w:type="dxa"/>
            <w:shd w:val="clear" w:color="auto" w:fill="auto"/>
          </w:tcPr>
          <w:p w14:paraId="35604E19" w14:textId="77777777" w:rsidR="00D24200" w:rsidRPr="00666EC3" w:rsidRDefault="00D24200" w:rsidP="00D24200">
            <w:pPr>
              <w:ind w:left="360" w:hanging="360"/>
              <w:rPr>
                <w:rFonts w:ascii="Arial" w:hAnsi="Arial" w:cs="Arial"/>
                <w:bCs/>
                <w:sz w:val="22"/>
                <w:szCs w:val="22"/>
              </w:rPr>
            </w:pPr>
            <w:r w:rsidRPr="00666EC3">
              <w:rPr>
                <w:rFonts w:ascii="Arial" w:hAnsi="Arial" w:cs="Arial"/>
                <w:bCs/>
                <w:sz w:val="22"/>
                <w:szCs w:val="22"/>
              </w:rPr>
              <w:t>Literature</w:t>
            </w:r>
          </w:p>
        </w:tc>
        <w:tc>
          <w:tcPr>
            <w:tcW w:w="1388" w:type="dxa"/>
          </w:tcPr>
          <w:p w14:paraId="4AA0E854"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322" w:type="dxa"/>
          </w:tcPr>
          <w:p w14:paraId="19FDB0CA"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251" w:type="dxa"/>
          </w:tcPr>
          <w:p w14:paraId="3473F9CB"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362" w:type="dxa"/>
          </w:tcPr>
          <w:p w14:paraId="6042B45D"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090" w:type="dxa"/>
          </w:tcPr>
          <w:p w14:paraId="7A0E48E5"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r>
      <w:tr w:rsidR="00D24200" w:rsidRPr="00666EC3" w14:paraId="7E54B4C4" w14:textId="77777777" w:rsidTr="00F660A9">
        <w:tc>
          <w:tcPr>
            <w:tcW w:w="2607" w:type="dxa"/>
            <w:shd w:val="clear" w:color="auto" w:fill="auto"/>
          </w:tcPr>
          <w:p w14:paraId="19240FDA" w14:textId="77777777" w:rsidR="00D24200" w:rsidRPr="00666EC3" w:rsidRDefault="00D24200" w:rsidP="00D24200">
            <w:pPr>
              <w:ind w:left="360" w:hanging="360"/>
              <w:rPr>
                <w:rFonts w:ascii="Arial" w:hAnsi="Arial" w:cs="Arial"/>
                <w:bCs/>
                <w:sz w:val="22"/>
                <w:szCs w:val="22"/>
              </w:rPr>
            </w:pPr>
            <w:r w:rsidRPr="00666EC3">
              <w:rPr>
                <w:rFonts w:ascii="Arial" w:hAnsi="Arial" w:cs="Arial"/>
                <w:bCs/>
                <w:sz w:val="22"/>
                <w:szCs w:val="22"/>
              </w:rPr>
              <w:t>Appropriate Design</w:t>
            </w:r>
          </w:p>
        </w:tc>
        <w:tc>
          <w:tcPr>
            <w:tcW w:w="1388" w:type="dxa"/>
          </w:tcPr>
          <w:p w14:paraId="1780E947"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322" w:type="dxa"/>
          </w:tcPr>
          <w:p w14:paraId="4781FC6B"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251" w:type="dxa"/>
          </w:tcPr>
          <w:p w14:paraId="60BD747A" w14:textId="77777777" w:rsidR="00D24200" w:rsidRPr="00666EC3" w:rsidRDefault="00D24200" w:rsidP="00D24200">
            <w:pPr>
              <w:ind w:left="360" w:hanging="360"/>
              <w:jc w:val="center"/>
              <w:rPr>
                <w:rFonts w:ascii="Arial" w:hAnsi="Arial" w:cs="Arial"/>
                <w:bCs/>
                <w:sz w:val="22"/>
                <w:szCs w:val="22"/>
              </w:rPr>
            </w:pPr>
          </w:p>
        </w:tc>
        <w:tc>
          <w:tcPr>
            <w:tcW w:w="1362" w:type="dxa"/>
          </w:tcPr>
          <w:p w14:paraId="5F2A63D4"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090" w:type="dxa"/>
          </w:tcPr>
          <w:p w14:paraId="7844B15A"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r>
      <w:tr w:rsidR="00D24200" w:rsidRPr="00666EC3" w14:paraId="3E693E18" w14:textId="77777777" w:rsidTr="00F660A9">
        <w:tc>
          <w:tcPr>
            <w:tcW w:w="2607" w:type="dxa"/>
            <w:shd w:val="clear" w:color="auto" w:fill="auto"/>
          </w:tcPr>
          <w:p w14:paraId="12A7B2C6" w14:textId="77777777" w:rsidR="00D24200" w:rsidRPr="00666EC3" w:rsidRDefault="00D24200" w:rsidP="00D24200">
            <w:pPr>
              <w:ind w:left="360" w:hanging="360"/>
              <w:rPr>
                <w:rFonts w:ascii="Arial" w:hAnsi="Arial" w:cs="Arial"/>
                <w:bCs/>
                <w:sz w:val="22"/>
                <w:szCs w:val="22"/>
              </w:rPr>
            </w:pPr>
            <w:r w:rsidRPr="00666EC3">
              <w:rPr>
                <w:rFonts w:ascii="Arial" w:hAnsi="Arial" w:cs="Arial"/>
                <w:bCs/>
                <w:sz w:val="22"/>
                <w:szCs w:val="22"/>
              </w:rPr>
              <w:t>Sample Description</w:t>
            </w:r>
          </w:p>
        </w:tc>
        <w:tc>
          <w:tcPr>
            <w:tcW w:w="1388" w:type="dxa"/>
          </w:tcPr>
          <w:p w14:paraId="46821B3D"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322" w:type="dxa"/>
          </w:tcPr>
          <w:p w14:paraId="085BCDAD"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251" w:type="dxa"/>
          </w:tcPr>
          <w:p w14:paraId="44EE2982" w14:textId="77777777" w:rsidR="00D24200" w:rsidRPr="00666EC3" w:rsidRDefault="00D24200" w:rsidP="00D24200">
            <w:pPr>
              <w:ind w:left="360" w:hanging="360"/>
              <w:jc w:val="center"/>
              <w:rPr>
                <w:rFonts w:ascii="Arial" w:hAnsi="Arial" w:cs="Arial"/>
                <w:bCs/>
                <w:sz w:val="22"/>
                <w:szCs w:val="22"/>
              </w:rPr>
            </w:pPr>
          </w:p>
        </w:tc>
        <w:tc>
          <w:tcPr>
            <w:tcW w:w="1362" w:type="dxa"/>
          </w:tcPr>
          <w:p w14:paraId="7FBB3AE3"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090" w:type="dxa"/>
          </w:tcPr>
          <w:p w14:paraId="4CCF0E6D"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r>
      <w:tr w:rsidR="00D24200" w:rsidRPr="00666EC3" w14:paraId="61003D21" w14:textId="77777777" w:rsidTr="00F660A9">
        <w:tc>
          <w:tcPr>
            <w:tcW w:w="2607" w:type="dxa"/>
            <w:shd w:val="clear" w:color="auto" w:fill="auto"/>
          </w:tcPr>
          <w:p w14:paraId="667FF808" w14:textId="77777777" w:rsidR="00D24200" w:rsidRPr="00666EC3" w:rsidRDefault="00D24200" w:rsidP="00D24200">
            <w:pPr>
              <w:ind w:left="360" w:hanging="360"/>
              <w:rPr>
                <w:rFonts w:ascii="Arial" w:hAnsi="Arial" w:cs="Arial"/>
                <w:bCs/>
                <w:sz w:val="22"/>
                <w:szCs w:val="22"/>
              </w:rPr>
            </w:pPr>
            <w:r w:rsidRPr="00666EC3">
              <w:rPr>
                <w:rFonts w:ascii="Arial" w:hAnsi="Arial" w:cs="Arial"/>
                <w:bCs/>
                <w:sz w:val="22"/>
                <w:szCs w:val="22"/>
              </w:rPr>
              <w:t>Sample Size</w:t>
            </w:r>
          </w:p>
        </w:tc>
        <w:tc>
          <w:tcPr>
            <w:tcW w:w="1388" w:type="dxa"/>
          </w:tcPr>
          <w:p w14:paraId="565B3886"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322" w:type="dxa"/>
          </w:tcPr>
          <w:p w14:paraId="049462EC"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251" w:type="dxa"/>
          </w:tcPr>
          <w:p w14:paraId="4BA39CF9"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362" w:type="dxa"/>
          </w:tcPr>
          <w:p w14:paraId="5EC9E0DC"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090" w:type="dxa"/>
          </w:tcPr>
          <w:p w14:paraId="01C4410D"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r>
      <w:tr w:rsidR="00D24200" w:rsidRPr="00666EC3" w14:paraId="41779380" w14:textId="77777777" w:rsidTr="00F660A9">
        <w:tc>
          <w:tcPr>
            <w:tcW w:w="2607" w:type="dxa"/>
            <w:shd w:val="clear" w:color="auto" w:fill="auto"/>
          </w:tcPr>
          <w:p w14:paraId="6135F7AD" w14:textId="77777777" w:rsidR="00D24200" w:rsidRPr="00666EC3" w:rsidRDefault="00D24200" w:rsidP="00D24200">
            <w:pPr>
              <w:ind w:left="360" w:hanging="360"/>
              <w:rPr>
                <w:rFonts w:ascii="Arial" w:hAnsi="Arial" w:cs="Arial"/>
                <w:bCs/>
                <w:sz w:val="22"/>
                <w:szCs w:val="22"/>
              </w:rPr>
            </w:pPr>
            <w:r w:rsidRPr="00666EC3">
              <w:rPr>
                <w:rFonts w:ascii="Arial" w:hAnsi="Arial" w:cs="Arial"/>
                <w:bCs/>
                <w:sz w:val="22"/>
                <w:szCs w:val="22"/>
              </w:rPr>
              <w:t>Outcome measures validity</w:t>
            </w:r>
          </w:p>
        </w:tc>
        <w:tc>
          <w:tcPr>
            <w:tcW w:w="1388" w:type="dxa"/>
          </w:tcPr>
          <w:p w14:paraId="6E6B8CC6"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322" w:type="dxa"/>
          </w:tcPr>
          <w:p w14:paraId="2F047B78"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251" w:type="dxa"/>
          </w:tcPr>
          <w:p w14:paraId="5A018807"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362" w:type="dxa"/>
          </w:tcPr>
          <w:p w14:paraId="07CC61CB"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090" w:type="dxa"/>
          </w:tcPr>
          <w:p w14:paraId="46D055C7"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r>
      <w:tr w:rsidR="00D24200" w:rsidRPr="00666EC3" w14:paraId="0C80A9AA" w14:textId="77777777" w:rsidTr="00F660A9">
        <w:tc>
          <w:tcPr>
            <w:tcW w:w="2607" w:type="dxa"/>
            <w:shd w:val="clear" w:color="auto" w:fill="auto"/>
          </w:tcPr>
          <w:p w14:paraId="23627808" w14:textId="77777777" w:rsidR="00D24200" w:rsidRPr="00666EC3" w:rsidRDefault="00D24200" w:rsidP="00D24200">
            <w:pPr>
              <w:ind w:left="360" w:hanging="360"/>
              <w:rPr>
                <w:rFonts w:ascii="Arial" w:hAnsi="Arial" w:cs="Arial"/>
                <w:bCs/>
                <w:sz w:val="22"/>
                <w:szCs w:val="22"/>
              </w:rPr>
            </w:pPr>
            <w:r w:rsidRPr="00666EC3">
              <w:rPr>
                <w:rFonts w:ascii="Arial" w:hAnsi="Arial" w:cs="Arial"/>
                <w:bCs/>
                <w:sz w:val="22"/>
                <w:szCs w:val="22"/>
              </w:rPr>
              <w:t>Outcome measures reliability</w:t>
            </w:r>
          </w:p>
        </w:tc>
        <w:tc>
          <w:tcPr>
            <w:tcW w:w="1388" w:type="dxa"/>
          </w:tcPr>
          <w:p w14:paraId="13A39F47"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322" w:type="dxa"/>
          </w:tcPr>
          <w:p w14:paraId="07222E81"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251" w:type="dxa"/>
          </w:tcPr>
          <w:p w14:paraId="455EB7D2"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362" w:type="dxa"/>
          </w:tcPr>
          <w:p w14:paraId="5DBECC87"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090" w:type="dxa"/>
          </w:tcPr>
          <w:p w14:paraId="7BB93DB1"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r>
      <w:tr w:rsidR="00D24200" w:rsidRPr="00666EC3" w14:paraId="1C757225" w14:textId="77777777" w:rsidTr="00F660A9">
        <w:tc>
          <w:tcPr>
            <w:tcW w:w="2607" w:type="dxa"/>
            <w:shd w:val="clear" w:color="auto" w:fill="auto"/>
          </w:tcPr>
          <w:p w14:paraId="3EF983B3" w14:textId="77777777" w:rsidR="00D24200" w:rsidRPr="00666EC3" w:rsidRDefault="00D24200" w:rsidP="00D24200">
            <w:pPr>
              <w:ind w:left="360" w:hanging="360"/>
              <w:rPr>
                <w:rFonts w:ascii="Arial" w:hAnsi="Arial" w:cs="Arial"/>
                <w:bCs/>
                <w:sz w:val="22"/>
                <w:szCs w:val="22"/>
              </w:rPr>
            </w:pPr>
            <w:r w:rsidRPr="00666EC3">
              <w:rPr>
                <w:rFonts w:ascii="Arial" w:hAnsi="Arial" w:cs="Arial"/>
                <w:bCs/>
                <w:sz w:val="22"/>
                <w:szCs w:val="22"/>
              </w:rPr>
              <w:t>Intervention described</w:t>
            </w:r>
          </w:p>
        </w:tc>
        <w:tc>
          <w:tcPr>
            <w:tcW w:w="1388" w:type="dxa"/>
          </w:tcPr>
          <w:p w14:paraId="053E3290"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NA</w:t>
            </w:r>
          </w:p>
        </w:tc>
        <w:tc>
          <w:tcPr>
            <w:tcW w:w="1322" w:type="dxa"/>
          </w:tcPr>
          <w:p w14:paraId="3E266B32"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NA</w:t>
            </w:r>
          </w:p>
        </w:tc>
        <w:tc>
          <w:tcPr>
            <w:tcW w:w="1251" w:type="dxa"/>
          </w:tcPr>
          <w:p w14:paraId="62EB2F6F"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362" w:type="dxa"/>
          </w:tcPr>
          <w:p w14:paraId="7387A018"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NA</w:t>
            </w:r>
          </w:p>
        </w:tc>
        <w:tc>
          <w:tcPr>
            <w:tcW w:w="1090" w:type="dxa"/>
          </w:tcPr>
          <w:p w14:paraId="3515B2B4"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r>
      <w:tr w:rsidR="00D24200" w:rsidRPr="00666EC3" w14:paraId="1CA8AFA1" w14:textId="77777777" w:rsidTr="00F660A9">
        <w:tc>
          <w:tcPr>
            <w:tcW w:w="2607" w:type="dxa"/>
            <w:shd w:val="clear" w:color="auto" w:fill="auto"/>
          </w:tcPr>
          <w:p w14:paraId="60A8A53E" w14:textId="77777777" w:rsidR="00D24200" w:rsidRPr="00666EC3" w:rsidRDefault="00D24200" w:rsidP="00D24200">
            <w:pPr>
              <w:ind w:left="360" w:hanging="360"/>
              <w:rPr>
                <w:rFonts w:ascii="Arial" w:hAnsi="Arial" w:cs="Arial"/>
                <w:bCs/>
                <w:sz w:val="22"/>
                <w:szCs w:val="22"/>
              </w:rPr>
            </w:pPr>
            <w:r w:rsidRPr="00666EC3">
              <w:rPr>
                <w:rFonts w:ascii="Arial" w:hAnsi="Arial" w:cs="Arial"/>
                <w:bCs/>
                <w:sz w:val="22"/>
                <w:szCs w:val="22"/>
              </w:rPr>
              <w:t>Statistical significance reported</w:t>
            </w:r>
          </w:p>
        </w:tc>
        <w:tc>
          <w:tcPr>
            <w:tcW w:w="1388" w:type="dxa"/>
          </w:tcPr>
          <w:p w14:paraId="40D83761"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322" w:type="dxa"/>
          </w:tcPr>
          <w:p w14:paraId="41D167BE"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251" w:type="dxa"/>
          </w:tcPr>
          <w:p w14:paraId="1985C642"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362" w:type="dxa"/>
          </w:tcPr>
          <w:p w14:paraId="3C138A79"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090" w:type="dxa"/>
          </w:tcPr>
          <w:p w14:paraId="54B41C26"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r>
      <w:tr w:rsidR="00D24200" w:rsidRPr="00666EC3" w14:paraId="2465E22C" w14:textId="77777777" w:rsidTr="00F660A9">
        <w:tc>
          <w:tcPr>
            <w:tcW w:w="2607" w:type="dxa"/>
            <w:shd w:val="clear" w:color="auto" w:fill="auto"/>
          </w:tcPr>
          <w:p w14:paraId="0E667474" w14:textId="77777777" w:rsidR="00D24200" w:rsidRPr="00666EC3" w:rsidRDefault="00D24200" w:rsidP="00D24200">
            <w:pPr>
              <w:ind w:left="360" w:hanging="360"/>
              <w:rPr>
                <w:rFonts w:ascii="Arial" w:hAnsi="Arial" w:cs="Arial"/>
                <w:bCs/>
                <w:sz w:val="22"/>
                <w:szCs w:val="22"/>
              </w:rPr>
            </w:pPr>
            <w:r w:rsidRPr="00666EC3">
              <w:rPr>
                <w:rFonts w:ascii="Arial" w:hAnsi="Arial" w:cs="Arial"/>
                <w:bCs/>
                <w:sz w:val="22"/>
                <w:szCs w:val="22"/>
              </w:rPr>
              <w:t>Analysis method appropriate</w:t>
            </w:r>
          </w:p>
        </w:tc>
        <w:tc>
          <w:tcPr>
            <w:tcW w:w="1388" w:type="dxa"/>
          </w:tcPr>
          <w:p w14:paraId="0B8E4C21"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322" w:type="dxa"/>
          </w:tcPr>
          <w:p w14:paraId="6D0B3420"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251" w:type="dxa"/>
          </w:tcPr>
          <w:p w14:paraId="61DB9AEC"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362" w:type="dxa"/>
          </w:tcPr>
          <w:p w14:paraId="40D32DC5"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090" w:type="dxa"/>
          </w:tcPr>
          <w:p w14:paraId="008FB6D6"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r>
      <w:tr w:rsidR="00D24200" w:rsidRPr="00666EC3" w14:paraId="33D10545" w14:textId="77777777" w:rsidTr="00F660A9">
        <w:tc>
          <w:tcPr>
            <w:tcW w:w="2607" w:type="dxa"/>
            <w:shd w:val="clear" w:color="auto" w:fill="auto"/>
          </w:tcPr>
          <w:p w14:paraId="73A26ED3" w14:textId="77777777" w:rsidR="00D24200" w:rsidRPr="00666EC3" w:rsidRDefault="00D24200" w:rsidP="00D24200">
            <w:pPr>
              <w:ind w:left="360" w:hanging="360"/>
              <w:rPr>
                <w:rFonts w:ascii="Arial" w:hAnsi="Arial" w:cs="Arial"/>
                <w:bCs/>
                <w:sz w:val="22"/>
                <w:szCs w:val="22"/>
              </w:rPr>
            </w:pPr>
            <w:r w:rsidRPr="00666EC3">
              <w:rPr>
                <w:rFonts w:ascii="Arial" w:hAnsi="Arial" w:cs="Arial"/>
                <w:bCs/>
                <w:sz w:val="22"/>
                <w:szCs w:val="22"/>
              </w:rPr>
              <w:t>Clinical importance discussed</w:t>
            </w:r>
          </w:p>
        </w:tc>
        <w:tc>
          <w:tcPr>
            <w:tcW w:w="1388" w:type="dxa"/>
          </w:tcPr>
          <w:p w14:paraId="39828CE0"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322" w:type="dxa"/>
          </w:tcPr>
          <w:p w14:paraId="6063451D"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251" w:type="dxa"/>
          </w:tcPr>
          <w:p w14:paraId="5B5F5E46"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362" w:type="dxa"/>
          </w:tcPr>
          <w:p w14:paraId="74B07D1E"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090" w:type="dxa"/>
          </w:tcPr>
          <w:p w14:paraId="31BCD200"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r>
      <w:tr w:rsidR="00D24200" w:rsidRPr="00666EC3" w14:paraId="644CB5C9" w14:textId="77777777" w:rsidTr="00F660A9">
        <w:tc>
          <w:tcPr>
            <w:tcW w:w="2607" w:type="dxa"/>
            <w:tcBorders>
              <w:bottom w:val="single" w:sz="4" w:space="0" w:color="auto"/>
            </w:tcBorders>
            <w:shd w:val="clear" w:color="auto" w:fill="auto"/>
          </w:tcPr>
          <w:p w14:paraId="74C3F58A" w14:textId="77777777" w:rsidR="00D24200" w:rsidRPr="00666EC3" w:rsidRDefault="00D24200" w:rsidP="00D24200">
            <w:pPr>
              <w:ind w:left="25"/>
              <w:rPr>
                <w:rFonts w:ascii="Arial" w:hAnsi="Arial" w:cs="Arial"/>
                <w:bCs/>
                <w:sz w:val="22"/>
                <w:szCs w:val="22"/>
              </w:rPr>
            </w:pPr>
            <w:r w:rsidRPr="00666EC3">
              <w:rPr>
                <w:rFonts w:ascii="Arial" w:hAnsi="Arial" w:cs="Arial"/>
                <w:bCs/>
                <w:sz w:val="22"/>
                <w:szCs w:val="22"/>
              </w:rPr>
              <w:t>Conclusion and implications discussed</w:t>
            </w:r>
          </w:p>
        </w:tc>
        <w:tc>
          <w:tcPr>
            <w:tcW w:w="1388" w:type="dxa"/>
            <w:tcBorders>
              <w:bottom w:val="single" w:sz="4" w:space="0" w:color="auto"/>
            </w:tcBorders>
          </w:tcPr>
          <w:p w14:paraId="1CAFA84B" w14:textId="77777777" w:rsidR="00D24200" w:rsidRPr="00666EC3" w:rsidRDefault="00D24200" w:rsidP="00D24200">
            <w:pPr>
              <w:ind w:left="360" w:hanging="360"/>
              <w:jc w:val="center"/>
              <w:rPr>
                <w:rFonts w:ascii="Arial" w:hAnsi="Arial" w:cs="Arial"/>
                <w:bCs/>
                <w:sz w:val="22"/>
                <w:szCs w:val="22"/>
              </w:rPr>
            </w:pPr>
          </w:p>
        </w:tc>
        <w:tc>
          <w:tcPr>
            <w:tcW w:w="1322" w:type="dxa"/>
            <w:tcBorders>
              <w:bottom w:val="single" w:sz="4" w:space="0" w:color="auto"/>
            </w:tcBorders>
          </w:tcPr>
          <w:p w14:paraId="19D81426"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251" w:type="dxa"/>
            <w:tcBorders>
              <w:bottom w:val="single" w:sz="4" w:space="0" w:color="auto"/>
            </w:tcBorders>
          </w:tcPr>
          <w:p w14:paraId="1189B38C"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c>
          <w:tcPr>
            <w:tcW w:w="1362" w:type="dxa"/>
            <w:tcBorders>
              <w:bottom w:val="single" w:sz="4" w:space="0" w:color="auto"/>
            </w:tcBorders>
          </w:tcPr>
          <w:p w14:paraId="6AB9CF1C" w14:textId="77777777" w:rsidR="00D24200" w:rsidRPr="00666EC3" w:rsidRDefault="00D24200" w:rsidP="00D24200">
            <w:pPr>
              <w:ind w:left="360" w:hanging="360"/>
              <w:jc w:val="center"/>
              <w:rPr>
                <w:rFonts w:ascii="Arial" w:hAnsi="Arial" w:cs="Arial"/>
                <w:bCs/>
                <w:sz w:val="22"/>
                <w:szCs w:val="22"/>
              </w:rPr>
            </w:pPr>
          </w:p>
        </w:tc>
        <w:tc>
          <w:tcPr>
            <w:tcW w:w="1090" w:type="dxa"/>
            <w:tcBorders>
              <w:bottom w:val="single" w:sz="4" w:space="0" w:color="auto"/>
            </w:tcBorders>
          </w:tcPr>
          <w:p w14:paraId="754B496C" w14:textId="77777777" w:rsidR="00D24200" w:rsidRPr="00666EC3" w:rsidRDefault="00D24200" w:rsidP="00D24200">
            <w:pPr>
              <w:ind w:left="360" w:hanging="360"/>
              <w:jc w:val="center"/>
              <w:rPr>
                <w:rFonts w:ascii="Arial" w:hAnsi="Arial" w:cs="Arial"/>
                <w:bCs/>
                <w:sz w:val="22"/>
                <w:szCs w:val="22"/>
              </w:rPr>
            </w:pPr>
            <w:r w:rsidRPr="00666EC3">
              <w:rPr>
                <w:rFonts w:ascii="Arial" w:hAnsi="Arial" w:cs="Arial"/>
                <w:bCs/>
                <w:sz w:val="22"/>
                <w:szCs w:val="22"/>
              </w:rPr>
              <w:t>x</w:t>
            </w:r>
          </w:p>
        </w:tc>
      </w:tr>
    </w:tbl>
    <w:p w14:paraId="01FB73CA" w14:textId="77777777" w:rsidR="00D24200" w:rsidRDefault="00D24200" w:rsidP="00D24200">
      <w:pPr>
        <w:rPr>
          <w:rFonts w:ascii="Arial" w:hAnsi="Arial" w:cs="Arial"/>
        </w:rPr>
      </w:pPr>
    </w:p>
    <w:p w14:paraId="22024180" w14:textId="77777777" w:rsidR="00F660A9" w:rsidRDefault="00F660A9">
      <w:pPr>
        <w:rPr>
          <w:rFonts w:ascii="Arial" w:eastAsiaTheme="majorEastAsia" w:hAnsi="Arial" w:cs="Arial"/>
          <w:b/>
          <w:bCs/>
          <w:color w:val="000000" w:themeColor="text1"/>
          <w:sz w:val="22"/>
          <w:szCs w:val="22"/>
          <w:lang w:val="en-US"/>
        </w:rPr>
      </w:pPr>
      <w:r>
        <w:rPr>
          <w:rFonts w:ascii="Arial" w:hAnsi="Arial" w:cs="Arial"/>
          <w:color w:val="000000" w:themeColor="text1"/>
          <w:sz w:val="22"/>
          <w:szCs w:val="22"/>
          <w:lang w:val="en-US"/>
        </w:rPr>
        <w:br w:type="page"/>
      </w:r>
    </w:p>
    <w:p w14:paraId="53737E3C" w14:textId="2BA28FCC" w:rsidR="00EA08A3" w:rsidRPr="00D238AD" w:rsidRDefault="005C407E" w:rsidP="009474CD">
      <w:pPr>
        <w:pStyle w:val="Heading3"/>
        <w:rPr>
          <w:rFonts w:cs="Arial"/>
          <w:color w:val="000000" w:themeColor="text1"/>
          <w:szCs w:val="22"/>
        </w:rPr>
      </w:pPr>
      <w:bookmarkStart w:id="218" w:name="_Toc46770771"/>
      <w:bookmarkStart w:id="219" w:name="_Toc79414182"/>
      <w:r w:rsidRPr="009474CD">
        <w:rPr>
          <w:rFonts w:cs="Arial"/>
          <w:color w:val="000000" w:themeColor="text1"/>
          <w:szCs w:val="22"/>
          <w:lang w:val="en-US"/>
        </w:rPr>
        <w:lastRenderedPageBreak/>
        <w:t>3.</w:t>
      </w:r>
      <w:r w:rsidR="00441DB8" w:rsidRPr="009474CD">
        <w:rPr>
          <w:rFonts w:cs="Arial"/>
          <w:color w:val="000000" w:themeColor="text1"/>
          <w:szCs w:val="22"/>
          <w:lang w:val="en-US"/>
        </w:rPr>
        <w:t>2.</w:t>
      </w:r>
      <w:r w:rsidR="00AD0A0A">
        <w:rPr>
          <w:rFonts w:cs="Arial"/>
          <w:color w:val="000000" w:themeColor="text1"/>
          <w:szCs w:val="22"/>
          <w:lang w:val="en-US"/>
        </w:rPr>
        <w:t>4</w:t>
      </w:r>
      <w:r w:rsidRPr="009474CD">
        <w:rPr>
          <w:rFonts w:cs="Arial"/>
          <w:color w:val="000000" w:themeColor="text1"/>
          <w:szCs w:val="22"/>
          <w:lang w:val="en-US"/>
        </w:rPr>
        <w:t xml:space="preserve"> </w:t>
      </w:r>
      <w:r w:rsidR="00441DB8" w:rsidRPr="009474CD">
        <w:rPr>
          <w:rFonts w:cs="Arial"/>
          <w:color w:val="000000" w:themeColor="text1"/>
          <w:szCs w:val="22"/>
          <w:lang w:val="en-US"/>
        </w:rPr>
        <w:t>Discussion of findings</w:t>
      </w:r>
      <w:bookmarkEnd w:id="218"/>
      <w:bookmarkEnd w:id="219"/>
    </w:p>
    <w:p w14:paraId="32740606" w14:textId="167360F0" w:rsidR="004B0BEF" w:rsidRDefault="00D238AD" w:rsidP="00EA08A3">
      <w:pPr>
        <w:widowControl w:val="0"/>
        <w:autoSpaceDE w:val="0"/>
        <w:autoSpaceDN w:val="0"/>
        <w:adjustRightInd w:val="0"/>
        <w:spacing w:after="240" w:line="480" w:lineRule="auto"/>
        <w:rPr>
          <w:rFonts w:ascii="Arial" w:hAnsi="Arial" w:cs="Arial"/>
          <w:sz w:val="22"/>
          <w:szCs w:val="22"/>
          <w:lang w:val="en-US"/>
        </w:rPr>
      </w:pPr>
      <w:r>
        <w:rPr>
          <w:rFonts w:ascii="Arial" w:hAnsi="Arial" w:cs="Arial"/>
          <w:sz w:val="22"/>
          <w:szCs w:val="22"/>
          <w:lang w:val="en-US"/>
        </w:rPr>
        <w:br/>
      </w:r>
      <w:r w:rsidR="00BC4ABD">
        <w:rPr>
          <w:rFonts w:ascii="Arial" w:hAnsi="Arial" w:cs="Arial"/>
          <w:sz w:val="22"/>
          <w:szCs w:val="22"/>
          <w:lang w:val="en-US"/>
        </w:rPr>
        <w:t>This</w:t>
      </w:r>
      <w:r w:rsidR="00786000">
        <w:rPr>
          <w:rFonts w:ascii="Arial" w:hAnsi="Arial" w:cs="Arial"/>
          <w:sz w:val="22"/>
          <w:szCs w:val="22"/>
          <w:lang w:val="en-US"/>
        </w:rPr>
        <w:t xml:space="preserve"> literature review </w:t>
      </w:r>
      <w:r w:rsidR="00BC4ABD">
        <w:rPr>
          <w:rFonts w:ascii="Arial" w:hAnsi="Arial" w:cs="Arial"/>
          <w:sz w:val="22"/>
          <w:szCs w:val="22"/>
          <w:lang w:val="en-US"/>
        </w:rPr>
        <w:t>sought to understand the findings from published literature in relation to the question</w:t>
      </w:r>
      <w:r w:rsidR="00786000">
        <w:rPr>
          <w:rFonts w:ascii="Arial" w:hAnsi="Arial" w:cs="Arial"/>
          <w:sz w:val="22"/>
          <w:szCs w:val="22"/>
          <w:lang w:val="en-US"/>
        </w:rPr>
        <w:t xml:space="preserve"> </w:t>
      </w:r>
      <w:r w:rsidR="00BC4ABD">
        <w:rPr>
          <w:rFonts w:ascii="Arial" w:hAnsi="Arial" w:cs="Arial"/>
          <w:sz w:val="22"/>
          <w:szCs w:val="22"/>
          <w:lang w:val="en-US"/>
        </w:rPr>
        <w:t>‘</w:t>
      </w:r>
      <w:r w:rsidR="00786000">
        <w:rPr>
          <w:rFonts w:ascii="Arial" w:hAnsi="Arial" w:cs="Arial"/>
          <w:sz w:val="22"/>
          <w:szCs w:val="22"/>
          <w:lang w:val="en-US"/>
        </w:rPr>
        <w:t>what therapist variables relate to clinic</w:t>
      </w:r>
      <w:r w:rsidR="00D24200">
        <w:rPr>
          <w:rFonts w:ascii="Arial" w:hAnsi="Arial" w:cs="Arial"/>
          <w:sz w:val="22"/>
          <w:szCs w:val="22"/>
          <w:lang w:val="en-US"/>
        </w:rPr>
        <w:t xml:space="preserve">al </w:t>
      </w:r>
      <w:r w:rsidR="00786000">
        <w:rPr>
          <w:rFonts w:ascii="Arial" w:hAnsi="Arial" w:cs="Arial"/>
          <w:sz w:val="22"/>
          <w:szCs w:val="22"/>
          <w:lang w:val="en-US"/>
        </w:rPr>
        <w:t>outcome in High Intensity CBT therapists treating step 3 patients in IAPT</w:t>
      </w:r>
      <w:r w:rsidR="00BC4ABD">
        <w:rPr>
          <w:rFonts w:ascii="Arial" w:hAnsi="Arial" w:cs="Arial"/>
          <w:sz w:val="22"/>
          <w:szCs w:val="22"/>
          <w:lang w:val="en-US"/>
        </w:rPr>
        <w:t>’. T</w:t>
      </w:r>
      <w:r w:rsidR="00786000">
        <w:rPr>
          <w:rFonts w:ascii="Arial" w:hAnsi="Arial" w:cs="Arial"/>
          <w:sz w:val="22"/>
          <w:szCs w:val="22"/>
          <w:lang w:val="en-US"/>
        </w:rPr>
        <w:t xml:space="preserve">his search found </w:t>
      </w:r>
      <w:r w:rsidR="00450F6A">
        <w:rPr>
          <w:rFonts w:ascii="Arial" w:hAnsi="Arial" w:cs="Arial"/>
          <w:sz w:val="22"/>
          <w:szCs w:val="22"/>
          <w:lang w:val="en-US"/>
        </w:rPr>
        <w:t>five</w:t>
      </w:r>
      <w:r w:rsidR="00786000">
        <w:rPr>
          <w:rFonts w:ascii="Arial" w:hAnsi="Arial" w:cs="Arial"/>
          <w:sz w:val="22"/>
          <w:szCs w:val="22"/>
          <w:lang w:val="en-US"/>
        </w:rPr>
        <w:t xml:space="preserve"> articles that met the inclusion criteria. </w:t>
      </w:r>
      <w:r w:rsidR="00B25C08">
        <w:rPr>
          <w:rFonts w:ascii="Arial" w:hAnsi="Arial" w:cs="Arial"/>
          <w:sz w:val="22"/>
          <w:szCs w:val="22"/>
          <w:lang w:val="en-US"/>
        </w:rPr>
        <w:t>T</w:t>
      </w:r>
      <w:r w:rsidR="00450F6A">
        <w:rPr>
          <w:rFonts w:ascii="Arial" w:hAnsi="Arial" w:cs="Arial"/>
          <w:sz w:val="22"/>
          <w:szCs w:val="22"/>
          <w:lang w:val="en-US"/>
        </w:rPr>
        <w:t>hree</w:t>
      </w:r>
      <w:r w:rsidR="00786000">
        <w:rPr>
          <w:rFonts w:ascii="Arial" w:hAnsi="Arial" w:cs="Arial"/>
          <w:sz w:val="22"/>
          <w:szCs w:val="22"/>
          <w:lang w:val="en-US"/>
        </w:rPr>
        <w:t xml:space="preserve"> of these were therapist effects</w:t>
      </w:r>
      <w:r w:rsidR="002D5360">
        <w:rPr>
          <w:rFonts w:ascii="Arial" w:hAnsi="Arial" w:cs="Arial"/>
          <w:sz w:val="22"/>
          <w:szCs w:val="22"/>
          <w:lang w:val="en-US"/>
        </w:rPr>
        <w:t xml:space="preserve"> </w:t>
      </w:r>
      <w:r w:rsidR="002D5360" w:rsidRPr="005144E4">
        <w:rPr>
          <w:rFonts w:ascii="Arial" w:hAnsi="Arial" w:cs="Arial"/>
          <w:sz w:val="22"/>
          <w:szCs w:val="22"/>
          <w:lang w:val="en-US"/>
        </w:rPr>
        <w:t>(see section 1.2.7 for</w:t>
      </w:r>
      <w:r w:rsidR="00B73CF9" w:rsidRPr="005144E4">
        <w:rPr>
          <w:rFonts w:ascii="Arial" w:hAnsi="Arial" w:cs="Arial"/>
          <w:sz w:val="22"/>
          <w:szCs w:val="22"/>
          <w:lang w:val="en-US"/>
        </w:rPr>
        <w:t xml:space="preserve"> a definition of therapist effects)</w:t>
      </w:r>
      <w:r w:rsidR="00786000">
        <w:rPr>
          <w:rFonts w:ascii="Arial" w:hAnsi="Arial" w:cs="Arial"/>
          <w:sz w:val="22"/>
          <w:szCs w:val="22"/>
          <w:lang w:val="en-US"/>
        </w:rPr>
        <w:t xml:space="preserve"> studies, </w:t>
      </w:r>
      <w:r w:rsidR="00B25C08">
        <w:rPr>
          <w:rFonts w:ascii="Arial" w:hAnsi="Arial" w:cs="Arial"/>
          <w:sz w:val="22"/>
          <w:szCs w:val="22"/>
          <w:lang w:val="en-US"/>
        </w:rPr>
        <w:t>one</w:t>
      </w:r>
      <w:r w:rsidR="00786000">
        <w:rPr>
          <w:rFonts w:ascii="Arial" w:hAnsi="Arial" w:cs="Arial"/>
          <w:sz w:val="22"/>
          <w:szCs w:val="22"/>
          <w:lang w:val="en-US"/>
        </w:rPr>
        <w:t xml:space="preserve"> was a naturalistic observational cohort study and the other was </w:t>
      </w:r>
      <w:r w:rsidR="004B0BEF">
        <w:rPr>
          <w:rFonts w:ascii="Arial" w:hAnsi="Arial" w:cs="Arial"/>
          <w:sz w:val="22"/>
          <w:szCs w:val="22"/>
          <w:lang w:val="en-US"/>
        </w:rPr>
        <w:t>an observational longitudinal study.</w:t>
      </w:r>
    </w:p>
    <w:p w14:paraId="10BEB65E" w14:textId="6ABDD869" w:rsidR="00EA08A3" w:rsidRDefault="00EA08A3" w:rsidP="00646964">
      <w:pPr>
        <w:widowControl w:val="0"/>
        <w:autoSpaceDE w:val="0"/>
        <w:autoSpaceDN w:val="0"/>
        <w:adjustRightInd w:val="0"/>
        <w:spacing w:line="480" w:lineRule="auto"/>
        <w:rPr>
          <w:rFonts w:ascii="Arial" w:hAnsi="Arial" w:cs="Arial"/>
          <w:sz w:val="22"/>
          <w:szCs w:val="22"/>
          <w:lang w:val="en-US"/>
        </w:rPr>
      </w:pPr>
      <w:r w:rsidRPr="000C3AF5">
        <w:rPr>
          <w:rFonts w:ascii="Arial" w:hAnsi="Arial" w:cs="Arial"/>
          <w:sz w:val="22"/>
          <w:szCs w:val="22"/>
          <w:lang w:val="en-US"/>
        </w:rPr>
        <w:t xml:space="preserve">The first substantive attempt to understand the variables that may account for clinical outcome, in IAPT, was undertaken by Gyanni, Shafran, Layard and Clark (2013). This observational, prospective cohort study, analysed the outcome data of </w:t>
      </w:r>
      <w:r w:rsidRPr="00ED2602">
        <w:rPr>
          <w:rFonts w:ascii="Arial" w:hAnsi="Arial" w:cs="Arial"/>
          <w:sz w:val="22"/>
          <w:szCs w:val="22"/>
          <w:lang w:val="en-US"/>
        </w:rPr>
        <w:t>19,395</w:t>
      </w:r>
      <w:r w:rsidRPr="000C3AF5">
        <w:rPr>
          <w:rFonts w:ascii="Arial" w:hAnsi="Arial" w:cs="Arial"/>
          <w:sz w:val="22"/>
          <w:szCs w:val="22"/>
          <w:lang w:val="en-US"/>
        </w:rPr>
        <w:t xml:space="preserve"> patients who completed treatment in the first year of the IAPT programme. The patients were treated</w:t>
      </w:r>
      <w:r w:rsidR="00450F6A">
        <w:rPr>
          <w:rFonts w:ascii="Arial" w:hAnsi="Arial" w:cs="Arial"/>
          <w:sz w:val="22"/>
          <w:szCs w:val="22"/>
          <w:lang w:val="en-US"/>
        </w:rPr>
        <w:t xml:space="preserve"> at step 3 by</w:t>
      </w:r>
      <w:r w:rsidRPr="000C3AF5">
        <w:rPr>
          <w:rFonts w:ascii="Arial" w:hAnsi="Arial" w:cs="Arial"/>
          <w:sz w:val="22"/>
          <w:szCs w:val="22"/>
          <w:lang w:val="en-US"/>
        </w:rPr>
        <w:t xml:space="preserve"> a High Intensity CBT therapist</w:t>
      </w:r>
      <w:r w:rsidR="000E525D">
        <w:rPr>
          <w:rFonts w:ascii="Arial" w:hAnsi="Arial" w:cs="Arial"/>
          <w:sz w:val="22"/>
          <w:szCs w:val="22"/>
          <w:lang w:val="en-US"/>
        </w:rPr>
        <w:t>,</w:t>
      </w:r>
      <w:r w:rsidR="00450F6A">
        <w:rPr>
          <w:rFonts w:ascii="Arial" w:hAnsi="Arial" w:cs="Arial"/>
          <w:sz w:val="22"/>
          <w:szCs w:val="22"/>
          <w:lang w:val="en-US"/>
        </w:rPr>
        <w:t xml:space="preserve"> a counsellor,</w:t>
      </w:r>
      <w:r w:rsidR="000E525D">
        <w:rPr>
          <w:rFonts w:ascii="Arial" w:hAnsi="Arial" w:cs="Arial"/>
          <w:sz w:val="22"/>
          <w:szCs w:val="22"/>
          <w:lang w:val="en-US"/>
        </w:rPr>
        <w:t xml:space="preserve"> </w:t>
      </w:r>
      <w:r w:rsidR="00450F6A">
        <w:rPr>
          <w:rFonts w:ascii="Arial" w:hAnsi="Arial" w:cs="Arial"/>
          <w:sz w:val="22"/>
          <w:szCs w:val="22"/>
          <w:lang w:val="en-US"/>
        </w:rPr>
        <w:t xml:space="preserve">or treated at step 2 by a Low Intensity therapist (Psychological Wellbeing Practitioner). </w:t>
      </w:r>
      <w:r w:rsidR="00BF6521">
        <w:rPr>
          <w:rFonts w:ascii="Arial" w:hAnsi="Arial" w:cs="Arial"/>
          <w:sz w:val="22"/>
          <w:szCs w:val="22"/>
          <w:lang w:val="en-US"/>
        </w:rPr>
        <w:t>Unfortunately,</w:t>
      </w:r>
      <w:r w:rsidR="00450F6A">
        <w:rPr>
          <w:rFonts w:ascii="Arial" w:hAnsi="Arial" w:cs="Arial"/>
          <w:sz w:val="22"/>
          <w:szCs w:val="22"/>
          <w:lang w:val="en-US"/>
        </w:rPr>
        <w:t xml:space="preserve"> </w:t>
      </w:r>
      <w:r w:rsidR="00BF6521">
        <w:rPr>
          <w:rFonts w:ascii="Arial" w:hAnsi="Arial" w:cs="Arial"/>
          <w:sz w:val="22"/>
          <w:szCs w:val="22"/>
          <w:lang w:val="en-US"/>
        </w:rPr>
        <w:t>i</w:t>
      </w:r>
      <w:r w:rsidRPr="000C3AF5">
        <w:rPr>
          <w:rFonts w:ascii="Arial" w:hAnsi="Arial" w:cs="Arial"/>
          <w:sz w:val="22"/>
          <w:szCs w:val="22"/>
          <w:lang w:val="en-US"/>
        </w:rPr>
        <w:t>t is unclear how many clinicians were included in the study</w:t>
      </w:r>
      <w:r w:rsidR="00BF6521">
        <w:rPr>
          <w:rFonts w:ascii="Arial" w:hAnsi="Arial" w:cs="Arial"/>
          <w:sz w:val="22"/>
          <w:szCs w:val="22"/>
          <w:lang w:val="en-US"/>
        </w:rPr>
        <w:t xml:space="preserve"> and patients received </w:t>
      </w:r>
      <w:r w:rsidR="00441DB8">
        <w:rPr>
          <w:rFonts w:ascii="Arial" w:hAnsi="Arial" w:cs="Arial"/>
          <w:sz w:val="22"/>
          <w:szCs w:val="22"/>
          <w:lang w:val="en-US"/>
        </w:rPr>
        <w:t xml:space="preserve">either </w:t>
      </w:r>
      <w:r w:rsidR="00BF6521">
        <w:rPr>
          <w:rFonts w:ascii="Arial" w:hAnsi="Arial" w:cs="Arial"/>
          <w:sz w:val="22"/>
          <w:szCs w:val="22"/>
          <w:lang w:val="en-US"/>
        </w:rPr>
        <w:t>counselling, CBT</w:t>
      </w:r>
      <w:r w:rsidR="00441DB8">
        <w:rPr>
          <w:rFonts w:ascii="Arial" w:hAnsi="Arial" w:cs="Arial"/>
          <w:sz w:val="22"/>
          <w:szCs w:val="22"/>
          <w:lang w:val="en-US"/>
        </w:rPr>
        <w:t>,</w:t>
      </w:r>
      <w:r w:rsidR="00BF6521">
        <w:rPr>
          <w:rFonts w:ascii="Arial" w:hAnsi="Arial" w:cs="Arial"/>
          <w:sz w:val="22"/>
          <w:szCs w:val="22"/>
          <w:lang w:val="en-US"/>
        </w:rPr>
        <w:t xml:space="preserve"> </w:t>
      </w:r>
      <w:r w:rsidR="00441DB8">
        <w:rPr>
          <w:rFonts w:ascii="Arial" w:hAnsi="Arial" w:cs="Arial"/>
          <w:sz w:val="22"/>
          <w:szCs w:val="22"/>
          <w:lang w:val="en-US"/>
        </w:rPr>
        <w:t>or a</w:t>
      </w:r>
      <w:r w:rsidR="00BF6521">
        <w:rPr>
          <w:rFonts w:ascii="Arial" w:hAnsi="Arial" w:cs="Arial"/>
          <w:sz w:val="22"/>
          <w:szCs w:val="22"/>
          <w:lang w:val="en-US"/>
        </w:rPr>
        <w:t xml:space="preserve"> step 2 intervention.</w:t>
      </w:r>
      <w:r w:rsidRPr="000C3AF5">
        <w:rPr>
          <w:rFonts w:ascii="Arial" w:hAnsi="Arial" w:cs="Arial"/>
          <w:sz w:val="22"/>
          <w:szCs w:val="22"/>
          <w:lang w:val="en-US"/>
        </w:rPr>
        <w:t xml:space="preserve"> </w:t>
      </w:r>
      <w:r w:rsidR="00BF6521">
        <w:rPr>
          <w:rFonts w:ascii="Arial" w:hAnsi="Arial" w:cs="Arial"/>
          <w:sz w:val="22"/>
          <w:szCs w:val="22"/>
          <w:lang w:val="en-US"/>
        </w:rPr>
        <w:t>The authors</w:t>
      </w:r>
      <w:r w:rsidRPr="000C3AF5">
        <w:rPr>
          <w:rFonts w:ascii="Arial" w:hAnsi="Arial" w:cs="Arial"/>
          <w:sz w:val="22"/>
          <w:szCs w:val="22"/>
          <w:lang w:val="en-US"/>
        </w:rPr>
        <w:t xml:space="preserve"> undert</w:t>
      </w:r>
      <w:r w:rsidR="00BF6521">
        <w:rPr>
          <w:rFonts w:ascii="Arial" w:hAnsi="Arial" w:cs="Arial"/>
          <w:sz w:val="22"/>
          <w:szCs w:val="22"/>
          <w:lang w:val="en-US"/>
        </w:rPr>
        <w:t>ake</w:t>
      </w:r>
      <w:r w:rsidRPr="000C3AF5">
        <w:rPr>
          <w:rFonts w:ascii="Arial" w:hAnsi="Arial" w:cs="Arial"/>
          <w:sz w:val="22"/>
          <w:szCs w:val="22"/>
          <w:lang w:val="en-US"/>
        </w:rPr>
        <w:t xml:space="preserve"> a logistic regression in order t</w:t>
      </w:r>
      <w:r w:rsidR="00BF6521">
        <w:rPr>
          <w:rFonts w:ascii="Arial" w:hAnsi="Arial" w:cs="Arial"/>
          <w:sz w:val="22"/>
          <w:szCs w:val="22"/>
          <w:lang w:val="en-US"/>
        </w:rPr>
        <w:t>o</w:t>
      </w:r>
      <w:r w:rsidRPr="000C3AF5">
        <w:rPr>
          <w:rFonts w:ascii="Arial" w:hAnsi="Arial" w:cs="Arial"/>
          <w:sz w:val="22"/>
          <w:szCs w:val="22"/>
          <w:lang w:val="en-US"/>
        </w:rPr>
        <w:t xml:space="preserve"> explore three main themes; patient variables, service variables and therapist variables. Their analysis suggested that those patients who score highly on the PHQ-9 and GAD-7 (and therefore the patients with greater severity of symptoms) tended to </w:t>
      </w:r>
      <w:r w:rsidR="00BF6521">
        <w:rPr>
          <w:rFonts w:ascii="Arial" w:hAnsi="Arial" w:cs="Arial"/>
          <w:sz w:val="22"/>
          <w:szCs w:val="22"/>
          <w:lang w:val="en-US"/>
        </w:rPr>
        <w:t xml:space="preserve">do less </w:t>
      </w:r>
      <w:r w:rsidRPr="000C3AF5">
        <w:rPr>
          <w:rFonts w:ascii="Arial" w:hAnsi="Arial" w:cs="Arial"/>
          <w:sz w:val="22"/>
          <w:szCs w:val="22"/>
          <w:lang w:val="en-US"/>
        </w:rPr>
        <w:t xml:space="preserve">well than patients who had lower scores. In addition, they suggested that patients with a diagnosis of either, generalized anxiety disorder, mixed anxiety and depression disorder or depression were more likely to reach recovery than patients with other diagnoses. Gyani et al., noted that services who provided patients with higher numbers of therapy sessions tended to get better recovery rates. They also reported that services who coincidently had greater numbers of therapist on higher salary bands tended to get better recovery rates. Gyani et al., argued that therapists on higher salary bands would be more experienced and they </w:t>
      </w:r>
      <w:r w:rsidR="00BF6521">
        <w:rPr>
          <w:rFonts w:ascii="Arial" w:hAnsi="Arial" w:cs="Arial"/>
          <w:sz w:val="22"/>
          <w:szCs w:val="22"/>
          <w:lang w:val="en-US"/>
        </w:rPr>
        <w:t>hypothesized</w:t>
      </w:r>
      <w:r w:rsidR="00B25C08">
        <w:rPr>
          <w:rFonts w:ascii="Arial" w:hAnsi="Arial" w:cs="Arial"/>
          <w:sz w:val="22"/>
          <w:szCs w:val="22"/>
          <w:lang w:val="en-US"/>
        </w:rPr>
        <w:t>,</w:t>
      </w:r>
      <w:r w:rsidR="00BF6521">
        <w:rPr>
          <w:rFonts w:ascii="Arial" w:hAnsi="Arial" w:cs="Arial"/>
          <w:sz w:val="22"/>
          <w:szCs w:val="22"/>
          <w:lang w:val="en-US"/>
        </w:rPr>
        <w:t xml:space="preserve"> therefore</w:t>
      </w:r>
      <w:r w:rsidR="00B25C08">
        <w:rPr>
          <w:rFonts w:ascii="Arial" w:hAnsi="Arial" w:cs="Arial"/>
          <w:sz w:val="22"/>
          <w:szCs w:val="22"/>
          <w:lang w:val="en-US"/>
        </w:rPr>
        <w:t>,</w:t>
      </w:r>
      <w:r w:rsidRPr="000C3AF5">
        <w:rPr>
          <w:rFonts w:ascii="Arial" w:hAnsi="Arial" w:cs="Arial"/>
          <w:sz w:val="22"/>
          <w:szCs w:val="22"/>
          <w:lang w:val="en-US"/>
        </w:rPr>
        <w:t xml:space="preserve"> that more experienced therapists would get better outcomes. This argument lacks evidence as </w:t>
      </w:r>
      <w:r w:rsidR="00BF6521">
        <w:rPr>
          <w:rFonts w:ascii="Arial" w:hAnsi="Arial" w:cs="Arial"/>
          <w:sz w:val="22"/>
          <w:szCs w:val="22"/>
          <w:lang w:val="en-US"/>
        </w:rPr>
        <w:t xml:space="preserve">the authors failed to investigate the data in relation to whether higher salary bands equated </w:t>
      </w:r>
      <w:r w:rsidR="00BF6521">
        <w:rPr>
          <w:rFonts w:ascii="Arial" w:hAnsi="Arial" w:cs="Arial"/>
          <w:sz w:val="22"/>
          <w:szCs w:val="22"/>
          <w:lang w:val="en-US"/>
        </w:rPr>
        <w:lastRenderedPageBreak/>
        <w:t>to greater experience. Additionally</w:t>
      </w:r>
      <w:r w:rsidR="000E525D">
        <w:rPr>
          <w:rFonts w:ascii="Arial" w:hAnsi="Arial" w:cs="Arial"/>
          <w:sz w:val="22"/>
          <w:szCs w:val="22"/>
          <w:lang w:val="en-US"/>
        </w:rPr>
        <w:t>,</w:t>
      </w:r>
      <w:r w:rsidR="00BF6521">
        <w:rPr>
          <w:rFonts w:ascii="Arial" w:hAnsi="Arial" w:cs="Arial"/>
          <w:sz w:val="22"/>
          <w:szCs w:val="22"/>
          <w:lang w:val="en-US"/>
        </w:rPr>
        <w:t xml:space="preserve"> it is possible that some services opted to use higher salary bands for all staff</w:t>
      </w:r>
      <w:r w:rsidR="00C40E20">
        <w:rPr>
          <w:rFonts w:ascii="Arial" w:hAnsi="Arial" w:cs="Arial"/>
          <w:sz w:val="22"/>
          <w:szCs w:val="22"/>
          <w:lang w:val="en-US"/>
        </w:rPr>
        <w:t>,</w:t>
      </w:r>
      <w:r w:rsidR="00BF6521">
        <w:rPr>
          <w:rFonts w:ascii="Arial" w:hAnsi="Arial" w:cs="Arial"/>
          <w:sz w:val="22"/>
          <w:szCs w:val="22"/>
          <w:lang w:val="en-US"/>
        </w:rPr>
        <w:t xml:space="preserve"> </w:t>
      </w:r>
      <w:r w:rsidR="00441DB8">
        <w:rPr>
          <w:rFonts w:ascii="Arial" w:hAnsi="Arial" w:cs="Arial"/>
          <w:sz w:val="22"/>
          <w:szCs w:val="22"/>
          <w:lang w:val="en-US"/>
        </w:rPr>
        <w:t>rather than a higher salary band denoting years of experience</w:t>
      </w:r>
      <w:r w:rsidR="00B25C08">
        <w:rPr>
          <w:rFonts w:ascii="Arial" w:hAnsi="Arial" w:cs="Arial"/>
          <w:sz w:val="22"/>
          <w:szCs w:val="22"/>
          <w:lang w:val="en-US"/>
        </w:rPr>
        <w:t>. I</w:t>
      </w:r>
      <w:r w:rsidR="00441DB8">
        <w:rPr>
          <w:rFonts w:ascii="Arial" w:hAnsi="Arial" w:cs="Arial"/>
          <w:sz w:val="22"/>
          <w:szCs w:val="22"/>
          <w:lang w:val="en-US"/>
        </w:rPr>
        <w:t>t is impossible to rule out</w:t>
      </w:r>
      <w:r w:rsidR="00BF6521">
        <w:rPr>
          <w:rFonts w:ascii="Arial" w:hAnsi="Arial" w:cs="Arial"/>
          <w:sz w:val="22"/>
          <w:szCs w:val="22"/>
          <w:lang w:val="en-US"/>
        </w:rPr>
        <w:t xml:space="preserve"> that other variables accounted for the higher recovery rates.  Furthermore,</w:t>
      </w:r>
      <w:r w:rsidRPr="000C3AF5">
        <w:rPr>
          <w:rFonts w:ascii="Arial" w:hAnsi="Arial" w:cs="Arial"/>
          <w:sz w:val="22"/>
          <w:szCs w:val="22"/>
          <w:lang w:val="en-US"/>
        </w:rPr>
        <w:t xml:space="preserve"> their assumption</w:t>
      </w:r>
      <w:r w:rsidR="00BF6521">
        <w:rPr>
          <w:rFonts w:ascii="Arial" w:hAnsi="Arial" w:cs="Arial"/>
          <w:sz w:val="22"/>
          <w:szCs w:val="22"/>
          <w:lang w:val="en-US"/>
        </w:rPr>
        <w:t xml:space="preserve"> that more experienced therapists ger better outcome</w:t>
      </w:r>
      <w:r w:rsidRPr="000C3AF5">
        <w:rPr>
          <w:rFonts w:ascii="Arial" w:hAnsi="Arial" w:cs="Arial"/>
          <w:sz w:val="22"/>
          <w:szCs w:val="22"/>
          <w:lang w:val="en-US"/>
        </w:rPr>
        <w:t xml:space="preserve"> contradicts the findings from other </w:t>
      </w:r>
      <w:r w:rsidRPr="003B13E4">
        <w:rPr>
          <w:rFonts w:ascii="Arial" w:hAnsi="Arial" w:cs="Arial"/>
          <w:sz w:val="22"/>
          <w:szCs w:val="22"/>
          <w:lang w:val="en-US"/>
        </w:rPr>
        <w:t>studies (</w:t>
      </w:r>
      <w:r w:rsidR="006A7857" w:rsidRPr="003B13E4">
        <w:rPr>
          <w:rFonts w:ascii="Arial" w:hAnsi="Arial" w:cs="Arial"/>
          <w:sz w:val="22"/>
          <w:szCs w:val="22"/>
          <w:lang w:val="en-US"/>
        </w:rPr>
        <w:t>Beutler, Malik, Alimohamed, Harwood</w:t>
      </w:r>
      <w:r w:rsidR="003B13E4" w:rsidRPr="003B13E4">
        <w:rPr>
          <w:rFonts w:ascii="Arial" w:hAnsi="Arial" w:cs="Arial"/>
          <w:sz w:val="22"/>
          <w:szCs w:val="22"/>
          <w:lang w:val="en-US"/>
        </w:rPr>
        <w:t>, Talebi, Noble and Wong, 2004 and</w:t>
      </w:r>
      <w:r w:rsidR="006A7857" w:rsidRPr="003B13E4">
        <w:rPr>
          <w:rFonts w:ascii="Arial" w:hAnsi="Arial" w:cs="Arial"/>
          <w:sz w:val="22"/>
          <w:szCs w:val="22"/>
          <w:lang w:val="en-US"/>
        </w:rPr>
        <w:t xml:space="preserve"> Webb,</w:t>
      </w:r>
      <w:r w:rsidR="003B13E4" w:rsidRPr="003B13E4">
        <w:rPr>
          <w:rFonts w:ascii="Arial" w:hAnsi="Arial" w:cs="Arial"/>
          <w:sz w:val="22"/>
          <w:szCs w:val="22"/>
          <w:lang w:val="en-US"/>
        </w:rPr>
        <w:t xml:space="preserve"> DeRubeis and Barber, 2010</w:t>
      </w:r>
      <w:r w:rsidRPr="003B13E4">
        <w:rPr>
          <w:rFonts w:ascii="Arial" w:hAnsi="Arial" w:cs="Arial"/>
          <w:sz w:val="22"/>
          <w:szCs w:val="22"/>
          <w:lang w:val="en-US"/>
        </w:rPr>
        <w:t>).</w:t>
      </w:r>
      <w:r w:rsidRPr="000C3AF5">
        <w:rPr>
          <w:rFonts w:ascii="Arial" w:hAnsi="Arial" w:cs="Arial"/>
          <w:sz w:val="22"/>
          <w:szCs w:val="22"/>
          <w:lang w:val="en-US"/>
        </w:rPr>
        <w:t xml:space="preserve"> Gyani et al., make other weak connections in their discussion relating to therapist variables. They suggest that therapists who deliver interventions that adhere to NICE guidelines (see </w:t>
      </w:r>
      <w:r w:rsidR="00B25C08">
        <w:rPr>
          <w:rFonts w:ascii="Arial" w:hAnsi="Arial" w:cs="Arial"/>
          <w:sz w:val="22"/>
          <w:szCs w:val="22"/>
          <w:lang w:val="en-US"/>
        </w:rPr>
        <w:t>C</w:t>
      </w:r>
      <w:r w:rsidRPr="000C3AF5">
        <w:rPr>
          <w:rFonts w:ascii="Arial" w:hAnsi="Arial" w:cs="Arial"/>
          <w:sz w:val="22"/>
          <w:szCs w:val="22"/>
          <w:lang w:val="en-US"/>
        </w:rPr>
        <w:t xml:space="preserve">hapter </w:t>
      </w:r>
      <w:r w:rsidR="00B25C08">
        <w:rPr>
          <w:rFonts w:ascii="Arial" w:hAnsi="Arial" w:cs="Arial"/>
          <w:sz w:val="22"/>
          <w:szCs w:val="22"/>
          <w:lang w:val="en-US"/>
        </w:rPr>
        <w:t>1</w:t>
      </w:r>
      <w:r w:rsidRPr="000C3AF5">
        <w:rPr>
          <w:rFonts w:ascii="Arial" w:hAnsi="Arial" w:cs="Arial"/>
          <w:sz w:val="22"/>
          <w:szCs w:val="22"/>
          <w:lang w:val="en-US"/>
        </w:rPr>
        <w:t>) are more likely to get better outcomes than therapists who do not.  Again, the authors fail to validate that the therapists were delivering NICE approved interventions. They position their argument on the basis that High Intensity CBT Therapists were, on average, achieving better outcomes than counsellors. They report that when treating patients who had a diagnosis of depression CBT therapists achieved a recovery rate of 40 % whilst counsellors achieved 38.3%. A similar difference was reported for patients with a diagnosis of generalized anxiety disorder where patients who were seen by a CBT therapist were 1.324 times more likely to reach recovery. Whilst there is a clear difference between the outcome rates of CBT therapists and counsellors in this study, it is not unlikely that there may have been other variables that account for the difference. These variables may include the types of patients that are allocated to either CBT therapists or counsellors</w:t>
      </w:r>
      <w:r w:rsidR="00B25C08">
        <w:rPr>
          <w:rFonts w:ascii="Arial" w:hAnsi="Arial" w:cs="Arial"/>
          <w:sz w:val="22"/>
          <w:szCs w:val="22"/>
          <w:lang w:val="en-US"/>
        </w:rPr>
        <w:t>. G</w:t>
      </w:r>
      <w:r w:rsidRPr="000C3AF5">
        <w:rPr>
          <w:rFonts w:ascii="Arial" w:hAnsi="Arial" w:cs="Arial"/>
          <w:sz w:val="22"/>
          <w:szCs w:val="22"/>
          <w:lang w:val="en-US"/>
        </w:rPr>
        <w:t>iven that CBT therapist</w:t>
      </w:r>
      <w:r w:rsidR="00B25C08">
        <w:rPr>
          <w:rFonts w:ascii="Arial" w:hAnsi="Arial" w:cs="Arial"/>
          <w:sz w:val="22"/>
          <w:szCs w:val="22"/>
          <w:lang w:val="en-US"/>
        </w:rPr>
        <w:t>s</w:t>
      </w:r>
      <w:r w:rsidRPr="000C3AF5">
        <w:rPr>
          <w:rFonts w:ascii="Arial" w:hAnsi="Arial" w:cs="Arial"/>
          <w:sz w:val="22"/>
          <w:szCs w:val="22"/>
          <w:lang w:val="en-US"/>
        </w:rPr>
        <w:t xml:space="preserve"> and counsellors have different backgrounds and training</w:t>
      </w:r>
      <w:r w:rsidR="00B25C08">
        <w:rPr>
          <w:rFonts w:ascii="Arial" w:hAnsi="Arial" w:cs="Arial"/>
          <w:sz w:val="22"/>
          <w:szCs w:val="22"/>
          <w:lang w:val="en-US"/>
        </w:rPr>
        <w:t>,</w:t>
      </w:r>
      <w:r w:rsidRPr="000C3AF5">
        <w:rPr>
          <w:rFonts w:ascii="Arial" w:hAnsi="Arial" w:cs="Arial"/>
          <w:sz w:val="22"/>
          <w:szCs w:val="22"/>
          <w:lang w:val="en-US"/>
        </w:rPr>
        <w:t xml:space="preserve"> it is not unrealistic to assume that they may expect to see different types of patients and this may account for the variance in their respective recovery rates. </w:t>
      </w:r>
      <w:r w:rsidR="00030708" w:rsidRPr="000C3AF5">
        <w:rPr>
          <w:rFonts w:ascii="Arial" w:hAnsi="Arial" w:cs="Arial"/>
          <w:sz w:val="22"/>
          <w:szCs w:val="22"/>
          <w:lang w:val="en-US"/>
        </w:rPr>
        <w:t xml:space="preserve">Other variables that might be relevant are differences in training, access to clinical supervision, job satisfaction or rate of pay. </w:t>
      </w:r>
      <w:r w:rsidRPr="000C3AF5">
        <w:rPr>
          <w:rFonts w:ascii="Arial" w:hAnsi="Arial" w:cs="Arial"/>
          <w:sz w:val="22"/>
          <w:szCs w:val="22"/>
          <w:lang w:val="en-US"/>
        </w:rPr>
        <w:t>Gyani et al., do not comment on these, or any other, potential variables in their assertion that following NICE guidelines predicts higher recovery rates for patients with generalized anxiety disorder or depression.</w:t>
      </w:r>
      <w:r w:rsidR="00BF6521">
        <w:rPr>
          <w:rFonts w:ascii="Arial" w:hAnsi="Arial" w:cs="Arial"/>
          <w:sz w:val="22"/>
          <w:szCs w:val="22"/>
          <w:lang w:val="en-US"/>
        </w:rPr>
        <w:t xml:space="preserve"> A significant limitation of this article is that whilst the authors draw the conclusion that therapists with higher recovery rates are adhering to NICE guideline</w:t>
      </w:r>
      <w:r w:rsidR="00DF51F4">
        <w:rPr>
          <w:rFonts w:ascii="Arial" w:hAnsi="Arial" w:cs="Arial"/>
          <w:sz w:val="22"/>
          <w:szCs w:val="22"/>
          <w:lang w:val="en-US"/>
        </w:rPr>
        <w:t>s they have not monitored or assessed the therapists work.</w:t>
      </w:r>
      <w:r w:rsidRPr="000C3AF5">
        <w:rPr>
          <w:rFonts w:ascii="Arial" w:hAnsi="Arial" w:cs="Arial"/>
          <w:sz w:val="22"/>
          <w:szCs w:val="22"/>
          <w:lang w:val="en-US"/>
        </w:rPr>
        <w:t xml:space="preserve"> It might be important to reflect on </w:t>
      </w:r>
      <w:r w:rsidRPr="000C3AF5">
        <w:rPr>
          <w:rFonts w:ascii="Arial" w:hAnsi="Arial" w:cs="Arial"/>
          <w:sz w:val="22"/>
          <w:szCs w:val="22"/>
          <w:lang w:val="en-US"/>
        </w:rPr>
        <w:lastRenderedPageBreak/>
        <w:t>the fact that one of the authors, David Clark, has written at length, in a number of texts</w:t>
      </w:r>
      <w:r w:rsidR="00B25C08">
        <w:rPr>
          <w:rFonts w:ascii="Arial" w:hAnsi="Arial" w:cs="Arial"/>
          <w:sz w:val="22"/>
          <w:szCs w:val="22"/>
          <w:lang w:val="en-US"/>
        </w:rPr>
        <w:t>,</w:t>
      </w:r>
      <w:r w:rsidRPr="000C3AF5">
        <w:rPr>
          <w:rFonts w:ascii="Arial" w:hAnsi="Arial" w:cs="Arial"/>
          <w:sz w:val="22"/>
          <w:szCs w:val="22"/>
          <w:lang w:val="en-US"/>
        </w:rPr>
        <w:t xml:space="preserve"> about his support of evidence based psychological therapies and NICE guidance. Whilst the authors argument may be a true reflection on the efficacy of evidence based psychological therapies and disorder specific treatment protocols in the NICE guidelines, </w:t>
      </w:r>
      <w:r w:rsidR="006A7857">
        <w:rPr>
          <w:rFonts w:ascii="Arial" w:hAnsi="Arial" w:cs="Arial"/>
          <w:sz w:val="22"/>
          <w:szCs w:val="22"/>
          <w:lang w:val="en-US"/>
        </w:rPr>
        <w:t>t</w:t>
      </w:r>
      <w:r w:rsidRPr="000C3AF5">
        <w:rPr>
          <w:rFonts w:ascii="Arial" w:hAnsi="Arial" w:cs="Arial"/>
          <w:sz w:val="22"/>
          <w:szCs w:val="22"/>
          <w:lang w:val="en-US"/>
        </w:rPr>
        <w:t xml:space="preserve">he authors </w:t>
      </w:r>
      <w:r w:rsidR="006A7857">
        <w:rPr>
          <w:rFonts w:ascii="Arial" w:hAnsi="Arial" w:cs="Arial"/>
          <w:sz w:val="22"/>
          <w:szCs w:val="22"/>
          <w:lang w:val="en-US"/>
        </w:rPr>
        <w:t xml:space="preserve">might have </w:t>
      </w:r>
      <w:r w:rsidRPr="000C3AF5">
        <w:rPr>
          <w:rFonts w:ascii="Arial" w:hAnsi="Arial" w:cs="Arial"/>
          <w:sz w:val="22"/>
          <w:szCs w:val="22"/>
          <w:lang w:val="en-US"/>
        </w:rPr>
        <w:t>used more robust assessment methods to support their assertions</w:t>
      </w:r>
      <w:r w:rsidR="006A7857">
        <w:rPr>
          <w:rFonts w:ascii="Arial" w:hAnsi="Arial" w:cs="Arial"/>
          <w:sz w:val="22"/>
          <w:szCs w:val="22"/>
          <w:lang w:val="en-US"/>
        </w:rPr>
        <w:t>. This is particularly important given that they report the issue of significant variance in outcome between services and therapists.</w:t>
      </w:r>
    </w:p>
    <w:p w14:paraId="28FDD9F7" w14:textId="77777777" w:rsidR="00646964" w:rsidRDefault="00646964" w:rsidP="00646964">
      <w:pPr>
        <w:widowControl w:val="0"/>
        <w:autoSpaceDE w:val="0"/>
        <w:autoSpaceDN w:val="0"/>
        <w:adjustRightInd w:val="0"/>
        <w:spacing w:line="480" w:lineRule="auto"/>
        <w:rPr>
          <w:rFonts w:ascii="Arial" w:hAnsi="Arial" w:cs="Arial"/>
          <w:sz w:val="22"/>
          <w:szCs w:val="22"/>
          <w:lang w:val="en-US"/>
        </w:rPr>
      </w:pPr>
    </w:p>
    <w:p w14:paraId="237A41ED" w14:textId="23A2D2F8" w:rsidR="00EA08A3" w:rsidRPr="000C3AF5" w:rsidRDefault="00441DB8" w:rsidP="00EA08A3">
      <w:pPr>
        <w:widowControl w:val="0"/>
        <w:autoSpaceDE w:val="0"/>
        <w:autoSpaceDN w:val="0"/>
        <w:adjustRightInd w:val="0"/>
        <w:spacing w:after="240" w:line="480" w:lineRule="auto"/>
        <w:rPr>
          <w:rFonts w:ascii="Arial" w:hAnsi="Arial" w:cs="Arial"/>
          <w:sz w:val="22"/>
          <w:szCs w:val="22"/>
          <w:lang w:val="en-US"/>
        </w:rPr>
      </w:pPr>
      <w:r>
        <w:rPr>
          <w:rFonts w:ascii="Arial" w:hAnsi="Arial" w:cs="Arial"/>
          <w:sz w:val="22"/>
          <w:szCs w:val="22"/>
          <w:lang w:val="en-US"/>
        </w:rPr>
        <w:t>In a</w:t>
      </w:r>
      <w:r w:rsidR="006A7857">
        <w:rPr>
          <w:rFonts w:ascii="Arial" w:hAnsi="Arial" w:cs="Arial"/>
          <w:sz w:val="22"/>
          <w:szCs w:val="22"/>
          <w:lang w:val="en-US"/>
        </w:rPr>
        <w:t xml:space="preserve">rticle </w:t>
      </w:r>
      <w:r>
        <w:rPr>
          <w:rFonts w:ascii="Arial" w:hAnsi="Arial" w:cs="Arial"/>
          <w:sz w:val="22"/>
          <w:szCs w:val="22"/>
          <w:lang w:val="en-US"/>
        </w:rPr>
        <w:t xml:space="preserve">two of this review, </w:t>
      </w:r>
      <w:r w:rsidR="00EA08A3" w:rsidRPr="000C3AF5">
        <w:rPr>
          <w:rFonts w:ascii="Arial" w:hAnsi="Arial" w:cs="Arial"/>
          <w:sz w:val="22"/>
          <w:szCs w:val="22"/>
          <w:lang w:val="en-US"/>
        </w:rPr>
        <w:t>Saxon, Firth and Barkham</w:t>
      </w:r>
      <w:r w:rsidR="006A7857">
        <w:rPr>
          <w:rFonts w:ascii="Arial" w:hAnsi="Arial" w:cs="Arial"/>
          <w:sz w:val="22"/>
          <w:szCs w:val="22"/>
          <w:lang w:val="en-US"/>
        </w:rPr>
        <w:t xml:space="preserve">, </w:t>
      </w:r>
      <w:r>
        <w:rPr>
          <w:rFonts w:ascii="Arial" w:hAnsi="Arial" w:cs="Arial"/>
          <w:sz w:val="22"/>
          <w:szCs w:val="22"/>
          <w:lang w:val="en-US"/>
        </w:rPr>
        <w:t>(</w:t>
      </w:r>
      <w:r w:rsidR="006A7857">
        <w:rPr>
          <w:rFonts w:ascii="Arial" w:hAnsi="Arial" w:cs="Arial"/>
          <w:sz w:val="22"/>
          <w:szCs w:val="22"/>
          <w:lang w:val="en-US"/>
        </w:rPr>
        <w:t xml:space="preserve">2016) </w:t>
      </w:r>
      <w:r w:rsidR="00EA08A3" w:rsidRPr="000C3AF5">
        <w:rPr>
          <w:rFonts w:ascii="Arial" w:hAnsi="Arial" w:cs="Arial"/>
          <w:sz w:val="22"/>
          <w:szCs w:val="22"/>
          <w:lang w:val="en-US"/>
        </w:rPr>
        <w:t xml:space="preserve">comment on the dearth of research </w:t>
      </w:r>
      <w:r>
        <w:rPr>
          <w:rFonts w:ascii="Arial" w:hAnsi="Arial" w:cs="Arial"/>
          <w:sz w:val="22"/>
          <w:szCs w:val="22"/>
          <w:lang w:val="en-US"/>
        </w:rPr>
        <w:t>investigating</w:t>
      </w:r>
      <w:r w:rsidR="00EA08A3" w:rsidRPr="000C3AF5">
        <w:rPr>
          <w:rFonts w:ascii="Arial" w:hAnsi="Arial" w:cs="Arial"/>
          <w:sz w:val="22"/>
          <w:szCs w:val="22"/>
          <w:lang w:val="en-US"/>
        </w:rPr>
        <w:t xml:space="preserve"> why some CBT therapists are more effective than others</w:t>
      </w:r>
      <w:r>
        <w:rPr>
          <w:rFonts w:ascii="Arial" w:hAnsi="Arial" w:cs="Arial"/>
          <w:sz w:val="22"/>
          <w:szCs w:val="22"/>
          <w:lang w:val="en-US"/>
        </w:rPr>
        <w:t xml:space="preserve">. </w:t>
      </w:r>
      <w:r w:rsidR="00030708">
        <w:rPr>
          <w:rFonts w:ascii="Arial" w:hAnsi="Arial" w:cs="Arial"/>
          <w:sz w:val="22"/>
          <w:szCs w:val="22"/>
          <w:lang w:val="en-US"/>
        </w:rPr>
        <w:t>The authors</w:t>
      </w:r>
      <w:r w:rsidR="00030708" w:rsidRPr="000C3AF5">
        <w:rPr>
          <w:rFonts w:ascii="Arial" w:hAnsi="Arial" w:cs="Arial"/>
          <w:sz w:val="22"/>
          <w:szCs w:val="22"/>
          <w:lang w:val="en-US"/>
        </w:rPr>
        <w:t xml:space="preserve"> highlight research (see </w:t>
      </w:r>
      <w:r w:rsidR="00030708">
        <w:rPr>
          <w:rFonts w:ascii="Arial" w:hAnsi="Arial" w:cs="Arial"/>
          <w:sz w:val="22"/>
          <w:szCs w:val="22"/>
          <w:lang w:val="en-US"/>
        </w:rPr>
        <w:t>section 3.1.</w:t>
      </w:r>
      <w:r w:rsidR="00030708" w:rsidRPr="000C3AF5">
        <w:rPr>
          <w:rFonts w:ascii="Arial" w:hAnsi="Arial" w:cs="Arial"/>
          <w:sz w:val="22"/>
          <w:szCs w:val="22"/>
          <w:lang w:val="en-US"/>
        </w:rPr>
        <w:t xml:space="preserve">) which indicates that some variables such as age, gender, years of experience, adherence to a protocol have either no relationship to outcome or only a very weak relationship.  </w:t>
      </w:r>
      <w:r w:rsidR="00EA08A3" w:rsidRPr="000C3AF5">
        <w:rPr>
          <w:rFonts w:ascii="Arial" w:hAnsi="Arial" w:cs="Arial"/>
          <w:sz w:val="22"/>
          <w:szCs w:val="22"/>
          <w:lang w:val="en-US"/>
        </w:rPr>
        <w:t xml:space="preserve">It is </w:t>
      </w:r>
      <w:r w:rsidR="00380415">
        <w:rPr>
          <w:rFonts w:ascii="Arial" w:hAnsi="Arial" w:cs="Arial"/>
          <w:sz w:val="22"/>
          <w:szCs w:val="22"/>
          <w:lang w:val="en-US"/>
        </w:rPr>
        <w:t xml:space="preserve">noteworthy </w:t>
      </w:r>
      <w:r w:rsidR="00EA08A3" w:rsidRPr="000C3AF5">
        <w:rPr>
          <w:rFonts w:ascii="Arial" w:hAnsi="Arial" w:cs="Arial"/>
          <w:sz w:val="22"/>
          <w:szCs w:val="22"/>
          <w:lang w:val="en-US"/>
        </w:rPr>
        <w:t>that</w:t>
      </w:r>
      <w:r w:rsidR="00B25C08">
        <w:rPr>
          <w:rFonts w:ascii="Arial" w:hAnsi="Arial" w:cs="Arial"/>
          <w:sz w:val="22"/>
          <w:szCs w:val="22"/>
          <w:lang w:val="en-US"/>
        </w:rPr>
        <w:t>,</w:t>
      </w:r>
      <w:r w:rsidR="00EA08A3" w:rsidRPr="000C3AF5">
        <w:rPr>
          <w:rFonts w:ascii="Arial" w:hAnsi="Arial" w:cs="Arial"/>
          <w:sz w:val="22"/>
          <w:szCs w:val="22"/>
          <w:lang w:val="en-US"/>
        </w:rPr>
        <w:t xml:space="preserve"> whilst they highlight that little is known about why some CBT therapists achieve better outcomes than others</w:t>
      </w:r>
      <w:r w:rsidR="00B25C08">
        <w:rPr>
          <w:rFonts w:ascii="Arial" w:hAnsi="Arial" w:cs="Arial"/>
          <w:sz w:val="22"/>
          <w:szCs w:val="22"/>
          <w:lang w:val="en-US"/>
        </w:rPr>
        <w:t>,</w:t>
      </w:r>
      <w:r w:rsidR="00EA08A3" w:rsidRPr="000C3AF5">
        <w:rPr>
          <w:rFonts w:ascii="Arial" w:hAnsi="Arial" w:cs="Arial"/>
          <w:sz w:val="22"/>
          <w:szCs w:val="22"/>
          <w:lang w:val="en-US"/>
        </w:rPr>
        <w:t xml:space="preserve"> the authors make no attempt, in this study, to add specificity to what is already known. Saxon, Firth and Barkham use multi-level-modelling (MLM) to analyse the outcome data in order to understand the relationship between therapist effects, therapy dose, therapy modality and patient outcome.</w:t>
      </w:r>
      <w:r w:rsidR="003B13E4">
        <w:rPr>
          <w:rFonts w:ascii="Arial" w:hAnsi="Arial" w:cs="Arial"/>
          <w:sz w:val="22"/>
          <w:szCs w:val="22"/>
          <w:lang w:val="en-US"/>
        </w:rPr>
        <w:t xml:space="preserve"> Whilst this study was undertaken within IAPT the authors use reliable improvement on the PHQ-9 as the primary outcome measure rather than reliable improvement or recovery using both the PHQ-9 and GAD-7 which are the normal outcome indices in IAPT. It is unknown whether this would have impacted on their estimation of therapist effects and variance in outcome using their multilevel model.</w:t>
      </w:r>
      <w:r w:rsidR="00EA08A3" w:rsidRPr="000C3AF5">
        <w:rPr>
          <w:rFonts w:ascii="Arial" w:hAnsi="Arial" w:cs="Arial"/>
          <w:sz w:val="22"/>
          <w:szCs w:val="22"/>
          <w:lang w:val="en-US"/>
        </w:rPr>
        <w:t xml:space="preserve"> Both Saxon and Barkham have used MLM i</w:t>
      </w:r>
      <w:r w:rsidR="003B13E4">
        <w:rPr>
          <w:rFonts w:ascii="Arial" w:hAnsi="Arial" w:cs="Arial"/>
          <w:sz w:val="22"/>
          <w:szCs w:val="22"/>
          <w:lang w:val="en-US"/>
        </w:rPr>
        <w:t>n</w:t>
      </w:r>
      <w:r w:rsidR="00EA08A3" w:rsidRPr="000C3AF5">
        <w:rPr>
          <w:rFonts w:ascii="Arial" w:hAnsi="Arial" w:cs="Arial"/>
          <w:sz w:val="22"/>
          <w:szCs w:val="22"/>
          <w:lang w:val="en-US"/>
        </w:rPr>
        <w:t xml:space="preserve"> previous studies (</w:t>
      </w:r>
      <w:r w:rsidR="003B13E4">
        <w:rPr>
          <w:rFonts w:ascii="Arial" w:hAnsi="Arial" w:cs="Arial"/>
          <w:sz w:val="22"/>
          <w:szCs w:val="22"/>
          <w:lang w:val="en-US"/>
        </w:rPr>
        <w:t>Saxon and Barkham, 2012, Saxon, Barkham, Foster and Parry, 2016 and  Firth, Saxon, Stiles and Barkham, 2019</w:t>
      </w:r>
      <w:r w:rsidR="00EA08A3" w:rsidRPr="000C3AF5">
        <w:rPr>
          <w:rFonts w:ascii="Arial" w:hAnsi="Arial" w:cs="Arial"/>
          <w:sz w:val="22"/>
          <w:szCs w:val="22"/>
          <w:lang w:val="en-US"/>
        </w:rPr>
        <w:t xml:space="preserve">) and assert that the results from this particular statistical method produce a model whereby it is possible to see the variance between each therapist </w:t>
      </w:r>
      <w:r w:rsidR="003B13E4">
        <w:rPr>
          <w:rFonts w:ascii="Arial" w:hAnsi="Arial" w:cs="Arial"/>
          <w:sz w:val="22"/>
          <w:szCs w:val="22"/>
          <w:lang w:val="en-US"/>
        </w:rPr>
        <w:t>and how</w:t>
      </w:r>
      <w:r w:rsidR="00EA08A3" w:rsidRPr="000C3AF5">
        <w:rPr>
          <w:rFonts w:ascii="Arial" w:hAnsi="Arial" w:cs="Arial"/>
          <w:sz w:val="22"/>
          <w:szCs w:val="22"/>
          <w:lang w:val="en-US"/>
        </w:rPr>
        <w:t xml:space="preserve"> this impacts on outcome. They use </w:t>
      </w:r>
      <w:r w:rsidR="003B13E4">
        <w:rPr>
          <w:rFonts w:ascii="Arial" w:hAnsi="Arial" w:cs="Arial"/>
          <w:sz w:val="22"/>
          <w:szCs w:val="22"/>
          <w:lang w:val="en-US"/>
        </w:rPr>
        <w:t xml:space="preserve">multilevel </w:t>
      </w:r>
      <w:r w:rsidR="00EA08A3" w:rsidRPr="000C3AF5">
        <w:rPr>
          <w:rFonts w:ascii="Arial" w:hAnsi="Arial" w:cs="Arial"/>
          <w:sz w:val="22"/>
          <w:szCs w:val="22"/>
          <w:lang w:val="en-US"/>
        </w:rPr>
        <w:t>model</w:t>
      </w:r>
      <w:r w:rsidR="003B13E4">
        <w:rPr>
          <w:rFonts w:ascii="Arial" w:hAnsi="Arial" w:cs="Arial"/>
          <w:sz w:val="22"/>
          <w:szCs w:val="22"/>
          <w:lang w:val="en-US"/>
        </w:rPr>
        <w:t>ling</w:t>
      </w:r>
      <w:r w:rsidR="00EA08A3" w:rsidRPr="000C3AF5">
        <w:rPr>
          <w:rFonts w:ascii="Arial" w:hAnsi="Arial" w:cs="Arial"/>
          <w:sz w:val="22"/>
          <w:szCs w:val="22"/>
          <w:lang w:val="en-US"/>
        </w:rPr>
        <w:t>, in this post</w:t>
      </w:r>
      <w:r>
        <w:rPr>
          <w:rFonts w:ascii="Arial" w:hAnsi="Arial" w:cs="Arial"/>
          <w:sz w:val="22"/>
          <w:szCs w:val="22"/>
          <w:lang w:val="en-US"/>
        </w:rPr>
        <w:t xml:space="preserve"> </w:t>
      </w:r>
      <w:r w:rsidR="00EA08A3" w:rsidRPr="000C3AF5">
        <w:rPr>
          <w:rFonts w:ascii="Arial" w:hAnsi="Arial" w:cs="Arial"/>
          <w:sz w:val="22"/>
          <w:szCs w:val="22"/>
          <w:lang w:val="en-US"/>
        </w:rPr>
        <w:t xml:space="preserve">hoc analysis of IAPT data, to understand how each therapist differs from each other in terms of the amount of sessions delivered, the therapy modality (CBT or counselling) and the patient outcomes.  </w:t>
      </w:r>
      <w:r w:rsidR="00EA08A3" w:rsidRPr="000C3AF5">
        <w:rPr>
          <w:rFonts w:ascii="Arial" w:hAnsi="Arial" w:cs="Arial"/>
          <w:sz w:val="22"/>
          <w:szCs w:val="22"/>
          <w:lang w:val="en-US"/>
        </w:rPr>
        <w:lastRenderedPageBreak/>
        <w:t xml:space="preserve">Saxon, Firth and Barkham report that the recovery rates in this study ranged from 16 to 76% and that 13% of the therapists achieved significantly better outcomes than the others. These ‘better’ therapists achieved recovery rates twice that of the 16% of therapists who were deemed less effective. It is </w:t>
      </w:r>
      <w:r w:rsidR="003B13E4">
        <w:rPr>
          <w:rFonts w:ascii="Arial" w:hAnsi="Arial" w:cs="Arial"/>
          <w:sz w:val="22"/>
          <w:szCs w:val="22"/>
          <w:lang w:val="en-US"/>
        </w:rPr>
        <w:t>unsurprising</w:t>
      </w:r>
      <w:r w:rsidR="00EA08A3" w:rsidRPr="000C3AF5">
        <w:rPr>
          <w:rFonts w:ascii="Arial" w:hAnsi="Arial" w:cs="Arial"/>
          <w:sz w:val="22"/>
          <w:szCs w:val="22"/>
          <w:lang w:val="en-US"/>
        </w:rPr>
        <w:t xml:space="preserve"> that in a real</w:t>
      </w:r>
      <w:r w:rsidR="003B13E4">
        <w:rPr>
          <w:rFonts w:ascii="Arial" w:hAnsi="Arial" w:cs="Arial"/>
          <w:sz w:val="22"/>
          <w:szCs w:val="22"/>
          <w:lang w:val="en-US"/>
        </w:rPr>
        <w:t>-</w:t>
      </w:r>
      <w:r w:rsidR="00EA08A3" w:rsidRPr="000C3AF5">
        <w:rPr>
          <w:rFonts w:ascii="Arial" w:hAnsi="Arial" w:cs="Arial"/>
          <w:sz w:val="22"/>
          <w:szCs w:val="22"/>
          <w:lang w:val="en-US"/>
        </w:rPr>
        <w:t>world setting that there will be variance between therapists (Branson and Shafran, 2015, James, Blackburn, Milne and Reichfelt 2001), even when the therapists have undertaken the same clinical training (Waller 2009).  Saxon, Firth and Barkham report that overall therapists effect, in their analyses, accounted for 5.8% of patient outcome. In their discussion on session dose the authors report that there was a positive relationship between the amount of sessions and patient outcome, although this was not seen across all therapists.  They suggest that the difference between therapists related to the quality of the dose of the therapy being delivered and that</w:t>
      </w:r>
      <w:r w:rsidR="00424F8B">
        <w:rPr>
          <w:rFonts w:ascii="Arial" w:hAnsi="Arial" w:cs="Arial"/>
          <w:sz w:val="22"/>
          <w:szCs w:val="22"/>
          <w:lang w:val="en-US"/>
        </w:rPr>
        <w:t>,</w:t>
      </w:r>
      <w:r w:rsidR="00EA08A3" w:rsidRPr="000C3AF5">
        <w:rPr>
          <w:rFonts w:ascii="Arial" w:hAnsi="Arial" w:cs="Arial"/>
          <w:sz w:val="22"/>
          <w:szCs w:val="22"/>
          <w:lang w:val="en-US"/>
        </w:rPr>
        <w:t xml:space="preserve"> therefore</w:t>
      </w:r>
      <w:r w:rsidR="00424F8B">
        <w:rPr>
          <w:rFonts w:ascii="Arial" w:hAnsi="Arial" w:cs="Arial"/>
          <w:sz w:val="22"/>
          <w:szCs w:val="22"/>
          <w:lang w:val="en-US"/>
        </w:rPr>
        <w:t>,</w:t>
      </w:r>
      <w:r w:rsidR="00EA08A3" w:rsidRPr="000C3AF5">
        <w:rPr>
          <w:rFonts w:ascii="Arial" w:hAnsi="Arial" w:cs="Arial"/>
          <w:sz w:val="22"/>
          <w:szCs w:val="22"/>
          <w:lang w:val="en-US"/>
        </w:rPr>
        <w:t xml:space="preserve"> the best therapists were delivering therapy that was of a higher quality.  However, the authors do not expand on what they mean by ‘quality of dose</w:t>
      </w:r>
      <w:r w:rsidR="003B13E4">
        <w:rPr>
          <w:rFonts w:ascii="Arial" w:hAnsi="Arial" w:cs="Arial"/>
          <w:sz w:val="22"/>
          <w:szCs w:val="22"/>
          <w:lang w:val="en-US"/>
        </w:rPr>
        <w:t>’</w:t>
      </w:r>
      <w:r w:rsidR="00EA08A3" w:rsidRPr="000C3AF5">
        <w:rPr>
          <w:rFonts w:ascii="Arial" w:hAnsi="Arial" w:cs="Arial"/>
          <w:sz w:val="22"/>
          <w:szCs w:val="22"/>
          <w:lang w:val="en-US"/>
        </w:rPr>
        <w:t xml:space="preserve"> and merely recommend that further research is required to understand this implied phenomenon.</w:t>
      </w:r>
      <w:r w:rsidR="003B13E4">
        <w:rPr>
          <w:rFonts w:ascii="Arial" w:hAnsi="Arial" w:cs="Arial"/>
          <w:sz w:val="22"/>
          <w:szCs w:val="22"/>
          <w:lang w:val="en-US"/>
        </w:rPr>
        <w:t xml:space="preserve">  </w:t>
      </w:r>
    </w:p>
    <w:p w14:paraId="33A1BB29" w14:textId="1EF6C2D9" w:rsidR="00A91B73" w:rsidRDefault="00EA08A3" w:rsidP="004529F4">
      <w:pPr>
        <w:spacing w:line="480" w:lineRule="auto"/>
        <w:rPr>
          <w:rFonts w:ascii="Arial" w:hAnsi="Arial" w:cs="Arial"/>
          <w:sz w:val="22"/>
          <w:szCs w:val="22"/>
          <w:lang w:val="en-US"/>
        </w:rPr>
      </w:pPr>
      <w:r w:rsidRPr="004529F4">
        <w:rPr>
          <w:rFonts w:ascii="Arial" w:hAnsi="Arial" w:cs="Arial"/>
          <w:sz w:val="22"/>
          <w:szCs w:val="22"/>
          <w:lang w:val="en-US"/>
        </w:rPr>
        <w:t xml:space="preserve">Understanding what Saxon, Firth and Barkham (2017) refer to as the ‘quality of the dose’ delivered by a therapist is a subject that is explored by </w:t>
      </w:r>
      <w:r w:rsidR="004529F4" w:rsidRPr="004529F4">
        <w:rPr>
          <w:rFonts w:ascii="Arial" w:hAnsi="Arial" w:cs="Arial"/>
          <w:sz w:val="22"/>
          <w:szCs w:val="22"/>
        </w:rPr>
        <w:t>Liness, Beale, Lea, Byrne, Hirsch and Clark (2018)</w:t>
      </w:r>
      <w:r w:rsidRPr="000C3AF5">
        <w:rPr>
          <w:rFonts w:ascii="Arial" w:hAnsi="Arial" w:cs="Arial"/>
          <w:sz w:val="22"/>
          <w:szCs w:val="22"/>
          <w:lang w:val="en-US"/>
        </w:rPr>
        <w:t xml:space="preserve"> in their </w:t>
      </w:r>
      <w:r w:rsidR="004529F4">
        <w:rPr>
          <w:rFonts w:ascii="Arial" w:hAnsi="Arial" w:cs="Arial"/>
          <w:sz w:val="22"/>
          <w:szCs w:val="22"/>
          <w:lang w:val="en-US"/>
        </w:rPr>
        <w:t>observational longitudinal cohort study</w:t>
      </w:r>
      <w:r w:rsidRPr="000C3AF5">
        <w:rPr>
          <w:rFonts w:ascii="Arial" w:hAnsi="Arial" w:cs="Arial"/>
          <w:sz w:val="22"/>
          <w:szCs w:val="22"/>
          <w:lang w:val="en-US"/>
        </w:rPr>
        <w:t xml:space="preserve"> CBT trainee competence.  This study explores the relationship between competence and clinical outcome in a cohort of 4</w:t>
      </w:r>
      <w:r w:rsidR="004529F4">
        <w:rPr>
          <w:rFonts w:ascii="Arial" w:hAnsi="Arial" w:cs="Arial"/>
          <w:sz w:val="22"/>
          <w:szCs w:val="22"/>
          <w:lang w:val="en-US"/>
        </w:rPr>
        <w:t>5</w:t>
      </w:r>
      <w:r w:rsidRPr="000C3AF5">
        <w:rPr>
          <w:rFonts w:ascii="Arial" w:hAnsi="Arial" w:cs="Arial"/>
          <w:sz w:val="22"/>
          <w:szCs w:val="22"/>
          <w:lang w:val="en-US"/>
        </w:rPr>
        <w:t xml:space="preserve"> cognitive behavioural therap</w:t>
      </w:r>
      <w:r w:rsidR="00424F8B">
        <w:rPr>
          <w:rFonts w:ascii="Arial" w:hAnsi="Arial" w:cs="Arial"/>
          <w:sz w:val="22"/>
          <w:szCs w:val="22"/>
          <w:lang w:val="en-US"/>
        </w:rPr>
        <w:t>ists</w:t>
      </w:r>
      <w:r w:rsidRPr="000C3AF5">
        <w:rPr>
          <w:rFonts w:ascii="Arial" w:hAnsi="Arial" w:cs="Arial"/>
          <w:sz w:val="22"/>
          <w:szCs w:val="22"/>
          <w:lang w:val="en-US"/>
        </w:rPr>
        <w:t xml:space="preserve"> </w:t>
      </w:r>
      <w:r w:rsidR="004529F4">
        <w:rPr>
          <w:rFonts w:ascii="Arial" w:hAnsi="Arial" w:cs="Arial"/>
          <w:sz w:val="22"/>
          <w:szCs w:val="22"/>
          <w:lang w:val="en-US"/>
        </w:rPr>
        <w:t>both whi</w:t>
      </w:r>
      <w:r w:rsidR="00B2089D">
        <w:rPr>
          <w:rFonts w:ascii="Arial" w:hAnsi="Arial" w:cs="Arial"/>
          <w:sz w:val="22"/>
          <w:szCs w:val="22"/>
          <w:lang w:val="en-US"/>
        </w:rPr>
        <w:t>lst</w:t>
      </w:r>
      <w:r w:rsidRPr="000C3AF5">
        <w:rPr>
          <w:rFonts w:ascii="Arial" w:hAnsi="Arial" w:cs="Arial"/>
          <w:sz w:val="22"/>
          <w:szCs w:val="22"/>
          <w:lang w:val="en-US"/>
        </w:rPr>
        <w:t xml:space="preserve"> enrolled on an IAPT High Intensity CBT training programme</w:t>
      </w:r>
      <w:r w:rsidR="004529F4">
        <w:rPr>
          <w:rFonts w:ascii="Arial" w:hAnsi="Arial" w:cs="Arial"/>
          <w:sz w:val="22"/>
          <w:szCs w:val="22"/>
          <w:lang w:val="en-US"/>
        </w:rPr>
        <w:t xml:space="preserve"> and 12 months post</w:t>
      </w:r>
      <w:r w:rsidR="00424F8B">
        <w:rPr>
          <w:rFonts w:ascii="Arial" w:hAnsi="Arial" w:cs="Arial"/>
          <w:sz w:val="22"/>
          <w:szCs w:val="22"/>
          <w:lang w:val="en-US"/>
        </w:rPr>
        <w:t>-</w:t>
      </w:r>
      <w:r w:rsidR="004529F4">
        <w:rPr>
          <w:rFonts w:ascii="Arial" w:hAnsi="Arial" w:cs="Arial"/>
          <w:sz w:val="22"/>
          <w:szCs w:val="22"/>
          <w:lang w:val="en-US"/>
        </w:rPr>
        <w:t>qualification</w:t>
      </w:r>
      <w:r w:rsidR="00441DB8">
        <w:rPr>
          <w:rFonts w:ascii="Arial" w:hAnsi="Arial" w:cs="Arial"/>
          <w:sz w:val="22"/>
          <w:szCs w:val="22"/>
          <w:lang w:val="en-US"/>
        </w:rPr>
        <w:t>.</w:t>
      </w:r>
      <w:r w:rsidRPr="000C3AF5">
        <w:rPr>
          <w:rFonts w:ascii="Arial" w:hAnsi="Arial" w:cs="Arial"/>
          <w:sz w:val="22"/>
          <w:szCs w:val="22"/>
          <w:lang w:val="en-US"/>
        </w:rPr>
        <w:t xml:space="preserve"> The authors use the revised version of the Cognitive Therapy Scale (CTS-R) to assess therapist competence.</w:t>
      </w:r>
      <w:r w:rsidR="00424F8B">
        <w:rPr>
          <w:rFonts w:ascii="Arial" w:hAnsi="Arial" w:cs="Arial"/>
          <w:sz w:val="22"/>
          <w:szCs w:val="22"/>
          <w:lang w:val="en-US"/>
        </w:rPr>
        <w:t xml:space="preserve"> </w:t>
      </w:r>
      <w:r w:rsidRPr="000C3AF5">
        <w:rPr>
          <w:rFonts w:ascii="Arial" w:hAnsi="Arial" w:cs="Arial"/>
          <w:sz w:val="22"/>
          <w:szCs w:val="22"/>
          <w:lang w:val="en-US"/>
        </w:rPr>
        <w:t>The trainees are asked to submit a recording of a treatment session three times during their training.  The recording is then rated using the CTS-R (see chapter</w:t>
      </w:r>
      <w:r w:rsidR="00441DB8">
        <w:rPr>
          <w:rFonts w:ascii="Arial" w:hAnsi="Arial" w:cs="Arial"/>
          <w:sz w:val="22"/>
          <w:szCs w:val="22"/>
          <w:lang w:val="en-US"/>
        </w:rPr>
        <w:t>s 2 and 4</w:t>
      </w:r>
      <w:r w:rsidRPr="000C3AF5">
        <w:rPr>
          <w:rFonts w:ascii="Arial" w:hAnsi="Arial" w:cs="Arial"/>
          <w:sz w:val="22"/>
          <w:szCs w:val="22"/>
          <w:lang w:val="en-US"/>
        </w:rPr>
        <w:t xml:space="preserve"> for further explanation of the CTS-R). They </w:t>
      </w:r>
      <w:r w:rsidR="004529F4">
        <w:rPr>
          <w:rFonts w:ascii="Arial" w:hAnsi="Arial" w:cs="Arial"/>
          <w:sz w:val="22"/>
          <w:szCs w:val="22"/>
          <w:lang w:val="en-US"/>
        </w:rPr>
        <w:t xml:space="preserve">use a cut off of a score of </w:t>
      </w:r>
      <m:oMath>
        <m:r>
          <w:rPr>
            <w:rFonts w:ascii="Cambria Math" w:hAnsi="Cambria Math" w:cs="Arial"/>
            <w:sz w:val="22"/>
            <w:szCs w:val="22"/>
            <w:lang w:val="en-US"/>
          </w:rPr>
          <m:t xml:space="preserve">≥  </m:t>
        </m:r>
      </m:oMath>
      <w:r w:rsidR="00EE4E17">
        <w:rPr>
          <w:rFonts w:ascii="Arial" w:hAnsi="Arial" w:cs="Arial"/>
          <w:sz w:val="22"/>
          <w:szCs w:val="22"/>
          <w:lang w:val="en-US"/>
        </w:rPr>
        <w:t xml:space="preserve">50% on the CTS-R as a definition of competence 38 therapists scored 50% or above and were defined as competent and 7 scored less than 50% and were deemed less competent. </w:t>
      </w:r>
      <w:r w:rsidR="00B2089D">
        <w:rPr>
          <w:rFonts w:ascii="Arial" w:hAnsi="Arial" w:cs="Arial"/>
          <w:sz w:val="22"/>
          <w:szCs w:val="22"/>
          <w:lang w:val="en-US"/>
        </w:rPr>
        <w:t xml:space="preserve">Liness et al., report that whilst the therapists were in training that their CTS-R scores improved over time (p = </w:t>
      </w:r>
      <w:r w:rsidR="00B2089D">
        <w:rPr>
          <w:rFonts w:ascii="Arial" w:hAnsi="Arial" w:cs="Arial"/>
          <w:sz w:val="22"/>
          <w:szCs w:val="22"/>
          <w:lang w:val="en-US"/>
        </w:rPr>
        <w:sym w:font="Symbol" w:char="F03C"/>
      </w:r>
      <w:r w:rsidR="00B2089D">
        <w:rPr>
          <w:rFonts w:ascii="Arial" w:hAnsi="Arial" w:cs="Arial"/>
          <w:sz w:val="22"/>
          <w:szCs w:val="22"/>
          <w:lang w:val="en-US"/>
        </w:rPr>
        <w:t xml:space="preserve"> 0.001).  This is an unsurprising </w:t>
      </w:r>
      <w:r w:rsidR="00B2089D">
        <w:rPr>
          <w:rFonts w:ascii="Arial" w:hAnsi="Arial" w:cs="Arial"/>
          <w:sz w:val="22"/>
          <w:szCs w:val="22"/>
          <w:lang w:val="en-US"/>
        </w:rPr>
        <w:lastRenderedPageBreak/>
        <w:t xml:space="preserve">finding given that </w:t>
      </w:r>
      <w:r w:rsidR="00441DB8">
        <w:rPr>
          <w:rFonts w:ascii="Arial" w:hAnsi="Arial" w:cs="Arial"/>
          <w:sz w:val="22"/>
          <w:szCs w:val="22"/>
          <w:lang w:val="en-US"/>
        </w:rPr>
        <w:t>the main aim of an IAPT training programme is that trainees</w:t>
      </w:r>
      <w:r w:rsidR="00B2089D">
        <w:rPr>
          <w:rFonts w:ascii="Arial" w:hAnsi="Arial" w:cs="Arial"/>
          <w:sz w:val="22"/>
          <w:szCs w:val="22"/>
          <w:lang w:val="en-US"/>
        </w:rPr>
        <w:t xml:space="preserve"> will be taught how to become more competent. This finding was also reported by Branson, Shafran and Myles (2015) but there was no longitudinal follow up in their study. Liness et al. report that 85% of the cohort remained competent (achieved a score of </w:t>
      </w:r>
      <m:oMath>
        <m:r>
          <w:rPr>
            <w:rFonts w:ascii="Cambria Math" w:hAnsi="Cambria Math" w:cs="Arial"/>
            <w:sz w:val="22"/>
            <w:szCs w:val="22"/>
            <w:lang w:val="en-US"/>
          </w:rPr>
          <m:t>≥</m:t>
        </m:r>
      </m:oMath>
      <w:r w:rsidR="00B2089D">
        <w:rPr>
          <w:rFonts w:ascii="Arial" w:hAnsi="Arial" w:cs="Arial"/>
          <w:sz w:val="22"/>
          <w:szCs w:val="22"/>
          <w:lang w:val="en-US"/>
        </w:rPr>
        <w:t xml:space="preserve"> 50% on the CTS-R) 12 months post-qualification. </w:t>
      </w:r>
      <w:r w:rsidR="00030708">
        <w:rPr>
          <w:rFonts w:ascii="Arial" w:hAnsi="Arial" w:cs="Arial"/>
          <w:sz w:val="22"/>
          <w:szCs w:val="22"/>
          <w:lang w:val="en-US"/>
        </w:rPr>
        <w:t xml:space="preserve">There is surprisingly little variance in this cohort, and this may be due to two factors. </w:t>
      </w:r>
      <w:r w:rsidR="00EE4E17">
        <w:rPr>
          <w:rFonts w:ascii="Arial" w:hAnsi="Arial" w:cs="Arial"/>
          <w:sz w:val="22"/>
          <w:szCs w:val="22"/>
          <w:lang w:val="en-US"/>
        </w:rPr>
        <w:t>The first factor is the research setting</w:t>
      </w:r>
      <w:r w:rsidR="00424F8B">
        <w:rPr>
          <w:rFonts w:ascii="Arial" w:hAnsi="Arial" w:cs="Arial"/>
          <w:sz w:val="22"/>
          <w:szCs w:val="22"/>
          <w:lang w:val="en-US"/>
        </w:rPr>
        <w:t>; t</w:t>
      </w:r>
      <w:r w:rsidR="00EE4E17">
        <w:rPr>
          <w:rFonts w:ascii="Arial" w:hAnsi="Arial" w:cs="Arial"/>
          <w:sz w:val="22"/>
          <w:szCs w:val="22"/>
          <w:lang w:val="en-US"/>
        </w:rPr>
        <w:t>his study was conducted at the Institute of Psychiatry, Kings College, London.  Arguably this is one the better IAPT training programmes in that it has a higher intake of Clinical Psychologists and the training programme is highly sought</w:t>
      </w:r>
      <w:r w:rsidR="00424F8B">
        <w:rPr>
          <w:rFonts w:ascii="Arial" w:hAnsi="Arial" w:cs="Arial"/>
          <w:sz w:val="22"/>
          <w:szCs w:val="22"/>
          <w:lang w:val="en-US"/>
        </w:rPr>
        <w:t>-</w:t>
      </w:r>
      <w:r w:rsidR="00EE4E17">
        <w:rPr>
          <w:rFonts w:ascii="Arial" w:hAnsi="Arial" w:cs="Arial"/>
          <w:sz w:val="22"/>
          <w:szCs w:val="22"/>
          <w:lang w:val="en-US"/>
        </w:rPr>
        <w:t>after</w:t>
      </w:r>
      <w:r w:rsidR="00424F8B">
        <w:rPr>
          <w:rFonts w:ascii="Arial" w:hAnsi="Arial" w:cs="Arial"/>
          <w:sz w:val="22"/>
          <w:szCs w:val="22"/>
          <w:lang w:val="en-US"/>
        </w:rPr>
        <w:t>,</w:t>
      </w:r>
      <w:r w:rsidR="00EE4E17">
        <w:rPr>
          <w:rFonts w:ascii="Arial" w:hAnsi="Arial" w:cs="Arial"/>
          <w:sz w:val="22"/>
          <w:szCs w:val="22"/>
          <w:lang w:val="en-US"/>
        </w:rPr>
        <w:t xml:space="preserve"> making gaining a place highly competitive (Liness et al., 2018). This may enable th</w:t>
      </w:r>
      <w:r w:rsidR="00441DB8">
        <w:rPr>
          <w:rFonts w:ascii="Arial" w:hAnsi="Arial" w:cs="Arial"/>
          <w:sz w:val="22"/>
          <w:szCs w:val="22"/>
          <w:lang w:val="en-US"/>
        </w:rPr>
        <w:t>is particular IAPT training</w:t>
      </w:r>
      <w:r w:rsidR="00EE4E17">
        <w:rPr>
          <w:rFonts w:ascii="Arial" w:hAnsi="Arial" w:cs="Arial"/>
          <w:sz w:val="22"/>
          <w:szCs w:val="22"/>
          <w:lang w:val="en-US"/>
        </w:rPr>
        <w:t xml:space="preserve"> programme to select higher caliber candidates</w:t>
      </w:r>
      <w:r w:rsidR="00424F8B">
        <w:rPr>
          <w:rFonts w:ascii="Arial" w:hAnsi="Arial" w:cs="Arial"/>
          <w:sz w:val="22"/>
          <w:szCs w:val="22"/>
          <w:lang w:val="en-US"/>
        </w:rPr>
        <w:t>,</w:t>
      </w:r>
      <w:r w:rsidR="00EE4E17">
        <w:rPr>
          <w:rFonts w:ascii="Arial" w:hAnsi="Arial" w:cs="Arial"/>
          <w:sz w:val="22"/>
          <w:szCs w:val="22"/>
          <w:lang w:val="en-US"/>
        </w:rPr>
        <w:t xml:space="preserve"> th</w:t>
      </w:r>
      <w:r w:rsidR="00441DB8">
        <w:rPr>
          <w:rFonts w:ascii="Arial" w:hAnsi="Arial" w:cs="Arial"/>
          <w:sz w:val="22"/>
          <w:szCs w:val="22"/>
          <w:lang w:val="en-US"/>
        </w:rPr>
        <w:t>u</w:t>
      </w:r>
      <w:r w:rsidR="00EE4E17">
        <w:rPr>
          <w:rFonts w:ascii="Arial" w:hAnsi="Arial" w:cs="Arial"/>
          <w:sz w:val="22"/>
          <w:szCs w:val="22"/>
          <w:lang w:val="en-US"/>
        </w:rPr>
        <w:t xml:space="preserve">s reducing the variance in outcomes. The second factor that may reduce variance in outcome is that </w:t>
      </w:r>
      <w:r w:rsidR="00A91B73">
        <w:rPr>
          <w:rFonts w:ascii="Arial" w:hAnsi="Arial" w:cs="Arial"/>
          <w:sz w:val="22"/>
          <w:szCs w:val="22"/>
          <w:lang w:val="en-US"/>
        </w:rPr>
        <w:t>this study permitted therapists</w:t>
      </w:r>
      <w:r w:rsidR="00EE4E17">
        <w:rPr>
          <w:rFonts w:ascii="Arial" w:hAnsi="Arial" w:cs="Arial"/>
          <w:sz w:val="22"/>
          <w:szCs w:val="22"/>
          <w:lang w:val="en-US"/>
        </w:rPr>
        <w:t xml:space="preserve"> to self-select therapy </w:t>
      </w:r>
      <w:r w:rsidR="00A91B73">
        <w:rPr>
          <w:rFonts w:ascii="Arial" w:hAnsi="Arial" w:cs="Arial"/>
          <w:sz w:val="22"/>
          <w:szCs w:val="22"/>
          <w:lang w:val="en-US"/>
        </w:rPr>
        <w:t>recording</w:t>
      </w:r>
      <w:r w:rsidR="00424F8B">
        <w:rPr>
          <w:rFonts w:ascii="Arial" w:hAnsi="Arial" w:cs="Arial"/>
          <w:sz w:val="22"/>
          <w:szCs w:val="22"/>
          <w:lang w:val="en-US"/>
        </w:rPr>
        <w:t>s</w:t>
      </w:r>
      <w:r w:rsidR="00EE4E17">
        <w:rPr>
          <w:rFonts w:ascii="Arial" w:hAnsi="Arial" w:cs="Arial"/>
          <w:sz w:val="22"/>
          <w:szCs w:val="22"/>
          <w:lang w:val="en-US"/>
        </w:rPr>
        <w:t xml:space="preserve"> to submit for assessment.  </w:t>
      </w:r>
      <w:r w:rsidR="00EE4E17" w:rsidRPr="005144E4">
        <w:rPr>
          <w:rFonts w:ascii="Arial" w:hAnsi="Arial" w:cs="Arial"/>
          <w:sz w:val="22"/>
          <w:szCs w:val="22"/>
          <w:lang w:val="en-US"/>
        </w:rPr>
        <w:t>The problem associated with self-selection of therapy recordings</w:t>
      </w:r>
      <w:r w:rsidR="00A91B73" w:rsidRPr="005144E4">
        <w:rPr>
          <w:rFonts w:ascii="Arial" w:hAnsi="Arial" w:cs="Arial"/>
          <w:sz w:val="22"/>
          <w:szCs w:val="22"/>
          <w:lang w:val="en-US"/>
        </w:rPr>
        <w:t xml:space="preserve"> is </w:t>
      </w:r>
      <w:r w:rsidR="00441DB8" w:rsidRPr="005144E4">
        <w:rPr>
          <w:rFonts w:ascii="Arial" w:hAnsi="Arial" w:cs="Arial"/>
          <w:sz w:val="22"/>
          <w:szCs w:val="22"/>
          <w:lang w:val="en-US"/>
        </w:rPr>
        <w:t>that the process is likely to</w:t>
      </w:r>
      <w:r w:rsidR="00424F8B" w:rsidRPr="005144E4">
        <w:rPr>
          <w:rFonts w:ascii="Arial" w:hAnsi="Arial" w:cs="Arial"/>
          <w:sz w:val="22"/>
          <w:szCs w:val="22"/>
          <w:lang w:val="en-US"/>
        </w:rPr>
        <w:t xml:space="preserve"> </w:t>
      </w:r>
      <w:r w:rsidR="00CB607F" w:rsidRPr="005144E4">
        <w:rPr>
          <w:rFonts w:ascii="Arial" w:hAnsi="Arial" w:cs="Arial"/>
          <w:sz w:val="22"/>
          <w:szCs w:val="22"/>
          <w:lang w:val="en-US"/>
        </w:rPr>
        <w:t xml:space="preserve">lead to </w:t>
      </w:r>
      <w:r w:rsidR="00441DB8" w:rsidRPr="005144E4">
        <w:rPr>
          <w:rFonts w:ascii="Arial" w:hAnsi="Arial" w:cs="Arial"/>
          <w:sz w:val="22"/>
          <w:szCs w:val="22"/>
          <w:lang w:val="en-US"/>
        </w:rPr>
        <w:t>self-selection</w:t>
      </w:r>
      <w:r w:rsidR="00A91B73" w:rsidRPr="005144E4">
        <w:rPr>
          <w:rFonts w:ascii="Arial" w:hAnsi="Arial" w:cs="Arial"/>
          <w:sz w:val="22"/>
          <w:szCs w:val="22"/>
          <w:lang w:val="en-US"/>
        </w:rPr>
        <w:t xml:space="preserve"> bias</w:t>
      </w:r>
      <w:r w:rsidR="00441DB8" w:rsidRPr="005144E4">
        <w:rPr>
          <w:rFonts w:ascii="Arial" w:hAnsi="Arial" w:cs="Arial"/>
          <w:sz w:val="22"/>
          <w:szCs w:val="22"/>
          <w:lang w:val="en-US"/>
        </w:rPr>
        <w:t>.</w:t>
      </w:r>
      <w:r w:rsidR="00441DB8">
        <w:rPr>
          <w:rFonts w:ascii="Arial" w:hAnsi="Arial" w:cs="Arial"/>
          <w:sz w:val="22"/>
          <w:szCs w:val="22"/>
          <w:lang w:val="en-US"/>
        </w:rPr>
        <w:t xml:space="preserve"> That is to say</w:t>
      </w:r>
      <w:r w:rsidR="00424F8B">
        <w:rPr>
          <w:rFonts w:ascii="Arial" w:hAnsi="Arial" w:cs="Arial"/>
          <w:sz w:val="22"/>
          <w:szCs w:val="22"/>
          <w:lang w:val="en-US"/>
        </w:rPr>
        <w:t>,</w:t>
      </w:r>
      <w:r w:rsidR="00A91B73">
        <w:rPr>
          <w:rFonts w:ascii="Arial" w:hAnsi="Arial" w:cs="Arial"/>
          <w:sz w:val="22"/>
          <w:szCs w:val="22"/>
          <w:lang w:val="en-US"/>
        </w:rPr>
        <w:t xml:space="preserve"> </w:t>
      </w:r>
      <w:r w:rsidR="00441DB8">
        <w:rPr>
          <w:rFonts w:ascii="Arial" w:hAnsi="Arial" w:cs="Arial"/>
          <w:sz w:val="22"/>
          <w:szCs w:val="22"/>
          <w:lang w:val="en-US"/>
        </w:rPr>
        <w:t>therapists</w:t>
      </w:r>
      <w:r w:rsidR="00A91B73">
        <w:rPr>
          <w:rFonts w:ascii="Arial" w:hAnsi="Arial" w:cs="Arial"/>
          <w:sz w:val="22"/>
          <w:szCs w:val="22"/>
          <w:lang w:val="en-US"/>
        </w:rPr>
        <w:t xml:space="preserve"> may select their best therapy sessions</w:t>
      </w:r>
      <w:r w:rsidR="003C6AD1">
        <w:rPr>
          <w:rFonts w:ascii="Arial" w:hAnsi="Arial" w:cs="Arial"/>
          <w:sz w:val="22"/>
          <w:szCs w:val="22"/>
          <w:lang w:val="en-US"/>
        </w:rPr>
        <w:t xml:space="preserve"> (</w:t>
      </w:r>
      <w:r w:rsidR="003C6AD1" w:rsidRPr="000C3AF5">
        <w:rPr>
          <w:rFonts w:ascii="Arial" w:hAnsi="Arial" w:cs="Arial"/>
          <w:sz w:val="22"/>
          <w:szCs w:val="22"/>
          <w:lang w:val="en-US"/>
        </w:rPr>
        <w:t>Barber, Shapless, Klostermann and McCarthy 2007)</w:t>
      </w:r>
      <w:r w:rsidR="00A91B73">
        <w:rPr>
          <w:rFonts w:ascii="Arial" w:hAnsi="Arial" w:cs="Arial"/>
          <w:sz w:val="22"/>
          <w:szCs w:val="22"/>
          <w:lang w:val="en-US"/>
        </w:rPr>
        <w:t>.</w:t>
      </w:r>
      <w:r w:rsidR="00A51325">
        <w:rPr>
          <w:rFonts w:ascii="Arial" w:hAnsi="Arial" w:cs="Arial"/>
          <w:sz w:val="22"/>
          <w:szCs w:val="22"/>
          <w:lang w:val="en-US"/>
        </w:rPr>
        <w:t xml:space="preserve"> Whilst the self-selection of recordings may be problematic Liness et al. employ robust inter-rater reliability training and report a high ICC of 0.80 between raters.  Secondly, 18% (n=22) of the recordings were second marked by an external rater who was blind to the status of the therapist. </w:t>
      </w:r>
      <w:r w:rsidR="00030708">
        <w:rPr>
          <w:rFonts w:ascii="Arial" w:hAnsi="Arial" w:cs="Arial"/>
          <w:sz w:val="22"/>
          <w:szCs w:val="22"/>
          <w:lang w:val="en-US"/>
        </w:rPr>
        <w:t xml:space="preserve">Analyses of covariance showed no significant relationship (p = </w:t>
      </w:r>
      <w:r w:rsidR="00030708">
        <w:rPr>
          <w:rFonts w:ascii="Arial" w:hAnsi="Arial" w:cs="Arial"/>
          <w:sz w:val="22"/>
          <w:szCs w:val="22"/>
          <w:lang w:val="en-US"/>
        </w:rPr>
        <w:sym w:font="Symbol" w:char="F03C"/>
      </w:r>
      <w:r w:rsidR="00030708">
        <w:rPr>
          <w:rFonts w:ascii="Arial" w:hAnsi="Arial" w:cs="Arial"/>
          <w:sz w:val="22"/>
          <w:szCs w:val="22"/>
          <w:lang w:val="en-US"/>
        </w:rPr>
        <w:t xml:space="preserve"> 0.06) between CTS-R score and clinical outcomes whilst the therapists were in training.  </w:t>
      </w:r>
      <w:r w:rsidR="00A51325">
        <w:rPr>
          <w:rFonts w:ascii="Arial" w:hAnsi="Arial" w:cs="Arial"/>
          <w:sz w:val="22"/>
          <w:szCs w:val="22"/>
          <w:lang w:val="en-US"/>
        </w:rPr>
        <w:t>Howeve</w:t>
      </w:r>
      <w:r w:rsidR="003C6AD1">
        <w:rPr>
          <w:rFonts w:ascii="Arial" w:hAnsi="Arial" w:cs="Arial"/>
          <w:sz w:val="22"/>
          <w:szCs w:val="22"/>
          <w:lang w:val="en-US"/>
        </w:rPr>
        <w:t>r,</w:t>
      </w:r>
      <w:r w:rsidR="00A51325">
        <w:rPr>
          <w:rFonts w:ascii="Arial" w:hAnsi="Arial" w:cs="Arial"/>
          <w:sz w:val="22"/>
          <w:szCs w:val="22"/>
          <w:lang w:val="en-US"/>
        </w:rPr>
        <w:t xml:space="preserve"> 12 months post-qualification there was a significant relationship between CTS-R score and outcome (p = </w:t>
      </w:r>
      <w:r w:rsidR="00A51325">
        <w:rPr>
          <w:rFonts w:ascii="Arial" w:hAnsi="Arial" w:cs="Arial"/>
          <w:sz w:val="22"/>
          <w:szCs w:val="22"/>
          <w:lang w:val="en-US"/>
        </w:rPr>
        <w:sym w:font="Symbol" w:char="F03C"/>
      </w:r>
      <w:r w:rsidR="00A51325">
        <w:rPr>
          <w:rFonts w:ascii="Arial" w:hAnsi="Arial" w:cs="Arial"/>
          <w:sz w:val="22"/>
          <w:szCs w:val="22"/>
          <w:lang w:val="en-US"/>
        </w:rPr>
        <w:t xml:space="preserve"> 0.05).</w:t>
      </w:r>
      <w:r w:rsidR="003C6AD1">
        <w:rPr>
          <w:rFonts w:ascii="Arial" w:hAnsi="Arial" w:cs="Arial"/>
          <w:sz w:val="22"/>
          <w:szCs w:val="22"/>
          <w:lang w:val="en-US"/>
        </w:rPr>
        <w:t xml:space="preserve"> It is </w:t>
      </w:r>
      <w:r w:rsidR="00380415">
        <w:rPr>
          <w:rFonts w:ascii="Arial" w:hAnsi="Arial" w:cs="Arial"/>
          <w:sz w:val="22"/>
          <w:szCs w:val="22"/>
          <w:lang w:val="en-US"/>
        </w:rPr>
        <w:t>important</w:t>
      </w:r>
      <w:r w:rsidR="003C6AD1">
        <w:rPr>
          <w:rFonts w:ascii="Arial" w:hAnsi="Arial" w:cs="Arial"/>
          <w:sz w:val="22"/>
          <w:szCs w:val="22"/>
          <w:lang w:val="en-US"/>
        </w:rPr>
        <w:t xml:space="preserve"> to note that the authors used reliable improvement on the GAD-7 (i.e. a reduction of 4 points between first and last score) as the primary outcome measure in their analysis.  It is unclear why this is the case and it would have been helpful to know what the strength of the relationship </w:t>
      </w:r>
      <w:r w:rsidR="00441DB8">
        <w:rPr>
          <w:rFonts w:ascii="Arial" w:hAnsi="Arial" w:cs="Arial"/>
          <w:sz w:val="22"/>
          <w:szCs w:val="22"/>
          <w:lang w:val="en-US"/>
        </w:rPr>
        <w:t>would have been</w:t>
      </w:r>
      <w:r w:rsidR="003C6AD1">
        <w:rPr>
          <w:rFonts w:ascii="Arial" w:hAnsi="Arial" w:cs="Arial"/>
          <w:sz w:val="22"/>
          <w:szCs w:val="22"/>
          <w:lang w:val="en-US"/>
        </w:rPr>
        <w:t xml:space="preserve">, between competence and outcome, </w:t>
      </w:r>
      <w:r w:rsidR="00441DB8">
        <w:rPr>
          <w:rFonts w:ascii="Arial" w:hAnsi="Arial" w:cs="Arial"/>
          <w:sz w:val="22"/>
          <w:szCs w:val="22"/>
          <w:lang w:val="en-US"/>
        </w:rPr>
        <w:t>had</w:t>
      </w:r>
      <w:r w:rsidR="003C6AD1">
        <w:rPr>
          <w:rFonts w:ascii="Arial" w:hAnsi="Arial" w:cs="Arial"/>
          <w:sz w:val="22"/>
          <w:szCs w:val="22"/>
          <w:lang w:val="en-US"/>
        </w:rPr>
        <w:t xml:space="preserve"> the authors had used the PHQ-9 or the IAPT definition of recovery as the primary outcome measure. </w:t>
      </w:r>
      <w:r w:rsidR="00A51325">
        <w:rPr>
          <w:rFonts w:ascii="Arial" w:hAnsi="Arial" w:cs="Arial"/>
          <w:sz w:val="22"/>
          <w:szCs w:val="22"/>
          <w:lang w:val="en-US"/>
        </w:rPr>
        <w:t xml:space="preserve"> </w:t>
      </w:r>
      <w:r w:rsidR="003C6AD1">
        <w:rPr>
          <w:rFonts w:ascii="Arial" w:hAnsi="Arial" w:cs="Arial"/>
          <w:sz w:val="22"/>
          <w:szCs w:val="22"/>
          <w:lang w:val="en-US"/>
        </w:rPr>
        <w:t>Furthermore,</w:t>
      </w:r>
      <w:r w:rsidR="00A51325">
        <w:rPr>
          <w:rFonts w:ascii="Arial" w:hAnsi="Arial" w:cs="Arial"/>
          <w:sz w:val="22"/>
          <w:szCs w:val="22"/>
          <w:lang w:val="en-US"/>
        </w:rPr>
        <w:t xml:space="preserve"> the authors report that there was no difference in </w:t>
      </w:r>
      <w:r w:rsidR="00A51325">
        <w:rPr>
          <w:rFonts w:ascii="Arial" w:hAnsi="Arial" w:cs="Arial"/>
          <w:sz w:val="22"/>
          <w:szCs w:val="22"/>
          <w:lang w:val="en-US"/>
        </w:rPr>
        <w:lastRenderedPageBreak/>
        <w:t>the therapists’ outcomes whilst they were training and 12 months after they had completed training. This latter finding is surprising in that it might be expected that the therapists’ outcomes would improve after they had qualified. However, the recovery rates reported in this study were only based on 16 patients (8 whilst they were training and 8 post-qualification) so this may be an issue that relates to a small sample size.</w:t>
      </w:r>
      <w:r w:rsidR="003C6AD1">
        <w:rPr>
          <w:rFonts w:ascii="Arial" w:hAnsi="Arial" w:cs="Arial"/>
          <w:sz w:val="22"/>
          <w:szCs w:val="22"/>
          <w:lang w:val="en-US"/>
        </w:rPr>
        <w:t xml:space="preserve"> The authors conclude that they had insufficient evidence that there is a relationship between competence and outcome</w:t>
      </w:r>
      <w:r w:rsidR="00424F8B">
        <w:rPr>
          <w:rFonts w:ascii="Arial" w:hAnsi="Arial" w:cs="Arial"/>
          <w:sz w:val="22"/>
          <w:szCs w:val="22"/>
          <w:lang w:val="en-US"/>
        </w:rPr>
        <w:t xml:space="preserve"> </w:t>
      </w:r>
      <w:r w:rsidR="003C6AD1">
        <w:rPr>
          <w:rFonts w:ascii="Arial" w:hAnsi="Arial" w:cs="Arial"/>
          <w:sz w:val="22"/>
          <w:szCs w:val="22"/>
          <w:lang w:val="en-US"/>
        </w:rPr>
        <w:t xml:space="preserve">but highlight that this may be due to the lack of variance in the cohort. Clearly this article does much to celebrate the quality of training at the Institute of Psychiatry </w:t>
      </w:r>
      <w:r w:rsidR="00B2089D">
        <w:rPr>
          <w:rFonts w:ascii="Arial" w:hAnsi="Arial" w:cs="Arial"/>
          <w:sz w:val="22"/>
          <w:szCs w:val="22"/>
          <w:lang w:val="en-US"/>
        </w:rPr>
        <w:t>but</w:t>
      </w:r>
      <w:r w:rsidR="00424F8B">
        <w:rPr>
          <w:rFonts w:ascii="Arial" w:hAnsi="Arial" w:cs="Arial"/>
          <w:sz w:val="22"/>
          <w:szCs w:val="22"/>
          <w:lang w:val="en-US"/>
        </w:rPr>
        <w:t>,</w:t>
      </w:r>
      <w:r w:rsidR="00B2089D">
        <w:rPr>
          <w:rFonts w:ascii="Arial" w:hAnsi="Arial" w:cs="Arial"/>
          <w:sz w:val="22"/>
          <w:szCs w:val="22"/>
          <w:lang w:val="en-US"/>
        </w:rPr>
        <w:t xml:space="preserve"> as a result</w:t>
      </w:r>
      <w:r w:rsidR="00424F8B">
        <w:rPr>
          <w:rFonts w:ascii="Arial" w:hAnsi="Arial" w:cs="Arial"/>
          <w:sz w:val="22"/>
          <w:szCs w:val="22"/>
          <w:lang w:val="en-US"/>
        </w:rPr>
        <w:t>,</w:t>
      </w:r>
      <w:r w:rsidR="00B2089D">
        <w:rPr>
          <w:rFonts w:ascii="Arial" w:hAnsi="Arial" w:cs="Arial"/>
          <w:sz w:val="22"/>
          <w:szCs w:val="22"/>
          <w:lang w:val="en-US"/>
        </w:rPr>
        <w:t xml:space="preserve"> the findings may be less generalizable.</w:t>
      </w:r>
    </w:p>
    <w:p w14:paraId="7C811BEA" w14:textId="77777777" w:rsidR="00EE4E17" w:rsidRDefault="00EE4E17" w:rsidP="004529F4">
      <w:pPr>
        <w:spacing w:line="480" w:lineRule="auto"/>
        <w:rPr>
          <w:rFonts w:ascii="Arial" w:hAnsi="Arial" w:cs="Arial"/>
          <w:sz w:val="22"/>
          <w:szCs w:val="22"/>
          <w:lang w:val="en-US"/>
        </w:rPr>
      </w:pPr>
    </w:p>
    <w:p w14:paraId="2E78C305" w14:textId="453B0B37" w:rsidR="007915A7" w:rsidRDefault="00EA08A3" w:rsidP="00EA08A3">
      <w:pPr>
        <w:widowControl w:val="0"/>
        <w:autoSpaceDE w:val="0"/>
        <w:autoSpaceDN w:val="0"/>
        <w:adjustRightInd w:val="0"/>
        <w:spacing w:after="240" w:line="480" w:lineRule="auto"/>
        <w:rPr>
          <w:rFonts w:ascii="Arial" w:hAnsi="Arial" w:cs="Arial"/>
          <w:sz w:val="22"/>
          <w:szCs w:val="22"/>
          <w:lang w:val="en-US"/>
        </w:rPr>
      </w:pPr>
      <w:r w:rsidRPr="000C3AF5">
        <w:rPr>
          <w:rFonts w:ascii="Arial" w:hAnsi="Arial" w:cs="Arial"/>
          <w:sz w:val="22"/>
          <w:szCs w:val="22"/>
          <w:lang w:val="en-US"/>
        </w:rPr>
        <w:t xml:space="preserve">The </w:t>
      </w:r>
      <w:r w:rsidR="00FD126C">
        <w:rPr>
          <w:rFonts w:ascii="Arial" w:hAnsi="Arial" w:cs="Arial"/>
          <w:sz w:val="22"/>
          <w:szCs w:val="22"/>
          <w:lang w:val="en-US"/>
        </w:rPr>
        <w:t>two remaining articles in the findings from this systematic review both use multilevel modelling to estimate therapist effects in IAPT.</w:t>
      </w:r>
      <w:r w:rsidRPr="000C3AF5">
        <w:rPr>
          <w:rFonts w:ascii="Arial" w:hAnsi="Arial" w:cs="Arial"/>
          <w:sz w:val="22"/>
          <w:szCs w:val="22"/>
          <w:lang w:val="en-US"/>
        </w:rPr>
        <w:t xml:space="preserve"> Pereira, Barkham and Saxon (2017) </w:t>
      </w:r>
      <w:r w:rsidR="00FD126C">
        <w:rPr>
          <w:rFonts w:ascii="Arial" w:hAnsi="Arial" w:cs="Arial"/>
          <w:sz w:val="22"/>
          <w:szCs w:val="22"/>
          <w:lang w:val="en-US"/>
        </w:rPr>
        <w:t xml:space="preserve">undertake a </w:t>
      </w:r>
      <w:r w:rsidRPr="000C3AF5">
        <w:rPr>
          <w:rFonts w:ascii="Arial" w:hAnsi="Arial" w:cs="Arial"/>
          <w:sz w:val="22"/>
          <w:szCs w:val="22"/>
          <w:lang w:val="en-US"/>
        </w:rPr>
        <w:t xml:space="preserve">feasibility study on the relationship between therapist resilience, mindfulness and clinical outcome.  Pereira (as part of her PhD) works with Barkham and Saxon using, MLM to understand the relationship between the two independent variables (therapist resilience and mindfulness) and clinical outcome, using </w:t>
      </w:r>
      <w:r w:rsidR="00614A70">
        <w:rPr>
          <w:rFonts w:ascii="Arial" w:hAnsi="Arial" w:cs="Arial"/>
          <w:sz w:val="22"/>
          <w:szCs w:val="22"/>
          <w:lang w:val="en-US"/>
        </w:rPr>
        <w:t xml:space="preserve">reliable improvement on </w:t>
      </w:r>
      <w:r w:rsidRPr="000C3AF5">
        <w:rPr>
          <w:rFonts w:ascii="Arial" w:hAnsi="Arial" w:cs="Arial"/>
          <w:sz w:val="22"/>
          <w:szCs w:val="22"/>
          <w:lang w:val="en-US"/>
        </w:rPr>
        <w:t>the PHQ-9</w:t>
      </w:r>
      <w:r w:rsidR="00614A70">
        <w:rPr>
          <w:rFonts w:ascii="Arial" w:hAnsi="Arial" w:cs="Arial"/>
          <w:sz w:val="22"/>
          <w:szCs w:val="22"/>
          <w:lang w:val="en-US"/>
        </w:rPr>
        <w:t xml:space="preserve"> as the primary outcome measure</w:t>
      </w:r>
      <w:r w:rsidRPr="000C3AF5">
        <w:rPr>
          <w:rFonts w:ascii="Arial" w:hAnsi="Arial" w:cs="Arial"/>
          <w:sz w:val="22"/>
          <w:szCs w:val="22"/>
          <w:lang w:val="en-US"/>
        </w:rPr>
        <w:t xml:space="preserve">.  </w:t>
      </w:r>
      <w:r w:rsidR="00614A70">
        <w:rPr>
          <w:rFonts w:ascii="Arial" w:hAnsi="Arial" w:cs="Arial"/>
          <w:sz w:val="22"/>
          <w:szCs w:val="22"/>
          <w:lang w:val="en-US"/>
        </w:rPr>
        <w:t>Their</w:t>
      </w:r>
      <w:r w:rsidR="00FD126C">
        <w:rPr>
          <w:rFonts w:ascii="Arial" w:hAnsi="Arial" w:cs="Arial"/>
          <w:sz w:val="22"/>
          <w:szCs w:val="22"/>
          <w:lang w:val="en-US"/>
        </w:rPr>
        <w:t xml:space="preserve"> study looks at two new variables (therapist resilience and therapist mindfulness)</w:t>
      </w:r>
      <w:r w:rsidR="00424F8B">
        <w:rPr>
          <w:rFonts w:ascii="Arial" w:hAnsi="Arial" w:cs="Arial"/>
          <w:sz w:val="22"/>
          <w:szCs w:val="22"/>
          <w:lang w:val="en-US"/>
        </w:rPr>
        <w:t>,</w:t>
      </w:r>
      <w:r w:rsidR="00FD126C">
        <w:rPr>
          <w:rFonts w:ascii="Arial" w:hAnsi="Arial" w:cs="Arial"/>
          <w:sz w:val="22"/>
          <w:szCs w:val="22"/>
          <w:lang w:val="en-US"/>
        </w:rPr>
        <w:t xml:space="preserve"> which very much add to the literature. </w:t>
      </w:r>
      <w:r w:rsidR="00FD126C" w:rsidRPr="000C3AF5">
        <w:rPr>
          <w:rFonts w:ascii="Arial" w:hAnsi="Arial" w:cs="Arial"/>
          <w:sz w:val="22"/>
          <w:szCs w:val="22"/>
          <w:lang w:val="en-US"/>
        </w:rPr>
        <w:t>The</w:t>
      </w:r>
      <w:r w:rsidR="00614A70">
        <w:rPr>
          <w:rFonts w:ascii="Arial" w:hAnsi="Arial" w:cs="Arial"/>
          <w:sz w:val="22"/>
          <w:szCs w:val="22"/>
          <w:lang w:val="en-US"/>
        </w:rPr>
        <w:t xml:space="preserve"> </w:t>
      </w:r>
      <w:r w:rsidR="00FD126C" w:rsidRPr="000C3AF5">
        <w:rPr>
          <w:rFonts w:ascii="Arial" w:hAnsi="Arial" w:cs="Arial"/>
          <w:sz w:val="22"/>
          <w:szCs w:val="22"/>
          <w:lang w:val="en-US"/>
        </w:rPr>
        <w:t>authors use two self-report questionnaires to assess both variables. They use the results from these, together with patient outcomes in their MLM</w:t>
      </w:r>
      <w:r w:rsidR="00FD126C">
        <w:rPr>
          <w:rFonts w:ascii="Arial" w:hAnsi="Arial" w:cs="Arial"/>
          <w:sz w:val="22"/>
          <w:szCs w:val="22"/>
          <w:lang w:val="en-US"/>
        </w:rPr>
        <w:t xml:space="preserve">. </w:t>
      </w:r>
      <w:r w:rsidR="00614A70">
        <w:rPr>
          <w:rFonts w:ascii="Arial" w:hAnsi="Arial" w:cs="Arial"/>
          <w:sz w:val="22"/>
          <w:szCs w:val="22"/>
          <w:lang w:val="en-US"/>
        </w:rPr>
        <w:t>Periera, Barkham and Saxon report a significant variance between therapists’ outcomes and</w:t>
      </w:r>
      <w:r w:rsidR="00FD126C" w:rsidRPr="000C3AF5">
        <w:rPr>
          <w:rFonts w:ascii="Arial" w:hAnsi="Arial" w:cs="Arial"/>
          <w:sz w:val="22"/>
          <w:szCs w:val="22"/>
          <w:lang w:val="en-US"/>
        </w:rPr>
        <w:t xml:space="preserve"> differentiate between the most effective and </w:t>
      </w:r>
      <w:r w:rsidR="00424F8B">
        <w:rPr>
          <w:rFonts w:ascii="Arial" w:hAnsi="Arial" w:cs="Arial"/>
          <w:sz w:val="22"/>
          <w:szCs w:val="22"/>
          <w:lang w:val="en-US"/>
        </w:rPr>
        <w:t xml:space="preserve">the </w:t>
      </w:r>
      <w:r w:rsidR="00FD126C" w:rsidRPr="000C3AF5">
        <w:rPr>
          <w:rFonts w:ascii="Arial" w:hAnsi="Arial" w:cs="Arial"/>
          <w:sz w:val="22"/>
          <w:szCs w:val="22"/>
          <w:lang w:val="en-US"/>
        </w:rPr>
        <w:t>least effective ther</w:t>
      </w:r>
      <w:r w:rsidR="00614A70">
        <w:rPr>
          <w:rFonts w:ascii="Arial" w:hAnsi="Arial" w:cs="Arial"/>
          <w:sz w:val="22"/>
          <w:szCs w:val="22"/>
          <w:lang w:val="en-US"/>
        </w:rPr>
        <w:t>a</w:t>
      </w:r>
      <w:r w:rsidR="00FD126C" w:rsidRPr="000C3AF5">
        <w:rPr>
          <w:rFonts w:ascii="Arial" w:hAnsi="Arial" w:cs="Arial"/>
          <w:sz w:val="22"/>
          <w:szCs w:val="22"/>
          <w:lang w:val="en-US"/>
        </w:rPr>
        <w:t xml:space="preserve">pists.  They </w:t>
      </w:r>
      <w:r w:rsidR="00614A70">
        <w:rPr>
          <w:rFonts w:ascii="Arial" w:hAnsi="Arial" w:cs="Arial"/>
          <w:sz w:val="22"/>
          <w:szCs w:val="22"/>
          <w:lang w:val="en-US"/>
        </w:rPr>
        <w:t>estimate</w:t>
      </w:r>
      <w:r w:rsidR="00FD126C" w:rsidRPr="000C3AF5">
        <w:rPr>
          <w:rFonts w:ascii="Arial" w:hAnsi="Arial" w:cs="Arial"/>
          <w:sz w:val="22"/>
          <w:szCs w:val="22"/>
          <w:lang w:val="en-US"/>
        </w:rPr>
        <w:t xml:space="preserve"> that therapist effects account for 6.7% of variance in patient outcome</w:t>
      </w:r>
      <w:r w:rsidR="00424F8B">
        <w:rPr>
          <w:rFonts w:ascii="Arial" w:hAnsi="Arial" w:cs="Arial"/>
          <w:sz w:val="22"/>
          <w:szCs w:val="22"/>
          <w:lang w:val="en-US"/>
        </w:rPr>
        <w:t xml:space="preserve"> and t</w:t>
      </w:r>
      <w:r w:rsidR="00FD126C" w:rsidRPr="000C3AF5">
        <w:rPr>
          <w:rFonts w:ascii="Arial" w:hAnsi="Arial" w:cs="Arial"/>
          <w:sz w:val="22"/>
          <w:szCs w:val="22"/>
          <w:lang w:val="en-US"/>
        </w:rPr>
        <w:t>hey present a strong argument that high levels of therapist resilience and mindfulness are important factors in the most effective therapists (p</w:t>
      </w:r>
      <w:r w:rsidR="007915A7">
        <w:rPr>
          <w:rFonts w:ascii="Arial" w:hAnsi="Arial" w:cs="Arial"/>
          <w:sz w:val="22"/>
          <w:szCs w:val="22"/>
          <w:lang w:val="en-US"/>
        </w:rPr>
        <w:t xml:space="preserve"> </w:t>
      </w:r>
      <w:r w:rsidR="00FD126C" w:rsidRPr="000C3AF5">
        <w:rPr>
          <w:rFonts w:ascii="Arial" w:hAnsi="Arial" w:cs="Arial"/>
          <w:sz w:val="22"/>
          <w:szCs w:val="22"/>
          <w:lang w:val="en-US"/>
        </w:rPr>
        <w:t>=</w:t>
      </w:r>
      <w:r w:rsidR="007915A7">
        <w:rPr>
          <w:rFonts w:ascii="Arial" w:hAnsi="Arial" w:cs="Arial"/>
          <w:sz w:val="22"/>
          <w:szCs w:val="22"/>
          <w:lang w:val="en-US"/>
        </w:rPr>
        <w:t xml:space="preserve">  </w:t>
      </w:r>
      <w:r w:rsidR="007915A7">
        <w:rPr>
          <w:rFonts w:ascii="Arial" w:hAnsi="Arial" w:cs="Arial"/>
          <w:sz w:val="22"/>
          <w:szCs w:val="22"/>
          <w:lang w:val="en-US"/>
        </w:rPr>
        <w:sym w:font="Symbol" w:char="F03C"/>
      </w:r>
      <w:r w:rsidR="007915A7">
        <w:rPr>
          <w:rFonts w:ascii="Arial" w:hAnsi="Arial" w:cs="Arial"/>
          <w:sz w:val="22"/>
          <w:szCs w:val="22"/>
          <w:lang w:val="en-US"/>
        </w:rPr>
        <w:t xml:space="preserve"> 0</w:t>
      </w:r>
      <w:r w:rsidR="00FD126C" w:rsidRPr="000C3AF5">
        <w:rPr>
          <w:rFonts w:ascii="Arial" w:hAnsi="Arial" w:cs="Arial"/>
          <w:sz w:val="22"/>
          <w:szCs w:val="22"/>
          <w:lang w:val="en-US"/>
        </w:rPr>
        <w:t>.005).</w:t>
      </w:r>
      <w:r w:rsidR="00614A70">
        <w:rPr>
          <w:rFonts w:ascii="Arial" w:hAnsi="Arial" w:cs="Arial"/>
          <w:sz w:val="22"/>
          <w:szCs w:val="22"/>
          <w:lang w:val="en-US"/>
        </w:rPr>
        <w:t xml:space="preserve"> </w:t>
      </w:r>
      <w:r w:rsidR="007915A7">
        <w:rPr>
          <w:rFonts w:ascii="Arial" w:hAnsi="Arial" w:cs="Arial"/>
          <w:sz w:val="22"/>
          <w:szCs w:val="22"/>
          <w:lang w:val="en-US"/>
        </w:rPr>
        <w:t xml:space="preserve">Out </w:t>
      </w:r>
      <w:r w:rsidR="00614A70">
        <w:rPr>
          <w:rFonts w:ascii="Arial" w:hAnsi="Arial" w:cs="Arial"/>
          <w:sz w:val="22"/>
          <w:szCs w:val="22"/>
          <w:lang w:val="en-US"/>
        </w:rPr>
        <w:t>of the 42 therapists in this cohort</w:t>
      </w:r>
      <w:r w:rsidR="00424F8B">
        <w:rPr>
          <w:rFonts w:ascii="Arial" w:hAnsi="Arial" w:cs="Arial"/>
          <w:sz w:val="22"/>
          <w:szCs w:val="22"/>
          <w:lang w:val="en-US"/>
        </w:rPr>
        <w:t>,</w:t>
      </w:r>
      <w:r w:rsidR="00614A70">
        <w:rPr>
          <w:rFonts w:ascii="Arial" w:hAnsi="Arial" w:cs="Arial"/>
          <w:sz w:val="22"/>
          <w:szCs w:val="22"/>
          <w:lang w:val="en-US"/>
        </w:rPr>
        <w:t xml:space="preserve"> 11 are Psychological Wellbeing Practitioners</w:t>
      </w:r>
      <w:r w:rsidR="006E05FA">
        <w:rPr>
          <w:rFonts w:ascii="Arial" w:hAnsi="Arial" w:cs="Arial"/>
          <w:sz w:val="22"/>
          <w:szCs w:val="22"/>
          <w:lang w:val="en-US"/>
        </w:rPr>
        <w:t xml:space="preserve"> (PWP)</w:t>
      </w:r>
      <w:r w:rsidR="00614A70">
        <w:rPr>
          <w:rFonts w:ascii="Arial" w:hAnsi="Arial" w:cs="Arial"/>
          <w:sz w:val="22"/>
          <w:szCs w:val="22"/>
          <w:lang w:val="en-US"/>
        </w:rPr>
        <w:t xml:space="preserve">, 19 are counsellors and </w:t>
      </w:r>
      <w:r w:rsidR="007915A7">
        <w:rPr>
          <w:rFonts w:ascii="Arial" w:hAnsi="Arial" w:cs="Arial"/>
          <w:sz w:val="22"/>
          <w:szCs w:val="22"/>
          <w:lang w:val="en-US"/>
        </w:rPr>
        <w:t xml:space="preserve">only </w:t>
      </w:r>
      <w:r w:rsidR="00614A70">
        <w:rPr>
          <w:rFonts w:ascii="Arial" w:hAnsi="Arial" w:cs="Arial"/>
          <w:sz w:val="22"/>
          <w:szCs w:val="22"/>
          <w:lang w:val="en-US"/>
        </w:rPr>
        <w:t xml:space="preserve">12 are </w:t>
      </w:r>
      <w:r w:rsidR="006E05FA">
        <w:rPr>
          <w:rFonts w:ascii="Arial" w:hAnsi="Arial" w:cs="Arial"/>
          <w:sz w:val="22"/>
          <w:szCs w:val="22"/>
          <w:lang w:val="en-US"/>
        </w:rPr>
        <w:t xml:space="preserve">High Intensity CBT therapists. The authors report that both CBT therapists and counsellors have roughly equivalent clinical outcomes and both groups tend to be more mindful than PWPs. They suggest that this is </w:t>
      </w:r>
      <w:r w:rsidR="006E05FA">
        <w:rPr>
          <w:rFonts w:ascii="Arial" w:hAnsi="Arial" w:cs="Arial"/>
          <w:sz w:val="22"/>
          <w:szCs w:val="22"/>
          <w:lang w:val="en-US"/>
        </w:rPr>
        <w:lastRenderedPageBreak/>
        <w:t xml:space="preserve">because PWPs are not exposed to mindfulness in their training. This argument is somewhat flawed because mindfulness is not on the IAPT training curriculum for High Intensity trainees either. </w:t>
      </w:r>
      <w:r w:rsidR="00030708">
        <w:rPr>
          <w:rFonts w:ascii="Arial" w:hAnsi="Arial" w:cs="Arial"/>
          <w:sz w:val="22"/>
          <w:szCs w:val="22"/>
          <w:lang w:val="en-US"/>
        </w:rPr>
        <w:t xml:space="preserve">In fact, the measure the authors used (Mindfulness Attention Awareness Scale, Brown and Ryan, 2003) does not assume prior training in mindfulness and is a commonly used self-report measure used to assess traits in patients (Brown and Ryan, 2004). </w:t>
      </w:r>
      <w:r w:rsidR="006E05FA">
        <w:rPr>
          <w:rFonts w:ascii="Arial" w:hAnsi="Arial" w:cs="Arial"/>
          <w:sz w:val="22"/>
          <w:szCs w:val="22"/>
          <w:lang w:val="en-US"/>
        </w:rPr>
        <w:t xml:space="preserve">Additionally, the use of </w:t>
      </w:r>
      <w:r w:rsidR="00FD126C" w:rsidRPr="000C3AF5">
        <w:rPr>
          <w:rFonts w:ascii="Arial" w:hAnsi="Arial" w:cs="Arial"/>
          <w:sz w:val="22"/>
          <w:szCs w:val="22"/>
          <w:lang w:val="en-US"/>
        </w:rPr>
        <w:t>self-report measures</w:t>
      </w:r>
      <w:r w:rsidR="00614A70">
        <w:rPr>
          <w:rFonts w:ascii="Arial" w:hAnsi="Arial" w:cs="Arial"/>
          <w:sz w:val="22"/>
          <w:szCs w:val="22"/>
          <w:lang w:val="en-US"/>
        </w:rPr>
        <w:t xml:space="preserve"> </w:t>
      </w:r>
      <w:r w:rsidR="006E05FA">
        <w:rPr>
          <w:rFonts w:ascii="Arial" w:hAnsi="Arial" w:cs="Arial"/>
          <w:sz w:val="22"/>
          <w:szCs w:val="22"/>
          <w:lang w:val="en-US"/>
        </w:rPr>
        <w:t>alone rather than including</w:t>
      </w:r>
      <w:r w:rsidR="00614A70">
        <w:rPr>
          <w:rFonts w:ascii="Arial" w:hAnsi="Arial" w:cs="Arial"/>
          <w:sz w:val="22"/>
          <w:szCs w:val="22"/>
          <w:lang w:val="en-US"/>
        </w:rPr>
        <w:t xml:space="preserve"> a clinical assessment</w:t>
      </w:r>
      <w:r w:rsidR="006E05FA">
        <w:rPr>
          <w:rFonts w:ascii="Arial" w:hAnsi="Arial" w:cs="Arial"/>
          <w:sz w:val="22"/>
          <w:szCs w:val="22"/>
          <w:lang w:val="en-US"/>
        </w:rPr>
        <w:t xml:space="preserve"> might be questioned</w:t>
      </w:r>
      <w:r w:rsidR="007915A7">
        <w:rPr>
          <w:rFonts w:ascii="Arial" w:hAnsi="Arial" w:cs="Arial"/>
          <w:sz w:val="22"/>
          <w:szCs w:val="22"/>
          <w:lang w:val="en-US"/>
        </w:rPr>
        <w:t>. However,</w:t>
      </w:r>
      <w:r w:rsidR="00614A70">
        <w:rPr>
          <w:rFonts w:ascii="Arial" w:hAnsi="Arial" w:cs="Arial"/>
          <w:sz w:val="22"/>
          <w:szCs w:val="22"/>
          <w:lang w:val="en-US"/>
        </w:rPr>
        <w:t xml:space="preserve"> </w:t>
      </w:r>
      <w:r w:rsidR="007915A7">
        <w:rPr>
          <w:rFonts w:ascii="Arial" w:hAnsi="Arial" w:cs="Arial"/>
          <w:sz w:val="22"/>
          <w:szCs w:val="22"/>
          <w:lang w:val="en-US"/>
        </w:rPr>
        <w:t xml:space="preserve">it is likely that undertaking a clinical assessment may have deterred participants and </w:t>
      </w:r>
      <w:r w:rsidR="00614A70">
        <w:rPr>
          <w:rFonts w:ascii="Arial" w:hAnsi="Arial" w:cs="Arial"/>
          <w:sz w:val="22"/>
          <w:szCs w:val="22"/>
          <w:lang w:val="en-US"/>
        </w:rPr>
        <w:t>may be ethically and logistically challenging</w:t>
      </w:r>
      <w:r w:rsidR="007915A7">
        <w:rPr>
          <w:rFonts w:ascii="Arial" w:hAnsi="Arial" w:cs="Arial"/>
          <w:sz w:val="22"/>
          <w:szCs w:val="22"/>
          <w:lang w:val="en-US"/>
        </w:rPr>
        <w:t>. Despite the challenges</w:t>
      </w:r>
      <w:r w:rsidR="00424F8B">
        <w:rPr>
          <w:rFonts w:ascii="Arial" w:hAnsi="Arial" w:cs="Arial"/>
          <w:sz w:val="22"/>
          <w:szCs w:val="22"/>
          <w:lang w:val="en-US"/>
        </w:rPr>
        <w:t>,</w:t>
      </w:r>
      <w:r w:rsidR="007915A7">
        <w:rPr>
          <w:rFonts w:ascii="Arial" w:hAnsi="Arial" w:cs="Arial"/>
          <w:sz w:val="22"/>
          <w:szCs w:val="22"/>
          <w:lang w:val="en-US"/>
        </w:rPr>
        <w:t xml:space="preserve"> the authors</w:t>
      </w:r>
      <w:r w:rsidR="00FD126C" w:rsidRPr="000C3AF5">
        <w:rPr>
          <w:rFonts w:ascii="Arial" w:hAnsi="Arial" w:cs="Arial"/>
          <w:sz w:val="22"/>
          <w:szCs w:val="22"/>
          <w:lang w:val="en-US"/>
        </w:rPr>
        <w:t xml:space="preserve"> new and innovative findings on what variables may account for the variance in clinical outcome add a new theme to the literature. If therapist resilience and mindfulness are a factor that leads to better patient outcome then this has implications for both trainee selection, therapist training, continuing professional development and patient outcomes. </w:t>
      </w:r>
    </w:p>
    <w:p w14:paraId="0C018B7B" w14:textId="166D56DE" w:rsidR="00FD126C" w:rsidRDefault="007915A7" w:rsidP="000861F8">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In the final article of this review the authors also look at therapists’ emotional factors</w:t>
      </w:r>
      <w:r w:rsidR="009E1D04">
        <w:rPr>
          <w:rFonts w:ascii="Arial" w:hAnsi="Arial" w:cs="Arial"/>
          <w:sz w:val="22"/>
          <w:szCs w:val="22"/>
          <w:lang w:val="en-US"/>
        </w:rPr>
        <w:t xml:space="preserve"> as a predictor variable of clinical outcome.</w:t>
      </w:r>
      <w:r>
        <w:rPr>
          <w:rFonts w:ascii="Arial" w:hAnsi="Arial" w:cs="Arial"/>
          <w:sz w:val="22"/>
          <w:szCs w:val="22"/>
          <w:lang w:val="en-US"/>
        </w:rPr>
        <w:t xml:space="preserve"> In this study Delgadillo</w:t>
      </w:r>
      <w:r w:rsidR="009E1D04">
        <w:rPr>
          <w:rFonts w:ascii="Arial" w:hAnsi="Arial" w:cs="Arial"/>
          <w:sz w:val="22"/>
          <w:szCs w:val="22"/>
          <w:lang w:val="en-US"/>
        </w:rPr>
        <w:t>, Saxon and Barkham look at the associations between therapists’ occupational burnout and the clinical outcomes of their patients. Despite the rising incidence of occupational burnout amongst therapists in IAPT (</w:t>
      </w:r>
      <w:r w:rsidR="005328F6">
        <w:rPr>
          <w:rFonts w:ascii="Arial" w:hAnsi="Arial" w:cs="Arial"/>
          <w:sz w:val="22"/>
          <w:szCs w:val="22"/>
          <w:lang w:val="en-US"/>
        </w:rPr>
        <w:t>Westwood, Morison, Allt, Holmes, 2017</w:t>
      </w:r>
      <w:r w:rsidR="009E1D04">
        <w:rPr>
          <w:rFonts w:ascii="Arial" w:hAnsi="Arial" w:cs="Arial"/>
          <w:sz w:val="22"/>
          <w:szCs w:val="22"/>
          <w:lang w:val="en-US"/>
        </w:rPr>
        <w:t xml:space="preserve">) there is very little literature investigating the impact of burnout on clinical outcomes. </w:t>
      </w:r>
      <w:r w:rsidR="000E525D">
        <w:rPr>
          <w:rFonts w:ascii="Arial" w:hAnsi="Arial" w:cs="Arial"/>
          <w:sz w:val="22"/>
          <w:szCs w:val="22"/>
          <w:lang w:val="en-US"/>
        </w:rPr>
        <w:t>As in the previous study</w:t>
      </w:r>
      <w:r w:rsidR="00424F8B">
        <w:rPr>
          <w:rFonts w:ascii="Arial" w:hAnsi="Arial" w:cs="Arial"/>
          <w:sz w:val="22"/>
          <w:szCs w:val="22"/>
          <w:lang w:val="en-US"/>
        </w:rPr>
        <w:t>,</w:t>
      </w:r>
      <w:r w:rsidR="000E525D">
        <w:rPr>
          <w:rFonts w:ascii="Arial" w:hAnsi="Arial" w:cs="Arial"/>
          <w:sz w:val="22"/>
          <w:szCs w:val="22"/>
          <w:lang w:val="en-US"/>
        </w:rPr>
        <w:t xml:space="preserve"> the authors used a self-report measure (Oldenburg Burnout Inventory</w:t>
      </w:r>
      <w:r w:rsidR="00F40572">
        <w:rPr>
          <w:rFonts w:ascii="Arial" w:hAnsi="Arial" w:cs="Arial"/>
          <w:sz w:val="22"/>
          <w:szCs w:val="22"/>
          <w:lang w:val="en-US"/>
        </w:rPr>
        <w:t xml:space="preserve">, </w:t>
      </w:r>
      <w:r w:rsidR="000E525D">
        <w:rPr>
          <w:rFonts w:ascii="Arial" w:hAnsi="Arial" w:cs="Arial"/>
          <w:sz w:val="22"/>
          <w:szCs w:val="22"/>
          <w:lang w:val="en-US"/>
        </w:rPr>
        <w:t xml:space="preserve">Demerouti, Bakker, Nachreiner and Schaufeli, 2001) to rate occupational burnout. </w:t>
      </w:r>
      <w:r w:rsidR="009E1D04">
        <w:rPr>
          <w:rFonts w:ascii="Arial" w:hAnsi="Arial" w:cs="Arial"/>
          <w:sz w:val="22"/>
          <w:szCs w:val="22"/>
          <w:lang w:val="en-US"/>
        </w:rPr>
        <w:t xml:space="preserve">Perhaps unsurprisingly, the authors found a significant (p= </w:t>
      </w:r>
      <w:r w:rsidR="009E1D04">
        <w:rPr>
          <w:rFonts w:ascii="Arial" w:hAnsi="Arial" w:cs="Arial"/>
          <w:sz w:val="22"/>
          <w:szCs w:val="22"/>
          <w:lang w:val="en-US"/>
        </w:rPr>
        <w:sym w:font="Symbol" w:char="F03C"/>
      </w:r>
      <w:r w:rsidR="009E1D04">
        <w:rPr>
          <w:rFonts w:ascii="Arial" w:hAnsi="Arial" w:cs="Arial"/>
          <w:sz w:val="22"/>
          <w:szCs w:val="22"/>
          <w:lang w:val="en-US"/>
        </w:rPr>
        <w:t xml:space="preserve"> 0.05) relationship between occupational burnout and clinical outcome with an overall therapist effect of 5%.</w:t>
      </w:r>
      <w:r w:rsidR="005328F6">
        <w:rPr>
          <w:rFonts w:ascii="Arial" w:hAnsi="Arial" w:cs="Arial"/>
          <w:sz w:val="22"/>
          <w:szCs w:val="22"/>
          <w:lang w:val="en-US"/>
        </w:rPr>
        <w:t xml:space="preserve"> Of the n = 49 therapists included in this study, only 21 were High Intensity CBT therapists. Unfortunately, the authors do not provide a specific breakdown of their findings</w:t>
      </w:r>
      <w:r w:rsidR="000E525D">
        <w:rPr>
          <w:rFonts w:ascii="Arial" w:hAnsi="Arial" w:cs="Arial"/>
          <w:sz w:val="22"/>
          <w:szCs w:val="22"/>
          <w:lang w:val="en-US"/>
        </w:rPr>
        <w:t>,</w:t>
      </w:r>
      <w:r w:rsidR="005328F6">
        <w:rPr>
          <w:rFonts w:ascii="Arial" w:hAnsi="Arial" w:cs="Arial"/>
          <w:sz w:val="22"/>
          <w:szCs w:val="22"/>
          <w:lang w:val="en-US"/>
        </w:rPr>
        <w:t xml:space="preserve"> so it was unclear </w:t>
      </w:r>
      <w:r w:rsidR="000E525D">
        <w:rPr>
          <w:rFonts w:ascii="Arial" w:hAnsi="Arial" w:cs="Arial"/>
          <w:sz w:val="22"/>
          <w:szCs w:val="22"/>
          <w:lang w:val="en-US"/>
        </w:rPr>
        <w:t>how the finding related specifically to High Intensity CBT therapists. Additionally,</w:t>
      </w:r>
      <w:r w:rsidR="005328F6">
        <w:rPr>
          <w:rFonts w:ascii="Arial" w:hAnsi="Arial" w:cs="Arial"/>
          <w:sz w:val="22"/>
          <w:szCs w:val="22"/>
          <w:lang w:val="en-US"/>
        </w:rPr>
        <w:t xml:space="preserve"> </w:t>
      </w:r>
      <w:r w:rsidR="000E525D">
        <w:rPr>
          <w:rFonts w:ascii="Arial" w:hAnsi="Arial" w:cs="Arial"/>
          <w:sz w:val="22"/>
          <w:szCs w:val="22"/>
          <w:lang w:val="en-US"/>
        </w:rPr>
        <w:t>it is</w:t>
      </w:r>
      <w:r w:rsidR="005328F6">
        <w:rPr>
          <w:rFonts w:ascii="Arial" w:hAnsi="Arial" w:cs="Arial"/>
          <w:sz w:val="22"/>
          <w:szCs w:val="22"/>
          <w:lang w:val="en-US"/>
        </w:rPr>
        <w:t xml:space="preserve"> unclear how much of the overall therapist effect was due to occupational burnout</w:t>
      </w:r>
      <w:r w:rsidR="000E525D">
        <w:rPr>
          <w:rFonts w:ascii="Arial" w:hAnsi="Arial" w:cs="Arial"/>
          <w:sz w:val="22"/>
          <w:szCs w:val="22"/>
          <w:lang w:val="en-US"/>
        </w:rPr>
        <w:t xml:space="preserve"> in the whole cohort.</w:t>
      </w:r>
      <w:r w:rsidR="005328F6">
        <w:rPr>
          <w:rFonts w:ascii="Arial" w:hAnsi="Arial" w:cs="Arial"/>
          <w:sz w:val="22"/>
          <w:szCs w:val="22"/>
          <w:lang w:val="en-US"/>
        </w:rPr>
        <w:t xml:space="preserve"> </w:t>
      </w:r>
      <w:r w:rsidR="000E525D">
        <w:rPr>
          <w:rFonts w:ascii="Arial" w:hAnsi="Arial" w:cs="Arial"/>
          <w:sz w:val="22"/>
          <w:szCs w:val="22"/>
          <w:lang w:val="en-US"/>
        </w:rPr>
        <w:t xml:space="preserve">Regardless of these issues this article examines a </w:t>
      </w:r>
      <w:r w:rsidR="000E525D">
        <w:rPr>
          <w:rFonts w:ascii="Arial" w:hAnsi="Arial" w:cs="Arial"/>
          <w:sz w:val="22"/>
          <w:szCs w:val="22"/>
          <w:lang w:val="en-US"/>
        </w:rPr>
        <w:lastRenderedPageBreak/>
        <w:t xml:space="preserve">previously unexplored variable and the implications of the findings, in relation to providing adequate support to therapists in order to improve clinical outcomes, are not insignificant. </w:t>
      </w:r>
      <w:r w:rsidR="00FD126C" w:rsidRPr="000C3AF5">
        <w:rPr>
          <w:rFonts w:ascii="Arial" w:hAnsi="Arial" w:cs="Arial"/>
          <w:sz w:val="22"/>
          <w:szCs w:val="22"/>
          <w:lang w:val="en-US"/>
        </w:rPr>
        <w:t>It is these implications that drive researchers to learn more about how therapist variables impact on service delivery and recovery rates. It is clear from the research on general therapist effects that the therapist may be accountable for up to 8.6% of the variance in recovery rates (Crits-Christoph</w:t>
      </w:r>
      <w:r w:rsidR="00F40572">
        <w:rPr>
          <w:rFonts w:ascii="Arial" w:hAnsi="Arial" w:cs="Arial"/>
          <w:sz w:val="22"/>
          <w:szCs w:val="22"/>
          <w:lang w:val="en-US"/>
        </w:rPr>
        <w:t>,</w:t>
      </w:r>
      <w:r w:rsidR="00FD126C" w:rsidRPr="000C3AF5">
        <w:rPr>
          <w:rFonts w:ascii="Arial" w:hAnsi="Arial" w:cs="Arial"/>
          <w:sz w:val="22"/>
          <w:szCs w:val="22"/>
          <w:lang w:val="en-US"/>
        </w:rPr>
        <w:t xml:space="preserve"> 1991).  However, there remains a great deal of conjecture about whether this figure has been overestimated (Brown et al., 2005, Wampold and Brown</w:t>
      </w:r>
      <w:r w:rsidR="00F40572">
        <w:rPr>
          <w:rFonts w:ascii="Arial" w:hAnsi="Arial" w:cs="Arial"/>
          <w:sz w:val="22"/>
          <w:szCs w:val="22"/>
          <w:lang w:val="en-US"/>
        </w:rPr>
        <w:t>,</w:t>
      </w:r>
      <w:r w:rsidR="00FD126C" w:rsidRPr="000C3AF5">
        <w:rPr>
          <w:rFonts w:ascii="Arial" w:hAnsi="Arial" w:cs="Arial"/>
          <w:sz w:val="22"/>
          <w:szCs w:val="22"/>
          <w:lang w:val="en-US"/>
        </w:rPr>
        <w:t xml:space="preserve"> 2005). Alternatively, it is possible that previous studies are underestimating the significance of therapist variables in relation to patient outcome (Baldwin and Imel</w:t>
      </w:r>
      <w:r w:rsidR="00F40572">
        <w:rPr>
          <w:rFonts w:ascii="Arial" w:hAnsi="Arial" w:cs="Arial"/>
          <w:sz w:val="22"/>
          <w:szCs w:val="22"/>
          <w:lang w:val="en-US"/>
        </w:rPr>
        <w:t>,</w:t>
      </w:r>
      <w:r w:rsidR="00FD126C" w:rsidRPr="000C3AF5">
        <w:rPr>
          <w:rFonts w:ascii="Arial" w:hAnsi="Arial" w:cs="Arial"/>
          <w:sz w:val="22"/>
          <w:szCs w:val="22"/>
          <w:lang w:val="en-US"/>
        </w:rPr>
        <w:t xml:space="preserve"> 2013). This may occur because most studies are not set up to specifically study therapist effects. </w:t>
      </w:r>
      <w:r w:rsidR="00FD126C">
        <w:rPr>
          <w:rFonts w:ascii="Arial" w:hAnsi="Arial" w:cs="Arial"/>
          <w:sz w:val="22"/>
          <w:szCs w:val="22"/>
          <w:lang w:val="en-US"/>
        </w:rPr>
        <w:t xml:space="preserve">However, </w:t>
      </w:r>
      <w:r>
        <w:rPr>
          <w:rFonts w:ascii="Arial" w:hAnsi="Arial" w:cs="Arial"/>
          <w:sz w:val="22"/>
          <w:szCs w:val="22"/>
          <w:lang w:val="en-US"/>
        </w:rPr>
        <w:t>the three therapist effects studies in</w:t>
      </w:r>
      <w:r w:rsidR="000E525D">
        <w:rPr>
          <w:rFonts w:ascii="Arial" w:hAnsi="Arial" w:cs="Arial"/>
          <w:sz w:val="22"/>
          <w:szCs w:val="22"/>
          <w:lang w:val="en-US"/>
        </w:rPr>
        <w:t>cluded</w:t>
      </w:r>
      <w:r>
        <w:rPr>
          <w:rFonts w:ascii="Arial" w:hAnsi="Arial" w:cs="Arial"/>
          <w:sz w:val="22"/>
          <w:szCs w:val="22"/>
          <w:lang w:val="en-US"/>
        </w:rPr>
        <w:t xml:space="preserve"> this review have all been designed as such.</w:t>
      </w:r>
    </w:p>
    <w:p w14:paraId="5E79F46B" w14:textId="07A296E6" w:rsidR="000E525D" w:rsidRDefault="000E525D" w:rsidP="00EA08A3">
      <w:pPr>
        <w:widowControl w:val="0"/>
        <w:autoSpaceDE w:val="0"/>
        <w:autoSpaceDN w:val="0"/>
        <w:adjustRightInd w:val="0"/>
        <w:spacing w:after="240" w:line="480" w:lineRule="auto"/>
        <w:rPr>
          <w:rFonts w:ascii="Arial" w:hAnsi="Arial" w:cs="Arial"/>
          <w:sz w:val="22"/>
          <w:szCs w:val="22"/>
          <w:lang w:val="en-US"/>
        </w:rPr>
      </w:pPr>
    </w:p>
    <w:p w14:paraId="0383A9DC" w14:textId="6A33983D" w:rsidR="000E525D" w:rsidRPr="00892B31" w:rsidRDefault="000E525D" w:rsidP="00892B31">
      <w:pPr>
        <w:pStyle w:val="Heading3"/>
        <w:rPr>
          <w:rFonts w:cs="Arial"/>
          <w:color w:val="000000" w:themeColor="text1"/>
          <w:szCs w:val="22"/>
          <w:lang w:val="en-US"/>
        </w:rPr>
      </w:pPr>
      <w:bookmarkStart w:id="220" w:name="_Toc46770772"/>
      <w:bookmarkStart w:id="221" w:name="_Toc79414183"/>
      <w:r w:rsidRPr="00892B31">
        <w:rPr>
          <w:rFonts w:cs="Arial"/>
          <w:color w:val="000000" w:themeColor="text1"/>
          <w:szCs w:val="22"/>
          <w:lang w:val="en-US"/>
        </w:rPr>
        <w:t>3.</w:t>
      </w:r>
      <w:r w:rsidR="00441DB8">
        <w:rPr>
          <w:rFonts w:cs="Arial"/>
          <w:color w:val="000000" w:themeColor="text1"/>
          <w:szCs w:val="22"/>
          <w:lang w:val="en-US"/>
        </w:rPr>
        <w:t>2</w:t>
      </w:r>
      <w:r w:rsidRPr="00892B31">
        <w:rPr>
          <w:rFonts w:cs="Arial"/>
          <w:color w:val="000000" w:themeColor="text1"/>
          <w:szCs w:val="22"/>
          <w:lang w:val="en-US"/>
        </w:rPr>
        <w:t>.</w:t>
      </w:r>
      <w:r w:rsidR="00AD0A0A">
        <w:rPr>
          <w:rFonts w:cs="Arial"/>
          <w:color w:val="000000" w:themeColor="text1"/>
          <w:szCs w:val="22"/>
          <w:lang w:val="en-US"/>
        </w:rPr>
        <w:t>5</w:t>
      </w:r>
      <w:r w:rsidRPr="00892B31">
        <w:rPr>
          <w:rFonts w:cs="Arial"/>
          <w:color w:val="000000" w:themeColor="text1"/>
          <w:szCs w:val="22"/>
          <w:lang w:val="en-US"/>
        </w:rPr>
        <w:t xml:space="preserve"> Sample size</w:t>
      </w:r>
      <w:bookmarkEnd w:id="220"/>
      <w:bookmarkEnd w:id="221"/>
      <w:r w:rsidR="00441DB8">
        <w:rPr>
          <w:rFonts w:cs="Arial"/>
          <w:color w:val="000000" w:themeColor="text1"/>
          <w:szCs w:val="22"/>
          <w:lang w:val="en-US"/>
        </w:rPr>
        <w:t xml:space="preserve"> </w:t>
      </w:r>
    </w:p>
    <w:p w14:paraId="22241C82" w14:textId="77777777" w:rsidR="00892B31" w:rsidRDefault="00892B31" w:rsidP="00EA08A3">
      <w:pPr>
        <w:widowControl w:val="0"/>
        <w:autoSpaceDE w:val="0"/>
        <w:autoSpaceDN w:val="0"/>
        <w:adjustRightInd w:val="0"/>
        <w:spacing w:after="240" w:line="480" w:lineRule="auto"/>
        <w:rPr>
          <w:rFonts w:ascii="Arial" w:hAnsi="Arial" w:cs="Arial"/>
          <w:sz w:val="22"/>
          <w:szCs w:val="22"/>
          <w:lang w:val="en-US"/>
        </w:rPr>
      </w:pPr>
    </w:p>
    <w:p w14:paraId="2EFC57F9" w14:textId="7BAA360C" w:rsidR="00892B31" w:rsidRDefault="000E525D" w:rsidP="00EA08A3">
      <w:pPr>
        <w:widowControl w:val="0"/>
        <w:autoSpaceDE w:val="0"/>
        <w:autoSpaceDN w:val="0"/>
        <w:adjustRightInd w:val="0"/>
        <w:spacing w:after="240" w:line="480" w:lineRule="auto"/>
        <w:rPr>
          <w:rFonts w:ascii="Arial" w:hAnsi="Arial" w:cs="Arial"/>
          <w:sz w:val="22"/>
          <w:szCs w:val="22"/>
          <w:lang w:val="en-US"/>
        </w:rPr>
      </w:pPr>
      <w:r>
        <w:rPr>
          <w:rFonts w:ascii="Arial" w:hAnsi="Arial" w:cs="Arial"/>
          <w:sz w:val="22"/>
          <w:szCs w:val="22"/>
          <w:lang w:val="en-US"/>
        </w:rPr>
        <w:t>There has been some debate about the importance of sample sizes in the study of therapist variables and therapist effects (Schiefele, Lutz, Barkham, Rubel, Bohnk</w:t>
      </w:r>
      <w:r w:rsidR="00892B31">
        <w:rPr>
          <w:rFonts w:ascii="Arial" w:hAnsi="Arial" w:cs="Arial"/>
          <w:sz w:val="22"/>
          <w:szCs w:val="22"/>
          <w:lang w:val="en-US"/>
        </w:rPr>
        <w:t>e, Delgadillo, Lambert et al., 2017). The studies in this review were included because they met the recommendations for sample size in these types of studies. Figure</w:t>
      </w:r>
      <w:r w:rsidR="00ED2602">
        <w:rPr>
          <w:rFonts w:ascii="Arial" w:hAnsi="Arial" w:cs="Arial"/>
          <w:sz w:val="22"/>
          <w:szCs w:val="22"/>
          <w:lang w:val="en-US"/>
        </w:rPr>
        <w:t>s</w:t>
      </w:r>
      <w:r w:rsidR="00892B31">
        <w:rPr>
          <w:rFonts w:ascii="Arial" w:hAnsi="Arial" w:cs="Arial"/>
          <w:sz w:val="22"/>
          <w:szCs w:val="22"/>
          <w:lang w:val="en-US"/>
        </w:rPr>
        <w:t xml:space="preserve"> 3.</w:t>
      </w:r>
      <w:r w:rsidR="00440DDE">
        <w:rPr>
          <w:rFonts w:ascii="Arial" w:hAnsi="Arial" w:cs="Arial"/>
          <w:sz w:val="22"/>
          <w:szCs w:val="22"/>
          <w:lang w:val="en-US"/>
        </w:rPr>
        <w:t>2</w:t>
      </w:r>
      <w:r w:rsidR="00ED2602">
        <w:rPr>
          <w:rFonts w:ascii="Arial" w:hAnsi="Arial" w:cs="Arial"/>
          <w:sz w:val="22"/>
          <w:szCs w:val="22"/>
          <w:lang w:val="en-US"/>
        </w:rPr>
        <w:t xml:space="preserve"> and 3.</w:t>
      </w:r>
      <w:r w:rsidR="00440DDE">
        <w:rPr>
          <w:rFonts w:ascii="Arial" w:hAnsi="Arial" w:cs="Arial"/>
          <w:sz w:val="22"/>
          <w:szCs w:val="22"/>
          <w:lang w:val="en-US"/>
        </w:rPr>
        <w:t>3</w:t>
      </w:r>
      <w:r w:rsidR="00892B31">
        <w:rPr>
          <w:rFonts w:ascii="Arial" w:hAnsi="Arial" w:cs="Arial"/>
          <w:sz w:val="22"/>
          <w:szCs w:val="22"/>
          <w:lang w:val="en-US"/>
        </w:rPr>
        <w:t xml:space="preserve"> show the sample size</w:t>
      </w:r>
      <w:r w:rsidR="00ED2602">
        <w:rPr>
          <w:rFonts w:ascii="Arial" w:hAnsi="Arial" w:cs="Arial"/>
          <w:sz w:val="22"/>
          <w:szCs w:val="22"/>
          <w:lang w:val="en-US"/>
        </w:rPr>
        <w:t xml:space="preserve"> (therapist and patient)</w:t>
      </w:r>
      <w:r w:rsidR="00892B31">
        <w:rPr>
          <w:rFonts w:ascii="Arial" w:hAnsi="Arial" w:cs="Arial"/>
          <w:sz w:val="22"/>
          <w:szCs w:val="22"/>
          <w:lang w:val="en-US"/>
        </w:rPr>
        <w:t xml:space="preserve"> for each study.</w:t>
      </w:r>
      <w:r w:rsidR="00441DB8">
        <w:rPr>
          <w:rFonts w:ascii="Arial" w:hAnsi="Arial" w:cs="Arial"/>
          <w:sz w:val="22"/>
          <w:szCs w:val="22"/>
          <w:lang w:val="en-US"/>
        </w:rPr>
        <w:t xml:space="preserve"> However, given that in each of these studies the sample of interest is the therapist</w:t>
      </w:r>
      <w:r w:rsidR="00C36598">
        <w:rPr>
          <w:rFonts w:ascii="Arial" w:hAnsi="Arial" w:cs="Arial"/>
          <w:sz w:val="22"/>
          <w:szCs w:val="22"/>
          <w:lang w:val="en-US"/>
        </w:rPr>
        <w:t>,</w:t>
      </w:r>
      <w:r w:rsidR="00441DB8">
        <w:rPr>
          <w:rFonts w:ascii="Arial" w:hAnsi="Arial" w:cs="Arial"/>
          <w:sz w:val="22"/>
          <w:szCs w:val="22"/>
          <w:lang w:val="en-US"/>
        </w:rPr>
        <w:t xml:space="preserve"> it might be argued that that whilst the studies were adequately powered in relation to the numbers of patients that were treated but that the sample size of therapists might have been larger.</w:t>
      </w:r>
    </w:p>
    <w:p w14:paraId="0FF58F6A" w14:textId="743DB403" w:rsidR="005D0440" w:rsidRDefault="005D0440" w:rsidP="00EA08A3">
      <w:pPr>
        <w:widowControl w:val="0"/>
        <w:autoSpaceDE w:val="0"/>
        <w:autoSpaceDN w:val="0"/>
        <w:adjustRightInd w:val="0"/>
        <w:spacing w:after="240" w:line="480" w:lineRule="auto"/>
        <w:rPr>
          <w:rFonts w:ascii="Arial" w:hAnsi="Arial" w:cs="Arial"/>
          <w:sz w:val="22"/>
          <w:szCs w:val="22"/>
          <w:lang w:val="en-US"/>
        </w:rPr>
      </w:pPr>
    </w:p>
    <w:p w14:paraId="640E5143" w14:textId="77777777" w:rsidR="00BC4ABD" w:rsidRDefault="00BC4ABD" w:rsidP="00EA08A3">
      <w:pPr>
        <w:widowControl w:val="0"/>
        <w:autoSpaceDE w:val="0"/>
        <w:autoSpaceDN w:val="0"/>
        <w:adjustRightInd w:val="0"/>
        <w:spacing w:after="240" w:line="480" w:lineRule="auto"/>
        <w:rPr>
          <w:rFonts w:ascii="Arial" w:hAnsi="Arial" w:cs="Arial"/>
          <w:b/>
          <w:bCs/>
          <w:sz w:val="22"/>
          <w:szCs w:val="22"/>
          <w:lang w:val="en-US"/>
        </w:rPr>
      </w:pPr>
    </w:p>
    <w:p w14:paraId="6CD34F01" w14:textId="77777777" w:rsidR="00BC4ABD" w:rsidRDefault="00BC4ABD" w:rsidP="00EA08A3">
      <w:pPr>
        <w:widowControl w:val="0"/>
        <w:autoSpaceDE w:val="0"/>
        <w:autoSpaceDN w:val="0"/>
        <w:adjustRightInd w:val="0"/>
        <w:spacing w:after="240" w:line="480" w:lineRule="auto"/>
        <w:rPr>
          <w:rFonts w:ascii="Arial" w:hAnsi="Arial" w:cs="Arial"/>
          <w:b/>
          <w:bCs/>
          <w:sz w:val="22"/>
          <w:szCs w:val="22"/>
          <w:lang w:val="en-US"/>
        </w:rPr>
      </w:pPr>
    </w:p>
    <w:p w14:paraId="342C9073" w14:textId="173F1D7C" w:rsidR="006E2A72" w:rsidRDefault="006E2A72" w:rsidP="006E2A72">
      <w:pPr>
        <w:pStyle w:val="Figures"/>
      </w:pPr>
      <w:bookmarkStart w:id="222" w:name="_Toc46770942"/>
      <w:r w:rsidRPr="00AF760D">
        <w:lastRenderedPageBreak/>
        <w:t>Figure 3.2</w:t>
      </w:r>
      <w:r w:rsidRPr="006E2A72">
        <w:rPr>
          <w:b w:val="0"/>
        </w:rPr>
        <w:t xml:space="preserve"> Sample size – therapist (Gyani et al., fail to disclose therapist n)</w:t>
      </w:r>
      <w:bookmarkEnd w:id="222"/>
    </w:p>
    <w:p w14:paraId="204451CA" w14:textId="16A86527" w:rsidR="000E525D" w:rsidRDefault="00ED2602" w:rsidP="00EA08A3">
      <w:pPr>
        <w:widowControl w:val="0"/>
        <w:autoSpaceDE w:val="0"/>
        <w:autoSpaceDN w:val="0"/>
        <w:adjustRightInd w:val="0"/>
        <w:spacing w:after="240" w:line="480" w:lineRule="auto"/>
        <w:rPr>
          <w:rFonts w:ascii="Arial" w:hAnsi="Arial" w:cs="Arial"/>
          <w:sz w:val="22"/>
          <w:szCs w:val="22"/>
        </w:rPr>
      </w:pPr>
      <w:r>
        <w:rPr>
          <w:noProof/>
        </w:rPr>
        <w:drawing>
          <wp:inline distT="0" distB="0" distL="0" distR="0" wp14:anchorId="3E9211D0" wp14:editId="41DD4F94">
            <wp:extent cx="4572000" cy="2743200"/>
            <wp:effectExtent l="0" t="0" r="0" b="0"/>
            <wp:docPr id="1" name="Chart 1" descr="P1530#yIS1">
              <a:extLst xmlns:a="http://schemas.openxmlformats.org/drawingml/2006/main">
                <a:ext uri="{FF2B5EF4-FFF2-40B4-BE49-F238E27FC236}">
                  <a16:creationId xmlns:a16="http://schemas.microsoft.com/office/drawing/2014/main" id="{68E41E86-A73A-CE47-B210-8EB7F4CB0F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2E4448A2" w14:textId="2B7D776C" w:rsidR="006E2A72" w:rsidRDefault="006E2A72" w:rsidP="006E2A72">
      <w:pPr>
        <w:pStyle w:val="Figures"/>
      </w:pPr>
      <w:bookmarkStart w:id="223" w:name="_Toc46770943"/>
      <w:r w:rsidRPr="00EE6E92">
        <w:t xml:space="preserve">Figure 3.3 </w:t>
      </w:r>
      <w:r w:rsidRPr="006E2A72">
        <w:rPr>
          <w:b w:val="0"/>
        </w:rPr>
        <w:t>Sample size – patient</w:t>
      </w:r>
      <w:bookmarkEnd w:id="223"/>
    </w:p>
    <w:p w14:paraId="5DDF5BEE" w14:textId="77777777" w:rsidR="00441DB8" w:rsidRDefault="00ED2602" w:rsidP="00441DB8">
      <w:pPr>
        <w:widowControl w:val="0"/>
        <w:autoSpaceDE w:val="0"/>
        <w:autoSpaceDN w:val="0"/>
        <w:adjustRightInd w:val="0"/>
        <w:spacing w:after="240" w:line="480" w:lineRule="auto"/>
        <w:rPr>
          <w:rFonts w:ascii="Arial" w:hAnsi="Arial" w:cs="Arial"/>
          <w:color w:val="000000" w:themeColor="text1"/>
          <w:sz w:val="22"/>
          <w:szCs w:val="22"/>
        </w:rPr>
      </w:pPr>
      <w:r>
        <w:rPr>
          <w:noProof/>
        </w:rPr>
        <w:drawing>
          <wp:inline distT="0" distB="0" distL="0" distR="0" wp14:anchorId="39AE223F" wp14:editId="7179E9CE">
            <wp:extent cx="4572000" cy="2743200"/>
            <wp:effectExtent l="0" t="0" r="12700" b="12700"/>
            <wp:docPr id="22" name="Chart 22" descr="P1532#yIS1">
              <a:extLst xmlns:a="http://schemas.openxmlformats.org/drawingml/2006/main">
                <a:ext uri="{FF2B5EF4-FFF2-40B4-BE49-F238E27FC236}">
                  <a16:creationId xmlns:a16="http://schemas.microsoft.com/office/drawing/2014/main" id="{EDD3167B-1D3F-3B48-9634-C5FD0F5A4A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77BB81EC" w14:textId="77777777" w:rsidR="006E2A72" w:rsidRDefault="006E2A72">
      <w:pPr>
        <w:rPr>
          <w:rFonts w:ascii="Arial" w:eastAsiaTheme="majorEastAsia" w:hAnsi="Arial" w:cs="Arial"/>
          <w:b/>
          <w:bCs/>
          <w:color w:val="000000" w:themeColor="text1"/>
          <w:sz w:val="22"/>
          <w:szCs w:val="22"/>
        </w:rPr>
      </w:pPr>
      <w:r>
        <w:rPr>
          <w:rFonts w:ascii="Arial" w:hAnsi="Arial" w:cs="Arial"/>
          <w:color w:val="000000" w:themeColor="text1"/>
          <w:sz w:val="22"/>
          <w:szCs w:val="22"/>
        </w:rPr>
        <w:br w:type="page"/>
      </w:r>
    </w:p>
    <w:p w14:paraId="0ACC1604" w14:textId="19E553BD" w:rsidR="00536D30" w:rsidRPr="00441DB8" w:rsidRDefault="005D0440" w:rsidP="00441DB8">
      <w:pPr>
        <w:pStyle w:val="Heading3"/>
        <w:rPr>
          <w:rFonts w:cs="Arial"/>
          <w:color w:val="000000" w:themeColor="text1"/>
          <w:szCs w:val="22"/>
        </w:rPr>
      </w:pPr>
      <w:bookmarkStart w:id="224" w:name="_Toc46770773"/>
      <w:bookmarkStart w:id="225" w:name="_Toc79414184"/>
      <w:r w:rsidRPr="00441DB8">
        <w:rPr>
          <w:rFonts w:cs="Arial"/>
          <w:color w:val="000000" w:themeColor="text1"/>
          <w:szCs w:val="22"/>
        </w:rPr>
        <w:lastRenderedPageBreak/>
        <w:t>3.</w:t>
      </w:r>
      <w:r w:rsidR="00441DB8" w:rsidRPr="00441DB8">
        <w:rPr>
          <w:rFonts w:cs="Arial"/>
          <w:color w:val="000000" w:themeColor="text1"/>
          <w:szCs w:val="22"/>
        </w:rPr>
        <w:t>2.</w:t>
      </w:r>
      <w:r w:rsidR="00AD0A0A">
        <w:rPr>
          <w:rFonts w:cs="Arial"/>
          <w:color w:val="000000" w:themeColor="text1"/>
          <w:szCs w:val="22"/>
        </w:rPr>
        <w:t>6</w:t>
      </w:r>
      <w:r w:rsidRPr="00441DB8">
        <w:rPr>
          <w:rFonts w:cs="Arial"/>
          <w:color w:val="000000" w:themeColor="text1"/>
          <w:szCs w:val="22"/>
        </w:rPr>
        <w:t xml:space="preserve"> </w:t>
      </w:r>
      <w:r w:rsidR="00441DB8" w:rsidRPr="00441DB8">
        <w:rPr>
          <w:rFonts w:cs="Arial"/>
          <w:color w:val="000000" w:themeColor="text1"/>
          <w:szCs w:val="22"/>
        </w:rPr>
        <w:t>Limitations of the systematic literature review</w:t>
      </w:r>
      <w:bookmarkEnd w:id="224"/>
      <w:bookmarkEnd w:id="225"/>
    </w:p>
    <w:p w14:paraId="3AC20E52" w14:textId="77777777" w:rsidR="00441DB8" w:rsidRPr="00441DB8" w:rsidRDefault="00441DB8" w:rsidP="00441DB8"/>
    <w:p w14:paraId="14C36899" w14:textId="27E7305B" w:rsidR="005D0440" w:rsidRDefault="005D0440" w:rsidP="00EA08A3">
      <w:pPr>
        <w:widowControl w:val="0"/>
        <w:autoSpaceDE w:val="0"/>
        <w:autoSpaceDN w:val="0"/>
        <w:adjustRightInd w:val="0"/>
        <w:spacing w:after="240" w:line="480" w:lineRule="auto"/>
        <w:rPr>
          <w:rFonts w:ascii="Arial" w:hAnsi="Arial" w:cs="Arial"/>
          <w:sz w:val="22"/>
          <w:szCs w:val="22"/>
        </w:rPr>
      </w:pPr>
      <w:r>
        <w:rPr>
          <w:rFonts w:ascii="Arial" w:hAnsi="Arial" w:cs="Arial"/>
          <w:sz w:val="22"/>
          <w:szCs w:val="22"/>
        </w:rPr>
        <w:t xml:space="preserve">One significant limitation of this systematic literature review is that it was conducted alone. Therefore, </w:t>
      </w:r>
      <w:r w:rsidR="00924C3A">
        <w:rPr>
          <w:rFonts w:ascii="Arial" w:hAnsi="Arial" w:cs="Arial"/>
          <w:sz w:val="22"/>
          <w:szCs w:val="22"/>
        </w:rPr>
        <w:t xml:space="preserve">in the absence of any collaborators it is possible that </w:t>
      </w:r>
      <w:r>
        <w:rPr>
          <w:rFonts w:ascii="Arial" w:hAnsi="Arial" w:cs="Arial"/>
          <w:sz w:val="22"/>
          <w:szCs w:val="22"/>
        </w:rPr>
        <w:t>the researcher may have been subject to her own bias</w:t>
      </w:r>
      <w:r w:rsidR="00924C3A">
        <w:rPr>
          <w:rFonts w:ascii="Arial" w:hAnsi="Arial" w:cs="Arial"/>
          <w:sz w:val="22"/>
          <w:szCs w:val="22"/>
        </w:rPr>
        <w:t xml:space="preserve"> in relation to whether or not articles should have been included or excluded in this review. Furthermore, the absence of collaborators may impact on the methodological processes incorporated into the systematic literature review. Whilst an a priori protocol was developed for this review the absence of collaborators means that human error cannot be excluded.</w:t>
      </w:r>
    </w:p>
    <w:p w14:paraId="5D8D4FCC" w14:textId="7C7B7949" w:rsidR="00BA012A" w:rsidRDefault="00892B31" w:rsidP="0040347B">
      <w:pPr>
        <w:widowControl w:val="0"/>
        <w:autoSpaceDE w:val="0"/>
        <w:autoSpaceDN w:val="0"/>
        <w:adjustRightInd w:val="0"/>
        <w:spacing w:line="480" w:lineRule="auto"/>
        <w:rPr>
          <w:rFonts w:ascii="Arial" w:hAnsi="Arial" w:cs="Arial"/>
          <w:sz w:val="22"/>
          <w:szCs w:val="22"/>
        </w:rPr>
      </w:pPr>
      <w:r>
        <w:rPr>
          <w:rFonts w:ascii="Arial" w:hAnsi="Arial" w:cs="Arial"/>
          <w:sz w:val="22"/>
          <w:szCs w:val="22"/>
        </w:rPr>
        <w:t>Additionally</w:t>
      </w:r>
      <w:r w:rsidR="00F07374">
        <w:rPr>
          <w:rFonts w:ascii="Arial" w:hAnsi="Arial" w:cs="Arial"/>
          <w:sz w:val="22"/>
          <w:szCs w:val="22"/>
        </w:rPr>
        <w:t>,</w:t>
      </w:r>
      <w:r>
        <w:rPr>
          <w:rFonts w:ascii="Arial" w:hAnsi="Arial" w:cs="Arial"/>
          <w:sz w:val="22"/>
          <w:szCs w:val="22"/>
        </w:rPr>
        <w:t xml:space="preserve"> </w:t>
      </w:r>
      <w:r w:rsidR="00F07374">
        <w:rPr>
          <w:rFonts w:ascii="Arial" w:hAnsi="Arial" w:cs="Arial"/>
          <w:sz w:val="22"/>
          <w:szCs w:val="22"/>
        </w:rPr>
        <w:t xml:space="preserve">risk </w:t>
      </w:r>
      <w:r w:rsidR="00BA012A">
        <w:rPr>
          <w:rFonts w:ascii="Arial" w:hAnsi="Arial" w:cs="Arial"/>
          <w:sz w:val="22"/>
          <w:szCs w:val="22"/>
        </w:rPr>
        <w:t xml:space="preserve">of </w:t>
      </w:r>
      <w:r>
        <w:rPr>
          <w:rFonts w:ascii="Arial" w:hAnsi="Arial" w:cs="Arial"/>
          <w:sz w:val="22"/>
          <w:szCs w:val="22"/>
        </w:rPr>
        <w:t>p</w:t>
      </w:r>
      <w:r w:rsidR="000E525D">
        <w:rPr>
          <w:rFonts w:ascii="Arial" w:hAnsi="Arial" w:cs="Arial"/>
          <w:sz w:val="22"/>
          <w:szCs w:val="22"/>
        </w:rPr>
        <w:t>ublication bia</w:t>
      </w:r>
      <w:r w:rsidR="00F07374">
        <w:rPr>
          <w:rFonts w:ascii="Arial" w:hAnsi="Arial" w:cs="Arial"/>
          <w:sz w:val="22"/>
          <w:szCs w:val="22"/>
        </w:rPr>
        <w:t xml:space="preserve">s cannot be eliminated. Whilst </w:t>
      </w:r>
      <w:r w:rsidR="00BA012A">
        <w:rPr>
          <w:rFonts w:ascii="Arial" w:hAnsi="Arial" w:cs="Arial"/>
          <w:sz w:val="22"/>
          <w:szCs w:val="22"/>
        </w:rPr>
        <w:t xml:space="preserve">significant attempts were made, over a period of three years, to contact authors and key opinion leaders to investigate whether there were any unpublished articles, this yielded just one paper that had not been published. It remains unclear whether other articles exist that might have otherwise been included in this systematic literature review. Furthermore, whilst </w:t>
      </w:r>
      <w:r w:rsidR="00F07374">
        <w:rPr>
          <w:rFonts w:ascii="Arial" w:hAnsi="Arial" w:cs="Arial"/>
          <w:sz w:val="22"/>
          <w:szCs w:val="22"/>
        </w:rPr>
        <w:t>two of the studies included in this review had modest findings</w:t>
      </w:r>
      <w:r w:rsidR="00BA012A">
        <w:rPr>
          <w:rFonts w:ascii="Arial" w:hAnsi="Arial" w:cs="Arial"/>
          <w:sz w:val="22"/>
          <w:szCs w:val="22"/>
        </w:rPr>
        <w:t xml:space="preserve"> and were less likely to be subject to publications bias, two papers are significantly aligned with the IAPT agenda and it might be argued that reviewers and editors would look more favourably on these. </w:t>
      </w:r>
    </w:p>
    <w:p w14:paraId="4CEDEC4E" w14:textId="5E8F5C21" w:rsidR="00536D30" w:rsidRDefault="00536D30" w:rsidP="00EA08A3">
      <w:pPr>
        <w:widowControl w:val="0"/>
        <w:autoSpaceDE w:val="0"/>
        <w:autoSpaceDN w:val="0"/>
        <w:adjustRightInd w:val="0"/>
        <w:spacing w:after="240" w:line="480" w:lineRule="auto"/>
        <w:rPr>
          <w:rFonts w:ascii="Arial" w:hAnsi="Arial" w:cs="Arial"/>
          <w:sz w:val="22"/>
          <w:szCs w:val="22"/>
        </w:rPr>
      </w:pPr>
    </w:p>
    <w:p w14:paraId="3CCE3821" w14:textId="24B5F566" w:rsidR="00536D30" w:rsidRPr="00441DB8" w:rsidRDefault="00536D30" w:rsidP="00441DB8">
      <w:pPr>
        <w:pStyle w:val="Heading3"/>
        <w:rPr>
          <w:rFonts w:cs="Arial"/>
          <w:color w:val="000000" w:themeColor="text1"/>
          <w:szCs w:val="22"/>
        </w:rPr>
      </w:pPr>
      <w:bookmarkStart w:id="226" w:name="_Toc46770774"/>
      <w:bookmarkStart w:id="227" w:name="_Toc79414185"/>
      <w:r w:rsidRPr="00441DB8">
        <w:rPr>
          <w:rFonts w:cs="Arial"/>
          <w:color w:val="000000" w:themeColor="text1"/>
          <w:szCs w:val="22"/>
        </w:rPr>
        <w:t>3.</w:t>
      </w:r>
      <w:r w:rsidR="00441DB8" w:rsidRPr="00441DB8">
        <w:rPr>
          <w:rFonts w:cs="Arial"/>
          <w:color w:val="000000" w:themeColor="text1"/>
          <w:szCs w:val="22"/>
        </w:rPr>
        <w:t>2.</w:t>
      </w:r>
      <w:r w:rsidR="00AD0A0A">
        <w:rPr>
          <w:rFonts w:cs="Arial"/>
          <w:color w:val="000000" w:themeColor="text1"/>
          <w:szCs w:val="22"/>
        </w:rPr>
        <w:t>7</w:t>
      </w:r>
      <w:r w:rsidRPr="00441DB8">
        <w:rPr>
          <w:rFonts w:cs="Arial"/>
          <w:color w:val="000000" w:themeColor="text1"/>
          <w:szCs w:val="22"/>
        </w:rPr>
        <w:t xml:space="preserve"> </w:t>
      </w:r>
      <w:r w:rsidR="00441DB8" w:rsidRPr="00441DB8">
        <w:rPr>
          <w:rFonts w:cs="Arial"/>
          <w:color w:val="000000" w:themeColor="text1"/>
          <w:szCs w:val="22"/>
        </w:rPr>
        <w:t>Summary</w:t>
      </w:r>
      <w:bookmarkEnd w:id="226"/>
      <w:bookmarkEnd w:id="227"/>
    </w:p>
    <w:p w14:paraId="03248730" w14:textId="77777777" w:rsidR="00536D30" w:rsidRDefault="00536D30" w:rsidP="00536D30">
      <w:pPr>
        <w:widowControl w:val="0"/>
        <w:autoSpaceDE w:val="0"/>
        <w:autoSpaceDN w:val="0"/>
        <w:adjustRightInd w:val="0"/>
        <w:spacing w:after="240" w:line="480" w:lineRule="auto"/>
        <w:rPr>
          <w:rFonts w:ascii="Arial" w:hAnsi="Arial" w:cs="Arial"/>
          <w:sz w:val="22"/>
          <w:szCs w:val="22"/>
          <w:lang w:val="en-US"/>
        </w:rPr>
      </w:pPr>
    </w:p>
    <w:p w14:paraId="553F1700" w14:textId="2C08422F" w:rsidR="00536D30" w:rsidRPr="000C3AF5" w:rsidRDefault="00536D30" w:rsidP="00536D30">
      <w:pPr>
        <w:widowControl w:val="0"/>
        <w:autoSpaceDE w:val="0"/>
        <w:autoSpaceDN w:val="0"/>
        <w:adjustRightInd w:val="0"/>
        <w:spacing w:after="240" w:line="480" w:lineRule="auto"/>
        <w:rPr>
          <w:rFonts w:ascii="Arial" w:hAnsi="Arial" w:cs="Arial"/>
          <w:sz w:val="22"/>
          <w:szCs w:val="22"/>
          <w:lang w:val="en-US"/>
        </w:rPr>
      </w:pPr>
      <w:r w:rsidRPr="000C3AF5">
        <w:rPr>
          <w:rFonts w:ascii="Arial" w:hAnsi="Arial" w:cs="Arial"/>
          <w:sz w:val="22"/>
          <w:szCs w:val="22"/>
          <w:lang w:val="en-US"/>
        </w:rPr>
        <w:t xml:space="preserve">It is clear from the </w:t>
      </w:r>
      <w:r w:rsidR="00BA012A">
        <w:rPr>
          <w:rFonts w:ascii="Arial" w:hAnsi="Arial" w:cs="Arial"/>
          <w:sz w:val="22"/>
          <w:szCs w:val="22"/>
          <w:lang w:val="en-US"/>
        </w:rPr>
        <w:t>articles reviewed</w:t>
      </w:r>
      <w:r w:rsidRPr="000C3AF5">
        <w:rPr>
          <w:rFonts w:ascii="Arial" w:hAnsi="Arial" w:cs="Arial"/>
          <w:sz w:val="22"/>
          <w:szCs w:val="22"/>
          <w:lang w:val="en-US"/>
        </w:rPr>
        <w:t xml:space="preserve"> that therapist variables are having some impact on patient recovery</w:t>
      </w:r>
      <w:r w:rsidR="00BA012A">
        <w:rPr>
          <w:rFonts w:ascii="Arial" w:hAnsi="Arial" w:cs="Arial"/>
          <w:sz w:val="22"/>
          <w:szCs w:val="22"/>
          <w:lang w:val="en-US"/>
        </w:rPr>
        <w:t>.</w:t>
      </w:r>
      <w:r w:rsidRPr="000C3AF5">
        <w:rPr>
          <w:rFonts w:ascii="Arial" w:hAnsi="Arial" w:cs="Arial"/>
          <w:sz w:val="22"/>
          <w:szCs w:val="22"/>
          <w:lang w:val="en-US"/>
        </w:rPr>
        <w:t xml:space="preserve"> However, there is a lack of agreement about to what extent this is and, more importantly, what it is that therapists are doing that may be impacting on their patients. </w:t>
      </w:r>
      <w:r w:rsidR="00BA012A">
        <w:rPr>
          <w:rFonts w:ascii="Arial" w:hAnsi="Arial" w:cs="Arial"/>
          <w:sz w:val="22"/>
          <w:szCs w:val="22"/>
          <w:lang w:val="en-US"/>
        </w:rPr>
        <w:t>Both therapist effects studies and naturalistic observational studies offer a great deal in helping answer these questions. However,</w:t>
      </w:r>
      <w:r w:rsidRPr="000C3AF5">
        <w:rPr>
          <w:rFonts w:ascii="Arial" w:hAnsi="Arial" w:cs="Arial"/>
          <w:sz w:val="22"/>
          <w:szCs w:val="22"/>
          <w:lang w:val="en-US"/>
        </w:rPr>
        <w:t xml:space="preserve"> </w:t>
      </w:r>
      <w:r w:rsidR="00BA012A">
        <w:rPr>
          <w:rFonts w:ascii="Arial" w:hAnsi="Arial" w:cs="Arial"/>
          <w:sz w:val="22"/>
          <w:szCs w:val="22"/>
          <w:lang w:val="en-US"/>
        </w:rPr>
        <w:t>t</w:t>
      </w:r>
      <w:r w:rsidRPr="000C3AF5">
        <w:rPr>
          <w:rFonts w:ascii="Arial" w:hAnsi="Arial" w:cs="Arial"/>
          <w:sz w:val="22"/>
          <w:szCs w:val="22"/>
          <w:lang w:val="en-US"/>
        </w:rPr>
        <w:t>here are some common limitations within most, if not all, of the studies conducted to date.  These include</w:t>
      </w:r>
      <w:r w:rsidR="00030708">
        <w:rPr>
          <w:rFonts w:ascii="Arial" w:hAnsi="Arial" w:cs="Arial"/>
          <w:sz w:val="22"/>
          <w:szCs w:val="22"/>
          <w:lang w:val="en-US"/>
        </w:rPr>
        <w:t xml:space="preserve"> </w:t>
      </w:r>
      <w:r w:rsidRPr="000C3AF5">
        <w:rPr>
          <w:rFonts w:ascii="Arial" w:hAnsi="Arial" w:cs="Arial"/>
          <w:sz w:val="22"/>
          <w:szCs w:val="22"/>
          <w:lang w:val="en-US"/>
        </w:rPr>
        <w:t>small sample sizes</w:t>
      </w:r>
      <w:r w:rsidR="00BA012A">
        <w:rPr>
          <w:rFonts w:ascii="Arial" w:hAnsi="Arial" w:cs="Arial"/>
          <w:sz w:val="22"/>
          <w:szCs w:val="22"/>
          <w:lang w:val="en-US"/>
        </w:rPr>
        <w:t xml:space="preserve"> of High Intensity CBT therapists</w:t>
      </w:r>
      <w:r w:rsidRPr="000C3AF5">
        <w:rPr>
          <w:rFonts w:ascii="Arial" w:hAnsi="Arial" w:cs="Arial"/>
          <w:sz w:val="22"/>
          <w:szCs w:val="22"/>
          <w:lang w:val="en-US"/>
        </w:rPr>
        <w:t xml:space="preserve">, lack of </w:t>
      </w:r>
      <w:r w:rsidR="00BA012A">
        <w:rPr>
          <w:rFonts w:ascii="Arial" w:hAnsi="Arial" w:cs="Arial"/>
          <w:sz w:val="22"/>
          <w:szCs w:val="22"/>
          <w:lang w:val="en-US"/>
        </w:rPr>
        <w:t xml:space="preserve">access to live therapy recordings and allowing therapists to self-select therapy recordings. </w:t>
      </w:r>
      <w:r w:rsidR="000B586C">
        <w:rPr>
          <w:rFonts w:ascii="Arial" w:hAnsi="Arial" w:cs="Arial"/>
          <w:sz w:val="22"/>
          <w:szCs w:val="22"/>
          <w:lang w:val="en-US"/>
        </w:rPr>
        <w:t xml:space="preserve">Future research would </w:t>
      </w:r>
      <w:r w:rsidR="00C36598">
        <w:rPr>
          <w:rFonts w:ascii="Arial" w:hAnsi="Arial" w:cs="Arial"/>
          <w:sz w:val="22"/>
          <w:szCs w:val="22"/>
          <w:lang w:val="en-US"/>
        </w:rPr>
        <w:t xml:space="preserve">be </w:t>
      </w:r>
      <w:r w:rsidR="000B586C">
        <w:rPr>
          <w:rFonts w:ascii="Arial" w:hAnsi="Arial" w:cs="Arial"/>
          <w:sz w:val="22"/>
          <w:szCs w:val="22"/>
          <w:lang w:val="en-US"/>
        </w:rPr>
        <w:t>need</w:t>
      </w:r>
      <w:r w:rsidR="00C36598">
        <w:rPr>
          <w:rFonts w:ascii="Arial" w:hAnsi="Arial" w:cs="Arial"/>
          <w:sz w:val="22"/>
          <w:szCs w:val="22"/>
          <w:lang w:val="en-US"/>
        </w:rPr>
        <w:t>ed</w:t>
      </w:r>
      <w:r w:rsidR="000B586C">
        <w:rPr>
          <w:rFonts w:ascii="Arial" w:hAnsi="Arial" w:cs="Arial"/>
          <w:sz w:val="22"/>
          <w:szCs w:val="22"/>
          <w:lang w:val="en-US"/>
        </w:rPr>
        <w:t xml:space="preserve"> to address these limitations.</w:t>
      </w:r>
    </w:p>
    <w:p w14:paraId="1B7C14A5" w14:textId="264B3BAF" w:rsidR="00EA08A3" w:rsidRPr="00536D30" w:rsidRDefault="00536D30" w:rsidP="00536D30">
      <w:pPr>
        <w:pStyle w:val="Heading2"/>
        <w:rPr>
          <w:rFonts w:ascii="Arial" w:hAnsi="Arial" w:cs="Arial"/>
          <w:color w:val="000000" w:themeColor="text1"/>
          <w:sz w:val="22"/>
          <w:szCs w:val="22"/>
        </w:rPr>
      </w:pPr>
      <w:bookmarkStart w:id="228" w:name="_Toc46770775"/>
      <w:bookmarkStart w:id="229" w:name="_Toc79414186"/>
      <w:r w:rsidRPr="00536D30">
        <w:rPr>
          <w:rFonts w:ascii="Arial" w:hAnsi="Arial" w:cs="Arial"/>
          <w:color w:val="000000" w:themeColor="text1"/>
          <w:sz w:val="22"/>
          <w:szCs w:val="22"/>
        </w:rPr>
        <w:lastRenderedPageBreak/>
        <w:t>3.</w:t>
      </w:r>
      <w:r w:rsidR="00441DB8">
        <w:rPr>
          <w:rFonts w:ascii="Arial" w:hAnsi="Arial" w:cs="Arial"/>
          <w:color w:val="000000" w:themeColor="text1"/>
          <w:sz w:val="22"/>
          <w:szCs w:val="22"/>
        </w:rPr>
        <w:t>3</w:t>
      </w:r>
      <w:r w:rsidRPr="00536D30">
        <w:rPr>
          <w:rFonts w:ascii="Arial" w:hAnsi="Arial" w:cs="Arial"/>
          <w:color w:val="000000" w:themeColor="text1"/>
          <w:sz w:val="22"/>
          <w:szCs w:val="22"/>
        </w:rPr>
        <w:t xml:space="preserve"> RECOMMENDATIONS FOR FURTHER RESEARCH</w:t>
      </w:r>
      <w:bookmarkEnd w:id="228"/>
      <w:bookmarkEnd w:id="229"/>
      <w:r w:rsidR="00EA08A3" w:rsidRPr="00536D30">
        <w:rPr>
          <w:rFonts w:ascii="Arial" w:hAnsi="Arial" w:cs="Arial"/>
          <w:color w:val="000000" w:themeColor="text1"/>
          <w:sz w:val="22"/>
          <w:szCs w:val="22"/>
        </w:rPr>
        <w:t xml:space="preserve"> </w:t>
      </w:r>
    </w:p>
    <w:p w14:paraId="0230BD69" w14:textId="2F3D736E" w:rsidR="00EA08A3" w:rsidRPr="000C3AF5" w:rsidRDefault="00D238AD" w:rsidP="00EA08A3">
      <w:pPr>
        <w:widowControl w:val="0"/>
        <w:autoSpaceDE w:val="0"/>
        <w:autoSpaceDN w:val="0"/>
        <w:adjustRightInd w:val="0"/>
        <w:spacing w:after="240" w:line="480" w:lineRule="auto"/>
        <w:rPr>
          <w:rFonts w:ascii="Arial" w:hAnsi="Arial" w:cs="Arial"/>
          <w:sz w:val="22"/>
          <w:szCs w:val="22"/>
          <w:lang w:val="en-US"/>
        </w:rPr>
      </w:pPr>
      <w:r>
        <w:rPr>
          <w:rFonts w:ascii="Arial" w:hAnsi="Arial" w:cs="Arial"/>
          <w:sz w:val="22"/>
          <w:szCs w:val="22"/>
        </w:rPr>
        <w:br/>
      </w:r>
      <w:r w:rsidR="000B586C">
        <w:rPr>
          <w:rFonts w:ascii="Arial" w:hAnsi="Arial" w:cs="Arial"/>
          <w:sz w:val="22"/>
          <w:szCs w:val="22"/>
        </w:rPr>
        <w:t xml:space="preserve">The </w:t>
      </w:r>
      <w:r w:rsidR="00441DB8">
        <w:rPr>
          <w:rFonts w:ascii="Arial" w:hAnsi="Arial" w:cs="Arial"/>
          <w:sz w:val="22"/>
          <w:szCs w:val="22"/>
        </w:rPr>
        <w:t>preliminary scoping review</w:t>
      </w:r>
      <w:r w:rsidR="000B586C">
        <w:rPr>
          <w:rFonts w:ascii="Arial" w:hAnsi="Arial" w:cs="Arial"/>
          <w:sz w:val="22"/>
          <w:szCs w:val="22"/>
        </w:rPr>
        <w:t xml:space="preserve"> and systematic review of the literature have revealed considerable agreement in relation to the recommendations for future research.</w:t>
      </w:r>
      <w:r w:rsidR="00EA08A3" w:rsidRPr="000C3AF5">
        <w:rPr>
          <w:rFonts w:ascii="Arial" w:hAnsi="Arial" w:cs="Arial"/>
          <w:sz w:val="22"/>
          <w:szCs w:val="22"/>
        </w:rPr>
        <w:t xml:space="preserve"> These include </w:t>
      </w:r>
      <w:r w:rsidR="00441DB8">
        <w:rPr>
          <w:rFonts w:ascii="Arial" w:hAnsi="Arial" w:cs="Arial"/>
          <w:sz w:val="22"/>
          <w:szCs w:val="22"/>
        </w:rPr>
        <w:t>increasing the sample size of therapists,</w:t>
      </w:r>
      <w:r w:rsidR="00EA08A3" w:rsidRPr="000C3AF5">
        <w:rPr>
          <w:rFonts w:ascii="Arial" w:hAnsi="Arial" w:cs="Arial"/>
          <w:sz w:val="22"/>
          <w:szCs w:val="22"/>
        </w:rPr>
        <w:t xml:space="preserve"> </w:t>
      </w:r>
      <w:r w:rsidR="000B586C">
        <w:rPr>
          <w:rFonts w:ascii="Arial" w:hAnsi="Arial" w:cs="Arial"/>
          <w:sz w:val="22"/>
          <w:szCs w:val="22"/>
        </w:rPr>
        <w:t xml:space="preserve">heterogeneity </w:t>
      </w:r>
      <w:r w:rsidR="00EA08A3" w:rsidRPr="000C3AF5">
        <w:rPr>
          <w:rFonts w:ascii="Arial" w:hAnsi="Arial" w:cs="Arial"/>
          <w:sz w:val="22"/>
          <w:szCs w:val="22"/>
        </w:rPr>
        <w:t>of therapy model</w:t>
      </w:r>
      <w:r w:rsidR="000B586C">
        <w:rPr>
          <w:rFonts w:ascii="Arial" w:hAnsi="Arial" w:cs="Arial"/>
          <w:sz w:val="22"/>
          <w:szCs w:val="22"/>
        </w:rPr>
        <w:t>s</w:t>
      </w:r>
      <w:r w:rsidR="00441DB8">
        <w:rPr>
          <w:rFonts w:ascii="Arial" w:hAnsi="Arial" w:cs="Arial"/>
          <w:sz w:val="22"/>
          <w:szCs w:val="22"/>
        </w:rPr>
        <w:t xml:space="preserve"> and therapist minimum training</w:t>
      </w:r>
      <w:r w:rsidR="00EA08A3" w:rsidRPr="000C3AF5">
        <w:rPr>
          <w:rFonts w:ascii="Arial" w:hAnsi="Arial" w:cs="Arial"/>
          <w:sz w:val="22"/>
          <w:szCs w:val="22"/>
        </w:rPr>
        <w:t xml:space="preserve"> and </w:t>
      </w:r>
      <w:r w:rsidR="00441DB8">
        <w:rPr>
          <w:rFonts w:ascii="Arial" w:hAnsi="Arial" w:cs="Arial"/>
          <w:sz w:val="22"/>
          <w:szCs w:val="22"/>
        </w:rPr>
        <w:t xml:space="preserve">improving </w:t>
      </w:r>
      <w:r w:rsidR="00EA08A3" w:rsidRPr="000C3AF5">
        <w:rPr>
          <w:rFonts w:ascii="Arial" w:hAnsi="Arial" w:cs="Arial"/>
          <w:sz w:val="22"/>
          <w:szCs w:val="22"/>
        </w:rPr>
        <w:t>access to live therapy material (Baldwin and Imel</w:t>
      </w:r>
      <w:r w:rsidR="00F40572">
        <w:rPr>
          <w:rFonts w:ascii="Arial" w:hAnsi="Arial" w:cs="Arial"/>
          <w:sz w:val="22"/>
          <w:szCs w:val="22"/>
        </w:rPr>
        <w:t>,</w:t>
      </w:r>
      <w:r w:rsidR="00EA08A3" w:rsidRPr="000C3AF5">
        <w:rPr>
          <w:rFonts w:ascii="Arial" w:hAnsi="Arial" w:cs="Arial"/>
          <w:sz w:val="22"/>
          <w:szCs w:val="22"/>
        </w:rPr>
        <w:t xml:space="preserve"> 2013).</w:t>
      </w:r>
      <w:r w:rsidR="00EA08A3" w:rsidRPr="000C3AF5">
        <w:rPr>
          <w:rFonts w:ascii="Arial" w:hAnsi="Arial" w:cs="Arial"/>
          <w:sz w:val="22"/>
          <w:szCs w:val="22"/>
          <w:lang w:val="en-US"/>
        </w:rPr>
        <w:t xml:space="preserve"> These issues</w:t>
      </w:r>
      <w:r w:rsidR="00445D02">
        <w:rPr>
          <w:rFonts w:ascii="Arial" w:hAnsi="Arial" w:cs="Arial"/>
          <w:sz w:val="22"/>
          <w:szCs w:val="22"/>
          <w:lang w:val="en-US"/>
        </w:rPr>
        <w:t>,</w:t>
      </w:r>
      <w:r w:rsidR="00EA08A3" w:rsidRPr="000C3AF5">
        <w:rPr>
          <w:rFonts w:ascii="Arial" w:hAnsi="Arial" w:cs="Arial"/>
          <w:sz w:val="22"/>
          <w:szCs w:val="22"/>
          <w:lang w:val="en-US"/>
        </w:rPr>
        <w:t xml:space="preserve"> together with recommendations for further research</w:t>
      </w:r>
      <w:r w:rsidR="00445D02">
        <w:rPr>
          <w:rFonts w:ascii="Arial" w:hAnsi="Arial" w:cs="Arial"/>
          <w:sz w:val="22"/>
          <w:szCs w:val="22"/>
          <w:lang w:val="en-US"/>
        </w:rPr>
        <w:t>,</w:t>
      </w:r>
      <w:r w:rsidR="00EA08A3" w:rsidRPr="000C3AF5">
        <w:rPr>
          <w:rFonts w:ascii="Arial" w:hAnsi="Arial" w:cs="Arial"/>
          <w:sz w:val="22"/>
          <w:szCs w:val="22"/>
          <w:lang w:val="en-US"/>
        </w:rPr>
        <w:t xml:space="preserve"> are illustrated in table </w:t>
      </w:r>
      <w:r w:rsidR="000B586C">
        <w:rPr>
          <w:rFonts w:ascii="Arial" w:hAnsi="Arial" w:cs="Arial"/>
          <w:sz w:val="22"/>
          <w:szCs w:val="22"/>
          <w:lang w:val="en-US"/>
        </w:rPr>
        <w:t>3.</w:t>
      </w:r>
      <w:r w:rsidR="00BC4ABD">
        <w:rPr>
          <w:rFonts w:ascii="Arial" w:hAnsi="Arial" w:cs="Arial"/>
          <w:sz w:val="22"/>
          <w:szCs w:val="22"/>
          <w:lang w:val="en-US"/>
        </w:rPr>
        <w:t>4</w:t>
      </w:r>
      <w:r w:rsidR="000B586C">
        <w:rPr>
          <w:rFonts w:ascii="Arial" w:hAnsi="Arial" w:cs="Arial"/>
          <w:sz w:val="22"/>
          <w:szCs w:val="22"/>
          <w:lang w:val="en-US"/>
        </w:rPr>
        <w:t>.</w:t>
      </w:r>
      <w:r w:rsidR="00441DB8">
        <w:rPr>
          <w:rFonts w:ascii="Arial" w:hAnsi="Arial" w:cs="Arial"/>
          <w:sz w:val="22"/>
          <w:szCs w:val="22"/>
          <w:lang w:val="en-US"/>
        </w:rPr>
        <w:t xml:space="preserve"> It is evident that whilst it is widely accepted that variance between therapists is partly responsible for variance in outcomes what is less clear is why this is. The literature suggests that no further research is required in relation to therapist demographics or the therapist’s ability to develop and maintain a therapist alliance as it is agreed that therapist demographics are not related to outcome and the therapeutic alliance is related to outcome.  What is less clear is to what extent therapist competence and adherence are directly related to outcome. Each of the studies discussed highlight the issue of closely scrutinizing the way therapists work in order to begin to study this question in more depth. </w:t>
      </w:r>
      <w:r w:rsidR="00030708">
        <w:rPr>
          <w:rFonts w:ascii="Arial" w:hAnsi="Arial" w:cs="Arial"/>
          <w:sz w:val="22"/>
          <w:szCs w:val="22"/>
          <w:lang w:val="en-US"/>
        </w:rPr>
        <w:t>Section 3.4, below, discusses how the findings from this literature review have been used to inform the research questions addressed in this thesis.</w:t>
      </w:r>
    </w:p>
    <w:p w14:paraId="3EF40B9D" w14:textId="77777777" w:rsidR="00BC4ABD" w:rsidRDefault="00BC4ABD" w:rsidP="00EA08A3">
      <w:pPr>
        <w:widowControl w:val="0"/>
        <w:autoSpaceDE w:val="0"/>
        <w:autoSpaceDN w:val="0"/>
        <w:adjustRightInd w:val="0"/>
        <w:spacing w:after="240" w:line="480" w:lineRule="auto"/>
        <w:rPr>
          <w:rFonts w:ascii="Arial" w:hAnsi="Arial" w:cs="Arial"/>
          <w:b/>
          <w:sz w:val="22"/>
          <w:szCs w:val="22"/>
          <w:lang w:val="en-US"/>
        </w:rPr>
      </w:pPr>
    </w:p>
    <w:p w14:paraId="291C6BAF" w14:textId="77777777" w:rsidR="00BC4ABD" w:rsidRDefault="00BC4ABD" w:rsidP="00EA08A3">
      <w:pPr>
        <w:widowControl w:val="0"/>
        <w:autoSpaceDE w:val="0"/>
        <w:autoSpaceDN w:val="0"/>
        <w:adjustRightInd w:val="0"/>
        <w:spacing w:after="240" w:line="480" w:lineRule="auto"/>
        <w:rPr>
          <w:rFonts w:ascii="Arial" w:hAnsi="Arial" w:cs="Arial"/>
          <w:b/>
          <w:sz w:val="22"/>
          <w:szCs w:val="22"/>
          <w:lang w:val="en-US"/>
        </w:rPr>
      </w:pPr>
    </w:p>
    <w:p w14:paraId="581CEFF8" w14:textId="77777777" w:rsidR="00BC4ABD" w:rsidRDefault="00BC4ABD" w:rsidP="00EA08A3">
      <w:pPr>
        <w:widowControl w:val="0"/>
        <w:autoSpaceDE w:val="0"/>
        <w:autoSpaceDN w:val="0"/>
        <w:adjustRightInd w:val="0"/>
        <w:spacing w:after="240" w:line="480" w:lineRule="auto"/>
        <w:rPr>
          <w:rFonts w:ascii="Arial" w:hAnsi="Arial" w:cs="Arial"/>
          <w:b/>
          <w:sz w:val="22"/>
          <w:szCs w:val="22"/>
          <w:lang w:val="en-US"/>
        </w:rPr>
      </w:pPr>
    </w:p>
    <w:p w14:paraId="46F5299B" w14:textId="77777777" w:rsidR="00BC4ABD" w:rsidRDefault="00BC4ABD" w:rsidP="00EA08A3">
      <w:pPr>
        <w:widowControl w:val="0"/>
        <w:autoSpaceDE w:val="0"/>
        <w:autoSpaceDN w:val="0"/>
        <w:adjustRightInd w:val="0"/>
        <w:spacing w:after="240" w:line="480" w:lineRule="auto"/>
        <w:rPr>
          <w:rFonts w:ascii="Arial" w:hAnsi="Arial" w:cs="Arial"/>
          <w:b/>
          <w:sz w:val="22"/>
          <w:szCs w:val="22"/>
          <w:lang w:val="en-US"/>
        </w:rPr>
      </w:pPr>
    </w:p>
    <w:p w14:paraId="484A2F18" w14:textId="77777777" w:rsidR="00441DB8" w:rsidRDefault="00441DB8" w:rsidP="00EA08A3">
      <w:pPr>
        <w:widowControl w:val="0"/>
        <w:autoSpaceDE w:val="0"/>
        <w:autoSpaceDN w:val="0"/>
        <w:adjustRightInd w:val="0"/>
        <w:spacing w:after="240" w:line="480" w:lineRule="auto"/>
        <w:rPr>
          <w:rFonts w:ascii="Arial" w:hAnsi="Arial" w:cs="Arial"/>
          <w:b/>
          <w:sz w:val="22"/>
          <w:szCs w:val="22"/>
          <w:lang w:val="en-US"/>
        </w:rPr>
      </w:pPr>
    </w:p>
    <w:p w14:paraId="32F13969" w14:textId="77777777" w:rsidR="0040347B" w:rsidRDefault="0040347B">
      <w:pPr>
        <w:rPr>
          <w:rFonts w:ascii="Arial" w:hAnsi="Arial" w:cs="Arial"/>
          <w:b/>
          <w:sz w:val="22"/>
          <w:szCs w:val="22"/>
          <w:lang w:val="en-US"/>
        </w:rPr>
      </w:pPr>
      <w:r>
        <w:rPr>
          <w:rFonts w:ascii="Arial" w:hAnsi="Arial" w:cs="Arial"/>
          <w:b/>
          <w:sz w:val="22"/>
          <w:szCs w:val="22"/>
          <w:lang w:val="en-US"/>
        </w:rPr>
        <w:br w:type="page"/>
      </w:r>
    </w:p>
    <w:p w14:paraId="05DC592C" w14:textId="2FB18282" w:rsidR="0040347B" w:rsidRDefault="0040347B" w:rsidP="0040347B">
      <w:pPr>
        <w:pStyle w:val="Tables"/>
      </w:pPr>
      <w:bookmarkStart w:id="230" w:name="_Toc28347776"/>
      <w:bookmarkStart w:id="231" w:name="_Toc46770977"/>
      <w:r w:rsidRPr="00017F9C">
        <w:lastRenderedPageBreak/>
        <w:t xml:space="preserve">Table 3.4 </w:t>
      </w:r>
      <w:r w:rsidRPr="0040347B">
        <w:rPr>
          <w:b w:val="0"/>
        </w:rPr>
        <w:t>Recommendations for further research in current articles</w:t>
      </w:r>
      <w:bookmarkEnd w:id="230"/>
      <w:bookmarkEnd w:id="23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7"/>
        <w:gridCol w:w="2429"/>
        <w:gridCol w:w="3080"/>
      </w:tblGrid>
      <w:tr w:rsidR="00EA08A3" w14:paraId="43DD1A29" w14:textId="77777777" w:rsidTr="005D0440">
        <w:tc>
          <w:tcPr>
            <w:tcW w:w="3007" w:type="dxa"/>
          </w:tcPr>
          <w:p w14:paraId="14504764" w14:textId="77777777" w:rsidR="00EA08A3" w:rsidRPr="006656CE" w:rsidRDefault="00EA08A3" w:rsidP="00976FB3">
            <w:pPr>
              <w:widowControl w:val="0"/>
              <w:autoSpaceDE w:val="0"/>
              <w:autoSpaceDN w:val="0"/>
              <w:adjustRightInd w:val="0"/>
              <w:spacing w:after="240"/>
              <w:rPr>
                <w:rFonts w:ascii="Arial" w:hAnsi="Arial" w:cs="Arial"/>
                <w:b/>
                <w:sz w:val="20"/>
                <w:szCs w:val="20"/>
                <w:lang w:val="en-US"/>
              </w:rPr>
            </w:pPr>
            <w:r w:rsidRPr="006656CE">
              <w:rPr>
                <w:rFonts w:ascii="Arial" w:hAnsi="Arial" w:cs="Arial"/>
                <w:b/>
                <w:sz w:val="20"/>
                <w:szCs w:val="20"/>
                <w:lang w:val="en-US"/>
              </w:rPr>
              <w:t>Article</w:t>
            </w:r>
          </w:p>
        </w:tc>
        <w:tc>
          <w:tcPr>
            <w:tcW w:w="2429" w:type="dxa"/>
          </w:tcPr>
          <w:p w14:paraId="66CF9686" w14:textId="5A0302A3" w:rsidR="00EA08A3" w:rsidRPr="006656CE" w:rsidRDefault="00EA08A3" w:rsidP="00976FB3">
            <w:pPr>
              <w:widowControl w:val="0"/>
              <w:autoSpaceDE w:val="0"/>
              <w:autoSpaceDN w:val="0"/>
              <w:adjustRightInd w:val="0"/>
              <w:spacing w:after="240"/>
              <w:rPr>
                <w:rFonts w:ascii="Arial" w:hAnsi="Arial" w:cs="Arial"/>
                <w:b/>
                <w:sz w:val="20"/>
                <w:szCs w:val="20"/>
                <w:lang w:val="en-US"/>
              </w:rPr>
            </w:pPr>
            <w:r w:rsidRPr="006656CE">
              <w:rPr>
                <w:rFonts w:ascii="Arial" w:hAnsi="Arial" w:cs="Arial"/>
                <w:b/>
                <w:sz w:val="20"/>
                <w:szCs w:val="20"/>
                <w:lang w:val="en-US"/>
              </w:rPr>
              <w:t>Limitations</w:t>
            </w:r>
          </w:p>
        </w:tc>
        <w:tc>
          <w:tcPr>
            <w:tcW w:w="3080" w:type="dxa"/>
          </w:tcPr>
          <w:p w14:paraId="44CE92A8" w14:textId="77777777" w:rsidR="00EA08A3" w:rsidRPr="006656CE" w:rsidRDefault="00EA08A3" w:rsidP="00976FB3">
            <w:pPr>
              <w:widowControl w:val="0"/>
              <w:autoSpaceDE w:val="0"/>
              <w:autoSpaceDN w:val="0"/>
              <w:adjustRightInd w:val="0"/>
              <w:spacing w:after="240"/>
              <w:rPr>
                <w:rFonts w:ascii="Arial" w:hAnsi="Arial" w:cs="Arial"/>
                <w:b/>
                <w:sz w:val="20"/>
                <w:szCs w:val="20"/>
                <w:lang w:val="en-US"/>
              </w:rPr>
            </w:pPr>
            <w:r w:rsidRPr="006656CE">
              <w:rPr>
                <w:rFonts w:ascii="Arial" w:hAnsi="Arial" w:cs="Arial"/>
                <w:b/>
                <w:sz w:val="20"/>
                <w:szCs w:val="20"/>
                <w:lang w:val="en-US"/>
              </w:rPr>
              <w:t>Suggestions for further research</w:t>
            </w:r>
          </w:p>
        </w:tc>
      </w:tr>
      <w:tr w:rsidR="00EA08A3" w14:paraId="22E11F84" w14:textId="77777777" w:rsidTr="005D0440">
        <w:tc>
          <w:tcPr>
            <w:tcW w:w="3007" w:type="dxa"/>
          </w:tcPr>
          <w:p w14:paraId="14417CA6"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Ehlers et al., (2013)</w:t>
            </w:r>
          </w:p>
        </w:tc>
        <w:tc>
          <w:tcPr>
            <w:tcW w:w="2429" w:type="dxa"/>
          </w:tcPr>
          <w:p w14:paraId="2F57B968"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Small sample size</w:t>
            </w:r>
          </w:p>
        </w:tc>
        <w:tc>
          <w:tcPr>
            <w:tcW w:w="3080" w:type="dxa"/>
          </w:tcPr>
          <w:p w14:paraId="5370A119"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Add measures of therapist competence and adherence Increase sample size</w:t>
            </w:r>
          </w:p>
        </w:tc>
      </w:tr>
      <w:tr w:rsidR="00EA08A3" w14:paraId="4DD4D79A" w14:textId="77777777" w:rsidTr="005D0440">
        <w:tc>
          <w:tcPr>
            <w:tcW w:w="3007" w:type="dxa"/>
          </w:tcPr>
          <w:p w14:paraId="3182BFDB"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Saxon, Firth and Barkham (2017)</w:t>
            </w:r>
          </w:p>
        </w:tc>
        <w:tc>
          <w:tcPr>
            <w:tcW w:w="2429" w:type="dxa"/>
          </w:tcPr>
          <w:p w14:paraId="0006F12E" w14:textId="40890A7F"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PHQ-9 is the only primary outcome measure and no diagnosis is recorded so it is unclear if patients with a diagnosis other than depression benefited. No measure of alliance or adherence</w:t>
            </w:r>
          </w:p>
        </w:tc>
        <w:tc>
          <w:tcPr>
            <w:tcW w:w="3080" w:type="dxa"/>
          </w:tcPr>
          <w:p w14:paraId="255F232A"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Data set should include: Outcome measures, patient diagnosis, therapist factors, therapist characteristics</w:t>
            </w:r>
          </w:p>
        </w:tc>
      </w:tr>
      <w:tr w:rsidR="00EA08A3" w14:paraId="0ED7187E" w14:textId="77777777" w:rsidTr="005D0440">
        <w:tc>
          <w:tcPr>
            <w:tcW w:w="3007" w:type="dxa"/>
          </w:tcPr>
          <w:p w14:paraId="79601226"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Branson, Shafran and Myles (2015)</w:t>
            </w:r>
          </w:p>
        </w:tc>
        <w:tc>
          <w:tcPr>
            <w:tcW w:w="2429" w:type="dxa"/>
          </w:tcPr>
          <w:p w14:paraId="75A52886"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Missing outcome data. Self-selection of therapy recordings. Only based on trainees who are likely to improve over the duration of their training.</w:t>
            </w:r>
          </w:p>
        </w:tc>
        <w:tc>
          <w:tcPr>
            <w:tcW w:w="3080" w:type="dxa"/>
          </w:tcPr>
          <w:p w14:paraId="5C108C19"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Do not allow therapist to self-select therapy recordings</w:t>
            </w:r>
          </w:p>
          <w:p w14:paraId="01DB78D2"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Use more raters to assess competence (CTS-R)</w:t>
            </w:r>
          </w:p>
          <w:p w14:paraId="5BB6CCAE"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p>
        </w:tc>
      </w:tr>
      <w:tr w:rsidR="00EA08A3" w14:paraId="4C03263C" w14:textId="77777777" w:rsidTr="005D0440">
        <w:tc>
          <w:tcPr>
            <w:tcW w:w="3007" w:type="dxa"/>
          </w:tcPr>
          <w:p w14:paraId="6CD345C1"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Laska, Smith, Wislocki, Minami and Wampold (2013)</w:t>
            </w:r>
          </w:p>
        </w:tc>
        <w:tc>
          <w:tcPr>
            <w:tcW w:w="2429" w:type="dxa"/>
          </w:tcPr>
          <w:p w14:paraId="0027EEDC"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No adherence monitoring. Unable to assess what the better therapists were doing in their sessions. No measure of alliance. Limited access to patient outcome data Small sample size and mix of trainees and qualified clinicians</w:t>
            </w:r>
          </w:p>
        </w:tc>
        <w:tc>
          <w:tcPr>
            <w:tcW w:w="3080" w:type="dxa"/>
          </w:tcPr>
          <w:p w14:paraId="17031736"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Ensure therapists are trained in the same therapeutic model.</w:t>
            </w:r>
          </w:p>
          <w:p w14:paraId="6C9E2950"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Use measures of adherence</w:t>
            </w:r>
          </w:p>
          <w:p w14:paraId="0AA3E133"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Have access to therapy recordings and all outcome data</w:t>
            </w:r>
          </w:p>
        </w:tc>
      </w:tr>
      <w:tr w:rsidR="00EA08A3" w:rsidRPr="002658A1" w14:paraId="13313F6A" w14:textId="77777777" w:rsidTr="005D0440">
        <w:tc>
          <w:tcPr>
            <w:tcW w:w="3007" w:type="dxa"/>
          </w:tcPr>
          <w:p w14:paraId="2FDEBB4B" w14:textId="35986896" w:rsidR="00EA08A3" w:rsidRPr="002658A1" w:rsidRDefault="00030708"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Ginzburg, Bohn, Hofling, Weck, Clark and Stangier (2012)</w:t>
            </w:r>
          </w:p>
        </w:tc>
        <w:tc>
          <w:tcPr>
            <w:tcW w:w="2429" w:type="dxa"/>
          </w:tcPr>
          <w:p w14:paraId="0EC3EA84"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Selected therapists who already showed high levels of adherence and competence Only used one recording to assess adherence</w:t>
            </w:r>
          </w:p>
        </w:tc>
        <w:tc>
          <w:tcPr>
            <w:tcW w:w="3080" w:type="dxa"/>
          </w:tcPr>
          <w:p w14:paraId="0D087B42" w14:textId="32F1141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Use real</w:t>
            </w:r>
            <w:r w:rsidR="0023735D">
              <w:rPr>
                <w:rFonts w:ascii="Arial" w:hAnsi="Arial" w:cs="Arial"/>
                <w:sz w:val="18"/>
                <w:szCs w:val="18"/>
                <w:lang w:val="en-US"/>
              </w:rPr>
              <w:t>-</w:t>
            </w:r>
            <w:r w:rsidRPr="002658A1">
              <w:rPr>
                <w:rFonts w:ascii="Arial" w:hAnsi="Arial" w:cs="Arial"/>
                <w:sz w:val="18"/>
                <w:szCs w:val="18"/>
                <w:lang w:val="en-US"/>
              </w:rPr>
              <w:t>world clinical setting. Assess adherence using more than one therapy recording</w:t>
            </w:r>
          </w:p>
          <w:p w14:paraId="196D5A63"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Increase sample size</w:t>
            </w:r>
          </w:p>
        </w:tc>
      </w:tr>
      <w:tr w:rsidR="00EA08A3" w14:paraId="5E90D2A8" w14:textId="77777777" w:rsidTr="005D0440">
        <w:tc>
          <w:tcPr>
            <w:tcW w:w="3007" w:type="dxa"/>
          </w:tcPr>
          <w:p w14:paraId="635A88DE"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Laska, Smith, Wislocki, Minami and Wampold (2013)</w:t>
            </w:r>
          </w:p>
        </w:tc>
        <w:tc>
          <w:tcPr>
            <w:tcW w:w="2429" w:type="dxa"/>
          </w:tcPr>
          <w:p w14:paraId="234191CE"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No adherence monitoring. No measure of alliance. Used supervisors to rate competence. No access to therapy recordings</w:t>
            </w:r>
          </w:p>
        </w:tc>
        <w:tc>
          <w:tcPr>
            <w:tcW w:w="3080" w:type="dxa"/>
          </w:tcPr>
          <w:p w14:paraId="2583478E"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Measure adherence</w:t>
            </w:r>
          </w:p>
          <w:p w14:paraId="385CE382"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Have access to therapy recordings</w:t>
            </w:r>
          </w:p>
        </w:tc>
      </w:tr>
      <w:tr w:rsidR="00EA08A3" w14:paraId="0092A800" w14:textId="77777777" w:rsidTr="005D0440">
        <w:tc>
          <w:tcPr>
            <w:tcW w:w="3007" w:type="dxa"/>
          </w:tcPr>
          <w:p w14:paraId="74EE6E77"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Barnfield and Beaumont (2007)</w:t>
            </w:r>
          </w:p>
        </w:tc>
        <w:tc>
          <w:tcPr>
            <w:tcW w:w="2429" w:type="dxa"/>
          </w:tcPr>
          <w:p w14:paraId="7A10B999"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No outcome data</w:t>
            </w:r>
          </w:p>
        </w:tc>
        <w:tc>
          <w:tcPr>
            <w:tcW w:w="3080" w:type="dxa"/>
          </w:tcPr>
          <w:p w14:paraId="6EAD11D9"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Use outcome data. Use multiple measures of compliance. Conduct inter-rater reliability analyses on raters</w:t>
            </w:r>
          </w:p>
        </w:tc>
      </w:tr>
      <w:tr w:rsidR="00EA08A3" w14:paraId="2B5B2365" w14:textId="77777777" w:rsidTr="005D0440">
        <w:tc>
          <w:tcPr>
            <w:tcW w:w="3007" w:type="dxa"/>
          </w:tcPr>
          <w:p w14:paraId="1543A659"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Weck et al., (2016)</w:t>
            </w:r>
          </w:p>
        </w:tc>
        <w:tc>
          <w:tcPr>
            <w:tcW w:w="2429" w:type="dxa"/>
          </w:tcPr>
          <w:p w14:paraId="5F516D76"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Small sample size</w:t>
            </w:r>
          </w:p>
        </w:tc>
        <w:tc>
          <w:tcPr>
            <w:tcW w:w="3080" w:type="dxa"/>
          </w:tcPr>
          <w:p w14:paraId="51E137FF" w14:textId="659C88C6"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More research in real</w:t>
            </w:r>
            <w:r w:rsidR="0023735D">
              <w:rPr>
                <w:rFonts w:ascii="Arial" w:hAnsi="Arial" w:cs="Arial"/>
                <w:sz w:val="18"/>
                <w:szCs w:val="18"/>
                <w:lang w:val="en-US"/>
              </w:rPr>
              <w:t>-</w:t>
            </w:r>
            <w:r w:rsidRPr="002658A1">
              <w:rPr>
                <w:rFonts w:ascii="Arial" w:hAnsi="Arial" w:cs="Arial"/>
                <w:sz w:val="18"/>
                <w:szCs w:val="18"/>
                <w:lang w:val="en-US"/>
              </w:rPr>
              <w:t>world settings</w:t>
            </w:r>
          </w:p>
          <w:p w14:paraId="482E17FD" w14:textId="77777777" w:rsidR="00EA08A3" w:rsidRPr="002658A1" w:rsidRDefault="00EA08A3" w:rsidP="00976FB3">
            <w:pPr>
              <w:widowControl w:val="0"/>
              <w:autoSpaceDE w:val="0"/>
              <w:autoSpaceDN w:val="0"/>
              <w:adjustRightInd w:val="0"/>
              <w:spacing w:after="240"/>
              <w:rPr>
                <w:rFonts w:ascii="Arial" w:hAnsi="Arial" w:cs="Arial"/>
                <w:sz w:val="18"/>
                <w:szCs w:val="18"/>
                <w:lang w:val="en-US"/>
              </w:rPr>
            </w:pPr>
            <w:r w:rsidRPr="002658A1">
              <w:rPr>
                <w:rFonts w:ascii="Arial" w:hAnsi="Arial" w:cs="Arial"/>
                <w:sz w:val="18"/>
                <w:szCs w:val="18"/>
                <w:lang w:val="en-US"/>
              </w:rPr>
              <w:t>Consider whether adherence is more important in treating anxiety and competence is more important when treating depression</w:t>
            </w:r>
          </w:p>
        </w:tc>
      </w:tr>
    </w:tbl>
    <w:p w14:paraId="6269B567" w14:textId="77777777" w:rsidR="00EA08A3" w:rsidRDefault="00EA08A3" w:rsidP="00EA08A3">
      <w:pPr>
        <w:widowControl w:val="0"/>
        <w:autoSpaceDE w:val="0"/>
        <w:autoSpaceDN w:val="0"/>
        <w:adjustRightInd w:val="0"/>
        <w:spacing w:after="240" w:line="480" w:lineRule="auto"/>
        <w:rPr>
          <w:rFonts w:ascii="Arial" w:hAnsi="Arial" w:cs="Arial"/>
          <w:sz w:val="16"/>
          <w:szCs w:val="16"/>
          <w:lang w:val="en-US"/>
        </w:rPr>
      </w:pPr>
    </w:p>
    <w:p w14:paraId="397B9293" w14:textId="0AF20DC0" w:rsidR="00EA08A3" w:rsidRDefault="00EA08A3" w:rsidP="00EA08A3">
      <w:pPr>
        <w:pStyle w:val="Heading2"/>
        <w:rPr>
          <w:rFonts w:ascii="Arial" w:hAnsi="Arial" w:cs="Arial"/>
          <w:color w:val="000000" w:themeColor="text1"/>
          <w:sz w:val="22"/>
          <w:szCs w:val="22"/>
          <w:lang w:val="en-US"/>
        </w:rPr>
      </w:pPr>
      <w:bookmarkStart w:id="232" w:name="_Toc46770776"/>
      <w:bookmarkStart w:id="233" w:name="_Toc79414187"/>
      <w:r>
        <w:rPr>
          <w:rFonts w:ascii="Arial" w:hAnsi="Arial" w:cs="Arial"/>
          <w:color w:val="000000" w:themeColor="text1"/>
          <w:sz w:val="22"/>
          <w:szCs w:val="22"/>
          <w:lang w:val="en-US"/>
        </w:rPr>
        <w:lastRenderedPageBreak/>
        <w:t xml:space="preserve">3.4 </w:t>
      </w:r>
      <w:r w:rsidRPr="00DE0C15">
        <w:rPr>
          <w:rFonts w:ascii="Arial" w:hAnsi="Arial" w:cs="Arial"/>
          <w:color w:val="000000" w:themeColor="text1"/>
          <w:sz w:val="22"/>
          <w:szCs w:val="22"/>
          <w:lang w:val="en-US"/>
        </w:rPr>
        <w:t>RESEARCH QUESTIONS FOR THIS THESIS</w:t>
      </w:r>
      <w:bookmarkEnd w:id="232"/>
      <w:bookmarkEnd w:id="233"/>
    </w:p>
    <w:p w14:paraId="2B66DB38" w14:textId="23F4CC83" w:rsidR="000B586C" w:rsidRDefault="000B586C" w:rsidP="000B586C">
      <w:pPr>
        <w:rPr>
          <w:lang w:val="en-US"/>
        </w:rPr>
      </w:pPr>
    </w:p>
    <w:p w14:paraId="015676EA" w14:textId="1E49BAF5" w:rsidR="000B586C" w:rsidRPr="007D181F" w:rsidRDefault="000B586C" w:rsidP="007D181F">
      <w:pPr>
        <w:spacing w:line="480" w:lineRule="auto"/>
        <w:rPr>
          <w:rFonts w:ascii="Arial" w:hAnsi="Arial" w:cs="Arial"/>
          <w:sz w:val="22"/>
          <w:szCs w:val="22"/>
          <w:lang w:val="en-US"/>
        </w:rPr>
      </w:pPr>
      <w:r w:rsidRPr="007D181F">
        <w:rPr>
          <w:rFonts w:ascii="Arial" w:hAnsi="Arial" w:cs="Arial"/>
          <w:sz w:val="22"/>
          <w:szCs w:val="22"/>
          <w:lang w:val="en-US"/>
        </w:rPr>
        <w:t>Following the findings from this literature review</w:t>
      </w:r>
      <w:r w:rsidR="007D181F" w:rsidRPr="007D181F">
        <w:rPr>
          <w:rFonts w:ascii="Arial" w:hAnsi="Arial" w:cs="Arial"/>
          <w:sz w:val="22"/>
          <w:szCs w:val="22"/>
          <w:lang w:val="en-US"/>
        </w:rPr>
        <w:t xml:space="preserve">, </w:t>
      </w:r>
      <w:r w:rsidRPr="007D181F">
        <w:rPr>
          <w:rFonts w:ascii="Arial" w:hAnsi="Arial" w:cs="Arial"/>
          <w:sz w:val="22"/>
          <w:szCs w:val="22"/>
          <w:lang w:val="en-US"/>
        </w:rPr>
        <w:t>it is clear that a small but significant body of work exists in relation to therapist variables and their relationship with outcome in IAPT.  The bo</w:t>
      </w:r>
      <w:r w:rsidR="007D181F" w:rsidRPr="007D181F">
        <w:rPr>
          <w:rFonts w:ascii="Arial" w:hAnsi="Arial" w:cs="Arial"/>
          <w:sz w:val="22"/>
          <w:szCs w:val="22"/>
          <w:lang w:val="en-US"/>
        </w:rPr>
        <w:t>d</w:t>
      </w:r>
      <w:r w:rsidRPr="007D181F">
        <w:rPr>
          <w:rFonts w:ascii="Arial" w:hAnsi="Arial" w:cs="Arial"/>
          <w:sz w:val="22"/>
          <w:szCs w:val="22"/>
          <w:lang w:val="en-US"/>
        </w:rPr>
        <w:t>y of work in therapist effects present</w:t>
      </w:r>
      <w:r w:rsidR="007D181F" w:rsidRPr="007D181F">
        <w:rPr>
          <w:rFonts w:ascii="Arial" w:hAnsi="Arial" w:cs="Arial"/>
          <w:sz w:val="22"/>
          <w:szCs w:val="22"/>
          <w:lang w:val="en-US"/>
        </w:rPr>
        <w:t xml:space="preserve"> some</w:t>
      </w:r>
      <w:r w:rsidRPr="007D181F">
        <w:rPr>
          <w:rFonts w:ascii="Arial" w:hAnsi="Arial" w:cs="Arial"/>
          <w:sz w:val="22"/>
          <w:szCs w:val="22"/>
          <w:lang w:val="en-US"/>
        </w:rPr>
        <w:t xml:space="preserve"> agree</w:t>
      </w:r>
      <w:r w:rsidR="007D181F" w:rsidRPr="007D181F">
        <w:rPr>
          <w:rFonts w:ascii="Arial" w:hAnsi="Arial" w:cs="Arial"/>
          <w:sz w:val="22"/>
          <w:szCs w:val="22"/>
          <w:lang w:val="en-US"/>
        </w:rPr>
        <w:t>ment</w:t>
      </w:r>
      <w:r w:rsidRPr="007D181F">
        <w:rPr>
          <w:rFonts w:ascii="Arial" w:hAnsi="Arial" w:cs="Arial"/>
          <w:sz w:val="22"/>
          <w:szCs w:val="22"/>
          <w:lang w:val="en-US"/>
        </w:rPr>
        <w:t xml:space="preserve"> that between 3 and 8% of variance</w:t>
      </w:r>
      <w:r w:rsidR="007D181F" w:rsidRPr="007D181F">
        <w:rPr>
          <w:rFonts w:ascii="Arial" w:hAnsi="Arial" w:cs="Arial"/>
          <w:sz w:val="22"/>
          <w:szCs w:val="22"/>
          <w:lang w:val="en-US"/>
        </w:rPr>
        <w:t xml:space="preserve"> of outcomes in IAPT can be accounted for by therapist effects.  What is less clear are the therapist variables that relate to therapist effects. That is to say</w:t>
      </w:r>
      <w:r w:rsidR="00445D02">
        <w:rPr>
          <w:rFonts w:ascii="Arial" w:hAnsi="Arial" w:cs="Arial"/>
          <w:sz w:val="22"/>
          <w:szCs w:val="22"/>
          <w:lang w:val="en-US"/>
        </w:rPr>
        <w:t>,</w:t>
      </w:r>
      <w:r w:rsidR="007D181F" w:rsidRPr="007D181F">
        <w:rPr>
          <w:rFonts w:ascii="Arial" w:hAnsi="Arial" w:cs="Arial"/>
          <w:sz w:val="22"/>
          <w:szCs w:val="22"/>
          <w:lang w:val="en-US"/>
        </w:rPr>
        <w:t xml:space="preserve"> what therapist variables are related to outcome in High Intensity Therapists treating patients at step 3 in IAPT</w:t>
      </w:r>
      <w:r w:rsidR="00445D02">
        <w:rPr>
          <w:rFonts w:ascii="Arial" w:hAnsi="Arial" w:cs="Arial"/>
          <w:sz w:val="22"/>
          <w:szCs w:val="22"/>
          <w:lang w:val="en-US"/>
        </w:rPr>
        <w:t xml:space="preserve">? </w:t>
      </w:r>
      <w:r w:rsidR="007D181F" w:rsidRPr="007D181F">
        <w:rPr>
          <w:rFonts w:ascii="Arial" w:hAnsi="Arial" w:cs="Arial"/>
          <w:sz w:val="22"/>
          <w:szCs w:val="22"/>
          <w:lang w:val="en-US"/>
        </w:rPr>
        <w:t>There remains a significant gap in the literature in this area.  This is most likely to be due to the lack of availability of recordings of therapy sessions.</w:t>
      </w:r>
    </w:p>
    <w:p w14:paraId="54B2EB64" w14:textId="77777777" w:rsidR="00EA08A3" w:rsidRPr="00DE0C15" w:rsidRDefault="00EA08A3" w:rsidP="00EA08A3">
      <w:pPr>
        <w:rPr>
          <w:lang w:val="en-US"/>
        </w:rPr>
      </w:pPr>
    </w:p>
    <w:p w14:paraId="6EFD3AEF" w14:textId="77777777" w:rsidR="00EA08A3" w:rsidRPr="000C3AF5" w:rsidRDefault="00EA08A3" w:rsidP="00EA08A3">
      <w:pPr>
        <w:widowControl w:val="0"/>
        <w:autoSpaceDE w:val="0"/>
        <w:autoSpaceDN w:val="0"/>
        <w:adjustRightInd w:val="0"/>
        <w:spacing w:after="240" w:line="480" w:lineRule="auto"/>
        <w:rPr>
          <w:rFonts w:ascii="Arial" w:hAnsi="Arial" w:cs="Arial"/>
          <w:sz w:val="22"/>
          <w:szCs w:val="22"/>
          <w:lang w:val="en-US"/>
        </w:rPr>
      </w:pPr>
      <w:r w:rsidRPr="000C3AF5">
        <w:rPr>
          <w:rFonts w:ascii="Arial" w:hAnsi="Arial" w:cs="Arial"/>
          <w:sz w:val="22"/>
          <w:szCs w:val="22"/>
          <w:lang w:val="en-US"/>
        </w:rPr>
        <w:t xml:space="preserve">This research aims to provide an original contribution to knowledge, building on the presented body of research and utilizing the recommendations for future research, by asking the following research questions: </w:t>
      </w:r>
    </w:p>
    <w:p w14:paraId="03CADA57" w14:textId="77777777" w:rsidR="00EA08A3" w:rsidRPr="000C3AF5" w:rsidRDefault="00EA08A3" w:rsidP="00934842">
      <w:pPr>
        <w:pStyle w:val="ListParagraph"/>
        <w:numPr>
          <w:ilvl w:val="0"/>
          <w:numId w:val="19"/>
        </w:numPr>
        <w:spacing w:line="480" w:lineRule="auto"/>
        <w:rPr>
          <w:rFonts w:ascii="Arial" w:hAnsi="Arial"/>
          <w:sz w:val="22"/>
          <w:szCs w:val="22"/>
        </w:rPr>
      </w:pPr>
      <w:r w:rsidRPr="000C3AF5">
        <w:rPr>
          <w:rFonts w:ascii="Arial" w:hAnsi="Arial"/>
          <w:sz w:val="22"/>
          <w:szCs w:val="22"/>
        </w:rPr>
        <w:t xml:space="preserve">Does therapist age, years of experience or their core profession correlate with clinical outcome in a step 3 (High Intensity) IAPT service? </w:t>
      </w:r>
    </w:p>
    <w:p w14:paraId="07183322" w14:textId="77777777" w:rsidR="007D181F" w:rsidRDefault="007D181F" w:rsidP="007D181F">
      <w:pPr>
        <w:spacing w:line="480" w:lineRule="auto"/>
        <w:ind w:left="720"/>
        <w:rPr>
          <w:rFonts w:ascii="Arial" w:hAnsi="Arial"/>
          <w:sz w:val="22"/>
          <w:szCs w:val="22"/>
        </w:rPr>
      </w:pPr>
    </w:p>
    <w:p w14:paraId="1826E44B" w14:textId="622AF56C" w:rsidR="00EA08A3" w:rsidRPr="000C3AF5" w:rsidRDefault="00EA08A3" w:rsidP="007D181F">
      <w:pPr>
        <w:spacing w:line="480" w:lineRule="auto"/>
        <w:ind w:left="720"/>
        <w:rPr>
          <w:rFonts w:ascii="Arial" w:hAnsi="Arial"/>
          <w:sz w:val="22"/>
          <w:szCs w:val="22"/>
        </w:rPr>
      </w:pPr>
      <w:r w:rsidRPr="000C3AF5">
        <w:rPr>
          <w:rFonts w:ascii="Arial" w:hAnsi="Arial"/>
          <w:sz w:val="22"/>
          <w:szCs w:val="22"/>
        </w:rPr>
        <w:t>Null Hypothesis</w:t>
      </w:r>
      <w:r w:rsidR="007D181F">
        <w:rPr>
          <w:rFonts w:ascii="Arial" w:hAnsi="Arial"/>
          <w:sz w:val="22"/>
          <w:szCs w:val="22"/>
        </w:rPr>
        <w:t>: Therapist age, years of experience and therapist core professions have no relationship with clinical outcomes</w:t>
      </w:r>
      <w:r w:rsidR="003D5821">
        <w:rPr>
          <w:rFonts w:ascii="Arial" w:hAnsi="Arial"/>
          <w:sz w:val="22"/>
          <w:szCs w:val="22"/>
        </w:rPr>
        <w:t xml:space="preserve"> in </w:t>
      </w:r>
      <w:r w:rsidR="003D5821" w:rsidRPr="000C3AF5">
        <w:rPr>
          <w:rFonts w:ascii="Arial" w:hAnsi="Arial"/>
          <w:sz w:val="22"/>
          <w:szCs w:val="22"/>
        </w:rPr>
        <w:t>a step 3 (High Intensity) IAPT service</w:t>
      </w:r>
    </w:p>
    <w:p w14:paraId="2710DCED" w14:textId="77777777" w:rsidR="00EA08A3" w:rsidRPr="000C3AF5" w:rsidRDefault="00EA08A3" w:rsidP="00EA08A3">
      <w:pPr>
        <w:spacing w:line="480" w:lineRule="auto"/>
        <w:rPr>
          <w:rFonts w:ascii="Arial" w:hAnsi="Arial"/>
          <w:sz w:val="22"/>
          <w:szCs w:val="22"/>
        </w:rPr>
      </w:pPr>
    </w:p>
    <w:p w14:paraId="4CF8351B" w14:textId="6A99F695" w:rsidR="00EA08A3" w:rsidRDefault="00EA08A3" w:rsidP="007D181F">
      <w:pPr>
        <w:spacing w:line="480" w:lineRule="auto"/>
        <w:ind w:left="720"/>
        <w:rPr>
          <w:rFonts w:ascii="Arial" w:hAnsi="Arial"/>
          <w:sz w:val="22"/>
          <w:szCs w:val="22"/>
        </w:rPr>
      </w:pPr>
      <w:r w:rsidRPr="000C3AF5">
        <w:rPr>
          <w:rFonts w:ascii="Arial" w:hAnsi="Arial"/>
          <w:sz w:val="22"/>
          <w:szCs w:val="22"/>
        </w:rPr>
        <w:t>Alternative Hypothesis</w:t>
      </w:r>
      <w:r w:rsidR="007D181F">
        <w:rPr>
          <w:rFonts w:ascii="Arial" w:hAnsi="Arial"/>
          <w:sz w:val="22"/>
          <w:szCs w:val="22"/>
        </w:rPr>
        <w:t>: Therapist age, years of experience and therapist core profession are directly related to clinical outcomes</w:t>
      </w:r>
      <w:r w:rsidR="003D5821">
        <w:rPr>
          <w:rFonts w:ascii="Arial" w:hAnsi="Arial"/>
          <w:sz w:val="22"/>
          <w:szCs w:val="22"/>
        </w:rPr>
        <w:t xml:space="preserve"> in </w:t>
      </w:r>
      <w:r w:rsidR="003D5821" w:rsidRPr="000C3AF5">
        <w:rPr>
          <w:rFonts w:ascii="Arial" w:hAnsi="Arial"/>
          <w:sz w:val="22"/>
          <w:szCs w:val="22"/>
        </w:rPr>
        <w:t>a step 3 (High Intensity) IAPT service</w:t>
      </w:r>
      <w:r w:rsidR="003D5821">
        <w:rPr>
          <w:rFonts w:ascii="Arial" w:hAnsi="Arial"/>
          <w:sz w:val="22"/>
          <w:szCs w:val="22"/>
        </w:rPr>
        <w:t>.</w:t>
      </w:r>
    </w:p>
    <w:p w14:paraId="50325A0C" w14:textId="77777777" w:rsidR="007D181F" w:rsidRPr="000C3AF5" w:rsidRDefault="007D181F" w:rsidP="00EA08A3">
      <w:pPr>
        <w:spacing w:line="480" w:lineRule="auto"/>
        <w:ind w:firstLine="720"/>
        <w:rPr>
          <w:rFonts w:ascii="Arial" w:hAnsi="Arial"/>
          <w:sz w:val="22"/>
          <w:szCs w:val="22"/>
        </w:rPr>
      </w:pPr>
    </w:p>
    <w:p w14:paraId="691A31CF" w14:textId="2F95A9F1" w:rsidR="00EA08A3" w:rsidRPr="003D5821" w:rsidRDefault="00EA08A3" w:rsidP="00934842">
      <w:pPr>
        <w:pStyle w:val="ListParagraph"/>
        <w:numPr>
          <w:ilvl w:val="0"/>
          <w:numId w:val="19"/>
        </w:numPr>
        <w:spacing w:line="480" w:lineRule="auto"/>
        <w:rPr>
          <w:rFonts w:ascii="Arial" w:hAnsi="Arial"/>
          <w:sz w:val="22"/>
          <w:szCs w:val="22"/>
        </w:rPr>
      </w:pPr>
      <w:r w:rsidRPr="003D5821">
        <w:rPr>
          <w:rFonts w:ascii="Arial" w:hAnsi="Arial"/>
          <w:sz w:val="22"/>
          <w:szCs w:val="22"/>
        </w:rPr>
        <w:t>Do therapists who have completed the IAPT training programme achieve better clinical outcomes than those who have not?</w:t>
      </w:r>
    </w:p>
    <w:p w14:paraId="08271F97" w14:textId="77777777" w:rsidR="007D181F" w:rsidRDefault="007D181F" w:rsidP="00EA08A3">
      <w:pPr>
        <w:pStyle w:val="ListParagraph"/>
        <w:spacing w:line="480" w:lineRule="auto"/>
        <w:rPr>
          <w:rFonts w:ascii="Arial" w:hAnsi="Arial"/>
          <w:sz w:val="22"/>
          <w:szCs w:val="22"/>
        </w:rPr>
      </w:pPr>
    </w:p>
    <w:p w14:paraId="2CF5CCB5" w14:textId="1B2C28D4" w:rsidR="00EA08A3" w:rsidRPr="000C3AF5" w:rsidRDefault="00EA08A3" w:rsidP="00EA08A3">
      <w:pPr>
        <w:pStyle w:val="ListParagraph"/>
        <w:spacing w:line="480" w:lineRule="auto"/>
        <w:rPr>
          <w:rFonts w:ascii="Arial" w:hAnsi="Arial"/>
          <w:sz w:val="22"/>
          <w:szCs w:val="22"/>
        </w:rPr>
      </w:pPr>
      <w:r w:rsidRPr="000C3AF5">
        <w:rPr>
          <w:rFonts w:ascii="Arial" w:hAnsi="Arial"/>
          <w:sz w:val="22"/>
          <w:szCs w:val="22"/>
        </w:rPr>
        <w:t>Null Hypothesis</w:t>
      </w:r>
      <w:r w:rsidR="007D181F">
        <w:rPr>
          <w:rFonts w:ascii="Arial" w:hAnsi="Arial"/>
          <w:sz w:val="22"/>
          <w:szCs w:val="22"/>
        </w:rPr>
        <w:t>: There are no differences between clinical outcomes between therapists who have completed an IAPT training programme and those that have not.</w:t>
      </w:r>
    </w:p>
    <w:p w14:paraId="6CBB14EB" w14:textId="73C31C23" w:rsidR="00EA08A3" w:rsidRPr="000C3AF5" w:rsidRDefault="00EA08A3" w:rsidP="00EA08A3">
      <w:pPr>
        <w:pStyle w:val="ListParagraph"/>
        <w:spacing w:line="480" w:lineRule="auto"/>
        <w:rPr>
          <w:rFonts w:ascii="Arial" w:hAnsi="Arial"/>
          <w:sz w:val="22"/>
          <w:szCs w:val="22"/>
        </w:rPr>
      </w:pPr>
      <w:r w:rsidRPr="000C3AF5">
        <w:rPr>
          <w:rFonts w:ascii="Arial" w:hAnsi="Arial"/>
          <w:sz w:val="22"/>
          <w:szCs w:val="22"/>
        </w:rPr>
        <w:lastRenderedPageBreak/>
        <w:t>Alternative Hypothesis</w:t>
      </w:r>
      <w:r w:rsidR="007D181F">
        <w:rPr>
          <w:rFonts w:ascii="Arial" w:hAnsi="Arial"/>
          <w:sz w:val="22"/>
          <w:szCs w:val="22"/>
        </w:rPr>
        <w:t>: Therapists who have completed an IAPT training programme will achieve higher clinical outcomes than therapists who have not completed an IAPT training programme</w:t>
      </w:r>
      <w:r w:rsidR="003D5821">
        <w:rPr>
          <w:rFonts w:ascii="Arial" w:hAnsi="Arial"/>
          <w:sz w:val="22"/>
          <w:szCs w:val="22"/>
        </w:rPr>
        <w:t>.</w:t>
      </w:r>
    </w:p>
    <w:p w14:paraId="601E5B0E" w14:textId="77777777" w:rsidR="00EA08A3" w:rsidRPr="000C3AF5" w:rsidRDefault="00EA08A3" w:rsidP="00EA08A3">
      <w:pPr>
        <w:pStyle w:val="ListParagraph"/>
        <w:spacing w:line="480" w:lineRule="auto"/>
        <w:ind w:left="1440"/>
        <w:rPr>
          <w:rFonts w:ascii="Arial" w:hAnsi="Arial"/>
          <w:sz w:val="22"/>
          <w:szCs w:val="22"/>
        </w:rPr>
      </w:pPr>
    </w:p>
    <w:p w14:paraId="07980048" w14:textId="77777777" w:rsidR="00EA08A3" w:rsidRPr="000C3AF5" w:rsidRDefault="00EA08A3" w:rsidP="00934842">
      <w:pPr>
        <w:pStyle w:val="ListParagraph"/>
        <w:numPr>
          <w:ilvl w:val="0"/>
          <w:numId w:val="19"/>
        </w:numPr>
        <w:spacing w:line="480" w:lineRule="auto"/>
        <w:rPr>
          <w:rFonts w:ascii="Arial" w:hAnsi="Arial"/>
          <w:sz w:val="22"/>
          <w:szCs w:val="22"/>
        </w:rPr>
      </w:pPr>
      <w:r w:rsidRPr="000C3AF5">
        <w:rPr>
          <w:rFonts w:ascii="Arial" w:hAnsi="Arial"/>
          <w:sz w:val="22"/>
          <w:szCs w:val="22"/>
        </w:rPr>
        <w:t>How much does therapist competence explain the variance in patient outcomes in a step 3 (High Intensity) IAPT service?</w:t>
      </w:r>
    </w:p>
    <w:p w14:paraId="533357FB" w14:textId="77777777" w:rsidR="003D5821" w:rsidRDefault="003D5821" w:rsidP="003D5821">
      <w:pPr>
        <w:spacing w:line="480" w:lineRule="auto"/>
        <w:ind w:left="720"/>
        <w:rPr>
          <w:rFonts w:ascii="Arial" w:hAnsi="Arial"/>
          <w:sz w:val="22"/>
          <w:szCs w:val="22"/>
        </w:rPr>
      </w:pPr>
    </w:p>
    <w:p w14:paraId="6D4F759D" w14:textId="0559703C" w:rsidR="00EA08A3" w:rsidRPr="000C3AF5" w:rsidRDefault="00EA08A3" w:rsidP="003D5821">
      <w:pPr>
        <w:spacing w:line="480" w:lineRule="auto"/>
        <w:ind w:left="720"/>
        <w:rPr>
          <w:rFonts w:ascii="Arial" w:hAnsi="Arial"/>
          <w:sz w:val="22"/>
          <w:szCs w:val="22"/>
        </w:rPr>
      </w:pPr>
      <w:r w:rsidRPr="000C3AF5">
        <w:rPr>
          <w:rFonts w:ascii="Arial" w:hAnsi="Arial"/>
          <w:sz w:val="22"/>
          <w:szCs w:val="22"/>
        </w:rPr>
        <w:t>Null Hypothesis</w:t>
      </w:r>
      <w:r w:rsidR="003D5821">
        <w:rPr>
          <w:rFonts w:ascii="Arial" w:hAnsi="Arial"/>
          <w:sz w:val="22"/>
          <w:szCs w:val="22"/>
        </w:rPr>
        <w:t xml:space="preserve">: Therapist competence does not explain any variance in outcomes </w:t>
      </w:r>
      <w:r w:rsidR="003D5821" w:rsidRPr="000C3AF5">
        <w:rPr>
          <w:rFonts w:ascii="Arial" w:hAnsi="Arial"/>
          <w:sz w:val="22"/>
          <w:szCs w:val="22"/>
        </w:rPr>
        <w:t>a step 3 (High Intensity) IAPT service</w:t>
      </w:r>
      <w:r w:rsidR="003D5821">
        <w:rPr>
          <w:rFonts w:ascii="Arial" w:hAnsi="Arial"/>
          <w:sz w:val="22"/>
          <w:szCs w:val="22"/>
        </w:rPr>
        <w:t>.</w:t>
      </w:r>
    </w:p>
    <w:p w14:paraId="1C5FEF5D" w14:textId="77777777" w:rsidR="00EA08A3" w:rsidRPr="000C3AF5" w:rsidRDefault="00EA08A3" w:rsidP="00EA08A3">
      <w:pPr>
        <w:spacing w:line="480" w:lineRule="auto"/>
        <w:rPr>
          <w:rFonts w:ascii="Arial" w:hAnsi="Arial"/>
          <w:sz w:val="22"/>
          <w:szCs w:val="22"/>
        </w:rPr>
      </w:pPr>
    </w:p>
    <w:p w14:paraId="276E88D8" w14:textId="638F23B3" w:rsidR="00EA08A3" w:rsidRPr="000C3AF5" w:rsidRDefault="00EA08A3" w:rsidP="003D5821">
      <w:pPr>
        <w:spacing w:line="480" w:lineRule="auto"/>
        <w:ind w:left="720"/>
        <w:rPr>
          <w:rFonts w:ascii="Arial" w:hAnsi="Arial"/>
          <w:sz w:val="22"/>
          <w:szCs w:val="22"/>
        </w:rPr>
      </w:pPr>
      <w:r w:rsidRPr="000C3AF5">
        <w:rPr>
          <w:rFonts w:ascii="Arial" w:hAnsi="Arial"/>
          <w:sz w:val="22"/>
          <w:szCs w:val="22"/>
        </w:rPr>
        <w:t>Alternative Hypothesis</w:t>
      </w:r>
      <w:r w:rsidR="003D5821">
        <w:rPr>
          <w:rFonts w:ascii="Arial" w:hAnsi="Arial"/>
          <w:sz w:val="22"/>
          <w:szCs w:val="22"/>
        </w:rPr>
        <w:t xml:space="preserve">: Therapist competence is related to clinical outcomes </w:t>
      </w:r>
      <w:r w:rsidR="003D5821" w:rsidRPr="000C3AF5">
        <w:rPr>
          <w:rFonts w:ascii="Arial" w:hAnsi="Arial"/>
          <w:sz w:val="22"/>
          <w:szCs w:val="22"/>
        </w:rPr>
        <w:t>a step 3 (High Intensity) IAPT service</w:t>
      </w:r>
      <w:r w:rsidR="003D5821">
        <w:rPr>
          <w:rFonts w:ascii="Arial" w:hAnsi="Arial"/>
          <w:sz w:val="22"/>
          <w:szCs w:val="22"/>
        </w:rPr>
        <w:t>.</w:t>
      </w:r>
    </w:p>
    <w:p w14:paraId="568499F0" w14:textId="77777777" w:rsidR="00EA08A3" w:rsidRPr="000C3AF5" w:rsidRDefault="00EA08A3" w:rsidP="00EA08A3">
      <w:pPr>
        <w:pStyle w:val="ListParagraph"/>
        <w:rPr>
          <w:rFonts w:ascii="Arial" w:hAnsi="Arial"/>
          <w:sz w:val="22"/>
          <w:szCs w:val="22"/>
        </w:rPr>
      </w:pPr>
    </w:p>
    <w:p w14:paraId="3812735D" w14:textId="77777777" w:rsidR="00EA08A3" w:rsidRPr="000C3AF5" w:rsidRDefault="00EA08A3" w:rsidP="00934842">
      <w:pPr>
        <w:pStyle w:val="ListParagraph"/>
        <w:numPr>
          <w:ilvl w:val="0"/>
          <w:numId w:val="19"/>
        </w:numPr>
        <w:spacing w:line="480" w:lineRule="auto"/>
        <w:rPr>
          <w:rFonts w:ascii="Arial" w:hAnsi="Arial"/>
          <w:sz w:val="22"/>
          <w:szCs w:val="22"/>
        </w:rPr>
      </w:pPr>
      <w:r w:rsidRPr="000C3AF5">
        <w:rPr>
          <w:rFonts w:ascii="Arial" w:hAnsi="Arial"/>
          <w:sz w:val="22"/>
          <w:szCs w:val="22"/>
        </w:rPr>
        <w:t>How much does therapist adherence to evidence-based protocols explain the variance in outcomes in a step 3 (High Intensity) IAPT service?</w:t>
      </w:r>
    </w:p>
    <w:p w14:paraId="703F8D44" w14:textId="77777777" w:rsidR="003D5821" w:rsidRDefault="003D5821" w:rsidP="00EA08A3">
      <w:pPr>
        <w:pStyle w:val="ListParagraph"/>
        <w:spacing w:line="480" w:lineRule="auto"/>
        <w:rPr>
          <w:rFonts w:ascii="Arial" w:hAnsi="Arial"/>
          <w:sz w:val="22"/>
          <w:szCs w:val="22"/>
        </w:rPr>
      </w:pPr>
    </w:p>
    <w:p w14:paraId="36E09532" w14:textId="56BF1338" w:rsidR="00EA08A3" w:rsidRPr="000C3AF5" w:rsidRDefault="00EA08A3" w:rsidP="00EA08A3">
      <w:pPr>
        <w:pStyle w:val="ListParagraph"/>
        <w:spacing w:line="480" w:lineRule="auto"/>
        <w:rPr>
          <w:rFonts w:ascii="Arial" w:hAnsi="Arial"/>
          <w:sz w:val="22"/>
          <w:szCs w:val="22"/>
        </w:rPr>
      </w:pPr>
      <w:r w:rsidRPr="000C3AF5">
        <w:rPr>
          <w:rFonts w:ascii="Arial" w:hAnsi="Arial"/>
          <w:sz w:val="22"/>
          <w:szCs w:val="22"/>
        </w:rPr>
        <w:t>Null Hypothesis</w:t>
      </w:r>
      <w:r w:rsidR="003D5821">
        <w:rPr>
          <w:rFonts w:ascii="Arial" w:hAnsi="Arial"/>
          <w:sz w:val="22"/>
          <w:szCs w:val="22"/>
        </w:rPr>
        <w:t xml:space="preserve">: Therapist adherence to an evidence-based protocol does not explain any variance in clinical outcomes </w:t>
      </w:r>
      <w:r w:rsidR="003D5821" w:rsidRPr="000C3AF5">
        <w:rPr>
          <w:rFonts w:ascii="Arial" w:hAnsi="Arial"/>
          <w:sz w:val="22"/>
          <w:szCs w:val="22"/>
        </w:rPr>
        <w:t>a step 3 (High Intensity) IAPT service</w:t>
      </w:r>
      <w:r w:rsidR="003D5821">
        <w:rPr>
          <w:rFonts w:ascii="Arial" w:hAnsi="Arial"/>
          <w:sz w:val="22"/>
          <w:szCs w:val="22"/>
        </w:rPr>
        <w:t>.</w:t>
      </w:r>
    </w:p>
    <w:p w14:paraId="60C873E8" w14:textId="77777777" w:rsidR="00EA08A3" w:rsidRPr="000C3AF5" w:rsidRDefault="00EA08A3" w:rsidP="00EA08A3">
      <w:pPr>
        <w:pStyle w:val="ListParagraph"/>
        <w:spacing w:line="480" w:lineRule="auto"/>
        <w:rPr>
          <w:rFonts w:ascii="Arial" w:hAnsi="Arial"/>
          <w:sz w:val="22"/>
          <w:szCs w:val="22"/>
        </w:rPr>
      </w:pPr>
    </w:p>
    <w:p w14:paraId="051375D5" w14:textId="5995AE30" w:rsidR="00EA08A3" w:rsidRPr="000C3AF5" w:rsidRDefault="00EA08A3" w:rsidP="00EA08A3">
      <w:pPr>
        <w:pStyle w:val="ListParagraph"/>
        <w:spacing w:line="480" w:lineRule="auto"/>
        <w:rPr>
          <w:rFonts w:ascii="Arial" w:hAnsi="Arial"/>
          <w:sz w:val="22"/>
          <w:szCs w:val="22"/>
        </w:rPr>
      </w:pPr>
      <w:r w:rsidRPr="000C3AF5">
        <w:rPr>
          <w:rFonts w:ascii="Arial" w:hAnsi="Arial"/>
          <w:sz w:val="22"/>
          <w:szCs w:val="22"/>
        </w:rPr>
        <w:t>Alternative Hypothesis</w:t>
      </w:r>
      <w:r w:rsidR="003D5821">
        <w:rPr>
          <w:rFonts w:ascii="Arial" w:hAnsi="Arial"/>
          <w:sz w:val="22"/>
          <w:szCs w:val="22"/>
        </w:rPr>
        <w:t xml:space="preserve">: Therapist adherence to an evidence- based treatment protocol is related to clinical outcomes </w:t>
      </w:r>
      <w:r w:rsidR="003D5821" w:rsidRPr="000C3AF5">
        <w:rPr>
          <w:rFonts w:ascii="Arial" w:hAnsi="Arial"/>
          <w:sz w:val="22"/>
          <w:szCs w:val="22"/>
        </w:rPr>
        <w:t>a step 3 (High Intensity) IAPT service</w:t>
      </w:r>
      <w:r w:rsidR="003D5821">
        <w:rPr>
          <w:rFonts w:ascii="Arial" w:hAnsi="Arial"/>
          <w:sz w:val="22"/>
          <w:szCs w:val="22"/>
        </w:rPr>
        <w:t>.</w:t>
      </w:r>
    </w:p>
    <w:p w14:paraId="402E12D5" w14:textId="77777777" w:rsidR="00EA08A3" w:rsidRPr="00CA1057" w:rsidRDefault="00EA08A3" w:rsidP="00EA08A3">
      <w:pPr>
        <w:pStyle w:val="ListParagraph"/>
        <w:rPr>
          <w:rFonts w:ascii="Arial" w:hAnsi="Arial"/>
        </w:rPr>
      </w:pPr>
    </w:p>
    <w:p w14:paraId="42954A6C" w14:textId="40032591" w:rsidR="00EA08A3" w:rsidRPr="000C3AF5" w:rsidRDefault="00EA08A3" w:rsidP="00EA08A3">
      <w:pPr>
        <w:pStyle w:val="Heading2"/>
        <w:rPr>
          <w:rFonts w:ascii="Arial" w:hAnsi="Arial" w:cs="Arial"/>
          <w:color w:val="000000" w:themeColor="text1"/>
          <w:sz w:val="22"/>
          <w:szCs w:val="22"/>
        </w:rPr>
      </w:pPr>
      <w:bookmarkStart w:id="234" w:name="_Toc46770777"/>
      <w:bookmarkStart w:id="235" w:name="_Toc79414188"/>
      <w:r>
        <w:rPr>
          <w:rFonts w:ascii="Arial" w:hAnsi="Arial" w:cs="Arial"/>
          <w:color w:val="000000" w:themeColor="text1"/>
          <w:sz w:val="22"/>
          <w:szCs w:val="22"/>
        </w:rPr>
        <w:t>3</w:t>
      </w:r>
      <w:r w:rsidRPr="000C3AF5">
        <w:rPr>
          <w:rFonts w:ascii="Arial" w:hAnsi="Arial" w:cs="Arial"/>
          <w:color w:val="000000" w:themeColor="text1"/>
          <w:sz w:val="22"/>
          <w:szCs w:val="22"/>
        </w:rPr>
        <w:t>.5 CONCLUSION</w:t>
      </w:r>
      <w:bookmarkEnd w:id="234"/>
      <w:bookmarkEnd w:id="235"/>
    </w:p>
    <w:p w14:paraId="7454F14A" w14:textId="77777777" w:rsidR="00EA08A3" w:rsidRPr="00CA1057" w:rsidRDefault="00EA08A3" w:rsidP="00EA08A3">
      <w:pPr>
        <w:spacing w:line="480" w:lineRule="auto"/>
        <w:rPr>
          <w:rFonts w:ascii="Arial" w:hAnsi="Arial"/>
        </w:rPr>
      </w:pPr>
    </w:p>
    <w:p w14:paraId="79B99ED6" w14:textId="1DA24B8F" w:rsidR="00EA08A3" w:rsidRDefault="00EA08A3" w:rsidP="00EA08A3">
      <w:pPr>
        <w:spacing w:line="480" w:lineRule="auto"/>
        <w:rPr>
          <w:rFonts w:ascii="Arial" w:hAnsi="Arial" w:cs="Arial"/>
          <w:sz w:val="22"/>
          <w:szCs w:val="22"/>
        </w:rPr>
      </w:pPr>
      <w:r w:rsidRPr="000C3AF5">
        <w:rPr>
          <w:rFonts w:ascii="Arial" w:hAnsi="Arial" w:cs="Arial"/>
          <w:sz w:val="22"/>
          <w:szCs w:val="22"/>
        </w:rPr>
        <w:t xml:space="preserve">This </w:t>
      </w:r>
      <w:r>
        <w:rPr>
          <w:rFonts w:ascii="Arial" w:hAnsi="Arial" w:cs="Arial"/>
          <w:sz w:val="22"/>
          <w:szCs w:val="22"/>
        </w:rPr>
        <w:t xml:space="preserve">chapter began with a </w:t>
      </w:r>
      <w:r w:rsidR="00441DB8">
        <w:rPr>
          <w:rFonts w:ascii="Arial" w:hAnsi="Arial" w:cs="Arial"/>
          <w:sz w:val="22"/>
          <w:szCs w:val="22"/>
        </w:rPr>
        <w:t>preliminary scoping</w:t>
      </w:r>
      <w:r w:rsidR="00924C3A">
        <w:rPr>
          <w:rFonts w:ascii="Arial" w:hAnsi="Arial" w:cs="Arial"/>
          <w:sz w:val="22"/>
          <w:szCs w:val="22"/>
        </w:rPr>
        <w:t xml:space="preserve"> </w:t>
      </w:r>
      <w:r>
        <w:rPr>
          <w:rFonts w:ascii="Arial" w:hAnsi="Arial" w:cs="Arial"/>
          <w:sz w:val="22"/>
          <w:szCs w:val="22"/>
        </w:rPr>
        <w:t xml:space="preserve">review of the literature in relation to </w:t>
      </w:r>
      <w:r w:rsidR="00924C3A">
        <w:rPr>
          <w:rFonts w:ascii="Arial" w:hAnsi="Arial" w:cs="Arial"/>
          <w:sz w:val="22"/>
          <w:szCs w:val="22"/>
        </w:rPr>
        <w:t xml:space="preserve">the therapist variables that may relate to outcome </w:t>
      </w:r>
      <w:r w:rsidR="00441DB8">
        <w:rPr>
          <w:rFonts w:ascii="Arial" w:hAnsi="Arial" w:cs="Arial"/>
          <w:sz w:val="22"/>
          <w:szCs w:val="22"/>
        </w:rPr>
        <w:t>more broadly in psychological</w:t>
      </w:r>
      <w:r w:rsidR="00924C3A">
        <w:rPr>
          <w:rFonts w:ascii="Arial" w:hAnsi="Arial" w:cs="Arial"/>
          <w:sz w:val="22"/>
          <w:szCs w:val="22"/>
        </w:rPr>
        <w:t xml:space="preserve"> therapy</w:t>
      </w:r>
      <w:r>
        <w:rPr>
          <w:rFonts w:ascii="Arial" w:hAnsi="Arial" w:cs="Arial"/>
          <w:sz w:val="22"/>
          <w:szCs w:val="22"/>
        </w:rPr>
        <w:t xml:space="preserve">. The </w:t>
      </w:r>
      <w:r w:rsidR="00924C3A">
        <w:rPr>
          <w:rFonts w:ascii="Arial" w:hAnsi="Arial" w:cs="Arial"/>
          <w:sz w:val="22"/>
          <w:szCs w:val="22"/>
        </w:rPr>
        <w:t xml:space="preserve">themes that emerged from the </w:t>
      </w:r>
      <w:r w:rsidR="00441DB8">
        <w:rPr>
          <w:rFonts w:ascii="Arial" w:hAnsi="Arial" w:cs="Arial"/>
          <w:sz w:val="22"/>
          <w:szCs w:val="22"/>
        </w:rPr>
        <w:t>scoping</w:t>
      </w:r>
      <w:r w:rsidR="00924C3A">
        <w:rPr>
          <w:rFonts w:ascii="Arial" w:hAnsi="Arial" w:cs="Arial"/>
          <w:sz w:val="22"/>
          <w:szCs w:val="22"/>
        </w:rPr>
        <w:t xml:space="preserve"> review were then discussed</w:t>
      </w:r>
      <w:r w:rsidR="005539D6">
        <w:rPr>
          <w:rFonts w:ascii="Arial" w:hAnsi="Arial" w:cs="Arial"/>
          <w:sz w:val="22"/>
          <w:szCs w:val="22"/>
        </w:rPr>
        <w:t>,</w:t>
      </w:r>
      <w:r w:rsidR="00924C3A">
        <w:rPr>
          <w:rFonts w:ascii="Arial" w:hAnsi="Arial" w:cs="Arial"/>
          <w:sz w:val="22"/>
          <w:szCs w:val="22"/>
        </w:rPr>
        <w:t xml:space="preserve"> including</w:t>
      </w:r>
      <w:r w:rsidR="003D5821">
        <w:rPr>
          <w:rFonts w:ascii="Arial" w:hAnsi="Arial" w:cs="Arial"/>
          <w:sz w:val="22"/>
          <w:szCs w:val="22"/>
        </w:rPr>
        <w:t xml:space="preserve"> therapist demographics, therapist competence, therapist adherence, therapist ability to develop and maintain a therapeutic relationship and therapist effects.  This review of the wider literature </w:t>
      </w:r>
      <w:r w:rsidR="003D5821">
        <w:rPr>
          <w:rFonts w:ascii="Arial" w:hAnsi="Arial" w:cs="Arial"/>
          <w:sz w:val="22"/>
          <w:szCs w:val="22"/>
        </w:rPr>
        <w:lastRenderedPageBreak/>
        <w:t>identified that whilst there is some conjecture about what therapist variables relate to outcome</w:t>
      </w:r>
      <w:r w:rsidR="00441DB8">
        <w:rPr>
          <w:rFonts w:ascii="Arial" w:hAnsi="Arial" w:cs="Arial"/>
          <w:sz w:val="22"/>
          <w:szCs w:val="22"/>
        </w:rPr>
        <w:t xml:space="preserve">, </w:t>
      </w:r>
      <w:r w:rsidR="003D5821">
        <w:rPr>
          <w:rFonts w:ascii="Arial" w:hAnsi="Arial" w:cs="Arial"/>
          <w:sz w:val="22"/>
          <w:szCs w:val="22"/>
        </w:rPr>
        <w:t>the issue remains unclear because the studies reviewed have small sample sizes and/or</w:t>
      </w:r>
      <w:r w:rsidR="008A5D77">
        <w:rPr>
          <w:rFonts w:ascii="Arial" w:hAnsi="Arial" w:cs="Arial"/>
          <w:sz w:val="22"/>
          <w:szCs w:val="22"/>
        </w:rPr>
        <w:t xml:space="preserve"> researchers have had little or no access to live therapy recordings. This theme also emerged in the systematic literature review which examined therapist variables and their relationship with outcome in High Intensity CBT therapists treating patients at step 3 in IAPT. </w:t>
      </w:r>
      <w:r>
        <w:rPr>
          <w:rFonts w:ascii="Arial" w:hAnsi="Arial" w:cs="Arial"/>
          <w:sz w:val="22"/>
          <w:szCs w:val="22"/>
        </w:rPr>
        <w:t xml:space="preserve">Whilst there were a number of articles that explore </w:t>
      </w:r>
      <w:r w:rsidR="003D5821">
        <w:rPr>
          <w:rFonts w:ascii="Arial" w:hAnsi="Arial" w:cs="Arial"/>
          <w:sz w:val="22"/>
          <w:szCs w:val="22"/>
        </w:rPr>
        <w:t xml:space="preserve">the variance in outcomes </w:t>
      </w:r>
      <w:r>
        <w:rPr>
          <w:rFonts w:ascii="Arial" w:hAnsi="Arial" w:cs="Arial"/>
          <w:sz w:val="22"/>
          <w:szCs w:val="22"/>
        </w:rPr>
        <w:t>therapists,</w:t>
      </w:r>
      <w:r w:rsidR="008A5D77">
        <w:rPr>
          <w:rFonts w:ascii="Arial" w:hAnsi="Arial" w:cs="Arial"/>
          <w:sz w:val="22"/>
          <w:szCs w:val="22"/>
        </w:rPr>
        <w:t xml:space="preserve"> many of these were therapist effects studies.  These robust and well</w:t>
      </w:r>
      <w:r w:rsidR="005539D6">
        <w:rPr>
          <w:rFonts w:ascii="Arial" w:hAnsi="Arial" w:cs="Arial"/>
          <w:sz w:val="22"/>
          <w:szCs w:val="22"/>
        </w:rPr>
        <w:t>-</w:t>
      </w:r>
      <w:r w:rsidR="008A5D77">
        <w:rPr>
          <w:rFonts w:ascii="Arial" w:hAnsi="Arial" w:cs="Arial"/>
          <w:sz w:val="22"/>
          <w:szCs w:val="22"/>
        </w:rPr>
        <w:t>powered studies add a great deal to what is known about the variance in outcomes in IAPT, but a significant gap remains in relation to what therapist variables are related to outcome within the overall therapist effect.</w:t>
      </w:r>
      <w:r>
        <w:rPr>
          <w:rFonts w:ascii="Arial" w:hAnsi="Arial" w:cs="Arial"/>
          <w:sz w:val="22"/>
          <w:szCs w:val="22"/>
        </w:rPr>
        <w:t xml:space="preserve"> This gap in knowledge is due to the lack of access </w:t>
      </w:r>
      <w:r w:rsidR="00441DB8">
        <w:rPr>
          <w:rFonts w:ascii="Arial" w:hAnsi="Arial" w:cs="Arial"/>
          <w:sz w:val="22"/>
          <w:szCs w:val="22"/>
        </w:rPr>
        <w:t xml:space="preserve">to </w:t>
      </w:r>
      <w:r>
        <w:rPr>
          <w:rFonts w:ascii="Arial" w:hAnsi="Arial" w:cs="Arial"/>
          <w:sz w:val="22"/>
          <w:szCs w:val="22"/>
        </w:rPr>
        <w:t xml:space="preserve">recordings or transcripts of therapy sessions </w:t>
      </w:r>
      <w:r w:rsidRPr="000C3AF5">
        <w:rPr>
          <w:rFonts w:ascii="Arial" w:hAnsi="Arial" w:cs="Arial"/>
          <w:sz w:val="22"/>
          <w:szCs w:val="22"/>
        </w:rPr>
        <w:t>and this has limited new learning in relation to the variance in recovery rates in IAPT. Many of the studies reviewed have not had access to therapy recordings at all and</w:t>
      </w:r>
      <w:r w:rsidR="00441DB8">
        <w:rPr>
          <w:rFonts w:ascii="Arial" w:hAnsi="Arial" w:cs="Arial"/>
          <w:sz w:val="22"/>
          <w:szCs w:val="22"/>
        </w:rPr>
        <w:t>,</w:t>
      </w:r>
      <w:r w:rsidRPr="000C3AF5">
        <w:rPr>
          <w:rFonts w:ascii="Arial" w:hAnsi="Arial" w:cs="Arial"/>
          <w:sz w:val="22"/>
          <w:szCs w:val="22"/>
        </w:rPr>
        <w:t xml:space="preserve"> of those that did, the</w:t>
      </w:r>
      <w:r>
        <w:rPr>
          <w:rFonts w:ascii="Arial" w:hAnsi="Arial" w:cs="Arial"/>
          <w:sz w:val="22"/>
          <w:szCs w:val="22"/>
        </w:rPr>
        <w:t xml:space="preserve"> availability of </w:t>
      </w:r>
      <w:r w:rsidRPr="000C3AF5">
        <w:rPr>
          <w:rFonts w:ascii="Arial" w:hAnsi="Arial" w:cs="Arial"/>
          <w:sz w:val="22"/>
          <w:szCs w:val="22"/>
        </w:rPr>
        <w:t xml:space="preserve">therapy recordings </w:t>
      </w:r>
      <w:r>
        <w:rPr>
          <w:rFonts w:ascii="Arial" w:hAnsi="Arial" w:cs="Arial"/>
          <w:sz w:val="22"/>
          <w:szCs w:val="22"/>
        </w:rPr>
        <w:t>was limited and were usually</w:t>
      </w:r>
      <w:r w:rsidRPr="000C3AF5">
        <w:rPr>
          <w:rFonts w:ascii="Arial" w:hAnsi="Arial" w:cs="Arial"/>
          <w:sz w:val="22"/>
          <w:szCs w:val="22"/>
        </w:rPr>
        <w:t xml:space="preserve"> self-selected by the therapist.</w:t>
      </w:r>
      <w:r>
        <w:rPr>
          <w:rFonts w:ascii="Arial" w:hAnsi="Arial" w:cs="Arial"/>
          <w:sz w:val="22"/>
          <w:szCs w:val="22"/>
        </w:rPr>
        <w:t xml:space="preserve">  This chapter draws from the recommendations made in the articles reviewed suggesting that future research uses sufficient recordings or transcripts of therapy sessions.  Internet Enabled CBT (IECBT), as described in </w:t>
      </w:r>
      <w:r w:rsidR="005539D6">
        <w:rPr>
          <w:rFonts w:ascii="Arial" w:hAnsi="Arial" w:cs="Arial"/>
          <w:sz w:val="22"/>
          <w:szCs w:val="22"/>
        </w:rPr>
        <w:t>C</w:t>
      </w:r>
      <w:r>
        <w:rPr>
          <w:rFonts w:ascii="Arial" w:hAnsi="Arial" w:cs="Arial"/>
          <w:sz w:val="22"/>
          <w:szCs w:val="22"/>
        </w:rPr>
        <w:t xml:space="preserve">hapter </w:t>
      </w:r>
      <w:r w:rsidR="00441DB8">
        <w:rPr>
          <w:rFonts w:ascii="Arial" w:hAnsi="Arial" w:cs="Arial"/>
          <w:sz w:val="22"/>
          <w:szCs w:val="22"/>
        </w:rPr>
        <w:t>2 of this thesis</w:t>
      </w:r>
      <w:r>
        <w:rPr>
          <w:rFonts w:ascii="Arial" w:hAnsi="Arial" w:cs="Arial"/>
          <w:sz w:val="22"/>
          <w:szCs w:val="22"/>
        </w:rPr>
        <w:t>, results in a transcript for every therapy session delivered. Therefore, t</w:t>
      </w:r>
      <w:r w:rsidRPr="000C3AF5">
        <w:rPr>
          <w:rFonts w:ascii="Arial" w:hAnsi="Arial" w:cs="Arial"/>
          <w:sz w:val="22"/>
          <w:szCs w:val="22"/>
        </w:rPr>
        <w:t xml:space="preserve">he delivery of High Intensity CBT, online using written communication, </w:t>
      </w:r>
      <w:r>
        <w:rPr>
          <w:rFonts w:ascii="Arial" w:hAnsi="Arial" w:cs="Arial"/>
          <w:sz w:val="22"/>
          <w:szCs w:val="22"/>
        </w:rPr>
        <w:t xml:space="preserve">(IECBT) </w:t>
      </w:r>
      <w:r w:rsidRPr="000C3AF5">
        <w:rPr>
          <w:rFonts w:ascii="Arial" w:hAnsi="Arial" w:cs="Arial"/>
          <w:sz w:val="22"/>
          <w:szCs w:val="22"/>
        </w:rPr>
        <w:t xml:space="preserve">provides a new method of understanding what CBT therapists are doing </w:t>
      </w:r>
      <w:r>
        <w:rPr>
          <w:rFonts w:ascii="Arial" w:hAnsi="Arial" w:cs="Arial"/>
          <w:sz w:val="22"/>
          <w:szCs w:val="22"/>
        </w:rPr>
        <w:t>with their patients and how</w:t>
      </w:r>
      <w:r w:rsidRPr="000C3AF5">
        <w:rPr>
          <w:rFonts w:ascii="Arial" w:hAnsi="Arial" w:cs="Arial"/>
          <w:sz w:val="22"/>
          <w:szCs w:val="22"/>
        </w:rPr>
        <w:t xml:space="preserve"> that is related to </w:t>
      </w:r>
      <w:r>
        <w:rPr>
          <w:rFonts w:ascii="Arial" w:hAnsi="Arial" w:cs="Arial"/>
          <w:sz w:val="22"/>
          <w:szCs w:val="22"/>
        </w:rPr>
        <w:t>clinical outcomes.</w:t>
      </w:r>
      <w:r w:rsidRPr="000C3AF5">
        <w:rPr>
          <w:rFonts w:ascii="Arial" w:hAnsi="Arial" w:cs="Arial"/>
          <w:sz w:val="22"/>
          <w:szCs w:val="22"/>
        </w:rPr>
        <w:t xml:space="preserve"> This method of delivering CBT </w:t>
      </w:r>
      <w:r>
        <w:rPr>
          <w:rFonts w:ascii="Arial" w:hAnsi="Arial" w:cs="Arial"/>
          <w:sz w:val="22"/>
          <w:szCs w:val="22"/>
        </w:rPr>
        <w:t xml:space="preserve">also </w:t>
      </w:r>
      <w:r w:rsidRPr="000C3AF5">
        <w:rPr>
          <w:rFonts w:ascii="Arial" w:hAnsi="Arial" w:cs="Arial"/>
          <w:sz w:val="22"/>
          <w:szCs w:val="22"/>
        </w:rPr>
        <w:t xml:space="preserve">enables </w:t>
      </w:r>
      <w:r>
        <w:rPr>
          <w:rFonts w:ascii="Arial" w:hAnsi="Arial" w:cs="Arial"/>
          <w:sz w:val="22"/>
          <w:szCs w:val="22"/>
        </w:rPr>
        <w:t>transcripts to be randomly</w:t>
      </w:r>
      <w:r w:rsidRPr="000C3AF5">
        <w:rPr>
          <w:rFonts w:ascii="Arial" w:hAnsi="Arial" w:cs="Arial"/>
          <w:sz w:val="22"/>
          <w:szCs w:val="22"/>
        </w:rPr>
        <w:t xml:space="preserve"> select</w:t>
      </w:r>
      <w:r>
        <w:rPr>
          <w:rFonts w:ascii="Arial" w:hAnsi="Arial" w:cs="Arial"/>
          <w:sz w:val="22"/>
          <w:szCs w:val="22"/>
        </w:rPr>
        <w:t xml:space="preserve">ed for review. </w:t>
      </w:r>
    </w:p>
    <w:p w14:paraId="610F7ACA" w14:textId="77777777" w:rsidR="00EA08A3" w:rsidRDefault="00EA08A3" w:rsidP="00EA08A3">
      <w:pPr>
        <w:spacing w:line="480" w:lineRule="auto"/>
        <w:rPr>
          <w:rFonts w:ascii="Arial" w:hAnsi="Arial" w:cs="Arial"/>
          <w:sz w:val="22"/>
          <w:szCs w:val="22"/>
        </w:rPr>
      </w:pPr>
    </w:p>
    <w:p w14:paraId="14F683C2" w14:textId="77777777" w:rsidR="00441DB8" w:rsidRDefault="00EA08A3" w:rsidP="00441DB8">
      <w:pPr>
        <w:spacing w:line="480" w:lineRule="auto"/>
        <w:rPr>
          <w:rFonts w:ascii="Arial" w:hAnsi="Arial" w:cs="Arial"/>
          <w:sz w:val="22"/>
          <w:szCs w:val="22"/>
        </w:rPr>
      </w:pPr>
      <w:r>
        <w:rPr>
          <w:rFonts w:ascii="Arial" w:hAnsi="Arial" w:cs="Arial"/>
          <w:sz w:val="22"/>
          <w:szCs w:val="22"/>
        </w:rPr>
        <w:t xml:space="preserve">This chapter concluded with the research questions for this thesis. Chapter 4 </w:t>
      </w:r>
      <w:r w:rsidRPr="000C3AF5">
        <w:rPr>
          <w:rFonts w:ascii="Arial" w:hAnsi="Arial" w:cs="Arial"/>
          <w:sz w:val="22"/>
          <w:szCs w:val="22"/>
        </w:rPr>
        <w:t>will outline the method</w:t>
      </w:r>
      <w:r>
        <w:rPr>
          <w:rFonts w:ascii="Arial" w:hAnsi="Arial" w:cs="Arial"/>
          <w:sz w:val="22"/>
          <w:szCs w:val="22"/>
        </w:rPr>
        <w:t>ology, research design</w:t>
      </w:r>
      <w:r w:rsidRPr="000C3AF5">
        <w:rPr>
          <w:rFonts w:ascii="Arial" w:hAnsi="Arial" w:cs="Arial"/>
          <w:sz w:val="22"/>
          <w:szCs w:val="22"/>
        </w:rPr>
        <w:t xml:space="preserve"> </w:t>
      </w:r>
      <w:r>
        <w:rPr>
          <w:rFonts w:ascii="Arial" w:hAnsi="Arial" w:cs="Arial"/>
          <w:sz w:val="22"/>
          <w:szCs w:val="22"/>
        </w:rPr>
        <w:t xml:space="preserve">and data analysis </w:t>
      </w:r>
      <w:r w:rsidRPr="000C3AF5">
        <w:rPr>
          <w:rFonts w:ascii="Arial" w:hAnsi="Arial" w:cs="Arial"/>
          <w:sz w:val="22"/>
          <w:szCs w:val="22"/>
        </w:rPr>
        <w:t>for this research.</w:t>
      </w:r>
      <w:bookmarkStart w:id="236" w:name="_Toc329781359"/>
      <w:bookmarkStart w:id="237" w:name="_Toc329781400"/>
    </w:p>
    <w:p w14:paraId="5EC8A3D6" w14:textId="77777777" w:rsidR="00441DB8" w:rsidRDefault="00441DB8" w:rsidP="00441DB8">
      <w:pPr>
        <w:spacing w:line="480" w:lineRule="auto"/>
        <w:rPr>
          <w:rFonts w:ascii="Arial" w:hAnsi="Arial" w:cs="Arial"/>
          <w:sz w:val="22"/>
          <w:szCs w:val="22"/>
        </w:rPr>
      </w:pPr>
    </w:p>
    <w:p w14:paraId="4FDC0CCA" w14:textId="77777777" w:rsidR="00441DB8" w:rsidRDefault="00441DB8" w:rsidP="00441DB8">
      <w:pPr>
        <w:spacing w:line="480" w:lineRule="auto"/>
        <w:rPr>
          <w:rFonts w:ascii="Arial" w:hAnsi="Arial" w:cs="Arial"/>
          <w:sz w:val="22"/>
          <w:szCs w:val="22"/>
        </w:rPr>
      </w:pPr>
    </w:p>
    <w:p w14:paraId="3E74A713" w14:textId="77777777" w:rsidR="00B65984" w:rsidRDefault="00B65984">
      <w:pPr>
        <w:rPr>
          <w:rFonts w:ascii="Arial" w:eastAsiaTheme="majorEastAsia" w:hAnsi="Arial" w:cs="Arial"/>
          <w:b/>
          <w:bCs/>
          <w:color w:val="000000" w:themeColor="text1"/>
          <w:sz w:val="22"/>
          <w:szCs w:val="22"/>
        </w:rPr>
      </w:pPr>
      <w:r>
        <w:rPr>
          <w:rFonts w:ascii="Arial" w:hAnsi="Arial" w:cs="Arial"/>
          <w:color w:val="000000" w:themeColor="text1"/>
          <w:sz w:val="22"/>
          <w:szCs w:val="22"/>
        </w:rPr>
        <w:br w:type="page"/>
      </w:r>
    </w:p>
    <w:p w14:paraId="51AE2004" w14:textId="3202EF1E" w:rsidR="007F596B" w:rsidRPr="00B26A30" w:rsidRDefault="007F596B" w:rsidP="007F596B">
      <w:pPr>
        <w:pStyle w:val="Heading1"/>
        <w:rPr>
          <w:rFonts w:cs="Arial"/>
          <w:color w:val="000000" w:themeColor="text1"/>
          <w:szCs w:val="22"/>
        </w:rPr>
      </w:pPr>
      <w:bookmarkStart w:id="238" w:name="_Toc46770778"/>
      <w:bookmarkStart w:id="239" w:name="_Toc79414189"/>
      <w:r w:rsidRPr="00441DB8">
        <w:rPr>
          <w:rFonts w:cs="Arial"/>
          <w:color w:val="000000" w:themeColor="text1"/>
          <w:szCs w:val="22"/>
        </w:rPr>
        <w:lastRenderedPageBreak/>
        <w:t xml:space="preserve">CHAPTER </w:t>
      </w:r>
      <w:bookmarkStart w:id="240" w:name="_Toc329781360"/>
      <w:bookmarkStart w:id="241" w:name="_Toc329781401"/>
      <w:bookmarkEnd w:id="236"/>
      <w:bookmarkEnd w:id="237"/>
      <w:r w:rsidR="00AB3CF6" w:rsidRPr="00441DB8">
        <w:rPr>
          <w:rFonts w:cs="Arial"/>
          <w:color w:val="000000" w:themeColor="text1"/>
          <w:szCs w:val="22"/>
        </w:rPr>
        <w:t>FOUR</w:t>
      </w:r>
      <w:r w:rsidRPr="00441DB8">
        <w:rPr>
          <w:rFonts w:cs="Arial"/>
          <w:color w:val="000000" w:themeColor="text1"/>
          <w:szCs w:val="22"/>
        </w:rPr>
        <w:t xml:space="preserve">: </w:t>
      </w:r>
      <w:bookmarkEnd w:id="240"/>
      <w:bookmarkEnd w:id="241"/>
      <w:r w:rsidR="00525B47" w:rsidRPr="00441DB8">
        <w:rPr>
          <w:rFonts w:cs="Arial"/>
          <w:color w:val="000000" w:themeColor="text1"/>
          <w:szCs w:val="22"/>
        </w:rPr>
        <w:t>METHODOLOGY</w:t>
      </w:r>
      <w:bookmarkEnd w:id="238"/>
      <w:bookmarkEnd w:id="239"/>
    </w:p>
    <w:p w14:paraId="200F23DB" w14:textId="359C2B70" w:rsidR="007F596B" w:rsidRPr="00B26A30" w:rsidRDefault="00D238AD" w:rsidP="007F596B">
      <w:pPr>
        <w:spacing w:line="480" w:lineRule="auto"/>
        <w:rPr>
          <w:rFonts w:ascii="Arial" w:hAnsi="Arial"/>
          <w:sz w:val="22"/>
          <w:szCs w:val="22"/>
        </w:rPr>
      </w:pPr>
      <w:r>
        <w:rPr>
          <w:rFonts w:ascii="Arial" w:hAnsi="Arial"/>
          <w:sz w:val="22"/>
          <w:szCs w:val="22"/>
        </w:rPr>
        <w:br/>
      </w:r>
      <w:r w:rsidR="007F596B" w:rsidRPr="00B26A30">
        <w:rPr>
          <w:rFonts w:ascii="Arial" w:hAnsi="Arial"/>
          <w:sz w:val="22"/>
          <w:szCs w:val="22"/>
        </w:rPr>
        <w:t>“there is nothing so practical as a good theory” (Lewin 1951 p.169)</w:t>
      </w:r>
    </w:p>
    <w:p w14:paraId="7FDF3955" w14:textId="77777777" w:rsidR="007F596B" w:rsidRDefault="007F596B" w:rsidP="007F596B">
      <w:pPr>
        <w:spacing w:line="480" w:lineRule="auto"/>
        <w:rPr>
          <w:rFonts w:ascii="Arial" w:hAnsi="Arial"/>
          <w:sz w:val="22"/>
          <w:szCs w:val="22"/>
        </w:rPr>
      </w:pPr>
    </w:p>
    <w:p w14:paraId="31A77B99" w14:textId="76396DD6" w:rsidR="007F596B" w:rsidRPr="00B26A30" w:rsidRDefault="007F596B" w:rsidP="007F596B">
      <w:pPr>
        <w:spacing w:line="480" w:lineRule="auto"/>
        <w:rPr>
          <w:rFonts w:ascii="Arial" w:hAnsi="Arial"/>
          <w:sz w:val="22"/>
          <w:szCs w:val="22"/>
        </w:rPr>
      </w:pPr>
      <w:r w:rsidRPr="00B26A30">
        <w:rPr>
          <w:rFonts w:ascii="Arial" w:hAnsi="Arial"/>
          <w:sz w:val="22"/>
          <w:szCs w:val="22"/>
        </w:rPr>
        <w:t xml:space="preserve">Chapter </w:t>
      </w:r>
      <w:r w:rsidR="00AB3CF6">
        <w:rPr>
          <w:rFonts w:ascii="Arial" w:hAnsi="Arial"/>
          <w:sz w:val="22"/>
          <w:szCs w:val="22"/>
        </w:rPr>
        <w:t>3</w:t>
      </w:r>
      <w:r w:rsidRPr="00B26A30">
        <w:rPr>
          <w:rFonts w:ascii="Arial" w:hAnsi="Arial"/>
          <w:sz w:val="22"/>
          <w:szCs w:val="22"/>
        </w:rPr>
        <w:t xml:space="preserve"> </w:t>
      </w:r>
      <w:r w:rsidR="00441DB8">
        <w:rPr>
          <w:rFonts w:ascii="Arial" w:hAnsi="Arial"/>
          <w:sz w:val="22"/>
          <w:szCs w:val="22"/>
        </w:rPr>
        <w:t xml:space="preserve">of this thesis </w:t>
      </w:r>
      <w:r w:rsidRPr="00B26A30">
        <w:rPr>
          <w:rFonts w:ascii="Arial" w:hAnsi="Arial"/>
          <w:sz w:val="22"/>
          <w:szCs w:val="22"/>
        </w:rPr>
        <w:t xml:space="preserve">discussed a review of the literature relating to </w:t>
      </w:r>
      <w:r w:rsidR="00441DB8">
        <w:rPr>
          <w:rFonts w:ascii="Arial" w:hAnsi="Arial"/>
          <w:sz w:val="22"/>
          <w:szCs w:val="22"/>
        </w:rPr>
        <w:t>how</w:t>
      </w:r>
      <w:r w:rsidRPr="00B26A30">
        <w:rPr>
          <w:rFonts w:ascii="Arial" w:hAnsi="Arial"/>
          <w:sz w:val="22"/>
          <w:szCs w:val="22"/>
        </w:rPr>
        <w:t xml:space="preserve"> therapist variables relate to outcome in </w:t>
      </w:r>
      <w:r w:rsidR="00441DB8">
        <w:rPr>
          <w:rFonts w:ascii="Arial" w:hAnsi="Arial"/>
          <w:sz w:val="22"/>
          <w:szCs w:val="22"/>
        </w:rPr>
        <w:t xml:space="preserve">the wider psychological therapy literature and in the </w:t>
      </w:r>
      <w:r w:rsidRPr="00B26A30">
        <w:rPr>
          <w:rFonts w:ascii="Arial" w:hAnsi="Arial"/>
          <w:sz w:val="22"/>
          <w:szCs w:val="22"/>
        </w:rPr>
        <w:t>IAPT</w:t>
      </w:r>
      <w:r w:rsidR="00441DB8">
        <w:rPr>
          <w:rFonts w:ascii="Arial" w:hAnsi="Arial"/>
          <w:sz w:val="22"/>
          <w:szCs w:val="22"/>
        </w:rPr>
        <w:t xml:space="preserve"> literature</w:t>
      </w:r>
      <w:r w:rsidRPr="00B26A30">
        <w:rPr>
          <w:rFonts w:ascii="Arial" w:hAnsi="Arial"/>
          <w:sz w:val="22"/>
          <w:szCs w:val="22"/>
        </w:rPr>
        <w:t xml:space="preserve">. The chapter highlighted a significant gap in the </w:t>
      </w:r>
      <w:r w:rsidR="00441DB8">
        <w:rPr>
          <w:rFonts w:ascii="Arial" w:hAnsi="Arial"/>
          <w:sz w:val="22"/>
          <w:szCs w:val="22"/>
        </w:rPr>
        <w:t xml:space="preserve">knowledge </w:t>
      </w:r>
      <w:r w:rsidRPr="00B26A30">
        <w:rPr>
          <w:rFonts w:ascii="Arial" w:hAnsi="Arial"/>
          <w:sz w:val="22"/>
          <w:szCs w:val="22"/>
        </w:rPr>
        <w:t xml:space="preserve">relating to the therapist variables that </w:t>
      </w:r>
      <w:r w:rsidR="00F3495B">
        <w:rPr>
          <w:rFonts w:ascii="Arial" w:hAnsi="Arial"/>
          <w:sz w:val="22"/>
          <w:szCs w:val="22"/>
        </w:rPr>
        <w:t>are associated with clinical</w:t>
      </w:r>
      <w:r w:rsidRPr="00B26A30">
        <w:rPr>
          <w:rFonts w:ascii="Arial" w:hAnsi="Arial"/>
          <w:sz w:val="22"/>
          <w:szCs w:val="22"/>
        </w:rPr>
        <w:t xml:space="preserve"> outcome</w:t>
      </w:r>
      <w:r w:rsidR="00F3495B">
        <w:rPr>
          <w:rFonts w:ascii="Arial" w:hAnsi="Arial"/>
          <w:sz w:val="22"/>
          <w:szCs w:val="22"/>
        </w:rPr>
        <w:t xml:space="preserve"> in IAPT. It was argued that the gap in the literature exists</w:t>
      </w:r>
      <w:r w:rsidRPr="00B26A30">
        <w:rPr>
          <w:rFonts w:ascii="Arial" w:hAnsi="Arial"/>
          <w:sz w:val="22"/>
          <w:szCs w:val="22"/>
        </w:rPr>
        <w:t xml:space="preserve"> because </w:t>
      </w:r>
      <w:r w:rsidR="00F3495B">
        <w:rPr>
          <w:rFonts w:ascii="Arial" w:hAnsi="Arial"/>
          <w:sz w:val="22"/>
          <w:szCs w:val="22"/>
        </w:rPr>
        <w:t>in order to address this research question</w:t>
      </w:r>
      <w:r w:rsidR="005539D6">
        <w:rPr>
          <w:rFonts w:ascii="Arial" w:hAnsi="Arial"/>
          <w:sz w:val="22"/>
          <w:szCs w:val="22"/>
        </w:rPr>
        <w:t>,</w:t>
      </w:r>
      <w:r w:rsidR="00F3495B">
        <w:rPr>
          <w:rFonts w:ascii="Arial" w:hAnsi="Arial"/>
          <w:sz w:val="22"/>
          <w:szCs w:val="22"/>
        </w:rPr>
        <w:t xml:space="preserve"> it is necessary</w:t>
      </w:r>
      <w:r w:rsidR="0078279A">
        <w:rPr>
          <w:rFonts w:ascii="Arial" w:hAnsi="Arial"/>
          <w:sz w:val="22"/>
          <w:szCs w:val="22"/>
        </w:rPr>
        <w:t xml:space="preserve"> to</w:t>
      </w:r>
      <w:r w:rsidR="00F3495B">
        <w:rPr>
          <w:rFonts w:ascii="Arial" w:hAnsi="Arial"/>
          <w:sz w:val="22"/>
          <w:szCs w:val="22"/>
        </w:rPr>
        <w:t xml:space="preserve"> have access to sufficient numbers of</w:t>
      </w:r>
      <w:r w:rsidRPr="00B26A30">
        <w:rPr>
          <w:rFonts w:ascii="Arial" w:hAnsi="Arial"/>
          <w:sz w:val="22"/>
          <w:szCs w:val="22"/>
        </w:rPr>
        <w:t xml:space="preserve"> recordings or transcripts of therapy sessions. Chapter </w:t>
      </w:r>
      <w:r w:rsidR="00F3495B">
        <w:rPr>
          <w:rFonts w:ascii="Arial" w:hAnsi="Arial"/>
          <w:sz w:val="22"/>
          <w:szCs w:val="22"/>
        </w:rPr>
        <w:t>3</w:t>
      </w:r>
      <w:r w:rsidRPr="00B26A30">
        <w:rPr>
          <w:rFonts w:ascii="Arial" w:hAnsi="Arial"/>
          <w:sz w:val="22"/>
          <w:szCs w:val="22"/>
        </w:rPr>
        <w:t xml:space="preserve"> argued that High Intensity (step 3) CBT delivered in IAPT via Internet Enabled CBT (IECBT) </w:t>
      </w:r>
      <w:r w:rsidR="00F3495B">
        <w:rPr>
          <w:rFonts w:ascii="Arial" w:hAnsi="Arial"/>
          <w:sz w:val="22"/>
          <w:szCs w:val="22"/>
        </w:rPr>
        <w:t>provides</w:t>
      </w:r>
      <w:r w:rsidRPr="00B26A30">
        <w:rPr>
          <w:rFonts w:ascii="Arial" w:hAnsi="Arial"/>
          <w:sz w:val="22"/>
          <w:szCs w:val="22"/>
        </w:rPr>
        <w:t xml:space="preserve"> the opportunity to randomly select transcripts in order to learn what therapists are doing with their patients that might relate to outcome. Chapter </w:t>
      </w:r>
      <w:r w:rsidR="00AB3CF6">
        <w:rPr>
          <w:rFonts w:ascii="Arial" w:hAnsi="Arial"/>
          <w:sz w:val="22"/>
          <w:szCs w:val="22"/>
        </w:rPr>
        <w:t>3</w:t>
      </w:r>
      <w:r w:rsidRPr="00B26A30">
        <w:rPr>
          <w:rFonts w:ascii="Arial" w:hAnsi="Arial"/>
          <w:sz w:val="22"/>
          <w:szCs w:val="22"/>
        </w:rPr>
        <w:t xml:space="preserve"> concluded with the research questions for this thesis.</w:t>
      </w:r>
    </w:p>
    <w:p w14:paraId="013D7108" w14:textId="77777777" w:rsidR="007F596B" w:rsidRDefault="007F596B" w:rsidP="007F596B">
      <w:pPr>
        <w:spacing w:line="480" w:lineRule="auto"/>
        <w:rPr>
          <w:rFonts w:ascii="Arial" w:hAnsi="Arial"/>
          <w:b/>
          <w:sz w:val="22"/>
          <w:szCs w:val="22"/>
        </w:rPr>
      </w:pPr>
    </w:p>
    <w:p w14:paraId="2D25E838" w14:textId="77777777" w:rsidR="007F596B" w:rsidRPr="00B26A30" w:rsidRDefault="007F596B" w:rsidP="007F596B">
      <w:pPr>
        <w:spacing w:line="480" w:lineRule="auto"/>
        <w:rPr>
          <w:rFonts w:ascii="Arial" w:hAnsi="Arial"/>
          <w:sz w:val="22"/>
          <w:szCs w:val="22"/>
        </w:rPr>
      </w:pPr>
      <w:r w:rsidRPr="00B26A30">
        <w:rPr>
          <w:rFonts w:ascii="Arial" w:hAnsi="Arial"/>
          <w:sz w:val="22"/>
          <w:szCs w:val="22"/>
        </w:rPr>
        <w:t>This chapter presents an analysis of the methodological issues relevant to this study. It includes a rationale for the approach and a review of the theoretical frameworks traditionally used within contemporary cognitive behavioural therapy practice. This chapter goes on describe the research design and statistical analyses that will be used in this research.</w:t>
      </w:r>
    </w:p>
    <w:p w14:paraId="224A7B8C" w14:textId="77777777" w:rsidR="007F596B" w:rsidRPr="00412F7A" w:rsidRDefault="007F596B" w:rsidP="007F596B">
      <w:pPr>
        <w:spacing w:line="480" w:lineRule="auto"/>
        <w:rPr>
          <w:rFonts w:ascii="Arial" w:hAnsi="Arial"/>
          <w:b/>
        </w:rPr>
      </w:pPr>
    </w:p>
    <w:p w14:paraId="26241A74" w14:textId="3FFB7D7B" w:rsidR="007F596B" w:rsidRPr="00A46331" w:rsidRDefault="00AB3CF6" w:rsidP="007F596B">
      <w:pPr>
        <w:pStyle w:val="Heading2"/>
        <w:rPr>
          <w:rFonts w:ascii="Arial" w:hAnsi="Arial" w:cs="Arial"/>
          <w:b w:val="0"/>
          <w:color w:val="000000" w:themeColor="text1"/>
          <w:sz w:val="22"/>
          <w:szCs w:val="22"/>
        </w:rPr>
      </w:pPr>
      <w:bookmarkStart w:id="242" w:name="_Toc46770779"/>
      <w:bookmarkStart w:id="243" w:name="_Toc79414190"/>
      <w:r>
        <w:rPr>
          <w:rFonts w:ascii="Arial" w:hAnsi="Arial" w:cs="Arial"/>
          <w:color w:val="000000" w:themeColor="text1"/>
          <w:sz w:val="22"/>
          <w:szCs w:val="22"/>
        </w:rPr>
        <w:t>4</w:t>
      </w:r>
      <w:r w:rsidR="007F596B" w:rsidRPr="00A46331">
        <w:rPr>
          <w:rFonts w:ascii="Arial" w:hAnsi="Arial" w:cs="Arial"/>
          <w:color w:val="000000" w:themeColor="text1"/>
          <w:sz w:val="22"/>
          <w:szCs w:val="22"/>
        </w:rPr>
        <w:t>.1 THE PHILOSOPHY OF EVIDENCE</w:t>
      </w:r>
      <w:r w:rsidR="005539D6">
        <w:rPr>
          <w:rFonts w:ascii="Arial" w:hAnsi="Arial" w:cs="Arial"/>
          <w:color w:val="000000" w:themeColor="text1"/>
          <w:sz w:val="22"/>
          <w:szCs w:val="22"/>
        </w:rPr>
        <w:t>-</w:t>
      </w:r>
      <w:r w:rsidR="007F596B" w:rsidRPr="00A46331">
        <w:rPr>
          <w:rFonts w:ascii="Arial" w:hAnsi="Arial" w:cs="Arial"/>
          <w:color w:val="000000" w:themeColor="text1"/>
          <w:sz w:val="22"/>
          <w:szCs w:val="22"/>
        </w:rPr>
        <w:t>BASED PSYCHOLOGICAL THERAPY</w:t>
      </w:r>
      <w:bookmarkEnd w:id="242"/>
      <w:bookmarkEnd w:id="243"/>
    </w:p>
    <w:p w14:paraId="521793F1" w14:textId="2E09B186" w:rsidR="007F596B" w:rsidRPr="00A46331" w:rsidRDefault="00D238AD" w:rsidP="007F596B">
      <w:pPr>
        <w:spacing w:line="480" w:lineRule="auto"/>
        <w:rPr>
          <w:rFonts w:ascii="Arial" w:hAnsi="Arial"/>
          <w:sz w:val="22"/>
          <w:szCs w:val="22"/>
        </w:rPr>
      </w:pPr>
      <w:r>
        <w:rPr>
          <w:rFonts w:ascii="Arial" w:hAnsi="Arial"/>
          <w:sz w:val="22"/>
          <w:szCs w:val="22"/>
        </w:rPr>
        <w:br/>
      </w:r>
      <w:r w:rsidR="007F596B" w:rsidRPr="00A46331">
        <w:rPr>
          <w:rFonts w:ascii="Arial" w:hAnsi="Arial"/>
          <w:sz w:val="22"/>
          <w:szCs w:val="22"/>
        </w:rPr>
        <w:t>Evidence</w:t>
      </w:r>
      <w:r w:rsidR="005539D6">
        <w:rPr>
          <w:rFonts w:ascii="Arial" w:hAnsi="Arial"/>
          <w:sz w:val="22"/>
          <w:szCs w:val="22"/>
        </w:rPr>
        <w:t>-</w:t>
      </w:r>
      <w:r w:rsidR="007F596B" w:rsidRPr="00A46331">
        <w:rPr>
          <w:rFonts w:ascii="Arial" w:hAnsi="Arial"/>
          <w:sz w:val="22"/>
          <w:szCs w:val="22"/>
        </w:rPr>
        <w:t>based psychological interventions arose in the United Kingdom (</w:t>
      </w:r>
      <w:r w:rsidR="00F3495B">
        <w:rPr>
          <w:rFonts w:ascii="Arial" w:hAnsi="Arial"/>
          <w:sz w:val="22"/>
          <w:szCs w:val="22"/>
        </w:rPr>
        <w:t>Layard and Clark 2009</w:t>
      </w:r>
      <w:r w:rsidR="007F596B" w:rsidRPr="00A46331">
        <w:rPr>
          <w:rFonts w:ascii="Arial" w:hAnsi="Arial"/>
          <w:sz w:val="22"/>
          <w:szCs w:val="22"/>
        </w:rPr>
        <w:t xml:space="preserve">). The underpinning premise was that clinical outcomes would only improve with the acquisition of and utilisation of contemporary learning (Eysenck, 1966). </w:t>
      </w:r>
      <w:r w:rsidR="0078279A">
        <w:rPr>
          <w:rFonts w:ascii="Arial" w:hAnsi="Arial"/>
          <w:sz w:val="22"/>
          <w:szCs w:val="22"/>
        </w:rPr>
        <w:t>E</w:t>
      </w:r>
      <w:r w:rsidR="007F596B" w:rsidRPr="00A46331">
        <w:rPr>
          <w:rFonts w:ascii="Arial" w:hAnsi="Arial"/>
          <w:sz w:val="22"/>
          <w:szCs w:val="22"/>
        </w:rPr>
        <w:t xml:space="preserve">pistemic terms such as ‘evidence’ ‘grounds’ and ‘warrant’ have become synonymous with the </w:t>
      </w:r>
      <w:r w:rsidR="0078279A">
        <w:rPr>
          <w:rFonts w:ascii="Arial" w:hAnsi="Arial"/>
          <w:sz w:val="22"/>
          <w:szCs w:val="22"/>
        </w:rPr>
        <w:t xml:space="preserve">CBT </w:t>
      </w:r>
      <w:r w:rsidR="007F596B" w:rsidRPr="00A46331">
        <w:rPr>
          <w:rFonts w:ascii="Arial" w:hAnsi="Arial"/>
          <w:sz w:val="22"/>
          <w:szCs w:val="22"/>
        </w:rPr>
        <w:t xml:space="preserve">literature. </w:t>
      </w:r>
      <w:r w:rsidR="0078279A">
        <w:rPr>
          <w:rFonts w:ascii="Arial" w:hAnsi="Arial"/>
          <w:sz w:val="22"/>
          <w:szCs w:val="22"/>
        </w:rPr>
        <w:t>There is some</w:t>
      </w:r>
      <w:r w:rsidR="007F596B" w:rsidRPr="00A46331">
        <w:rPr>
          <w:rFonts w:ascii="Arial" w:hAnsi="Arial"/>
          <w:sz w:val="22"/>
          <w:szCs w:val="22"/>
        </w:rPr>
        <w:t xml:space="preserve"> debate </w:t>
      </w:r>
      <w:r w:rsidR="0078279A">
        <w:rPr>
          <w:rFonts w:ascii="Arial" w:hAnsi="Arial"/>
          <w:sz w:val="22"/>
          <w:szCs w:val="22"/>
        </w:rPr>
        <w:t>relating</w:t>
      </w:r>
      <w:r w:rsidR="007F596B" w:rsidRPr="00A46331">
        <w:rPr>
          <w:rFonts w:ascii="Arial" w:hAnsi="Arial"/>
          <w:sz w:val="22"/>
          <w:szCs w:val="22"/>
        </w:rPr>
        <w:t xml:space="preserve"> to how, and when, researchers can claim they know that a theory is likely to be plausible and to what extent is it possible to say that one theory is </w:t>
      </w:r>
      <w:r w:rsidR="007F596B" w:rsidRPr="00A46331">
        <w:rPr>
          <w:rFonts w:ascii="Arial" w:hAnsi="Arial"/>
          <w:sz w:val="22"/>
          <w:szCs w:val="22"/>
        </w:rPr>
        <w:lastRenderedPageBreak/>
        <w:t>superior to another</w:t>
      </w:r>
      <w:r w:rsidR="0078279A">
        <w:rPr>
          <w:rFonts w:ascii="Arial" w:hAnsi="Arial"/>
          <w:sz w:val="22"/>
          <w:szCs w:val="22"/>
        </w:rPr>
        <w:t xml:space="preserve"> (Williams, 2015, Mollon, 2010, Layard and Clark, 2014)</w:t>
      </w:r>
      <w:r w:rsidR="007F596B" w:rsidRPr="00A46331">
        <w:rPr>
          <w:rFonts w:ascii="Arial" w:hAnsi="Arial"/>
          <w:sz w:val="22"/>
          <w:szCs w:val="22"/>
        </w:rPr>
        <w:t xml:space="preserve">. These epistemic arguments most frequently relate to research methodology. </w:t>
      </w:r>
      <w:r w:rsidR="00007BE0">
        <w:rPr>
          <w:rFonts w:ascii="Arial" w:hAnsi="Arial"/>
          <w:sz w:val="22"/>
          <w:szCs w:val="22"/>
        </w:rPr>
        <w:t xml:space="preserve">There has been some criticism about a number of </w:t>
      </w:r>
      <w:r w:rsidR="007F596B" w:rsidRPr="00A46331">
        <w:rPr>
          <w:rFonts w:ascii="Arial" w:hAnsi="Arial"/>
          <w:sz w:val="22"/>
          <w:szCs w:val="22"/>
        </w:rPr>
        <w:t>CBT studies</w:t>
      </w:r>
      <w:r w:rsidR="00007BE0">
        <w:rPr>
          <w:rFonts w:ascii="Arial" w:hAnsi="Arial"/>
          <w:sz w:val="22"/>
          <w:szCs w:val="22"/>
        </w:rPr>
        <w:t xml:space="preserve"> (</w:t>
      </w:r>
      <w:r w:rsidR="00F82635">
        <w:rPr>
          <w:rFonts w:ascii="Arial" w:hAnsi="Arial"/>
          <w:sz w:val="22"/>
          <w:szCs w:val="22"/>
        </w:rPr>
        <w:t xml:space="preserve">Andrews, 2000, </w:t>
      </w:r>
      <w:r w:rsidR="00007BE0">
        <w:rPr>
          <w:rFonts w:ascii="Arial" w:hAnsi="Arial"/>
          <w:sz w:val="22"/>
          <w:szCs w:val="22"/>
        </w:rPr>
        <w:t xml:space="preserve">Wampold, Goodheart and Levant, 2007, </w:t>
      </w:r>
      <w:r w:rsidR="00F82635">
        <w:rPr>
          <w:rFonts w:ascii="Arial" w:hAnsi="Arial"/>
          <w:sz w:val="22"/>
          <w:szCs w:val="22"/>
        </w:rPr>
        <w:t>Lowenthal and Proctor,2018</w:t>
      </w:r>
      <w:r w:rsidR="00007BE0">
        <w:rPr>
          <w:rFonts w:ascii="Arial" w:hAnsi="Arial"/>
          <w:sz w:val="22"/>
          <w:szCs w:val="22"/>
        </w:rPr>
        <w:t>,</w:t>
      </w:r>
      <w:r w:rsidR="00F40572">
        <w:rPr>
          <w:rFonts w:ascii="Arial" w:hAnsi="Arial"/>
          <w:sz w:val="22"/>
          <w:szCs w:val="22"/>
        </w:rPr>
        <w:t xml:space="preserve"> </w:t>
      </w:r>
      <w:r w:rsidR="00007BE0">
        <w:rPr>
          <w:rFonts w:ascii="Arial" w:hAnsi="Arial"/>
          <w:sz w:val="22"/>
          <w:szCs w:val="22"/>
        </w:rPr>
        <w:t xml:space="preserve">Wampold and Imel, 2015 </w:t>
      </w:r>
      <w:r w:rsidR="007F596B" w:rsidRPr="00A46331">
        <w:rPr>
          <w:rFonts w:ascii="Arial" w:hAnsi="Arial"/>
          <w:sz w:val="22"/>
          <w:szCs w:val="22"/>
        </w:rPr>
        <w:t xml:space="preserve">. </w:t>
      </w:r>
      <w:r w:rsidR="008A5CC5">
        <w:rPr>
          <w:rFonts w:ascii="Arial" w:hAnsi="Arial"/>
          <w:sz w:val="22"/>
          <w:szCs w:val="22"/>
        </w:rPr>
        <w:t>The primary argument that is presented is</w:t>
      </w:r>
      <w:r w:rsidR="007F596B" w:rsidRPr="00A46331">
        <w:rPr>
          <w:rFonts w:ascii="Arial" w:hAnsi="Arial"/>
          <w:sz w:val="22"/>
          <w:szCs w:val="22"/>
        </w:rPr>
        <w:t xml:space="preserve"> that methodologically most are weak (</w:t>
      </w:r>
      <w:r w:rsidR="008A5CC5">
        <w:rPr>
          <w:rFonts w:ascii="Arial" w:hAnsi="Arial"/>
          <w:sz w:val="22"/>
          <w:szCs w:val="22"/>
        </w:rPr>
        <w:t>Wampol</w:t>
      </w:r>
      <w:r w:rsidR="00891C32">
        <w:rPr>
          <w:rFonts w:ascii="Arial" w:hAnsi="Arial"/>
          <w:sz w:val="22"/>
          <w:szCs w:val="22"/>
        </w:rPr>
        <w:t>d Fluckiger, Del Re, Yulish, Frost, Pace, et al.,</w:t>
      </w:r>
      <w:r w:rsidR="008A5CC5">
        <w:rPr>
          <w:rFonts w:ascii="Arial" w:hAnsi="Arial"/>
          <w:sz w:val="22"/>
          <w:szCs w:val="22"/>
        </w:rPr>
        <w:t xml:space="preserve"> 2016</w:t>
      </w:r>
      <w:r w:rsidR="007F596B" w:rsidRPr="00A46331">
        <w:rPr>
          <w:rFonts w:ascii="Arial" w:hAnsi="Arial"/>
          <w:sz w:val="22"/>
          <w:szCs w:val="22"/>
        </w:rPr>
        <w:t>) and</w:t>
      </w:r>
      <w:r w:rsidR="005539D6">
        <w:rPr>
          <w:rFonts w:ascii="Arial" w:hAnsi="Arial"/>
          <w:sz w:val="22"/>
          <w:szCs w:val="22"/>
        </w:rPr>
        <w:t>,</w:t>
      </w:r>
      <w:r w:rsidR="007F596B" w:rsidRPr="00A46331">
        <w:rPr>
          <w:rFonts w:ascii="Arial" w:hAnsi="Arial"/>
          <w:sz w:val="22"/>
          <w:szCs w:val="22"/>
        </w:rPr>
        <w:t xml:space="preserve"> as a result</w:t>
      </w:r>
      <w:r w:rsidR="005539D6">
        <w:rPr>
          <w:rFonts w:ascii="Arial" w:hAnsi="Arial"/>
          <w:sz w:val="22"/>
          <w:szCs w:val="22"/>
        </w:rPr>
        <w:t>,</w:t>
      </w:r>
      <w:r w:rsidR="007F596B" w:rsidRPr="00A46331">
        <w:rPr>
          <w:rFonts w:ascii="Arial" w:hAnsi="Arial"/>
          <w:sz w:val="22"/>
          <w:szCs w:val="22"/>
        </w:rPr>
        <w:t xml:space="preserve"> </w:t>
      </w:r>
      <w:r w:rsidR="008A5CC5">
        <w:rPr>
          <w:rFonts w:ascii="Arial" w:hAnsi="Arial"/>
          <w:sz w:val="22"/>
          <w:szCs w:val="22"/>
        </w:rPr>
        <w:t>the studies</w:t>
      </w:r>
      <w:r w:rsidR="007F596B" w:rsidRPr="00A46331">
        <w:rPr>
          <w:rFonts w:ascii="Arial" w:hAnsi="Arial"/>
          <w:sz w:val="22"/>
          <w:szCs w:val="22"/>
        </w:rPr>
        <w:t xml:space="preserve"> make inflated claims. </w:t>
      </w:r>
      <w:r w:rsidR="008A5CC5">
        <w:rPr>
          <w:rFonts w:ascii="Arial" w:hAnsi="Arial"/>
          <w:sz w:val="22"/>
          <w:szCs w:val="22"/>
        </w:rPr>
        <w:t>For example, one author</w:t>
      </w:r>
      <w:r w:rsidR="007F596B" w:rsidRPr="00A46331">
        <w:rPr>
          <w:rFonts w:ascii="Arial" w:hAnsi="Arial"/>
          <w:sz w:val="22"/>
          <w:szCs w:val="22"/>
        </w:rPr>
        <w:t xml:space="preserve"> suggests that claims are not “supported by the evidence that is needed” (Wampold </w:t>
      </w:r>
      <w:r w:rsidR="00891C32">
        <w:rPr>
          <w:rFonts w:ascii="Arial" w:hAnsi="Arial"/>
          <w:sz w:val="22"/>
          <w:szCs w:val="22"/>
        </w:rPr>
        <w:t xml:space="preserve">et al., </w:t>
      </w:r>
      <w:r w:rsidR="007F596B" w:rsidRPr="00A46331">
        <w:rPr>
          <w:rFonts w:ascii="Arial" w:hAnsi="Arial"/>
          <w:sz w:val="22"/>
          <w:szCs w:val="22"/>
        </w:rPr>
        <w:t xml:space="preserve">2016, p.29). Again, the epistemic term ‘evidence’ is used to describe how researchers are required to present assumptions, data or knowledge that corroborates their claims. This focus on evidence in psychological therapy seems to have originated from </w:t>
      </w:r>
      <w:r w:rsidR="00030708" w:rsidRPr="00A46331">
        <w:rPr>
          <w:rFonts w:ascii="Arial" w:hAnsi="Arial"/>
          <w:sz w:val="22"/>
          <w:szCs w:val="22"/>
        </w:rPr>
        <w:t>Eys</w:t>
      </w:r>
      <w:r w:rsidR="00030708">
        <w:rPr>
          <w:rFonts w:ascii="Arial" w:hAnsi="Arial"/>
          <w:sz w:val="22"/>
          <w:szCs w:val="22"/>
        </w:rPr>
        <w:t>e</w:t>
      </w:r>
      <w:r w:rsidR="00030708" w:rsidRPr="00A46331">
        <w:rPr>
          <w:rFonts w:ascii="Arial" w:hAnsi="Arial"/>
          <w:sz w:val="22"/>
          <w:szCs w:val="22"/>
        </w:rPr>
        <w:t>nck’s</w:t>
      </w:r>
      <w:r w:rsidR="007F596B" w:rsidRPr="00A46331">
        <w:rPr>
          <w:rFonts w:ascii="Arial" w:hAnsi="Arial"/>
          <w:sz w:val="22"/>
          <w:szCs w:val="22"/>
        </w:rPr>
        <w:t xml:space="preserve"> studies on the efficacy of behaviour therapy in the 1950s and 1960s (Eysenck 1952, 1961, 1966).  </w:t>
      </w:r>
      <w:r w:rsidR="008A5CC5">
        <w:rPr>
          <w:rFonts w:ascii="Arial" w:hAnsi="Arial"/>
          <w:sz w:val="22"/>
          <w:szCs w:val="22"/>
        </w:rPr>
        <w:t xml:space="preserve">A counterargument that aims to address the critics of positivist research in CBT support the biomedical model of science in health care that advocates that </w:t>
      </w:r>
      <w:r w:rsidR="007F596B" w:rsidRPr="00A46331">
        <w:rPr>
          <w:rFonts w:ascii="Arial" w:hAnsi="Arial"/>
          <w:sz w:val="22"/>
          <w:szCs w:val="22"/>
        </w:rPr>
        <w:t>researchers should use robust</w:t>
      </w:r>
      <w:r w:rsidR="008A5CC5">
        <w:rPr>
          <w:rFonts w:ascii="Arial" w:hAnsi="Arial"/>
          <w:sz w:val="22"/>
          <w:szCs w:val="22"/>
        </w:rPr>
        <w:t xml:space="preserve"> scientific</w:t>
      </w:r>
      <w:r w:rsidR="007F596B" w:rsidRPr="00A46331">
        <w:rPr>
          <w:rFonts w:ascii="Arial" w:hAnsi="Arial"/>
          <w:sz w:val="22"/>
          <w:szCs w:val="22"/>
        </w:rPr>
        <w:t xml:space="preserve"> methods to investigate the efficacy of psychological therapies and that interventions that lack this type of evidence should not be adopted in clinical practice</w:t>
      </w:r>
      <w:r w:rsidR="008A5CC5">
        <w:rPr>
          <w:rFonts w:ascii="Arial" w:hAnsi="Arial"/>
          <w:sz w:val="22"/>
          <w:szCs w:val="22"/>
        </w:rPr>
        <w:t xml:space="preserve"> (Layard and Clark, 2014)</w:t>
      </w:r>
      <w:r w:rsidR="007F596B" w:rsidRPr="00A46331">
        <w:rPr>
          <w:rFonts w:ascii="Arial" w:hAnsi="Arial"/>
          <w:sz w:val="22"/>
          <w:szCs w:val="22"/>
        </w:rPr>
        <w:t xml:space="preserve">. </w:t>
      </w:r>
      <w:r w:rsidR="008A5CC5">
        <w:rPr>
          <w:rFonts w:ascii="Arial" w:hAnsi="Arial"/>
          <w:sz w:val="22"/>
          <w:szCs w:val="22"/>
        </w:rPr>
        <w:t>The large number</w:t>
      </w:r>
      <w:r w:rsidR="007F596B" w:rsidRPr="00A46331">
        <w:rPr>
          <w:rFonts w:ascii="Arial" w:hAnsi="Arial"/>
          <w:sz w:val="22"/>
          <w:szCs w:val="22"/>
        </w:rPr>
        <w:t xml:space="preserve"> of </w:t>
      </w:r>
      <w:r w:rsidR="008A5CC5">
        <w:rPr>
          <w:rFonts w:ascii="Arial" w:hAnsi="Arial"/>
          <w:sz w:val="22"/>
          <w:szCs w:val="22"/>
        </w:rPr>
        <w:t xml:space="preserve">CBT </w:t>
      </w:r>
      <w:r w:rsidR="007F596B" w:rsidRPr="00A46331">
        <w:rPr>
          <w:rFonts w:ascii="Arial" w:hAnsi="Arial"/>
          <w:sz w:val="22"/>
          <w:szCs w:val="22"/>
        </w:rPr>
        <w:t>efficacy studies and subsequent meta-analyses (Smith and Glass,1977, Smith Glass and Miller, 1980, Hunt 1997, Mann, 1994)</w:t>
      </w:r>
      <w:r w:rsidR="008A5CC5">
        <w:rPr>
          <w:rFonts w:ascii="Arial" w:hAnsi="Arial"/>
          <w:sz w:val="22"/>
          <w:szCs w:val="22"/>
        </w:rPr>
        <w:t>,</w:t>
      </w:r>
      <w:r w:rsidR="007F596B" w:rsidRPr="00A46331">
        <w:rPr>
          <w:rFonts w:ascii="Arial" w:hAnsi="Arial"/>
          <w:sz w:val="22"/>
          <w:szCs w:val="22"/>
        </w:rPr>
        <w:t xml:space="preserve"> </w:t>
      </w:r>
      <w:r w:rsidR="008A5CC5">
        <w:rPr>
          <w:rFonts w:ascii="Arial" w:hAnsi="Arial"/>
          <w:sz w:val="22"/>
          <w:szCs w:val="22"/>
        </w:rPr>
        <w:t xml:space="preserve">using a positivist paradigm, belies the call to arms to use an alternative approach. The resulting studies in Europe, Australia and the United States of America have tended to </w:t>
      </w:r>
      <w:r w:rsidR="007F596B" w:rsidRPr="00A46331">
        <w:rPr>
          <w:rFonts w:ascii="Arial" w:hAnsi="Arial"/>
          <w:sz w:val="22"/>
          <w:szCs w:val="22"/>
        </w:rPr>
        <w:t>synthesise the evidence and ma</w:t>
      </w:r>
      <w:r w:rsidR="008A5CC5">
        <w:rPr>
          <w:rFonts w:ascii="Arial" w:hAnsi="Arial"/>
          <w:sz w:val="22"/>
          <w:szCs w:val="22"/>
        </w:rPr>
        <w:t>k</w:t>
      </w:r>
      <w:r w:rsidR="007F596B" w:rsidRPr="00A46331">
        <w:rPr>
          <w:rFonts w:ascii="Arial" w:hAnsi="Arial"/>
          <w:sz w:val="22"/>
          <w:szCs w:val="22"/>
        </w:rPr>
        <w:t>e their own claims</w:t>
      </w:r>
      <w:r w:rsidR="008A5CC5">
        <w:rPr>
          <w:rFonts w:ascii="Arial" w:hAnsi="Arial"/>
          <w:sz w:val="22"/>
          <w:szCs w:val="22"/>
        </w:rPr>
        <w:t xml:space="preserve"> about which aspects of CBT are most appropriate for specific patient populations</w:t>
      </w:r>
      <w:r w:rsidR="005539D6">
        <w:rPr>
          <w:rFonts w:ascii="Arial" w:hAnsi="Arial"/>
          <w:sz w:val="22"/>
          <w:szCs w:val="22"/>
        </w:rPr>
        <w:t xml:space="preserve">. </w:t>
      </w:r>
      <w:r w:rsidR="007F596B" w:rsidRPr="00A46331">
        <w:rPr>
          <w:rFonts w:ascii="Arial" w:hAnsi="Arial"/>
          <w:sz w:val="22"/>
          <w:szCs w:val="22"/>
        </w:rPr>
        <w:t>Consequently, evidence</w:t>
      </w:r>
      <w:r w:rsidR="005539D6">
        <w:rPr>
          <w:rFonts w:ascii="Arial" w:hAnsi="Arial"/>
          <w:sz w:val="22"/>
          <w:szCs w:val="22"/>
        </w:rPr>
        <w:t>-</w:t>
      </w:r>
      <w:r w:rsidR="007F596B" w:rsidRPr="00A46331">
        <w:rPr>
          <w:rFonts w:ascii="Arial" w:hAnsi="Arial"/>
          <w:sz w:val="22"/>
          <w:szCs w:val="22"/>
        </w:rPr>
        <w:t xml:space="preserve">based psychological therapies, especially cognitive behavioural therapy, </w:t>
      </w:r>
      <w:r w:rsidR="008A5CC5">
        <w:rPr>
          <w:rFonts w:ascii="Arial" w:hAnsi="Arial"/>
          <w:sz w:val="22"/>
          <w:szCs w:val="22"/>
        </w:rPr>
        <w:t>have been</w:t>
      </w:r>
      <w:r w:rsidR="007F596B" w:rsidRPr="00A46331">
        <w:rPr>
          <w:rFonts w:ascii="Arial" w:hAnsi="Arial"/>
          <w:sz w:val="22"/>
          <w:szCs w:val="22"/>
        </w:rPr>
        <w:t xml:space="preserve"> more widely adopted, particularly in the United States of </w:t>
      </w:r>
      <w:r w:rsidR="007F596B" w:rsidRPr="00EA50B9">
        <w:rPr>
          <w:rFonts w:ascii="Arial" w:hAnsi="Arial"/>
          <w:color w:val="000000" w:themeColor="text1"/>
          <w:sz w:val="22"/>
          <w:szCs w:val="22"/>
        </w:rPr>
        <w:t>America and the United Kingdom</w:t>
      </w:r>
      <w:r w:rsidR="008A5CC5">
        <w:rPr>
          <w:rFonts w:ascii="Arial" w:hAnsi="Arial"/>
          <w:color w:val="000000" w:themeColor="text1"/>
          <w:sz w:val="22"/>
          <w:szCs w:val="22"/>
        </w:rPr>
        <w:t xml:space="preserve"> </w:t>
      </w:r>
      <w:r w:rsidR="006818F8">
        <w:rPr>
          <w:rFonts w:ascii="Arial" w:hAnsi="Arial"/>
          <w:color w:val="000000" w:themeColor="text1"/>
          <w:sz w:val="22"/>
          <w:szCs w:val="22"/>
        </w:rPr>
        <w:t>(McHugh and Barlow, 2012)</w:t>
      </w:r>
      <w:r w:rsidR="007F596B" w:rsidRPr="00EA50B9">
        <w:rPr>
          <w:rFonts w:ascii="Arial" w:hAnsi="Arial"/>
          <w:color w:val="000000" w:themeColor="text1"/>
          <w:sz w:val="22"/>
          <w:szCs w:val="22"/>
        </w:rPr>
        <w:t xml:space="preserve">. </w:t>
      </w:r>
      <w:r w:rsidR="007F596B" w:rsidRPr="00EA50B9">
        <w:rPr>
          <w:rFonts w:ascii="Arial" w:hAnsi="Arial" w:cs="Verdana"/>
          <w:color w:val="000000" w:themeColor="text1"/>
          <w:sz w:val="22"/>
          <w:szCs w:val="22"/>
          <w:lang w:val="en-US"/>
        </w:rPr>
        <w:t xml:space="preserve">The term CBT was first used in the literature in the mid 1970s with the first efficacy trials published at the end of the 1970s (Beck et al., 1979). </w:t>
      </w:r>
      <w:r w:rsidR="00FA2416">
        <w:rPr>
          <w:rFonts w:ascii="Arial" w:hAnsi="Arial" w:cs="Verdana"/>
          <w:color w:val="000000" w:themeColor="text1"/>
          <w:sz w:val="22"/>
          <w:szCs w:val="22"/>
          <w:lang w:val="en-US"/>
        </w:rPr>
        <w:t>The focus on building empirical evidence, from randomized controlled trials, and a quest for knowledge about what works for whom</w:t>
      </w:r>
      <w:r w:rsidR="005539D6">
        <w:rPr>
          <w:rFonts w:ascii="Arial" w:hAnsi="Arial" w:cs="Verdana"/>
          <w:color w:val="000000" w:themeColor="text1"/>
          <w:sz w:val="22"/>
          <w:szCs w:val="22"/>
          <w:lang w:val="en-US"/>
        </w:rPr>
        <w:t>,</w:t>
      </w:r>
      <w:r w:rsidR="00FA2416">
        <w:rPr>
          <w:rFonts w:ascii="Arial" w:hAnsi="Arial" w:cs="Verdana"/>
          <w:color w:val="000000" w:themeColor="text1"/>
          <w:sz w:val="22"/>
          <w:szCs w:val="22"/>
          <w:lang w:val="en-US"/>
        </w:rPr>
        <w:t xml:space="preserve"> has led to the large evidence base for CBT (Layard and Clark, 2014). The dominance of a positivist stance has placed CBT in alignment with a biomedical approach to </w:t>
      </w:r>
      <w:r w:rsidR="00FA2416" w:rsidRPr="005144E4">
        <w:rPr>
          <w:rFonts w:ascii="Arial" w:hAnsi="Arial" w:cs="Verdana"/>
          <w:color w:val="000000" w:themeColor="text1"/>
          <w:sz w:val="22"/>
          <w:szCs w:val="22"/>
          <w:lang w:val="en-US"/>
        </w:rPr>
        <w:lastRenderedPageBreak/>
        <w:t>research making it more likely that it would be recommended by establishments</w:t>
      </w:r>
      <w:r w:rsidR="007A5F8F" w:rsidRPr="005144E4">
        <w:rPr>
          <w:rFonts w:ascii="Arial" w:hAnsi="Arial" w:cs="Verdana"/>
          <w:color w:val="000000" w:themeColor="text1"/>
          <w:sz w:val="22"/>
          <w:szCs w:val="22"/>
          <w:lang w:val="en-US"/>
        </w:rPr>
        <w:t xml:space="preserve"> such as</w:t>
      </w:r>
      <w:r w:rsidR="00FA2416" w:rsidRPr="005144E4">
        <w:rPr>
          <w:rFonts w:ascii="Arial" w:hAnsi="Arial" w:cs="Verdana"/>
          <w:color w:val="000000" w:themeColor="text1"/>
          <w:sz w:val="22"/>
          <w:szCs w:val="22"/>
          <w:lang w:val="en-US"/>
        </w:rPr>
        <w:t xml:space="preserve"> the National Institute of Health and Care Excellence (NICE).</w:t>
      </w:r>
      <w:r w:rsidR="00FA2416">
        <w:rPr>
          <w:rFonts w:ascii="Arial" w:hAnsi="Arial" w:cs="Verdana"/>
          <w:color w:val="000000" w:themeColor="text1"/>
          <w:sz w:val="22"/>
          <w:szCs w:val="22"/>
          <w:lang w:val="en-US"/>
        </w:rPr>
        <w:t xml:space="preserve"> CBT has followed</w:t>
      </w:r>
      <w:r w:rsidR="003841AD">
        <w:rPr>
          <w:rFonts w:ascii="Arial" w:hAnsi="Arial" w:cs="Verdana"/>
          <w:color w:val="000000" w:themeColor="text1"/>
          <w:sz w:val="22"/>
          <w:szCs w:val="22"/>
          <w:lang w:val="en-US"/>
        </w:rPr>
        <w:t xml:space="preserve"> a very similar research methodology to medical science whereby interventions are first tested in research settings before being implanted in clinical practice (Layard and Clark, 2014). This positivist stance has become entwined in the practice of CBT whereby therapists are encouraged to be scientist practitioners (Grant and Townend, 200</w:t>
      </w:r>
      <w:r w:rsidR="003D07EE">
        <w:rPr>
          <w:rFonts w:ascii="Arial" w:hAnsi="Arial" w:cs="Verdana"/>
          <w:color w:val="000000" w:themeColor="text1"/>
          <w:sz w:val="22"/>
          <w:szCs w:val="22"/>
          <w:lang w:val="en-US"/>
        </w:rPr>
        <w:t>7</w:t>
      </w:r>
      <w:r w:rsidR="003841AD">
        <w:rPr>
          <w:rFonts w:ascii="Arial" w:hAnsi="Arial" w:cs="Verdana"/>
          <w:color w:val="000000" w:themeColor="text1"/>
          <w:sz w:val="22"/>
          <w:szCs w:val="22"/>
          <w:lang w:val="en-US"/>
        </w:rPr>
        <w:t>) reflective practitioners (Bennett-Levy</w:t>
      </w:r>
      <w:r w:rsidR="006818F8">
        <w:rPr>
          <w:rFonts w:ascii="Arial" w:hAnsi="Arial" w:cs="Verdana"/>
          <w:color w:val="000000" w:themeColor="text1"/>
          <w:sz w:val="22"/>
          <w:szCs w:val="22"/>
          <w:lang w:val="en-US"/>
        </w:rPr>
        <w:t>, 2006</w:t>
      </w:r>
      <w:r w:rsidR="003841AD">
        <w:rPr>
          <w:rFonts w:ascii="Arial" w:hAnsi="Arial" w:cs="Verdana"/>
          <w:color w:val="000000" w:themeColor="text1"/>
          <w:sz w:val="22"/>
          <w:szCs w:val="22"/>
          <w:lang w:val="en-US"/>
        </w:rPr>
        <w:t xml:space="preserve">) and an advocate of practice-based evidence (Westbrook and Kirk, 2005). </w:t>
      </w:r>
      <w:r w:rsidR="00030708">
        <w:rPr>
          <w:rFonts w:ascii="Arial" w:hAnsi="Arial" w:cs="Verdana"/>
          <w:color w:val="000000" w:themeColor="text1"/>
          <w:sz w:val="22"/>
          <w:szCs w:val="22"/>
          <w:lang w:val="en-US"/>
        </w:rPr>
        <w:t xml:space="preserve">Therapists are encouraged to learn from every patient they treat, exploring the mechanisms of change and developing hypotheses about why a patient may or may not have recovered </w:t>
      </w:r>
      <w:r w:rsidR="00030708" w:rsidRPr="00076051">
        <w:rPr>
          <w:rFonts w:ascii="Arial" w:hAnsi="Arial" w:cs="Verdana"/>
          <w:color w:val="000000" w:themeColor="text1"/>
          <w:sz w:val="22"/>
          <w:szCs w:val="22"/>
          <w:lang w:val="en-US"/>
        </w:rPr>
        <w:t xml:space="preserve">(Westbrook and Kirk 2005, Persons, Bostrum and Bertagnolli, 1999 and Fairburn et al., 2009).  </w:t>
      </w:r>
      <w:r w:rsidR="00030708" w:rsidRPr="00AC276B">
        <w:rPr>
          <w:rFonts w:ascii="Arial" w:hAnsi="Arial" w:cs="Verdana"/>
          <w:color w:val="000000" w:themeColor="text1"/>
          <w:sz w:val="22"/>
          <w:szCs w:val="22"/>
          <w:lang w:val="en-US"/>
        </w:rPr>
        <w:t>Given the dominance of positivism in the historical development of CBT in its research, the training of therapists</w:t>
      </w:r>
      <w:r w:rsidR="005539D6">
        <w:rPr>
          <w:rFonts w:ascii="Arial" w:hAnsi="Arial" w:cs="Verdana"/>
          <w:color w:val="000000" w:themeColor="text1"/>
          <w:sz w:val="22"/>
          <w:szCs w:val="22"/>
          <w:lang w:val="en-US"/>
        </w:rPr>
        <w:t>,</w:t>
      </w:r>
      <w:r w:rsidR="00030708" w:rsidRPr="00AC276B">
        <w:rPr>
          <w:rFonts w:ascii="Arial" w:hAnsi="Arial" w:cs="Verdana"/>
          <w:color w:val="000000" w:themeColor="text1"/>
          <w:sz w:val="22"/>
          <w:szCs w:val="22"/>
          <w:lang w:val="en-US"/>
        </w:rPr>
        <w:t xml:space="preserve"> and in clinical practice itself</w:t>
      </w:r>
      <w:r w:rsidR="005539D6">
        <w:rPr>
          <w:rFonts w:ascii="Arial" w:hAnsi="Arial" w:cs="Verdana"/>
          <w:color w:val="000000" w:themeColor="text1"/>
          <w:sz w:val="22"/>
          <w:szCs w:val="22"/>
          <w:lang w:val="en-US"/>
        </w:rPr>
        <w:t>,</w:t>
      </w:r>
      <w:r w:rsidR="00030708" w:rsidRPr="00AC276B">
        <w:rPr>
          <w:rFonts w:ascii="Arial" w:hAnsi="Arial" w:cs="Verdana"/>
          <w:color w:val="000000" w:themeColor="text1"/>
          <w:sz w:val="22"/>
          <w:szCs w:val="22"/>
          <w:lang w:val="en-US"/>
        </w:rPr>
        <w:t xml:space="preserve"> it is perhaps unsurprising contemporary CBT research continues to use positivist methodologies</w:t>
      </w:r>
      <w:r w:rsidR="005539D6">
        <w:rPr>
          <w:rFonts w:ascii="Arial" w:hAnsi="Arial" w:cs="Verdana"/>
          <w:color w:val="000000" w:themeColor="text1"/>
          <w:sz w:val="22"/>
          <w:szCs w:val="22"/>
          <w:lang w:val="en-US"/>
        </w:rPr>
        <w:t>,</w:t>
      </w:r>
      <w:r w:rsidR="00030708" w:rsidRPr="00AC276B">
        <w:rPr>
          <w:rFonts w:ascii="Arial" w:hAnsi="Arial" w:cs="Verdana"/>
          <w:color w:val="000000" w:themeColor="text1"/>
          <w:sz w:val="22"/>
          <w:szCs w:val="22"/>
          <w:lang w:val="en-US"/>
        </w:rPr>
        <w:t xml:space="preserve"> such as randomised controlled trials, pre</w:t>
      </w:r>
      <w:r w:rsidR="005539D6">
        <w:rPr>
          <w:rFonts w:ascii="Arial" w:hAnsi="Arial" w:cs="Verdana"/>
          <w:color w:val="000000" w:themeColor="text1"/>
          <w:sz w:val="22"/>
          <w:szCs w:val="22"/>
          <w:lang w:val="en-US"/>
        </w:rPr>
        <w:t>-</w:t>
      </w:r>
      <w:r w:rsidR="00030708" w:rsidRPr="00AC276B">
        <w:rPr>
          <w:rFonts w:ascii="Arial" w:hAnsi="Arial" w:cs="Verdana"/>
          <w:color w:val="000000" w:themeColor="text1"/>
          <w:sz w:val="22"/>
          <w:szCs w:val="22"/>
          <w:lang w:val="en-US"/>
        </w:rPr>
        <w:t xml:space="preserve"> and post</w:t>
      </w:r>
      <w:r w:rsidR="005539D6">
        <w:rPr>
          <w:rFonts w:ascii="Arial" w:hAnsi="Arial" w:cs="Verdana"/>
          <w:color w:val="000000" w:themeColor="text1"/>
          <w:sz w:val="22"/>
          <w:szCs w:val="22"/>
          <w:lang w:val="en-US"/>
        </w:rPr>
        <w:t>-</w:t>
      </w:r>
      <w:r w:rsidR="00030708" w:rsidRPr="00AC276B">
        <w:rPr>
          <w:rFonts w:ascii="Arial" w:hAnsi="Arial" w:cs="Verdana"/>
          <w:color w:val="000000" w:themeColor="text1"/>
          <w:sz w:val="22"/>
          <w:szCs w:val="22"/>
          <w:lang w:val="en-US"/>
        </w:rPr>
        <w:t>intervention studies, correlational studies and related meta-analyses.</w:t>
      </w:r>
      <w:r w:rsidR="00030708" w:rsidRPr="00A46331">
        <w:rPr>
          <w:rFonts w:ascii="Arial" w:hAnsi="Arial"/>
          <w:sz w:val="22"/>
          <w:szCs w:val="22"/>
        </w:rPr>
        <w:t xml:space="preserve"> </w:t>
      </w:r>
      <w:r w:rsidR="00B40783">
        <w:rPr>
          <w:rFonts w:ascii="Arial" w:hAnsi="Arial"/>
          <w:sz w:val="22"/>
          <w:szCs w:val="22"/>
        </w:rPr>
        <w:t>Arguably, CBT has been ‘rewarded’ for its positivist stance through the recommendation of bodies such as NICE and the consequential widespread adoption of the model (Williams, 2015</w:t>
      </w:r>
      <w:r w:rsidR="00D61442">
        <w:rPr>
          <w:rFonts w:ascii="Arial" w:hAnsi="Arial"/>
          <w:sz w:val="22"/>
          <w:szCs w:val="22"/>
        </w:rPr>
        <w:t>, Chambless and Ollendick, 2001</w:t>
      </w:r>
      <w:r w:rsidR="00B40783">
        <w:rPr>
          <w:rFonts w:ascii="Arial" w:hAnsi="Arial"/>
          <w:sz w:val="22"/>
          <w:szCs w:val="22"/>
        </w:rPr>
        <w:t xml:space="preserve">). This phenomenon is the basis for some of the criticisms of CBT in that positivism and the use of numerical data, in the form of outcome measures and recovery metrics, might not be the only source of knowledge. There is a growing body of literature that argues that </w:t>
      </w:r>
      <w:r w:rsidR="00D61442">
        <w:rPr>
          <w:rFonts w:ascii="Arial" w:hAnsi="Arial"/>
          <w:sz w:val="22"/>
          <w:szCs w:val="22"/>
        </w:rPr>
        <w:t>an interpretive paradigm might offer CBT the opportunity to learn more about service-based cultures and patient/ therapist</w:t>
      </w:r>
      <w:r w:rsidR="00B40783">
        <w:rPr>
          <w:rFonts w:ascii="Arial" w:hAnsi="Arial"/>
          <w:sz w:val="22"/>
          <w:szCs w:val="22"/>
        </w:rPr>
        <w:t xml:space="preserve"> </w:t>
      </w:r>
      <w:r w:rsidR="00D61442">
        <w:rPr>
          <w:rFonts w:ascii="Arial" w:hAnsi="Arial"/>
          <w:sz w:val="22"/>
          <w:szCs w:val="22"/>
        </w:rPr>
        <w:t>experience (Williams, 2015, Mollon, 2009, 2010). Whilst not to suggest that this argument is incorrect, as it likely that both paradigms have something to offer, it should be noted that this literature tends to be written by those who are not orientated to CBT and come from other traditions such as psychodynamic psychotherapy. Despite the counterarguments, t</w:t>
      </w:r>
      <w:r w:rsidR="007F596B" w:rsidRPr="00A46331">
        <w:rPr>
          <w:rFonts w:ascii="Arial" w:hAnsi="Arial"/>
          <w:sz w:val="22"/>
          <w:szCs w:val="22"/>
        </w:rPr>
        <w:t xml:space="preserve">he focus on positivist empiricism </w:t>
      </w:r>
      <w:r w:rsidR="00B40783">
        <w:rPr>
          <w:rFonts w:ascii="Arial" w:hAnsi="Arial"/>
          <w:sz w:val="22"/>
          <w:szCs w:val="22"/>
        </w:rPr>
        <w:t xml:space="preserve">continues to be </w:t>
      </w:r>
      <w:r w:rsidR="007F596B" w:rsidRPr="00A46331">
        <w:rPr>
          <w:rFonts w:ascii="Arial" w:hAnsi="Arial"/>
          <w:sz w:val="22"/>
          <w:szCs w:val="22"/>
        </w:rPr>
        <w:t xml:space="preserve">central </w:t>
      </w:r>
      <w:r w:rsidR="00D61442">
        <w:rPr>
          <w:rFonts w:ascii="Arial" w:hAnsi="Arial"/>
          <w:sz w:val="22"/>
          <w:szCs w:val="22"/>
        </w:rPr>
        <w:t>to the</w:t>
      </w:r>
      <w:r w:rsidR="007F596B" w:rsidRPr="00A46331">
        <w:rPr>
          <w:rFonts w:ascii="Arial" w:hAnsi="Arial"/>
          <w:sz w:val="22"/>
          <w:szCs w:val="22"/>
        </w:rPr>
        <w:t xml:space="preserve"> deliver</w:t>
      </w:r>
      <w:r w:rsidR="006818F8">
        <w:rPr>
          <w:rFonts w:ascii="Arial" w:hAnsi="Arial"/>
          <w:sz w:val="22"/>
          <w:szCs w:val="22"/>
        </w:rPr>
        <w:t>y of</w:t>
      </w:r>
      <w:r w:rsidR="007F596B" w:rsidRPr="00A46331">
        <w:rPr>
          <w:rFonts w:ascii="Arial" w:hAnsi="Arial"/>
          <w:sz w:val="22"/>
          <w:szCs w:val="22"/>
        </w:rPr>
        <w:t xml:space="preserve"> CBT (Clark</w:t>
      </w:r>
      <w:r w:rsidR="00B40783">
        <w:rPr>
          <w:rFonts w:ascii="Arial" w:hAnsi="Arial"/>
          <w:sz w:val="22"/>
          <w:szCs w:val="22"/>
        </w:rPr>
        <w:t>,</w:t>
      </w:r>
      <w:r w:rsidR="007F596B" w:rsidRPr="00A46331">
        <w:rPr>
          <w:rFonts w:ascii="Arial" w:hAnsi="Arial"/>
          <w:sz w:val="22"/>
          <w:szCs w:val="22"/>
        </w:rPr>
        <w:t xml:space="preserve"> 2014). The term ‘collaborative empiricism’ was used by Beck, Rush, Emery and Shaw (1979) to describe the clinical practice used by a CBT therapist as they enable the patient to learn experientially. </w:t>
      </w:r>
      <w:r w:rsidR="007F596B" w:rsidRPr="00A46331">
        <w:rPr>
          <w:rFonts w:ascii="Arial" w:hAnsi="Arial"/>
          <w:sz w:val="22"/>
          <w:szCs w:val="22"/>
        </w:rPr>
        <w:lastRenderedPageBreak/>
        <w:t>Therapists are taught to rely on scientific methods to guide their treatments with patients and are encouraged to reflect on why an intervention has been either effective or ineffective (Bennett-Levy</w:t>
      </w:r>
      <w:r w:rsidR="00BC4ABD">
        <w:rPr>
          <w:rFonts w:ascii="Arial" w:hAnsi="Arial"/>
          <w:sz w:val="22"/>
          <w:szCs w:val="22"/>
        </w:rPr>
        <w:t xml:space="preserve"> and Finlay-Jones</w:t>
      </w:r>
      <w:r w:rsidR="003D07EE">
        <w:rPr>
          <w:rFonts w:ascii="Arial" w:hAnsi="Arial"/>
          <w:sz w:val="22"/>
          <w:szCs w:val="22"/>
        </w:rPr>
        <w:t>,</w:t>
      </w:r>
      <w:r w:rsidR="007F596B" w:rsidRPr="00A46331">
        <w:rPr>
          <w:rFonts w:ascii="Arial" w:hAnsi="Arial"/>
          <w:sz w:val="22"/>
          <w:szCs w:val="22"/>
        </w:rPr>
        <w:t xml:space="preserve"> 20</w:t>
      </w:r>
      <w:r w:rsidR="00BC4ABD">
        <w:rPr>
          <w:rFonts w:ascii="Arial" w:hAnsi="Arial"/>
          <w:sz w:val="22"/>
          <w:szCs w:val="22"/>
        </w:rPr>
        <w:t>18</w:t>
      </w:r>
      <w:r w:rsidR="007F596B" w:rsidRPr="00A46331">
        <w:rPr>
          <w:rFonts w:ascii="Arial" w:hAnsi="Arial"/>
          <w:sz w:val="22"/>
          <w:szCs w:val="22"/>
        </w:rPr>
        <w:t>). The premise of establishing and subsequently testing a hypothesis runs in parallel with developing more effective treatments (as in efficacy research) and at the point of delivering treatment to a patient. It is therefore understandable, that within this tradition, cognitive behavioural therapists tend to assert that they are scientist practitioners and that most CBT research sits with</w:t>
      </w:r>
      <w:r w:rsidR="005539D6">
        <w:rPr>
          <w:rFonts w:ascii="Arial" w:hAnsi="Arial"/>
          <w:sz w:val="22"/>
          <w:szCs w:val="22"/>
        </w:rPr>
        <w:t>in</w:t>
      </w:r>
      <w:r w:rsidR="007F596B" w:rsidRPr="00A46331">
        <w:rPr>
          <w:rFonts w:ascii="Arial" w:hAnsi="Arial"/>
          <w:sz w:val="22"/>
          <w:szCs w:val="22"/>
        </w:rPr>
        <w:t xml:space="preserve"> a positivist paradigm. The primary aim is to learn, what works, for whom and why </w:t>
      </w:r>
      <w:r w:rsidR="007F596B" w:rsidRPr="00A46331">
        <w:rPr>
          <w:rFonts w:ascii="Arial" w:hAnsi="Arial" w:cs="Verdana"/>
          <w:color w:val="393939"/>
          <w:sz w:val="22"/>
          <w:szCs w:val="22"/>
          <w:lang w:val="en-US"/>
        </w:rPr>
        <w:t>(McHugh and Barlow</w:t>
      </w:r>
      <w:r w:rsidR="00BC4ABD">
        <w:rPr>
          <w:rFonts w:ascii="Arial" w:hAnsi="Arial" w:cs="Verdana"/>
          <w:color w:val="393939"/>
          <w:sz w:val="22"/>
          <w:szCs w:val="22"/>
          <w:lang w:val="en-US"/>
        </w:rPr>
        <w:t>,</w:t>
      </w:r>
      <w:r w:rsidR="007F596B" w:rsidRPr="00A46331">
        <w:rPr>
          <w:rFonts w:ascii="Arial" w:hAnsi="Arial" w:cs="Verdana"/>
          <w:color w:val="393939"/>
          <w:sz w:val="22"/>
          <w:szCs w:val="22"/>
          <w:lang w:val="en-US"/>
        </w:rPr>
        <w:t xml:space="preserve"> 2012)</w:t>
      </w:r>
      <w:r w:rsidR="007F596B" w:rsidRPr="00A46331">
        <w:rPr>
          <w:rFonts w:ascii="Arial" w:hAnsi="Arial"/>
          <w:sz w:val="22"/>
          <w:szCs w:val="22"/>
        </w:rPr>
        <w:t>. CBT has always been based on the epistemological concept of empiricism (Clark</w:t>
      </w:r>
      <w:r w:rsidR="00BC4ABD">
        <w:rPr>
          <w:rFonts w:ascii="Arial" w:hAnsi="Arial"/>
          <w:sz w:val="22"/>
          <w:szCs w:val="22"/>
        </w:rPr>
        <w:t>,</w:t>
      </w:r>
      <w:r w:rsidR="007F596B" w:rsidRPr="00A46331">
        <w:rPr>
          <w:rFonts w:ascii="Arial" w:hAnsi="Arial"/>
          <w:sz w:val="22"/>
          <w:szCs w:val="22"/>
        </w:rPr>
        <w:t xml:space="preserve"> 2014), whereby learning is believed to be derived from experience. This concept has been termed the ‘outside in’ philosophy (</w:t>
      </w:r>
      <w:r w:rsidR="006818F8">
        <w:rPr>
          <w:rFonts w:ascii="Arial" w:hAnsi="Arial"/>
          <w:sz w:val="22"/>
          <w:szCs w:val="22"/>
        </w:rPr>
        <w:t>Gipps, 2012)</w:t>
      </w:r>
      <w:r w:rsidR="007F596B" w:rsidRPr="00A46331">
        <w:rPr>
          <w:rFonts w:ascii="Arial" w:hAnsi="Arial"/>
          <w:sz w:val="22"/>
          <w:szCs w:val="22"/>
        </w:rPr>
        <w:t xml:space="preserve"> which underpins all cognitive behavioural theory.</w:t>
      </w:r>
    </w:p>
    <w:p w14:paraId="439F694E" w14:textId="77777777" w:rsidR="00C67B34" w:rsidRDefault="007F596B" w:rsidP="00C67B34">
      <w:pPr>
        <w:spacing w:line="480" w:lineRule="auto"/>
        <w:rPr>
          <w:rFonts w:ascii="Arial" w:hAnsi="Arial"/>
        </w:rPr>
      </w:pPr>
      <w:r>
        <w:rPr>
          <w:rFonts w:ascii="Arial" w:hAnsi="Arial"/>
        </w:rPr>
        <w:t xml:space="preserve"> </w:t>
      </w:r>
    </w:p>
    <w:p w14:paraId="4A8EB8FB" w14:textId="6BC36FA8" w:rsidR="007F596B" w:rsidRPr="00C67B34" w:rsidRDefault="00BC4ABD" w:rsidP="00C67B34">
      <w:pPr>
        <w:pStyle w:val="Heading3"/>
        <w:rPr>
          <w:rFonts w:cs="Arial"/>
          <w:color w:val="000000" w:themeColor="text1"/>
          <w:szCs w:val="22"/>
        </w:rPr>
      </w:pPr>
      <w:bookmarkStart w:id="244" w:name="_Toc46770780"/>
      <w:bookmarkStart w:id="245" w:name="_Toc79414191"/>
      <w:r w:rsidRPr="00C67B34">
        <w:rPr>
          <w:rFonts w:cs="Arial"/>
          <w:color w:val="000000" w:themeColor="text1"/>
          <w:szCs w:val="22"/>
          <w:lang w:val="en-US"/>
        </w:rPr>
        <w:t>4</w:t>
      </w:r>
      <w:r w:rsidR="007F596B" w:rsidRPr="00C67B34">
        <w:rPr>
          <w:rFonts w:cs="Arial"/>
          <w:color w:val="000000" w:themeColor="text1"/>
          <w:szCs w:val="22"/>
          <w:lang w:val="en-US"/>
        </w:rPr>
        <w:t>.1.1 Cognitive behavioural theoretical frameworks</w:t>
      </w:r>
      <w:bookmarkEnd w:id="244"/>
      <w:bookmarkEnd w:id="245"/>
    </w:p>
    <w:p w14:paraId="605B4B20" w14:textId="77777777" w:rsidR="007F596B" w:rsidRPr="009F53A6" w:rsidRDefault="007F596B" w:rsidP="007F596B">
      <w:pPr>
        <w:rPr>
          <w:lang w:val="en-US"/>
        </w:rPr>
      </w:pPr>
    </w:p>
    <w:p w14:paraId="295DF194" w14:textId="4C3837B6" w:rsidR="007F596B" w:rsidRDefault="007F596B" w:rsidP="007F596B">
      <w:pPr>
        <w:spacing w:line="480" w:lineRule="auto"/>
        <w:rPr>
          <w:rFonts w:ascii="Arial" w:hAnsi="Arial"/>
          <w:sz w:val="22"/>
          <w:szCs w:val="22"/>
        </w:rPr>
      </w:pPr>
      <w:r w:rsidRPr="00A46331">
        <w:rPr>
          <w:rFonts w:ascii="Arial" w:hAnsi="Arial" w:cs="Verdana"/>
          <w:color w:val="393939"/>
          <w:sz w:val="22"/>
          <w:szCs w:val="22"/>
          <w:lang w:val="en-US"/>
        </w:rPr>
        <w:t>Several theoretical models and frameworks have emerged within CBT. These tend to be ways of understanding or characterizing phenomena such as diagnoses, cognitions, emotions, physiology and behaviour (Gelder</w:t>
      </w:r>
      <w:r w:rsidR="003D07EE">
        <w:rPr>
          <w:rFonts w:ascii="Arial" w:hAnsi="Arial" w:cs="Verdana"/>
          <w:color w:val="393939"/>
          <w:sz w:val="22"/>
          <w:szCs w:val="22"/>
          <w:lang w:val="en-US"/>
        </w:rPr>
        <w:t>,</w:t>
      </w:r>
      <w:r w:rsidR="00B14B79">
        <w:rPr>
          <w:rFonts w:ascii="Arial" w:hAnsi="Arial" w:cs="Verdana"/>
          <w:color w:val="393939"/>
          <w:sz w:val="22"/>
          <w:szCs w:val="22"/>
          <w:lang w:val="en-US"/>
        </w:rPr>
        <w:t xml:space="preserve"> </w:t>
      </w:r>
      <w:r w:rsidRPr="00A46331">
        <w:rPr>
          <w:rFonts w:ascii="Arial" w:hAnsi="Arial" w:cs="Verdana"/>
          <w:color w:val="393939"/>
          <w:sz w:val="22"/>
          <w:szCs w:val="22"/>
          <w:lang w:val="en-US"/>
        </w:rPr>
        <w:t>20</w:t>
      </w:r>
      <w:r w:rsidR="00841ECC">
        <w:rPr>
          <w:rFonts w:ascii="Arial" w:hAnsi="Arial" w:cs="Verdana"/>
          <w:color w:val="393939"/>
          <w:sz w:val="22"/>
          <w:szCs w:val="22"/>
          <w:lang w:val="en-US"/>
        </w:rPr>
        <w:t>12</w:t>
      </w:r>
      <w:r w:rsidRPr="00A46331">
        <w:rPr>
          <w:rFonts w:ascii="Arial" w:hAnsi="Arial" w:cs="Verdana"/>
          <w:color w:val="393939"/>
          <w:sz w:val="22"/>
          <w:szCs w:val="22"/>
          <w:lang w:val="en-US"/>
        </w:rPr>
        <w:t xml:space="preserve">). </w:t>
      </w:r>
      <w:r w:rsidRPr="00A46331">
        <w:rPr>
          <w:rFonts w:ascii="Arial" w:hAnsi="Arial"/>
          <w:sz w:val="22"/>
          <w:szCs w:val="22"/>
        </w:rPr>
        <w:t>The</w:t>
      </w:r>
      <w:r w:rsidR="00BF2DD1">
        <w:rPr>
          <w:rFonts w:ascii="Arial" w:hAnsi="Arial"/>
          <w:sz w:val="22"/>
          <w:szCs w:val="22"/>
        </w:rPr>
        <w:t xml:space="preserve"> two main theoretical frameworks used in CBT are: </w:t>
      </w:r>
      <w:r w:rsidRPr="00A46331">
        <w:rPr>
          <w:rFonts w:ascii="Arial" w:hAnsi="Arial"/>
          <w:sz w:val="22"/>
          <w:szCs w:val="22"/>
        </w:rPr>
        <w:t>Beck’s Cognitive Theory</w:t>
      </w:r>
      <w:r w:rsidR="00FE2FE6">
        <w:rPr>
          <w:rFonts w:ascii="Arial" w:hAnsi="Arial"/>
          <w:sz w:val="22"/>
          <w:szCs w:val="22"/>
        </w:rPr>
        <w:t xml:space="preserve"> (Beck,1967) </w:t>
      </w:r>
      <w:r w:rsidR="00BF2DD1">
        <w:rPr>
          <w:rFonts w:ascii="Arial" w:hAnsi="Arial"/>
          <w:sz w:val="22"/>
          <w:szCs w:val="22"/>
        </w:rPr>
        <w:t xml:space="preserve">and </w:t>
      </w:r>
      <w:r w:rsidR="00FE2FE6">
        <w:rPr>
          <w:rFonts w:ascii="Arial" w:hAnsi="Arial"/>
          <w:sz w:val="22"/>
          <w:szCs w:val="22"/>
        </w:rPr>
        <w:t xml:space="preserve">Watson’s </w:t>
      </w:r>
      <w:r w:rsidR="00BF2DD1">
        <w:rPr>
          <w:rFonts w:ascii="Arial" w:hAnsi="Arial"/>
          <w:sz w:val="22"/>
          <w:szCs w:val="22"/>
        </w:rPr>
        <w:t>Behavioural Theory</w:t>
      </w:r>
      <w:r w:rsidRPr="00A46331">
        <w:rPr>
          <w:rFonts w:ascii="Arial" w:hAnsi="Arial"/>
          <w:sz w:val="22"/>
          <w:szCs w:val="22"/>
        </w:rPr>
        <w:t xml:space="preserve"> (</w:t>
      </w:r>
      <w:r w:rsidR="00FE2FE6">
        <w:rPr>
          <w:rFonts w:ascii="Arial" w:hAnsi="Arial"/>
          <w:sz w:val="22"/>
          <w:szCs w:val="22"/>
        </w:rPr>
        <w:t>Watson, 1913</w:t>
      </w:r>
      <w:r w:rsidRPr="00A46331">
        <w:rPr>
          <w:rFonts w:ascii="Arial" w:hAnsi="Arial"/>
          <w:sz w:val="22"/>
          <w:szCs w:val="22"/>
        </w:rPr>
        <w:t>). Both these models relate back to the ‘outside in’ philosophy in that they stipulate that human learning is derived from external experiences that are then internalised.  For example, Beck’s Cognitive Theory (</w:t>
      </w:r>
      <w:r w:rsidR="00BC4ABD">
        <w:rPr>
          <w:rFonts w:ascii="Arial" w:hAnsi="Arial"/>
          <w:sz w:val="22"/>
          <w:szCs w:val="22"/>
        </w:rPr>
        <w:t>figure 4.1</w:t>
      </w:r>
      <w:r w:rsidRPr="00A46331">
        <w:rPr>
          <w:rFonts w:ascii="Arial" w:hAnsi="Arial"/>
          <w:sz w:val="22"/>
          <w:szCs w:val="22"/>
        </w:rPr>
        <w:t xml:space="preserve">) is based on how external antecedents (experiences) are cognitively appraised leading to the formation of beliefs about oneself, the world and others (Beck’s Cognitive Triad, see figure </w:t>
      </w:r>
      <w:r w:rsidR="002705E9">
        <w:rPr>
          <w:rFonts w:ascii="Arial" w:hAnsi="Arial"/>
          <w:sz w:val="22"/>
          <w:szCs w:val="22"/>
        </w:rPr>
        <w:t>4.2</w:t>
      </w:r>
      <w:r w:rsidRPr="00A46331">
        <w:rPr>
          <w:rFonts w:ascii="Arial" w:hAnsi="Arial"/>
          <w:sz w:val="22"/>
          <w:szCs w:val="22"/>
        </w:rPr>
        <w:t>).</w:t>
      </w:r>
    </w:p>
    <w:p w14:paraId="3E29A9EF" w14:textId="77777777" w:rsidR="00C67B34" w:rsidRDefault="00C67B34" w:rsidP="007F596B">
      <w:pPr>
        <w:spacing w:line="480" w:lineRule="auto"/>
        <w:rPr>
          <w:rFonts w:ascii="Arial" w:hAnsi="Arial"/>
          <w:b/>
          <w:bCs/>
          <w:sz w:val="22"/>
          <w:szCs w:val="22"/>
        </w:rPr>
      </w:pPr>
    </w:p>
    <w:p w14:paraId="5B1DAEDA" w14:textId="77777777" w:rsidR="00C67B34" w:rsidRDefault="00C67B34" w:rsidP="007F596B">
      <w:pPr>
        <w:spacing w:line="480" w:lineRule="auto"/>
        <w:rPr>
          <w:rFonts w:ascii="Arial" w:hAnsi="Arial"/>
          <w:b/>
          <w:bCs/>
          <w:sz w:val="22"/>
          <w:szCs w:val="22"/>
        </w:rPr>
      </w:pPr>
    </w:p>
    <w:p w14:paraId="05B9902C" w14:textId="77777777" w:rsidR="00C67B34" w:rsidRDefault="00C67B34" w:rsidP="007F596B">
      <w:pPr>
        <w:spacing w:line="480" w:lineRule="auto"/>
        <w:rPr>
          <w:rFonts w:ascii="Arial" w:hAnsi="Arial"/>
          <w:b/>
          <w:bCs/>
          <w:sz w:val="22"/>
          <w:szCs w:val="22"/>
        </w:rPr>
      </w:pPr>
    </w:p>
    <w:p w14:paraId="3DF11C45" w14:textId="77777777" w:rsidR="00C67B34" w:rsidRDefault="00C67B34" w:rsidP="007F596B">
      <w:pPr>
        <w:spacing w:line="480" w:lineRule="auto"/>
        <w:rPr>
          <w:rFonts w:ascii="Arial" w:hAnsi="Arial"/>
          <w:b/>
          <w:bCs/>
          <w:sz w:val="22"/>
          <w:szCs w:val="22"/>
        </w:rPr>
      </w:pPr>
    </w:p>
    <w:p w14:paraId="6B9D231D" w14:textId="77777777" w:rsidR="00C67B34" w:rsidRDefault="00C67B34" w:rsidP="007F596B">
      <w:pPr>
        <w:spacing w:line="480" w:lineRule="auto"/>
        <w:rPr>
          <w:rFonts w:ascii="Arial" w:hAnsi="Arial"/>
          <w:b/>
          <w:bCs/>
          <w:sz w:val="22"/>
          <w:szCs w:val="22"/>
        </w:rPr>
      </w:pPr>
    </w:p>
    <w:p w14:paraId="14098446" w14:textId="38A85B58" w:rsidR="007F596B" w:rsidRDefault="00D1024C" w:rsidP="007F596B">
      <w:pPr>
        <w:spacing w:line="480" w:lineRule="auto"/>
        <w:rPr>
          <w:rFonts w:ascii="Arial" w:hAnsi="Arial"/>
        </w:rPr>
      </w:pPr>
      <w:r>
        <w:rPr>
          <w:noProof/>
        </w:rPr>
        <w:lastRenderedPageBreak/>
        <mc:AlternateContent>
          <mc:Choice Requires="wps">
            <w:drawing>
              <wp:inline distT="0" distB="0" distL="0" distR="0" wp14:anchorId="2DC514C3" wp14:editId="0C27EC9A">
                <wp:extent cx="5227320" cy="457200"/>
                <wp:effectExtent l="0" t="0" r="0" b="0"/>
                <wp:docPr id="48" name="Text Box 48" descr="P1649TB3#y1"/>
                <wp:cNvGraphicFramePr/>
                <a:graphic xmlns:a="http://schemas.openxmlformats.org/drawingml/2006/main">
                  <a:graphicData uri="http://schemas.microsoft.com/office/word/2010/wordprocessingShape">
                    <wps:wsp>
                      <wps:cNvSpPr txBox="1"/>
                      <wps:spPr>
                        <a:xfrm>
                          <a:off x="0" y="0"/>
                          <a:ext cx="5227320" cy="457200"/>
                        </a:xfrm>
                        <a:prstGeom prst="rect">
                          <a:avLst/>
                        </a:prstGeom>
                        <a:solidFill>
                          <a:prstClr val="white"/>
                        </a:solidFill>
                        <a:ln>
                          <a:noFill/>
                        </a:ln>
                      </wps:spPr>
                      <wps:txbx>
                        <w:txbxContent>
                          <w:p w14:paraId="57EA065D" w14:textId="1119ECF4" w:rsidR="008815D7" w:rsidRPr="007F23EA" w:rsidRDefault="008815D7" w:rsidP="00D1024C">
                            <w:pPr>
                              <w:pStyle w:val="Figures"/>
                              <w:rPr>
                                <w:noProof/>
                                <w:sz w:val="24"/>
                                <w:szCs w:val="24"/>
                              </w:rPr>
                            </w:pPr>
                            <w:bookmarkStart w:id="246" w:name="_Toc46770944"/>
                            <w:r w:rsidRPr="004B068F">
                              <w:t xml:space="preserve">Figure 4.1 </w:t>
                            </w:r>
                            <w:r w:rsidRPr="00D1024C">
                              <w:rPr>
                                <w:b w:val="0"/>
                              </w:rPr>
                              <w:t>Cognitive Theory (Beck, 1967)</w:t>
                            </w:r>
                            <w:bookmarkEnd w:id="24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2DC514C3" id="Text Box 48" o:spid="_x0000_s1028" type="#_x0000_t202" alt="P1649TB3#y1" style="width:411.6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" stroked="f">
                <v:textbox inset="0,0,0,0">
                  <w:txbxContent>
                    <w:p w14:paraId="57EA065D" w14:textId="1119ECF4" w:rsidR="008815D7" w:rsidRPr="007F23EA" w:rsidRDefault="008815D7" w:rsidP="00D1024C">
                      <w:pPr>
                        <w:pStyle w:val="Figures"/>
                        <w:rPr>
                          <w:noProof/>
                          <w:sz w:val="24"/>
                          <w:szCs w:val="24"/>
                        </w:rPr>
                      </w:pPr>
                      <w:bookmarkStart w:id="247" w:name="_Toc46770944"/>
                      <w:r w:rsidRPr="004B068F">
                        <w:t xml:space="preserve">Figure 4.1 </w:t>
                      </w:r>
                      <w:r w:rsidRPr="00D1024C">
                        <w:rPr>
                          <w:b w:val="0"/>
                        </w:rPr>
                        <w:t>Cognitive Theory (Beck, 1967)</w:t>
                      </w:r>
                      <w:bookmarkEnd w:id="247"/>
                    </w:p>
                  </w:txbxContent>
                </v:textbox>
                <w10:anchorlock/>
              </v:shape>
            </w:pict>
          </mc:Fallback>
        </mc:AlternateContent>
      </w:r>
      <w:r w:rsidR="001C6B5E">
        <w:rPr>
          <w:rFonts w:ascii="Arial" w:hAnsi="Arial"/>
          <w:noProof/>
        </w:rPr>
        <mc:AlternateContent>
          <mc:Choice Requires="wps">
            <w:drawing>
              <wp:inline distT="0" distB="0" distL="0" distR="0" wp14:anchorId="7EFE4497" wp14:editId="26735F30">
                <wp:extent cx="5227516" cy="3455377"/>
                <wp:effectExtent l="0" t="0" r="11430" b="12065"/>
                <wp:docPr id="8" name="Text Box 8" descr="P1649TB4#y1"/>
                <wp:cNvGraphicFramePr/>
                <a:graphic xmlns:a="http://schemas.openxmlformats.org/drawingml/2006/main">
                  <a:graphicData uri="http://schemas.microsoft.com/office/word/2010/wordprocessingShape">
                    <wps:wsp>
                      <wps:cNvSpPr txBox="1"/>
                      <wps:spPr>
                        <a:xfrm>
                          <a:off x="0" y="0"/>
                          <a:ext cx="5227516" cy="3455377"/>
                        </a:xfrm>
                        <a:prstGeom prst="rect">
                          <a:avLst/>
                        </a:prstGeom>
                        <a:solidFill>
                          <a:schemeClr val="lt1"/>
                        </a:solidFill>
                        <a:ln w="6350">
                          <a:solidFill>
                            <a:prstClr val="black"/>
                          </a:solidFill>
                        </a:ln>
                      </wps:spPr>
                      <wps:txbx>
                        <w:txbxContent>
                          <w:p w14:paraId="5D749A97" w14:textId="3B6B110A" w:rsidR="008815D7" w:rsidRDefault="008815D7" w:rsidP="007F596B">
                            <w:r>
                              <w:rPr>
                                <w:noProof/>
                              </w:rPr>
                              <w:drawing>
                                <wp:inline distT="0" distB="0" distL="0" distR="0" wp14:anchorId="157990D1" wp14:editId="5A706554">
                                  <wp:extent cx="5130800" cy="4104640"/>
                                  <wp:effectExtent l="0" t="0" r="0" b="0"/>
                                  <wp:docPr id="33" name="Picture 33" descr="P1649TB4inT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P1649TB4inTB"/>
                                          <pic:cNvPicPr/>
                                        </pic:nvPicPr>
                                        <pic:blipFill>
                                          <a:blip r:embed="rId43"/>
                                          <a:stretch>
                                            <a:fillRect/>
                                          </a:stretch>
                                        </pic:blipFill>
                                        <pic:spPr>
                                          <a:xfrm>
                                            <a:off x="0" y="0"/>
                                            <a:ext cx="5130800" cy="410464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EFE4497" id="Text Box 8" o:spid="_x0000_s1029" type="#_x0000_t202" alt="P1649TB4#y1" style="width:411.6pt;height:27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" fillcolor="white [3201]" strokeweight=".5pt">
                <v:textbox>
                  <w:txbxContent>
                    <w:p w14:paraId="5D749A97" w14:textId="3B6B110A" w:rsidR="008815D7" w:rsidRDefault="008815D7" w:rsidP="007F596B">
                      <w:r>
                        <w:rPr>
                          <w:noProof/>
                        </w:rPr>
                        <w:drawing>
                          <wp:inline distT="0" distB="0" distL="0" distR="0" wp14:anchorId="157990D1" wp14:editId="5A706554">
                            <wp:extent cx="5130800" cy="4104640"/>
                            <wp:effectExtent l="0" t="0" r="0" b="0"/>
                            <wp:docPr id="33" name="Picture 33" descr="P1649TB4inT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P1649TB4inTB"/>
                                    <pic:cNvPicPr/>
                                  </pic:nvPicPr>
                                  <pic:blipFill>
                                    <a:blip r:embed="rId43"/>
                                    <a:stretch>
                                      <a:fillRect/>
                                    </a:stretch>
                                  </pic:blipFill>
                                  <pic:spPr>
                                    <a:xfrm>
                                      <a:off x="0" y="0"/>
                                      <a:ext cx="5130800" cy="4104640"/>
                                    </a:xfrm>
                                    <a:prstGeom prst="rect">
                                      <a:avLst/>
                                    </a:prstGeom>
                                  </pic:spPr>
                                </pic:pic>
                              </a:graphicData>
                            </a:graphic>
                          </wp:inline>
                        </w:drawing>
                      </w:r>
                    </w:p>
                  </w:txbxContent>
                </v:textbox>
                <w10:anchorlock/>
              </v:shape>
            </w:pict>
          </mc:Fallback>
        </mc:AlternateContent>
      </w:r>
    </w:p>
    <w:p w14:paraId="4C242C2C" w14:textId="77777777" w:rsidR="007F596B" w:rsidRDefault="007F596B" w:rsidP="007F596B">
      <w:pPr>
        <w:spacing w:line="480" w:lineRule="auto"/>
        <w:rPr>
          <w:rFonts w:ascii="Arial" w:hAnsi="Arial"/>
        </w:rPr>
      </w:pPr>
    </w:p>
    <w:p w14:paraId="22BF7D69" w14:textId="77777777" w:rsidR="007F596B" w:rsidRDefault="007F596B" w:rsidP="007F596B">
      <w:pPr>
        <w:spacing w:line="480" w:lineRule="auto"/>
        <w:rPr>
          <w:rFonts w:ascii="Arial" w:hAnsi="Arial"/>
        </w:rPr>
      </w:pPr>
    </w:p>
    <w:p w14:paraId="6FF01D1C" w14:textId="77777777" w:rsidR="00BC4ABD" w:rsidRDefault="00BC4ABD" w:rsidP="007F596B">
      <w:pPr>
        <w:spacing w:line="480" w:lineRule="auto"/>
        <w:rPr>
          <w:rFonts w:ascii="Arial" w:hAnsi="Arial" w:cs="Verdana"/>
          <w:color w:val="393939"/>
          <w:lang w:val="en-US"/>
        </w:rPr>
      </w:pPr>
    </w:p>
    <w:p w14:paraId="4979C66A" w14:textId="77777777" w:rsidR="00BC4ABD" w:rsidRDefault="00BC4ABD" w:rsidP="007F596B">
      <w:pPr>
        <w:spacing w:line="480" w:lineRule="auto"/>
        <w:rPr>
          <w:rFonts w:ascii="Arial" w:hAnsi="Arial" w:cs="Verdana"/>
          <w:color w:val="393939"/>
          <w:lang w:val="en-US"/>
        </w:rPr>
      </w:pPr>
    </w:p>
    <w:p w14:paraId="07FB2401" w14:textId="77777777" w:rsidR="00BC4ABD" w:rsidRDefault="00BC4ABD" w:rsidP="007F596B">
      <w:pPr>
        <w:spacing w:line="480" w:lineRule="auto"/>
        <w:rPr>
          <w:rFonts w:ascii="Arial" w:hAnsi="Arial" w:cs="Verdana"/>
          <w:color w:val="393939"/>
          <w:lang w:val="en-US"/>
        </w:rPr>
      </w:pPr>
    </w:p>
    <w:p w14:paraId="5E671E95" w14:textId="77777777" w:rsidR="00BC4ABD" w:rsidRDefault="00BC4ABD" w:rsidP="007F596B">
      <w:pPr>
        <w:spacing w:line="480" w:lineRule="auto"/>
        <w:rPr>
          <w:rFonts w:ascii="Arial" w:hAnsi="Arial" w:cs="Verdana"/>
          <w:color w:val="393939"/>
          <w:lang w:val="en-US"/>
        </w:rPr>
      </w:pPr>
    </w:p>
    <w:p w14:paraId="523F7D34" w14:textId="77777777" w:rsidR="00BC4ABD" w:rsidRDefault="00BC4ABD" w:rsidP="007F596B">
      <w:pPr>
        <w:spacing w:line="480" w:lineRule="auto"/>
        <w:rPr>
          <w:rFonts w:ascii="Arial" w:hAnsi="Arial" w:cs="Verdana"/>
          <w:color w:val="393939"/>
          <w:lang w:val="en-US"/>
        </w:rPr>
      </w:pPr>
    </w:p>
    <w:p w14:paraId="3A41D82A" w14:textId="77777777" w:rsidR="00BC4ABD" w:rsidRDefault="00BC4ABD" w:rsidP="007F596B">
      <w:pPr>
        <w:spacing w:line="480" w:lineRule="auto"/>
        <w:rPr>
          <w:rFonts w:ascii="Arial" w:hAnsi="Arial" w:cs="Verdana"/>
          <w:color w:val="393939"/>
          <w:lang w:val="en-US"/>
        </w:rPr>
      </w:pPr>
    </w:p>
    <w:p w14:paraId="48DECE93" w14:textId="6BE36ACB" w:rsidR="00BC4ABD" w:rsidRDefault="00BC4ABD" w:rsidP="007F596B">
      <w:pPr>
        <w:spacing w:line="480" w:lineRule="auto"/>
        <w:rPr>
          <w:rFonts w:ascii="Arial" w:hAnsi="Arial" w:cs="Verdana"/>
          <w:color w:val="393939"/>
          <w:lang w:val="en-US"/>
        </w:rPr>
      </w:pPr>
    </w:p>
    <w:p w14:paraId="0E84E88F" w14:textId="77777777" w:rsidR="00D1024C" w:rsidRDefault="00D1024C" w:rsidP="007F596B">
      <w:pPr>
        <w:spacing w:line="480" w:lineRule="auto"/>
        <w:rPr>
          <w:rFonts w:ascii="Arial" w:hAnsi="Arial" w:cs="Verdana"/>
          <w:color w:val="393939"/>
          <w:lang w:val="en-US"/>
        </w:rPr>
      </w:pPr>
    </w:p>
    <w:p w14:paraId="217B7A4F" w14:textId="77777777" w:rsidR="00C67B34" w:rsidRDefault="00C67B34" w:rsidP="007F596B">
      <w:pPr>
        <w:spacing w:line="480" w:lineRule="auto"/>
        <w:rPr>
          <w:rFonts w:ascii="Arial" w:hAnsi="Arial" w:cs="Verdana"/>
          <w:b/>
          <w:bCs/>
          <w:color w:val="393939"/>
          <w:lang w:val="en-US"/>
        </w:rPr>
      </w:pPr>
    </w:p>
    <w:p w14:paraId="6CEFAD36" w14:textId="14B2E59B" w:rsidR="00BC4ABD" w:rsidRDefault="00D1024C" w:rsidP="007F596B">
      <w:pPr>
        <w:spacing w:line="480" w:lineRule="auto"/>
        <w:rPr>
          <w:rFonts w:ascii="Arial" w:hAnsi="Arial" w:cs="Verdana"/>
          <w:color w:val="393939"/>
          <w:lang w:val="en-US"/>
        </w:rPr>
      </w:pPr>
      <w:r>
        <w:rPr>
          <w:noProof/>
        </w:rPr>
        <w:lastRenderedPageBreak/>
        <mc:AlternateContent>
          <mc:Choice Requires="wps">
            <w:drawing>
              <wp:inline distT="0" distB="0" distL="0" distR="0" wp14:anchorId="2E1F2EF8" wp14:editId="51E99585">
                <wp:extent cx="5468620" cy="457200"/>
                <wp:effectExtent l="0" t="0" r="0" b="0"/>
                <wp:docPr id="49" name="Text Box 49" descr="P1661TB5#y1"/>
                <wp:cNvGraphicFramePr/>
                <a:graphic xmlns:a="http://schemas.openxmlformats.org/drawingml/2006/main">
                  <a:graphicData uri="http://schemas.microsoft.com/office/word/2010/wordprocessingShape">
                    <wps:wsp>
                      <wps:cNvSpPr txBox="1"/>
                      <wps:spPr>
                        <a:xfrm>
                          <a:off x="0" y="0"/>
                          <a:ext cx="5468620" cy="457200"/>
                        </a:xfrm>
                        <a:prstGeom prst="rect">
                          <a:avLst/>
                        </a:prstGeom>
                        <a:solidFill>
                          <a:prstClr val="white"/>
                        </a:solidFill>
                        <a:ln>
                          <a:noFill/>
                        </a:ln>
                      </wps:spPr>
                      <wps:txbx>
                        <w:txbxContent>
                          <w:p w14:paraId="220D6A44" w14:textId="6045A4D8" w:rsidR="008815D7" w:rsidRPr="004456EA" w:rsidRDefault="008815D7" w:rsidP="00D1024C">
                            <w:pPr>
                              <w:pStyle w:val="Figures"/>
                              <w:rPr>
                                <w:rFonts w:cs="Verdana"/>
                                <w:noProof/>
                                <w:color w:val="393939"/>
                                <w:sz w:val="24"/>
                                <w:szCs w:val="24"/>
                                <w:lang w:val="en-US"/>
                              </w:rPr>
                            </w:pPr>
                            <w:bookmarkStart w:id="248" w:name="_Toc46770945"/>
                            <w:r w:rsidRPr="000841FD">
                              <w:t xml:space="preserve">Figure 4.2 </w:t>
                            </w:r>
                            <w:r w:rsidRPr="00D1024C">
                              <w:rPr>
                                <w:b w:val="0"/>
                              </w:rPr>
                              <w:t>Beck’s (1979) Cognitive Triad</w:t>
                            </w:r>
                            <w:bookmarkEnd w:id="24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2E1F2EF8" id="Text Box 49" o:spid="_x0000_s1030" type="#_x0000_t202" alt="P1661TB5#y1" style="width:430.6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" stroked="f">
                <v:textbox inset="0,0,0,0">
                  <w:txbxContent>
                    <w:p w14:paraId="220D6A44" w14:textId="6045A4D8" w:rsidR="008815D7" w:rsidRPr="004456EA" w:rsidRDefault="008815D7" w:rsidP="00D1024C">
                      <w:pPr>
                        <w:pStyle w:val="Figures"/>
                        <w:rPr>
                          <w:rFonts w:cs="Verdana"/>
                          <w:noProof/>
                          <w:color w:val="393939"/>
                          <w:sz w:val="24"/>
                          <w:szCs w:val="24"/>
                          <w:lang w:val="en-US"/>
                        </w:rPr>
                      </w:pPr>
                      <w:bookmarkStart w:id="249" w:name="_Toc46770945"/>
                      <w:r w:rsidRPr="000841FD">
                        <w:t xml:space="preserve">Figure 4.2 </w:t>
                      </w:r>
                      <w:r w:rsidRPr="00D1024C">
                        <w:rPr>
                          <w:b w:val="0"/>
                        </w:rPr>
                        <w:t>Beck’s (1979) Cognitive Triad</w:t>
                      </w:r>
                      <w:bookmarkEnd w:id="249"/>
                    </w:p>
                  </w:txbxContent>
                </v:textbox>
                <w10:anchorlock/>
              </v:shape>
            </w:pict>
          </mc:Fallback>
        </mc:AlternateContent>
      </w:r>
      <w:r w:rsidR="002705E9">
        <w:rPr>
          <w:rFonts w:ascii="Arial" w:hAnsi="Arial" w:cs="Verdana"/>
          <w:noProof/>
          <w:color w:val="393939"/>
          <w:lang w:val="en-US"/>
        </w:rPr>
        <mc:AlternateContent>
          <mc:Choice Requires="wps">
            <w:drawing>
              <wp:inline distT="0" distB="0" distL="0" distR="0" wp14:anchorId="6B75E9EB" wp14:editId="3F1951A7">
                <wp:extent cx="5468620" cy="2417884"/>
                <wp:effectExtent l="0" t="0" r="17780" b="20955"/>
                <wp:docPr id="15" name="Text Box 15" descr="P1661TB6#y1"/>
                <wp:cNvGraphicFramePr/>
                <a:graphic xmlns:a="http://schemas.openxmlformats.org/drawingml/2006/main">
                  <a:graphicData uri="http://schemas.microsoft.com/office/word/2010/wordprocessingShape">
                    <wps:wsp>
                      <wps:cNvSpPr txBox="1"/>
                      <wps:spPr>
                        <a:xfrm>
                          <a:off x="0" y="0"/>
                          <a:ext cx="5468620" cy="2417884"/>
                        </a:xfrm>
                        <a:prstGeom prst="rect">
                          <a:avLst/>
                        </a:prstGeom>
                        <a:solidFill>
                          <a:schemeClr val="lt1"/>
                        </a:solidFill>
                        <a:ln w="6350">
                          <a:solidFill>
                            <a:prstClr val="black"/>
                          </a:solidFill>
                        </a:ln>
                      </wps:spPr>
                      <wps:txbx>
                        <w:txbxContent>
                          <w:p w14:paraId="5D5B81AC" w14:textId="7EC65E28" w:rsidR="008815D7" w:rsidRDefault="008815D7" w:rsidP="007F596B">
                            <w:r>
                              <w:rPr>
                                <w:noProof/>
                              </w:rPr>
                              <w:drawing>
                                <wp:inline distT="0" distB="0" distL="0" distR="0" wp14:anchorId="1B173380" wp14:editId="2FAC082F">
                                  <wp:extent cx="5279390" cy="2112010"/>
                                  <wp:effectExtent l="0" t="0" r="3810" b="0"/>
                                  <wp:docPr id="35" name="Picture 35" descr="P1661TB6inT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P1661TB6inTB"/>
                                          <pic:cNvPicPr/>
                                        </pic:nvPicPr>
                                        <pic:blipFill>
                                          <a:blip r:embed="rId44"/>
                                          <a:stretch>
                                            <a:fillRect/>
                                          </a:stretch>
                                        </pic:blipFill>
                                        <pic:spPr>
                                          <a:xfrm>
                                            <a:off x="0" y="0"/>
                                            <a:ext cx="5279390" cy="21120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B75E9EB" id="Text Box 15" o:spid="_x0000_s1031" type="#_x0000_t202" alt="P1661TB6#y1" style="width:430.6pt;height:190.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" fillcolor="white [3201]" strokeweight=".5pt">
                <v:textbox>
                  <w:txbxContent>
                    <w:p w14:paraId="5D5B81AC" w14:textId="7EC65E28" w:rsidR="008815D7" w:rsidRDefault="008815D7" w:rsidP="007F596B">
                      <w:r>
                        <w:rPr>
                          <w:noProof/>
                        </w:rPr>
                        <w:drawing>
                          <wp:inline distT="0" distB="0" distL="0" distR="0" wp14:anchorId="1B173380" wp14:editId="2FAC082F">
                            <wp:extent cx="5279390" cy="2112010"/>
                            <wp:effectExtent l="0" t="0" r="3810" b="0"/>
                            <wp:docPr id="35" name="Picture 35" descr="P1661TB6inT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P1661TB6inTB"/>
                                    <pic:cNvPicPr/>
                                  </pic:nvPicPr>
                                  <pic:blipFill>
                                    <a:blip r:embed="rId44"/>
                                    <a:stretch>
                                      <a:fillRect/>
                                    </a:stretch>
                                  </pic:blipFill>
                                  <pic:spPr>
                                    <a:xfrm>
                                      <a:off x="0" y="0"/>
                                      <a:ext cx="5279390" cy="2112010"/>
                                    </a:xfrm>
                                    <a:prstGeom prst="rect">
                                      <a:avLst/>
                                    </a:prstGeom>
                                  </pic:spPr>
                                </pic:pic>
                              </a:graphicData>
                            </a:graphic>
                          </wp:inline>
                        </w:drawing>
                      </w:r>
                    </w:p>
                  </w:txbxContent>
                </v:textbox>
                <w10:anchorlock/>
              </v:shape>
            </w:pict>
          </mc:Fallback>
        </mc:AlternateContent>
      </w:r>
    </w:p>
    <w:p w14:paraId="273AEE6D" w14:textId="6805B623" w:rsidR="007F596B" w:rsidRDefault="007F596B" w:rsidP="007F596B">
      <w:pPr>
        <w:spacing w:line="480" w:lineRule="auto"/>
        <w:rPr>
          <w:rFonts w:ascii="Arial" w:hAnsi="Arial" w:cs="Verdana"/>
          <w:color w:val="393939"/>
          <w:lang w:val="en-US"/>
        </w:rPr>
      </w:pPr>
    </w:p>
    <w:p w14:paraId="1AD997CD" w14:textId="24C324F7" w:rsidR="007F596B" w:rsidRDefault="007F596B" w:rsidP="007F596B">
      <w:pPr>
        <w:spacing w:line="480" w:lineRule="auto"/>
        <w:rPr>
          <w:rFonts w:ascii="Arial" w:hAnsi="Arial" w:cs="Verdana"/>
          <w:color w:val="393939"/>
          <w:lang w:val="en-US"/>
        </w:rPr>
      </w:pPr>
    </w:p>
    <w:p w14:paraId="28A162E6" w14:textId="3A2A0661" w:rsidR="007F596B" w:rsidRDefault="007F596B" w:rsidP="007F596B">
      <w:pPr>
        <w:spacing w:line="480" w:lineRule="auto"/>
        <w:rPr>
          <w:rFonts w:ascii="Arial" w:hAnsi="Arial" w:cs="Verdana"/>
          <w:b/>
          <w:color w:val="393939"/>
          <w:lang w:val="en-US"/>
        </w:rPr>
      </w:pPr>
    </w:p>
    <w:p w14:paraId="79438130" w14:textId="2DC0195B" w:rsidR="001C6B5E" w:rsidRDefault="001C6B5E" w:rsidP="007F596B">
      <w:pPr>
        <w:spacing w:line="480" w:lineRule="auto"/>
        <w:rPr>
          <w:rFonts w:ascii="Arial" w:hAnsi="Arial" w:cs="Verdana"/>
          <w:b/>
          <w:color w:val="393939"/>
          <w:lang w:val="en-US"/>
        </w:rPr>
      </w:pPr>
    </w:p>
    <w:p w14:paraId="5509CBE5" w14:textId="7E3CCFB4" w:rsidR="00A04D71" w:rsidRDefault="00A04D71" w:rsidP="00A04D71">
      <w:pPr>
        <w:pStyle w:val="Figures"/>
      </w:pPr>
      <w:bookmarkStart w:id="250" w:name="_Toc46770946"/>
      <w:r w:rsidRPr="008D4D75">
        <w:t xml:space="preserve">Figure 4.3 </w:t>
      </w:r>
      <w:r w:rsidRPr="00A04D71">
        <w:rPr>
          <w:b w:val="0"/>
        </w:rPr>
        <w:t>The Cognitive Model of Skill Acquisition (Bennett-Levy, 2006)</w:t>
      </w:r>
      <w:bookmarkEnd w:id="250"/>
    </w:p>
    <w:p w14:paraId="6D5146B6" w14:textId="2BB31087" w:rsidR="001C6B5E" w:rsidRPr="001C6B5E" w:rsidRDefault="001C6B5E" w:rsidP="007F596B">
      <w:pPr>
        <w:spacing w:line="480" w:lineRule="auto"/>
        <w:rPr>
          <w:rFonts w:ascii="Arial" w:hAnsi="Arial" w:cs="Verdana"/>
          <w:bCs/>
          <w:color w:val="393939"/>
          <w:lang w:val="en-US"/>
        </w:rPr>
      </w:pPr>
      <w:r>
        <w:rPr>
          <w:rFonts w:ascii="Arial" w:hAnsi="Arial" w:cs="Verdana"/>
          <w:bCs/>
          <w:noProof/>
          <w:color w:val="393939"/>
          <w:lang w:val="en-US"/>
        </w:rPr>
        <w:drawing>
          <wp:inline distT="0" distB="0" distL="0" distR="0" wp14:anchorId="7AD26C03" wp14:editId="272D90EA">
            <wp:extent cx="4572000" cy="3657600"/>
            <wp:effectExtent l="0" t="0" r="0" b="0"/>
            <wp:docPr id="41" name="Picture 41" descr="P166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P1667#yIS1"/>
                    <pic:cNvPicPr/>
                  </pic:nvPicPr>
                  <pic:blipFill>
                    <a:blip r:embed="rId45"/>
                    <a:stretch>
                      <a:fillRect/>
                    </a:stretch>
                  </pic:blipFill>
                  <pic:spPr>
                    <a:xfrm>
                      <a:off x="0" y="0"/>
                      <a:ext cx="4572000" cy="3657600"/>
                    </a:xfrm>
                    <a:prstGeom prst="rect">
                      <a:avLst/>
                    </a:prstGeom>
                  </pic:spPr>
                </pic:pic>
              </a:graphicData>
            </a:graphic>
          </wp:inline>
        </w:drawing>
      </w:r>
      <w:r w:rsidRPr="001C6B5E">
        <w:rPr>
          <w:rFonts w:ascii="Arial" w:hAnsi="Arial" w:cs="Verdana"/>
          <w:bCs/>
          <w:color w:val="393939"/>
          <w:lang w:val="en-US"/>
        </w:rPr>
        <w:t xml:space="preserve"> </w:t>
      </w:r>
    </w:p>
    <w:p w14:paraId="53A45021" w14:textId="68806337" w:rsidR="00C67B34" w:rsidRPr="00D238AD" w:rsidRDefault="002705E9" w:rsidP="00D238AD">
      <w:pPr>
        <w:spacing w:line="480" w:lineRule="auto"/>
        <w:rPr>
          <w:rFonts w:ascii="Arial" w:hAnsi="Arial" w:cs="Arial"/>
          <w:sz w:val="22"/>
          <w:szCs w:val="22"/>
          <w:lang w:val="en-US"/>
        </w:rPr>
      </w:pPr>
      <w:r w:rsidRPr="00525B47">
        <w:rPr>
          <w:rFonts w:ascii="Arial" w:hAnsi="Arial" w:cs="Arial"/>
          <w:sz w:val="22"/>
          <w:szCs w:val="22"/>
          <w:lang w:val="en-US"/>
        </w:rPr>
        <w:lastRenderedPageBreak/>
        <w:t xml:space="preserve">These theoretical models </w:t>
      </w:r>
      <w:r w:rsidR="00A163E3" w:rsidRPr="00525B47">
        <w:rPr>
          <w:rFonts w:ascii="Arial" w:hAnsi="Arial" w:cs="Arial"/>
          <w:sz w:val="22"/>
          <w:szCs w:val="22"/>
          <w:lang w:val="en-US"/>
        </w:rPr>
        <w:t xml:space="preserve">have informed conceptual frameworks that have been embedded into IAPT training programmes. Arguably the most commonly used framework is Bennett-Levy’s (2006) cognitive model of skill acquisition. This model </w:t>
      </w:r>
      <w:r w:rsidR="00E07C40" w:rsidRPr="00525B47">
        <w:rPr>
          <w:rFonts w:ascii="Arial" w:hAnsi="Arial" w:cs="Arial"/>
          <w:sz w:val="22"/>
          <w:szCs w:val="22"/>
          <w:lang w:val="en-US"/>
        </w:rPr>
        <w:t xml:space="preserve">(see figure 4.3) </w:t>
      </w:r>
      <w:r w:rsidR="00A163E3" w:rsidRPr="00525B47">
        <w:rPr>
          <w:rFonts w:ascii="Arial" w:hAnsi="Arial" w:cs="Arial"/>
          <w:sz w:val="22"/>
          <w:szCs w:val="22"/>
          <w:lang w:val="en-US"/>
        </w:rPr>
        <w:t xml:space="preserve">describes the iterative processes </w:t>
      </w:r>
      <w:r w:rsidR="00E07C40" w:rsidRPr="00525B47">
        <w:rPr>
          <w:rFonts w:ascii="Arial" w:hAnsi="Arial" w:cs="Arial"/>
          <w:sz w:val="22"/>
          <w:szCs w:val="22"/>
          <w:lang w:val="en-US"/>
        </w:rPr>
        <w:t>that are involved in skill acquisition and the development of clinical expertise. Bennett-Levy places a significant emphasis on the sequential and cyclical process involved in the</w:t>
      </w:r>
      <w:r w:rsidR="001C6B5E" w:rsidRPr="00525B47">
        <w:rPr>
          <w:rFonts w:ascii="Arial" w:hAnsi="Arial" w:cs="Arial"/>
          <w:sz w:val="22"/>
          <w:szCs w:val="22"/>
          <w:lang w:val="en-US"/>
        </w:rPr>
        <w:t xml:space="preserve"> development of clinical expertise. This process starts with the</w:t>
      </w:r>
      <w:r w:rsidR="00E07C40" w:rsidRPr="00525B47">
        <w:rPr>
          <w:rFonts w:ascii="Arial" w:hAnsi="Arial" w:cs="Arial"/>
          <w:sz w:val="22"/>
          <w:szCs w:val="22"/>
          <w:lang w:val="en-US"/>
        </w:rPr>
        <w:t xml:space="preserve"> acquisition of knowledge</w:t>
      </w:r>
      <w:r w:rsidR="001C6B5E" w:rsidRPr="00525B47">
        <w:rPr>
          <w:rFonts w:ascii="Arial" w:hAnsi="Arial" w:cs="Arial"/>
          <w:sz w:val="22"/>
          <w:szCs w:val="22"/>
          <w:lang w:val="en-US"/>
        </w:rPr>
        <w:t xml:space="preserve"> followed by</w:t>
      </w:r>
      <w:r w:rsidR="00E07C40" w:rsidRPr="00525B47">
        <w:rPr>
          <w:rFonts w:ascii="Arial" w:hAnsi="Arial" w:cs="Arial"/>
          <w:sz w:val="22"/>
          <w:szCs w:val="22"/>
          <w:lang w:val="en-US"/>
        </w:rPr>
        <w:t xml:space="preserve"> skill practice, feedback, self-reflection</w:t>
      </w:r>
      <w:r w:rsidR="001C6B5E" w:rsidRPr="00525B47">
        <w:rPr>
          <w:rFonts w:ascii="Arial" w:hAnsi="Arial" w:cs="Arial"/>
          <w:sz w:val="22"/>
          <w:szCs w:val="22"/>
          <w:lang w:val="en-US"/>
        </w:rPr>
        <w:t xml:space="preserve"> and then returning to start the process again as a cycle of continuous professional development.</w:t>
      </w:r>
      <w:r w:rsidR="00E07C40" w:rsidRPr="00525B47">
        <w:rPr>
          <w:rFonts w:ascii="Arial" w:hAnsi="Arial" w:cs="Arial"/>
          <w:sz w:val="22"/>
          <w:szCs w:val="22"/>
          <w:lang w:val="en-US"/>
        </w:rPr>
        <w:t xml:space="preserve"> A more advanced iteration of this model has been described in </w:t>
      </w:r>
      <w:r w:rsidR="00EF7071">
        <w:rPr>
          <w:rFonts w:ascii="Arial" w:hAnsi="Arial" w:cs="Arial"/>
          <w:sz w:val="22"/>
          <w:szCs w:val="22"/>
          <w:lang w:val="en-US"/>
        </w:rPr>
        <w:t>C</w:t>
      </w:r>
      <w:r w:rsidR="00E07C40" w:rsidRPr="00525B47">
        <w:rPr>
          <w:rFonts w:ascii="Arial" w:hAnsi="Arial" w:cs="Arial"/>
          <w:sz w:val="22"/>
          <w:szCs w:val="22"/>
          <w:lang w:val="en-US"/>
        </w:rPr>
        <w:t>hapter 2</w:t>
      </w:r>
      <w:r w:rsidR="00EF7071">
        <w:rPr>
          <w:rFonts w:ascii="Arial" w:hAnsi="Arial" w:cs="Arial"/>
          <w:sz w:val="22"/>
          <w:szCs w:val="22"/>
          <w:lang w:val="en-US"/>
        </w:rPr>
        <w:t>,</w:t>
      </w:r>
      <w:r w:rsidR="00E07C40" w:rsidRPr="00525B47">
        <w:rPr>
          <w:rFonts w:ascii="Arial" w:hAnsi="Arial" w:cs="Arial"/>
          <w:sz w:val="22"/>
          <w:szCs w:val="22"/>
          <w:lang w:val="en-US"/>
        </w:rPr>
        <w:t xml:space="preserve"> section 2.10 of this thesis.  </w:t>
      </w:r>
      <w:r w:rsidR="001C6B5E" w:rsidRPr="00525B47">
        <w:rPr>
          <w:rFonts w:ascii="Arial" w:hAnsi="Arial" w:cs="Arial"/>
          <w:sz w:val="22"/>
          <w:szCs w:val="22"/>
          <w:lang w:val="en-US"/>
        </w:rPr>
        <w:t>Bennett-Levy’s conceptual model underpins the processes implicit within the research described in this thesis and is congruent with the Scientist Practitioner approach discussed in section 4.1 of this chapter.</w:t>
      </w:r>
    </w:p>
    <w:p w14:paraId="0B27AE67" w14:textId="77777777" w:rsidR="00A04D71" w:rsidRDefault="00A04D71">
      <w:pPr>
        <w:rPr>
          <w:rFonts w:ascii="Arial" w:eastAsiaTheme="majorEastAsia" w:hAnsi="Arial" w:cs="Arial"/>
          <w:b/>
          <w:bCs/>
          <w:color w:val="000000" w:themeColor="text1"/>
          <w:sz w:val="22"/>
          <w:szCs w:val="22"/>
          <w:lang w:val="en-US"/>
        </w:rPr>
      </w:pPr>
      <w:r>
        <w:rPr>
          <w:rFonts w:ascii="Arial" w:hAnsi="Arial" w:cs="Arial"/>
          <w:color w:val="000000" w:themeColor="text1"/>
          <w:sz w:val="22"/>
          <w:szCs w:val="22"/>
          <w:lang w:val="en-US"/>
        </w:rPr>
        <w:br w:type="page"/>
      </w:r>
    </w:p>
    <w:p w14:paraId="28BBF1E3" w14:textId="5CCBA28C" w:rsidR="007F596B" w:rsidRDefault="00AB3CF6" w:rsidP="007F596B">
      <w:pPr>
        <w:pStyle w:val="Heading3"/>
        <w:rPr>
          <w:rFonts w:cs="Arial"/>
          <w:b w:val="0"/>
          <w:color w:val="000000" w:themeColor="text1"/>
          <w:szCs w:val="22"/>
          <w:lang w:val="en-US"/>
        </w:rPr>
      </w:pPr>
      <w:bookmarkStart w:id="251" w:name="_Toc46770781"/>
      <w:bookmarkStart w:id="252" w:name="_Toc79414192"/>
      <w:r>
        <w:rPr>
          <w:rFonts w:cs="Arial"/>
          <w:color w:val="000000" w:themeColor="text1"/>
          <w:szCs w:val="22"/>
          <w:lang w:val="en-US"/>
        </w:rPr>
        <w:lastRenderedPageBreak/>
        <w:t>4</w:t>
      </w:r>
      <w:r w:rsidR="007F596B" w:rsidRPr="009F53A6">
        <w:rPr>
          <w:rFonts w:cs="Arial"/>
          <w:color w:val="000000" w:themeColor="text1"/>
          <w:szCs w:val="22"/>
          <w:lang w:val="en-US"/>
        </w:rPr>
        <w:t>.1.2 Rationale for the approach</w:t>
      </w:r>
      <w:bookmarkEnd w:id="251"/>
      <w:bookmarkEnd w:id="252"/>
    </w:p>
    <w:p w14:paraId="4D3B51FA" w14:textId="77777777" w:rsidR="007F596B" w:rsidRPr="009F53A6" w:rsidRDefault="007F596B" w:rsidP="007F596B">
      <w:pPr>
        <w:rPr>
          <w:lang w:val="en-US"/>
        </w:rPr>
      </w:pPr>
    </w:p>
    <w:p w14:paraId="53EE9412" w14:textId="04BB4CE5" w:rsidR="007F596B" w:rsidRPr="001C6B5E" w:rsidRDefault="007F596B" w:rsidP="001C6B5E">
      <w:pPr>
        <w:spacing w:line="480" w:lineRule="auto"/>
        <w:rPr>
          <w:rFonts w:ascii="Arial" w:hAnsi="Arial"/>
          <w:sz w:val="22"/>
          <w:szCs w:val="22"/>
        </w:rPr>
      </w:pPr>
      <w:r w:rsidRPr="00A46331">
        <w:rPr>
          <w:rFonts w:ascii="Arial" w:hAnsi="Arial"/>
          <w:sz w:val="22"/>
          <w:szCs w:val="22"/>
        </w:rPr>
        <w:t>Whilst it might be argued that alternative methodologies could offer much in terms of providing rich data and a variety of perspectives (Thorpe</w:t>
      </w:r>
      <w:r w:rsidR="003D07EE">
        <w:rPr>
          <w:rFonts w:ascii="Arial" w:hAnsi="Arial"/>
          <w:sz w:val="22"/>
          <w:szCs w:val="22"/>
        </w:rPr>
        <w:t>,</w:t>
      </w:r>
      <w:r w:rsidRPr="00A46331">
        <w:rPr>
          <w:rFonts w:ascii="Arial" w:hAnsi="Arial"/>
          <w:sz w:val="22"/>
          <w:szCs w:val="22"/>
        </w:rPr>
        <w:t xml:space="preserve"> 2002) such approaches would make it difficult to understand the relationship between therapist variables and clinical outcome in the context of an audience who may be highly critical of anything other than the presentation of findings resulting from quantitative statistical methods set within a positivist framework. In addition, an alternative paradigm might have failed to mediate for the subjective opinions that undoubtedly occur in the context of insider research (Simmons</w:t>
      </w:r>
      <w:r w:rsidR="003D07EE">
        <w:rPr>
          <w:rFonts w:ascii="Arial" w:hAnsi="Arial"/>
          <w:sz w:val="22"/>
          <w:szCs w:val="22"/>
        </w:rPr>
        <w:t>,</w:t>
      </w:r>
      <w:r w:rsidRPr="00A46331">
        <w:rPr>
          <w:rFonts w:ascii="Arial" w:hAnsi="Arial"/>
          <w:sz w:val="22"/>
          <w:szCs w:val="22"/>
        </w:rPr>
        <w:t xml:space="preserve"> 200</w:t>
      </w:r>
      <w:r w:rsidR="00B14B79">
        <w:rPr>
          <w:rFonts w:ascii="Arial" w:hAnsi="Arial"/>
          <w:sz w:val="22"/>
          <w:szCs w:val="22"/>
        </w:rPr>
        <w:t>7</w:t>
      </w:r>
      <w:r w:rsidRPr="00A46331">
        <w:rPr>
          <w:rFonts w:ascii="Arial" w:hAnsi="Arial"/>
          <w:sz w:val="22"/>
          <w:szCs w:val="22"/>
        </w:rPr>
        <w:t xml:space="preserve">) which might have detrimentally impacted on the results of this research.  A challenge for insider research, conducted by a clinician in their field of expertise is to mediate for researcher bias and the impact this may have on the research results.  A positivist paradigm was selected so that an attempt could be made to reduce the impact of the researcher’s subjective opinion and prior knowledge.  The intention was to take all reasonable steps to maintain objectivity in order to scientifically examine the relationships between therapist variables and patient outcomes. The design attempts to use as much scientific rigour as was reasonably possible, in the context of a doctoral research study in order to increase the confidence that the findings from this research were derived from a scientific approach.  </w:t>
      </w:r>
      <w:r w:rsidRPr="00A46331">
        <w:rPr>
          <w:rFonts w:ascii="Arial" w:eastAsia="Times New Roman" w:hAnsi="Arial" w:cs="Arial"/>
          <w:sz w:val="22"/>
          <w:szCs w:val="22"/>
        </w:rPr>
        <w:t xml:space="preserve">The purpose of this research was to explore bivariate relationships and multiple relationships and predictions among variables. This study used bivariate correlations (r) to assess the relationships between all pairs of variables in the study. A multiple correlation (R) was used to assess the relationship of; </w:t>
      </w:r>
      <w:r w:rsidR="008722C8">
        <w:rPr>
          <w:rFonts w:ascii="Arial" w:eastAsia="Times New Roman" w:hAnsi="Arial" w:cs="Arial"/>
          <w:sz w:val="22"/>
          <w:szCs w:val="22"/>
        </w:rPr>
        <w:t xml:space="preserve">key </w:t>
      </w:r>
      <w:r w:rsidRPr="00A46331">
        <w:rPr>
          <w:rFonts w:ascii="Arial" w:eastAsia="Times New Roman" w:hAnsi="Arial" w:cs="Arial"/>
          <w:sz w:val="22"/>
          <w:szCs w:val="22"/>
        </w:rPr>
        <w:t xml:space="preserve">therapist demographics (age, gender, core profession etc), therapist ability to deliver CBT with fidelity to the model and therapist ability to adhere to an evidence protocol with clinical outcome (recovery). This </w:t>
      </w:r>
      <w:r w:rsidR="001C6B5E">
        <w:rPr>
          <w:rFonts w:ascii="Arial" w:eastAsia="Times New Roman" w:hAnsi="Arial" w:cs="Arial"/>
          <w:sz w:val="22"/>
          <w:szCs w:val="22"/>
        </w:rPr>
        <w:t>research</w:t>
      </w:r>
      <w:r w:rsidRPr="00A46331">
        <w:rPr>
          <w:rFonts w:ascii="Arial" w:eastAsia="Times New Roman" w:hAnsi="Arial" w:cs="Arial"/>
          <w:sz w:val="22"/>
          <w:szCs w:val="22"/>
        </w:rPr>
        <w:t xml:space="preserve"> used </w:t>
      </w:r>
      <w:r w:rsidR="001C6B5E">
        <w:rPr>
          <w:rFonts w:ascii="Arial" w:eastAsia="Times New Roman" w:hAnsi="Arial" w:cs="Arial"/>
          <w:sz w:val="22"/>
          <w:szCs w:val="22"/>
        </w:rPr>
        <w:t xml:space="preserve">a </w:t>
      </w:r>
      <w:r w:rsidRPr="00A46331">
        <w:rPr>
          <w:rFonts w:ascii="Arial" w:eastAsia="Times New Roman" w:hAnsi="Arial" w:cs="Arial"/>
          <w:sz w:val="22"/>
          <w:szCs w:val="22"/>
        </w:rPr>
        <w:t xml:space="preserve">multiple linear regression model to </w:t>
      </w:r>
      <w:r w:rsidR="008722C8">
        <w:rPr>
          <w:rFonts w:ascii="Arial" w:eastAsia="Times New Roman" w:hAnsi="Arial" w:cs="Arial"/>
          <w:sz w:val="22"/>
          <w:szCs w:val="22"/>
        </w:rPr>
        <w:t xml:space="preserve">establish the variables that </w:t>
      </w:r>
      <w:r w:rsidRPr="00A46331">
        <w:rPr>
          <w:rFonts w:ascii="Arial" w:eastAsia="Times New Roman" w:hAnsi="Arial" w:cs="Arial"/>
          <w:sz w:val="22"/>
          <w:szCs w:val="22"/>
        </w:rPr>
        <w:t xml:space="preserve">predict clinical outcome (Y) from the therapist’s ability to a) deliver CBT and b) adherence to an evidence-based protocol (X). </w:t>
      </w:r>
      <w:r w:rsidR="001C6B5E">
        <w:rPr>
          <w:rFonts w:ascii="Arial" w:eastAsia="Times New Roman" w:hAnsi="Arial" w:cs="Arial"/>
          <w:sz w:val="22"/>
          <w:szCs w:val="22"/>
        </w:rPr>
        <w:t>In addition</w:t>
      </w:r>
      <w:r w:rsidR="003D07EE">
        <w:rPr>
          <w:rFonts w:ascii="Arial" w:eastAsia="Times New Roman" w:hAnsi="Arial" w:cs="Arial"/>
          <w:sz w:val="22"/>
          <w:szCs w:val="22"/>
        </w:rPr>
        <w:t>,</w:t>
      </w:r>
      <w:r w:rsidR="001C6B5E">
        <w:rPr>
          <w:rFonts w:ascii="Arial" w:eastAsia="Times New Roman" w:hAnsi="Arial" w:cs="Arial"/>
          <w:sz w:val="22"/>
          <w:szCs w:val="22"/>
        </w:rPr>
        <w:t xml:space="preserve"> this research sought to understand </w:t>
      </w:r>
      <w:r w:rsidRPr="00A46331">
        <w:rPr>
          <w:rFonts w:ascii="Arial" w:eastAsia="Times New Roman" w:hAnsi="Arial" w:cs="Arial"/>
          <w:sz w:val="22"/>
          <w:szCs w:val="22"/>
        </w:rPr>
        <w:t>the extent</w:t>
      </w:r>
      <w:r w:rsidR="001C6B5E">
        <w:rPr>
          <w:rFonts w:ascii="Arial" w:eastAsia="Times New Roman" w:hAnsi="Arial" w:cs="Arial"/>
          <w:sz w:val="22"/>
          <w:szCs w:val="22"/>
        </w:rPr>
        <w:t xml:space="preserve">, to which, </w:t>
      </w:r>
      <w:r w:rsidRPr="00A46331">
        <w:rPr>
          <w:rFonts w:ascii="Arial" w:eastAsia="Times New Roman" w:hAnsi="Arial" w:cs="Arial"/>
          <w:sz w:val="22"/>
          <w:szCs w:val="22"/>
        </w:rPr>
        <w:t xml:space="preserve">two independent variables (fidelity to the CBT model and adherence to an evidence-based protocol) individually and collectively predict clinical recovery.  Each independent variable was assessed for its </w:t>
      </w:r>
      <w:r w:rsidRPr="00A46331">
        <w:rPr>
          <w:rFonts w:ascii="Arial" w:eastAsia="Times New Roman" w:hAnsi="Arial" w:cs="Arial"/>
          <w:sz w:val="22"/>
          <w:szCs w:val="22"/>
        </w:rPr>
        <w:lastRenderedPageBreak/>
        <w:t>significant prediction of clinical outcome, and the combination of both independent variables will be evaluated as to how they predict clinical outcome.</w:t>
      </w:r>
    </w:p>
    <w:p w14:paraId="02B35FAB" w14:textId="77777777" w:rsidR="007F596B" w:rsidRDefault="007F596B" w:rsidP="007F596B">
      <w:pPr>
        <w:spacing w:line="480" w:lineRule="auto"/>
        <w:rPr>
          <w:rFonts w:ascii="Arial" w:hAnsi="Arial" w:cs="Arial"/>
          <w:b/>
        </w:rPr>
      </w:pPr>
    </w:p>
    <w:p w14:paraId="3669D087" w14:textId="4D34CB6E" w:rsidR="007F596B" w:rsidRDefault="00AB3CF6" w:rsidP="007F596B">
      <w:pPr>
        <w:pStyle w:val="Heading2"/>
        <w:rPr>
          <w:rFonts w:ascii="Arial" w:hAnsi="Arial" w:cs="Arial"/>
          <w:b w:val="0"/>
          <w:color w:val="000000" w:themeColor="text1"/>
          <w:sz w:val="22"/>
          <w:szCs w:val="22"/>
        </w:rPr>
      </w:pPr>
      <w:bookmarkStart w:id="253" w:name="_Toc46770782"/>
      <w:bookmarkStart w:id="254" w:name="_Toc79414193"/>
      <w:r>
        <w:rPr>
          <w:rFonts w:ascii="Arial" w:hAnsi="Arial" w:cs="Arial"/>
          <w:color w:val="000000" w:themeColor="text1"/>
          <w:sz w:val="22"/>
          <w:szCs w:val="22"/>
        </w:rPr>
        <w:t>4</w:t>
      </w:r>
      <w:r w:rsidR="007F596B" w:rsidRPr="009F53A6">
        <w:rPr>
          <w:rFonts w:ascii="Arial" w:hAnsi="Arial" w:cs="Arial"/>
          <w:color w:val="000000" w:themeColor="text1"/>
          <w:sz w:val="22"/>
          <w:szCs w:val="22"/>
        </w:rPr>
        <w:t>.2 RESEARCH DESIGN</w:t>
      </w:r>
      <w:bookmarkEnd w:id="253"/>
      <w:bookmarkEnd w:id="254"/>
    </w:p>
    <w:p w14:paraId="1471A7BC" w14:textId="77777777" w:rsidR="007F596B" w:rsidRPr="009F53A6" w:rsidRDefault="007F596B" w:rsidP="007F596B"/>
    <w:p w14:paraId="1A4E0C77" w14:textId="26613BA2" w:rsidR="007F596B" w:rsidRDefault="007F596B" w:rsidP="007F596B">
      <w:pPr>
        <w:spacing w:line="480" w:lineRule="auto"/>
        <w:rPr>
          <w:rFonts w:ascii="Arial" w:hAnsi="Arial" w:cs="Arial"/>
          <w:sz w:val="22"/>
          <w:szCs w:val="22"/>
        </w:rPr>
      </w:pPr>
      <w:r w:rsidRPr="00A46331">
        <w:rPr>
          <w:rFonts w:ascii="Arial" w:hAnsi="Arial" w:cs="Arial"/>
          <w:sz w:val="22"/>
          <w:szCs w:val="22"/>
        </w:rPr>
        <w:t xml:space="preserve">This </w:t>
      </w:r>
      <w:r w:rsidR="00972AA3">
        <w:rPr>
          <w:rFonts w:ascii="Arial" w:hAnsi="Arial" w:cs="Arial"/>
          <w:sz w:val="22"/>
          <w:szCs w:val="22"/>
        </w:rPr>
        <w:t>research</w:t>
      </w:r>
      <w:r w:rsidRPr="00A46331">
        <w:rPr>
          <w:rFonts w:ascii="Arial" w:hAnsi="Arial" w:cs="Arial"/>
          <w:sz w:val="22"/>
          <w:szCs w:val="22"/>
        </w:rPr>
        <w:t xml:space="preserve"> used a naturalistic observational study </w:t>
      </w:r>
      <w:r w:rsidR="00972AA3">
        <w:rPr>
          <w:rFonts w:ascii="Arial" w:hAnsi="Arial" w:cs="Arial"/>
          <w:sz w:val="22"/>
          <w:szCs w:val="22"/>
        </w:rPr>
        <w:t xml:space="preserve">design to understand the relationship between therapist age, gender, experience, training, core profession, competence and ability to adhere to an evidence-based protocol and clinical outcomes. </w:t>
      </w:r>
      <w:r w:rsidRPr="00A46331">
        <w:rPr>
          <w:rFonts w:ascii="Arial" w:hAnsi="Arial" w:cs="Arial"/>
          <w:sz w:val="22"/>
          <w:szCs w:val="22"/>
        </w:rPr>
        <w:t xml:space="preserve"> </w:t>
      </w:r>
      <w:r w:rsidR="00972AA3">
        <w:rPr>
          <w:rFonts w:ascii="Arial" w:hAnsi="Arial" w:cs="Arial"/>
          <w:sz w:val="22"/>
          <w:szCs w:val="22"/>
        </w:rPr>
        <w:t>This research</w:t>
      </w:r>
      <w:r w:rsidRPr="00A46331">
        <w:rPr>
          <w:rFonts w:ascii="Arial" w:hAnsi="Arial" w:cs="Arial"/>
          <w:sz w:val="22"/>
          <w:szCs w:val="22"/>
        </w:rPr>
        <w:t xml:space="preserve"> employ</w:t>
      </w:r>
      <w:r w:rsidR="00972AA3">
        <w:rPr>
          <w:rFonts w:ascii="Arial" w:hAnsi="Arial" w:cs="Arial"/>
          <w:sz w:val="22"/>
          <w:szCs w:val="22"/>
        </w:rPr>
        <w:t>ed</w:t>
      </w:r>
      <w:r w:rsidRPr="00A46331">
        <w:rPr>
          <w:rFonts w:ascii="Arial" w:hAnsi="Arial" w:cs="Arial"/>
          <w:sz w:val="22"/>
          <w:szCs w:val="22"/>
        </w:rPr>
        <w:t xml:space="preserve"> both bivariate and multivariate analysis to explore the relationship between </w:t>
      </w:r>
      <w:r w:rsidR="00972AA3">
        <w:rPr>
          <w:rFonts w:ascii="Arial" w:hAnsi="Arial" w:cs="Arial"/>
          <w:sz w:val="22"/>
          <w:szCs w:val="22"/>
        </w:rPr>
        <w:t xml:space="preserve">these </w:t>
      </w:r>
      <w:r w:rsidRPr="00A46331">
        <w:rPr>
          <w:rFonts w:ascii="Arial" w:hAnsi="Arial" w:cs="Arial"/>
          <w:sz w:val="22"/>
          <w:szCs w:val="22"/>
        </w:rPr>
        <w:t>therapist variables and clinical outcome.</w:t>
      </w:r>
    </w:p>
    <w:p w14:paraId="7B396FFE" w14:textId="77777777" w:rsidR="00145326" w:rsidRPr="004B4F9A" w:rsidRDefault="00145326" w:rsidP="007F596B">
      <w:pPr>
        <w:spacing w:line="480" w:lineRule="auto"/>
        <w:rPr>
          <w:rFonts w:ascii="Arial" w:hAnsi="Arial" w:cs="Arial"/>
          <w:sz w:val="22"/>
          <w:szCs w:val="22"/>
        </w:rPr>
      </w:pPr>
    </w:p>
    <w:p w14:paraId="3F40E827" w14:textId="5AC9E4E8" w:rsidR="007F596B" w:rsidRDefault="00AB3CF6" w:rsidP="007F596B">
      <w:pPr>
        <w:pStyle w:val="Heading3"/>
        <w:rPr>
          <w:rFonts w:cs="Arial"/>
          <w:b w:val="0"/>
          <w:color w:val="000000" w:themeColor="text1"/>
          <w:szCs w:val="22"/>
        </w:rPr>
      </w:pPr>
      <w:bookmarkStart w:id="255" w:name="_Toc46770783"/>
      <w:bookmarkStart w:id="256" w:name="_Toc79414194"/>
      <w:r>
        <w:rPr>
          <w:rFonts w:cs="Arial"/>
          <w:color w:val="000000" w:themeColor="text1"/>
          <w:szCs w:val="22"/>
        </w:rPr>
        <w:t>4</w:t>
      </w:r>
      <w:r w:rsidR="007F596B" w:rsidRPr="009F53A6">
        <w:rPr>
          <w:rFonts w:cs="Arial"/>
          <w:color w:val="000000" w:themeColor="text1"/>
          <w:szCs w:val="22"/>
        </w:rPr>
        <w:t>.2.1 Setting</w:t>
      </w:r>
      <w:bookmarkEnd w:id="255"/>
      <w:bookmarkEnd w:id="256"/>
    </w:p>
    <w:p w14:paraId="3816FF7A" w14:textId="77777777" w:rsidR="007F596B" w:rsidRPr="009F53A6" w:rsidRDefault="007F596B" w:rsidP="007F596B"/>
    <w:p w14:paraId="5A048476" w14:textId="7E5CAC27" w:rsidR="007F596B" w:rsidRDefault="007F596B" w:rsidP="007F596B">
      <w:pPr>
        <w:spacing w:line="480" w:lineRule="auto"/>
        <w:rPr>
          <w:rFonts w:ascii="Arial" w:hAnsi="Arial" w:cs="Arial"/>
          <w:sz w:val="22"/>
          <w:szCs w:val="22"/>
        </w:rPr>
      </w:pPr>
      <w:r w:rsidRPr="00A46331">
        <w:rPr>
          <w:rFonts w:ascii="Arial" w:hAnsi="Arial" w:cs="Arial"/>
          <w:sz w:val="22"/>
          <w:szCs w:val="22"/>
        </w:rPr>
        <w:t xml:space="preserve">This research was conducted in an Improving Access to Psychological Therapy Service provided by Ieso Digital Health (see www.iesohealth.com).  The service is commissioned by the National Health Service (NHS) to provided cognitive </w:t>
      </w:r>
      <w:r w:rsidR="001C6B5E">
        <w:rPr>
          <w:rFonts w:ascii="Arial" w:hAnsi="Arial" w:cs="Arial"/>
          <w:sz w:val="22"/>
          <w:szCs w:val="22"/>
        </w:rPr>
        <w:t>b</w:t>
      </w:r>
      <w:r w:rsidRPr="00A46331">
        <w:rPr>
          <w:rFonts w:ascii="Arial" w:hAnsi="Arial" w:cs="Arial"/>
          <w:sz w:val="22"/>
          <w:szCs w:val="22"/>
        </w:rPr>
        <w:t>ehaviour therapy online</w:t>
      </w:r>
      <w:r w:rsidR="00F464F5">
        <w:rPr>
          <w:rFonts w:ascii="Arial" w:hAnsi="Arial" w:cs="Arial"/>
          <w:sz w:val="22"/>
          <w:szCs w:val="22"/>
        </w:rPr>
        <w:t>,</w:t>
      </w:r>
      <w:r w:rsidRPr="00A46331">
        <w:rPr>
          <w:rFonts w:ascii="Arial" w:hAnsi="Arial" w:cs="Arial"/>
          <w:sz w:val="22"/>
          <w:szCs w:val="22"/>
        </w:rPr>
        <w:t xml:space="preserve"> using </w:t>
      </w:r>
      <w:r w:rsidR="00F464F5">
        <w:rPr>
          <w:rFonts w:ascii="Arial" w:hAnsi="Arial" w:cs="Arial"/>
          <w:sz w:val="22"/>
          <w:szCs w:val="22"/>
        </w:rPr>
        <w:t xml:space="preserve">synchronous </w:t>
      </w:r>
      <w:r w:rsidRPr="00A46331">
        <w:rPr>
          <w:rFonts w:ascii="Arial" w:hAnsi="Arial" w:cs="Arial"/>
          <w:sz w:val="22"/>
          <w:szCs w:val="22"/>
        </w:rPr>
        <w:t>written communication</w:t>
      </w:r>
      <w:r w:rsidR="001C6B5E">
        <w:rPr>
          <w:rFonts w:ascii="Arial" w:hAnsi="Arial" w:cs="Arial"/>
          <w:sz w:val="22"/>
          <w:szCs w:val="22"/>
        </w:rPr>
        <w:t xml:space="preserve">. </w:t>
      </w:r>
      <w:r w:rsidRPr="00A46331">
        <w:rPr>
          <w:rFonts w:ascii="Arial" w:hAnsi="Arial" w:cs="Arial"/>
          <w:sz w:val="22"/>
          <w:szCs w:val="22"/>
        </w:rPr>
        <w:t xml:space="preserve">The researcher is employed by Ieso Digital Health as </w:t>
      </w:r>
      <w:r w:rsidR="00F464F5">
        <w:rPr>
          <w:rFonts w:ascii="Arial" w:hAnsi="Arial" w:cs="Arial"/>
          <w:sz w:val="22"/>
          <w:szCs w:val="22"/>
        </w:rPr>
        <w:t xml:space="preserve">the </w:t>
      </w:r>
      <w:r w:rsidRPr="00A46331">
        <w:rPr>
          <w:rFonts w:ascii="Arial" w:hAnsi="Arial" w:cs="Arial"/>
          <w:sz w:val="22"/>
          <w:szCs w:val="22"/>
        </w:rPr>
        <w:t xml:space="preserve">Chief Clinical Officer but has no direct line management </w:t>
      </w:r>
      <w:r w:rsidR="00972AA3">
        <w:rPr>
          <w:rFonts w:ascii="Arial" w:hAnsi="Arial" w:cs="Arial"/>
          <w:sz w:val="22"/>
          <w:szCs w:val="22"/>
        </w:rPr>
        <w:t xml:space="preserve">responsibility </w:t>
      </w:r>
      <w:r w:rsidRPr="00A46331">
        <w:rPr>
          <w:rFonts w:ascii="Arial" w:hAnsi="Arial" w:cs="Arial"/>
          <w:sz w:val="22"/>
          <w:szCs w:val="22"/>
        </w:rPr>
        <w:t xml:space="preserve">for the therapists working within the service. The service treated 12,000 patients within IAPT in 2018, 10,500 of which were treated at step three.  </w:t>
      </w:r>
    </w:p>
    <w:p w14:paraId="44456202" w14:textId="77777777" w:rsidR="00145326" w:rsidRPr="004B4F9A" w:rsidRDefault="00145326" w:rsidP="007F596B">
      <w:pPr>
        <w:spacing w:line="480" w:lineRule="auto"/>
        <w:rPr>
          <w:rFonts w:ascii="Arial" w:hAnsi="Arial" w:cs="Arial"/>
          <w:sz w:val="22"/>
          <w:szCs w:val="22"/>
        </w:rPr>
      </w:pPr>
    </w:p>
    <w:p w14:paraId="7A5A8C70" w14:textId="7E1467A8" w:rsidR="007F596B" w:rsidRPr="009F53A6" w:rsidRDefault="00AB3CF6" w:rsidP="007F596B">
      <w:pPr>
        <w:pStyle w:val="Heading3"/>
        <w:rPr>
          <w:rFonts w:cs="Arial"/>
          <w:b w:val="0"/>
          <w:color w:val="000000" w:themeColor="text1"/>
          <w:szCs w:val="22"/>
        </w:rPr>
      </w:pPr>
      <w:bookmarkStart w:id="257" w:name="_Toc46770784"/>
      <w:bookmarkStart w:id="258" w:name="_Toc79414195"/>
      <w:r>
        <w:rPr>
          <w:rFonts w:cs="Arial"/>
          <w:color w:val="000000" w:themeColor="text1"/>
          <w:szCs w:val="22"/>
        </w:rPr>
        <w:t>4</w:t>
      </w:r>
      <w:r w:rsidR="007F596B" w:rsidRPr="009F53A6">
        <w:rPr>
          <w:rFonts w:cs="Arial"/>
          <w:color w:val="000000" w:themeColor="text1"/>
          <w:szCs w:val="22"/>
        </w:rPr>
        <w:t>.2.2 Recruitment of therapists and sampling method</w:t>
      </w:r>
      <w:bookmarkEnd w:id="257"/>
      <w:bookmarkEnd w:id="258"/>
    </w:p>
    <w:p w14:paraId="68A4E36C" w14:textId="2F57AC2C" w:rsidR="004B4F9A" w:rsidRDefault="007F596B" w:rsidP="004B4F9A">
      <w:pPr>
        <w:spacing w:before="100" w:beforeAutospacing="1" w:after="100" w:afterAutospacing="1" w:line="480" w:lineRule="auto"/>
        <w:rPr>
          <w:rFonts w:ascii="Arial" w:eastAsia="Times New Roman" w:hAnsi="Arial" w:cs="Arial"/>
          <w:sz w:val="22"/>
          <w:szCs w:val="22"/>
        </w:rPr>
      </w:pPr>
      <w:r w:rsidRPr="00A46331">
        <w:rPr>
          <w:rFonts w:ascii="Arial" w:eastAsia="Times New Roman" w:hAnsi="Arial" w:cs="Arial"/>
          <w:sz w:val="22"/>
          <w:szCs w:val="22"/>
        </w:rPr>
        <w:t xml:space="preserve">The sample in this study was selected using a homogenous sampling method (Shadish, Cook, &amp; Campbell, 2002), In this sampling method the characteristics of typical Improving Access to Psychological Therapy (IAPT) High Intensity CBT therapists were defined using demographic data, available in the public domain, from both IAPT and the British Association of Behavioural and Cognitive Therapy (BABCP). In order that the findings from the study might be generalisable the researcher ensured that only those therapists who </w:t>
      </w:r>
      <w:r w:rsidRPr="00A46331">
        <w:rPr>
          <w:rFonts w:ascii="Arial" w:eastAsia="Times New Roman" w:hAnsi="Arial" w:cs="Arial"/>
          <w:sz w:val="22"/>
          <w:szCs w:val="22"/>
        </w:rPr>
        <w:lastRenderedPageBreak/>
        <w:t xml:space="preserve">matched these characteristics were invited to participate in this study. The therapists being studied in this sample are </w:t>
      </w:r>
      <w:r w:rsidRPr="00A46331">
        <w:rPr>
          <w:rFonts w:ascii="Arial" w:hAnsi="Arial" w:cs="Arial"/>
          <w:sz w:val="22"/>
          <w:szCs w:val="22"/>
        </w:rPr>
        <w:t>British Association of Behavioural and Cognitive Psychotherapy (BABCP) accredited High Intensity Cognitive Behavioural Therapists who had completed treatment with at least ten patients</w:t>
      </w:r>
      <w:r w:rsidR="00403AC8">
        <w:rPr>
          <w:rFonts w:ascii="Arial" w:hAnsi="Arial" w:cs="Arial"/>
          <w:sz w:val="22"/>
          <w:szCs w:val="22"/>
        </w:rPr>
        <w:t xml:space="preserve"> (see section 4.2.3</w:t>
      </w:r>
      <w:r w:rsidR="005B1C38">
        <w:rPr>
          <w:rFonts w:ascii="Arial" w:hAnsi="Arial" w:cs="Arial"/>
          <w:sz w:val="22"/>
          <w:szCs w:val="22"/>
        </w:rPr>
        <w:t xml:space="preserve"> for details regarding</w:t>
      </w:r>
      <w:r w:rsidR="00785CC0">
        <w:rPr>
          <w:rFonts w:ascii="Arial" w:hAnsi="Arial" w:cs="Arial"/>
          <w:sz w:val="22"/>
          <w:szCs w:val="22"/>
        </w:rPr>
        <w:t xml:space="preserve"> the </w:t>
      </w:r>
      <w:r w:rsidR="00B95E95">
        <w:rPr>
          <w:rFonts w:ascii="Arial" w:hAnsi="Arial" w:cs="Arial"/>
          <w:sz w:val="22"/>
          <w:szCs w:val="22"/>
        </w:rPr>
        <w:t xml:space="preserve">minimum </w:t>
      </w:r>
      <w:r w:rsidR="00785CC0">
        <w:rPr>
          <w:rFonts w:ascii="Arial" w:hAnsi="Arial" w:cs="Arial"/>
          <w:sz w:val="22"/>
          <w:szCs w:val="22"/>
        </w:rPr>
        <w:t>number of patients each therapist</w:t>
      </w:r>
      <w:r w:rsidR="00B95E95">
        <w:rPr>
          <w:rFonts w:ascii="Arial" w:hAnsi="Arial" w:cs="Arial"/>
          <w:sz w:val="22"/>
          <w:szCs w:val="22"/>
        </w:rPr>
        <w:t>s had treated)</w:t>
      </w:r>
      <w:r w:rsidRPr="00A46331">
        <w:rPr>
          <w:rFonts w:ascii="Arial" w:hAnsi="Arial" w:cs="Arial"/>
          <w:sz w:val="22"/>
          <w:szCs w:val="22"/>
        </w:rPr>
        <w:t xml:space="preserve"> between April 2017 and April 2018 at the online CBT service Ieso Digital Health.  Using BABCP (the accrediting body for CBT therapists in the UK) accredited therapists ensured that each therapist had met the minimum training standard as established by BABCP.  474, who met the criteria</w:t>
      </w:r>
      <w:r w:rsidRPr="00A46331">
        <w:rPr>
          <w:rFonts w:ascii="Arial" w:eastAsia="Times New Roman" w:hAnsi="Arial" w:cs="Arial"/>
          <w:sz w:val="22"/>
          <w:szCs w:val="22"/>
        </w:rPr>
        <w:t xml:space="preserve">, </w:t>
      </w:r>
      <w:r w:rsidRPr="00A46331">
        <w:rPr>
          <w:rFonts w:ascii="Arial" w:hAnsi="Arial" w:cs="Arial"/>
          <w:sz w:val="22"/>
          <w:szCs w:val="22"/>
        </w:rPr>
        <w:t>were approached to participate in this study.</w:t>
      </w:r>
      <w:r w:rsidR="005D0117">
        <w:rPr>
          <w:rFonts w:ascii="Arial" w:eastAsia="Times New Roman" w:hAnsi="Arial" w:cs="Arial"/>
          <w:sz w:val="22"/>
          <w:szCs w:val="22"/>
        </w:rPr>
        <w:t xml:space="preserve">  </w:t>
      </w:r>
      <w:r w:rsidRPr="00A46331">
        <w:rPr>
          <w:rFonts w:ascii="Arial" w:hAnsi="Arial" w:cs="Arial"/>
          <w:sz w:val="22"/>
          <w:szCs w:val="22"/>
        </w:rPr>
        <w:t xml:space="preserve">Of the N=474, </w:t>
      </w:r>
      <w:r w:rsidR="005D0117">
        <w:rPr>
          <w:rFonts w:ascii="Arial" w:hAnsi="Arial" w:cs="Arial"/>
          <w:sz w:val="22"/>
          <w:szCs w:val="22"/>
        </w:rPr>
        <w:t>237</w:t>
      </w:r>
      <w:r w:rsidR="00874818">
        <w:rPr>
          <w:rFonts w:ascii="Arial" w:hAnsi="Arial" w:cs="Arial"/>
          <w:sz w:val="22"/>
          <w:szCs w:val="22"/>
        </w:rPr>
        <w:t xml:space="preserve"> therapists</w:t>
      </w:r>
      <w:r w:rsidR="005D0117">
        <w:rPr>
          <w:rFonts w:ascii="Arial" w:hAnsi="Arial" w:cs="Arial"/>
          <w:sz w:val="22"/>
          <w:szCs w:val="22"/>
        </w:rPr>
        <w:t xml:space="preserve"> consented to participate</w:t>
      </w:r>
      <w:r w:rsidR="00BA2C10">
        <w:rPr>
          <w:rFonts w:ascii="Arial" w:hAnsi="Arial" w:cs="Arial"/>
          <w:sz w:val="22"/>
          <w:szCs w:val="22"/>
        </w:rPr>
        <w:t>.</w:t>
      </w:r>
      <w:r w:rsidR="005D0117">
        <w:rPr>
          <w:rFonts w:ascii="Arial" w:hAnsi="Arial" w:cs="Arial"/>
          <w:sz w:val="22"/>
          <w:szCs w:val="22"/>
        </w:rPr>
        <w:t xml:space="preserve"> </w:t>
      </w:r>
      <w:r w:rsidR="00BA2C10">
        <w:rPr>
          <w:rFonts w:ascii="Arial" w:hAnsi="Arial" w:cs="Arial"/>
          <w:sz w:val="22"/>
          <w:szCs w:val="22"/>
        </w:rPr>
        <w:t>Of the 237</w:t>
      </w:r>
      <w:r w:rsidR="005D0117">
        <w:rPr>
          <w:rFonts w:ascii="Arial" w:hAnsi="Arial" w:cs="Arial"/>
          <w:sz w:val="22"/>
          <w:szCs w:val="22"/>
        </w:rPr>
        <w:t xml:space="preserve">, 37 of these </w:t>
      </w:r>
      <w:r w:rsidR="00D648F8">
        <w:rPr>
          <w:rFonts w:ascii="Arial" w:hAnsi="Arial" w:cs="Arial"/>
          <w:sz w:val="22"/>
          <w:szCs w:val="22"/>
        </w:rPr>
        <w:t xml:space="preserve">therapists </w:t>
      </w:r>
      <w:r w:rsidR="005D0117">
        <w:rPr>
          <w:rFonts w:ascii="Arial" w:hAnsi="Arial" w:cs="Arial"/>
          <w:sz w:val="22"/>
          <w:szCs w:val="22"/>
        </w:rPr>
        <w:t xml:space="preserve">had been assessed by a rater </w:t>
      </w:r>
      <w:r w:rsidR="00BD07E5">
        <w:rPr>
          <w:rFonts w:ascii="Arial" w:hAnsi="Arial" w:cs="Arial"/>
          <w:sz w:val="22"/>
          <w:szCs w:val="22"/>
        </w:rPr>
        <w:t xml:space="preserve">that had been </w:t>
      </w:r>
      <w:r w:rsidR="00F9232F">
        <w:rPr>
          <w:rFonts w:ascii="Arial" w:hAnsi="Arial" w:cs="Arial"/>
          <w:sz w:val="22"/>
          <w:szCs w:val="22"/>
        </w:rPr>
        <w:t>verified</w:t>
      </w:r>
      <w:r w:rsidR="00874818">
        <w:rPr>
          <w:rFonts w:ascii="Arial" w:hAnsi="Arial" w:cs="Arial"/>
          <w:sz w:val="22"/>
          <w:szCs w:val="22"/>
        </w:rPr>
        <w:t>,</w:t>
      </w:r>
      <w:r w:rsidR="00F9232F">
        <w:rPr>
          <w:rFonts w:ascii="Arial" w:hAnsi="Arial" w:cs="Arial"/>
          <w:sz w:val="22"/>
          <w:szCs w:val="22"/>
        </w:rPr>
        <w:t xml:space="preserve"> post hoc</w:t>
      </w:r>
      <w:r w:rsidR="00874818">
        <w:rPr>
          <w:rFonts w:ascii="Arial" w:hAnsi="Arial" w:cs="Arial"/>
          <w:sz w:val="22"/>
          <w:szCs w:val="22"/>
        </w:rPr>
        <w:t>,</w:t>
      </w:r>
      <w:r w:rsidR="00427948">
        <w:rPr>
          <w:rFonts w:ascii="Arial" w:hAnsi="Arial" w:cs="Arial"/>
          <w:sz w:val="22"/>
          <w:szCs w:val="22"/>
        </w:rPr>
        <w:t xml:space="preserve"> as consistently </w:t>
      </w:r>
      <w:r w:rsidR="00AC3740">
        <w:rPr>
          <w:rFonts w:ascii="Arial" w:hAnsi="Arial" w:cs="Arial"/>
          <w:sz w:val="22"/>
          <w:szCs w:val="22"/>
        </w:rPr>
        <w:t xml:space="preserve">giving higher </w:t>
      </w:r>
      <w:r w:rsidR="00FA04DD">
        <w:rPr>
          <w:rFonts w:ascii="Arial" w:hAnsi="Arial" w:cs="Arial"/>
          <w:sz w:val="22"/>
          <w:szCs w:val="22"/>
        </w:rPr>
        <w:t>rating</w:t>
      </w:r>
      <w:r w:rsidR="00AC3740">
        <w:rPr>
          <w:rFonts w:ascii="Arial" w:hAnsi="Arial" w:cs="Arial"/>
          <w:sz w:val="22"/>
          <w:szCs w:val="22"/>
        </w:rPr>
        <w:t>s than the other raters (</w:t>
      </w:r>
      <w:r w:rsidR="005D0117">
        <w:rPr>
          <w:rFonts w:ascii="Arial" w:hAnsi="Arial" w:cs="Arial"/>
          <w:sz w:val="22"/>
          <w:szCs w:val="22"/>
        </w:rPr>
        <w:t xml:space="preserve">see </w:t>
      </w:r>
      <w:r w:rsidR="00AB044E">
        <w:rPr>
          <w:rFonts w:ascii="Arial" w:hAnsi="Arial" w:cs="Arial"/>
          <w:sz w:val="22"/>
          <w:szCs w:val="22"/>
        </w:rPr>
        <w:t>C</w:t>
      </w:r>
      <w:r w:rsidR="005D0117">
        <w:rPr>
          <w:rFonts w:ascii="Arial" w:hAnsi="Arial" w:cs="Arial"/>
          <w:sz w:val="22"/>
          <w:szCs w:val="22"/>
        </w:rPr>
        <w:t xml:space="preserve">hapter 5 for further details about </w:t>
      </w:r>
      <w:r w:rsidR="00AC3740">
        <w:rPr>
          <w:rFonts w:ascii="Arial" w:hAnsi="Arial" w:cs="Arial"/>
          <w:sz w:val="22"/>
          <w:szCs w:val="22"/>
        </w:rPr>
        <w:t>inter-rater reliability</w:t>
      </w:r>
      <w:r w:rsidR="005D0117">
        <w:rPr>
          <w:rFonts w:ascii="Arial" w:hAnsi="Arial" w:cs="Arial"/>
          <w:sz w:val="22"/>
          <w:szCs w:val="22"/>
        </w:rPr>
        <w:t xml:space="preserve">). Therefore, </w:t>
      </w:r>
      <w:r w:rsidRPr="00A46331">
        <w:rPr>
          <w:rFonts w:ascii="Arial" w:hAnsi="Arial" w:cs="Arial"/>
          <w:sz w:val="22"/>
          <w:szCs w:val="22"/>
        </w:rPr>
        <w:t xml:space="preserve">n = 200 </w:t>
      </w:r>
      <w:r w:rsidR="005D0117">
        <w:rPr>
          <w:rFonts w:ascii="Arial" w:hAnsi="Arial" w:cs="Arial"/>
          <w:sz w:val="22"/>
          <w:szCs w:val="22"/>
        </w:rPr>
        <w:t xml:space="preserve">therapists, who had </w:t>
      </w:r>
      <w:r w:rsidRPr="00A46331">
        <w:rPr>
          <w:rFonts w:ascii="Arial" w:hAnsi="Arial" w:cs="Arial"/>
          <w:sz w:val="22"/>
          <w:szCs w:val="22"/>
        </w:rPr>
        <w:t>consented to participate</w:t>
      </w:r>
      <w:r w:rsidR="005D0117">
        <w:rPr>
          <w:rFonts w:ascii="Arial" w:hAnsi="Arial" w:cs="Arial"/>
          <w:sz w:val="22"/>
          <w:szCs w:val="22"/>
        </w:rPr>
        <w:t>, were included in this research</w:t>
      </w:r>
      <w:r w:rsidRPr="00A46331">
        <w:rPr>
          <w:rFonts w:ascii="Arial" w:hAnsi="Arial" w:cs="Arial"/>
          <w:sz w:val="22"/>
          <w:szCs w:val="22"/>
        </w:rPr>
        <w:t xml:space="preserve">. This represents 5.28% of BABCP accredited therapists working within IAPT in 2018. Figure </w:t>
      </w:r>
      <w:r w:rsidR="001C6B5E">
        <w:rPr>
          <w:rFonts w:ascii="Arial" w:hAnsi="Arial" w:cs="Arial"/>
          <w:sz w:val="22"/>
          <w:szCs w:val="22"/>
        </w:rPr>
        <w:t>4</w:t>
      </w:r>
      <w:r>
        <w:rPr>
          <w:rFonts w:ascii="Arial" w:hAnsi="Arial" w:cs="Arial"/>
          <w:sz w:val="22"/>
          <w:szCs w:val="22"/>
        </w:rPr>
        <w:t>.</w:t>
      </w:r>
      <w:r w:rsidR="008639B6">
        <w:rPr>
          <w:rFonts w:ascii="Arial" w:hAnsi="Arial" w:cs="Arial"/>
          <w:sz w:val="22"/>
          <w:szCs w:val="22"/>
        </w:rPr>
        <w:t>4</w:t>
      </w:r>
      <w:r w:rsidRPr="00A46331">
        <w:rPr>
          <w:rFonts w:ascii="Arial" w:hAnsi="Arial" w:cs="Arial"/>
          <w:sz w:val="22"/>
          <w:szCs w:val="22"/>
        </w:rPr>
        <w:t xml:space="preserve"> illustrates how the study sample is sited in the population of IAPT therapists.</w:t>
      </w:r>
    </w:p>
    <w:p w14:paraId="12D9365B" w14:textId="77777777" w:rsidR="008639B6" w:rsidRDefault="008639B6" w:rsidP="00A66EDF">
      <w:pPr>
        <w:pStyle w:val="Figures"/>
      </w:pPr>
    </w:p>
    <w:p w14:paraId="31B18F1F" w14:textId="3206F7FB" w:rsidR="00A66EDF" w:rsidRDefault="00A66EDF" w:rsidP="00A66EDF">
      <w:pPr>
        <w:pStyle w:val="Figures"/>
        <w:rPr>
          <w:b w:val="0"/>
        </w:rPr>
      </w:pPr>
      <w:bookmarkStart w:id="259" w:name="_Toc46770947"/>
      <w:r w:rsidRPr="001942A4">
        <w:t>Fig</w:t>
      </w:r>
      <w:r w:rsidR="008639B6">
        <w:t>ure</w:t>
      </w:r>
      <w:r w:rsidRPr="001942A4">
        <w:t xml:space="preserve"> 4.</w:t>
      </w:r>
      <w:r w:rsidR="008639B6">
        <w:t>4</w:t>
      </w:r>
      <w:r w:rsidRPr="001942A4">
        <w:t xml:space="preserve"> </w:t>
      </w:r>
      <w:r w:rsidRPr="00A66EDF">
        <w:rPr>
          <w:b w:val="0"/>
        </w:rPr>
        <w:t>The study sample in comparison to the population of BABCP accredited therapists</w:t>
      </w:r>
      <w:bookmarkEnd w:id="259"/>
    </w:p>
    <w:p w14:paraId="5064377E" w14:textId="77777777" w:rsidR="008639B6" w:rsidRDefault="008639B6" w:rsidP="00A66EDF">
      <w:pPr>
        <w:pStyle w:val="Figures"/>
      </w:pPr>
    </w:p>
    <w:p w14:paraId="44B3AEB5" w14:textId="77777777" w:rsidR="007F596B" w:rsidRDefault="007F596B" w:rsidP="007F596B">
      <w:pPr>
        <w:spacing w:line="480" w:lineRule="auto"/>
        <w:rPr>
          <w:rFonts w:ascii="Arial" w:hAnsi="Arial" w:cs="Arial"/>
        </w:rPr>
      </w:pPr>
      <w:r>
        <w:rPr>
          <w:noProof/>
        </w:rPr>
        <w:drawing>
          <wp:inline distT="0" distB="0" distL="0" distR="0" wp14:anchorId="635EF3B4" wp14:editId="208BAFA8">
            <wp:extent cx="4144645" cy="2528570"/>
            <wp:effectExtent l="0" t="0" r="0" b="24130"/>
            <wp:docPr id="20" name="Diagram 20" descr="P1687#yIS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6" r:lo="rId47" r:qs="rId48" r:cs="rId49"/>
              </a:graphicData>
            </a:graphic>
          </wp:inline>
        </w:drawing>
      </w:r>
    </w:p>
    <w:p w14:paraId="51C6F049" w14:textId="61901B08" w:rsidR="007F596B" w:rsidRPr="00145326" w:rsidRDefault="008639B6" w:rsidP="00145326">
      <w:pPr>
        <w:pStyle w:val="Heading3"/>
      </w:pPr>
      <w:r>
        <w:br w:type="page"/>
      </w:r>
      <w:bookmarkStart w:id="260" w:name="_Toc46770785"/>
      <w:bookmarkStart w:id="261" w:name="_Toc79414196"/>
      <w:r w:rsidR="00AB3CF6">
        <w:lastRenderedPageBreak/>
        <w:t>4</w:t>
      </w:r>
      <w:r w:rsidR="007F596B" w:rsidRPr="00A46331">
        <w:t>.2.3 Sample Size</w:t>
      </w:r>
      <w:bookmarkEnd w:id="260"/>
      <w:bookmarkEnd w:id="261"/>
    </w:p>
    <w:p w14:paraId="57FD12EF" w14:textId="77777777" w:rsidR="007F596B" w:rsidRPr="00A46331" w:rsidRDefault="007F596B" w:rsidP="007F596B"/>
    <w:p w14:paraId="22CC42AD" w14:textId="2C0853D0" w:rsidR="007F596B" w:rsidRPr="00A46331" w:rsidRDefault="004E5DA0" w:rsidP="007F596B">
      <w:pPr>
        <w:spacing w:line="480" w:lineRule="auto"/>
        <w:rPr>
          <w:rFonts w:ascii="Arial" w:hAnsi="Arial"/>
          <w:sz w:val="22"/>
          <w:szCs w:val="22"/>
        </w:rPr>
      </w:pPr>
      <w:r>
        <w:rPr>
          <w:rFonts w:ascii="Arial" w:hAnsi="Arial"/>
          <w:sz w:val="22"/>
          <w:szCs w:val="22"/>
        </w:rPr>
        <w:t>Sample size calculations require the availability of historical data from similar studies</w:t>
      </w:r>
      <w:r w:rsidR="00967C45">
        <w:rPr>
          <w:rFonts w:ascii="Arial" w:hAnsi="Arial"/>
          <w:sz w:val="22"/>
          <w:szCs w:val="22"/>
        </w:rPr>
        <w:t xml:space="preserve"> (Shieh, 2017). Chapter 3 of this thesis outlined that there are no similar studies in this field at the current time and</w:t>
      </w:r>
      <w:r w:rsidR="00AB044E">
        <w:rPr>
          <w:rFonts w:ascii="Arial" w:hAnsi="Arial"/>
          <w:sz w:val="22"/>
          <w:szCs w:val="22"/>
        </w:rPr>
        <w:t>,</w:t>
      </w:r>
      <w:r w:rsidR="00967C45">
        <w:rPr>
          <w:rFonts w:ascii="Arial" w:hAnsi="Arial"/>
          <w:sz w:val="22"/>
          <w:szCs w:val="22"/>
        </w:rPr>
        <w:t xml:space="preserve"> therefore</w:t>
      </w:r>
      <w:r w:rsidR="00AB044E">
        <w:rPr>
          <w:rFonts w:ascii="Arial" w:hAnsi="Arial"/>
          <w:sz w:val="22"/>
          <w:szCs w:val="22"/>
        </w:rPr>
        <w:t>,</w:t>
      </w:r>
      <w:r w:rsidR="00967C45">
        <w:rPr>
          <w:rFonts w:ascii="Arial" w:hAnsi="Arial"/>
          <w:sz w:val="22"/>
          <w:szCs w:val="22"/>
        </w:rPr>
        <w:t xml:space="preserve"> guidance was drawn from the literature on therapist effects studies. </w:t>
      </w:r>
      <w:r>
        <w:rPr>
          <w:rFonts w:ascii="Arial" w:hAnsi="Arial"/>
          <w:sz w:val="22"/>
          <w:szCs w:val="22"/>
        </w:rPr>
        <w:t xml:space="preserve"> </w:t>
      </w:r>
      <w:r w:rsidR="007F596B" w:rsidRPr="00A46331">
        <w:rPr>
          <w:rFonts w:ascii="Arial" w:hAnsi="Arial"/>
          <w:sz w:val="22"/>
          <w:szCs w:val="22"/>
        </w:rPr>
        <w:t xml:space="preserve">The </w:t>
      </w:r>
      <w:r w:rsidR="00D8092A">
        <w:rPr>
          <w:rFonts w:ascii="Arial" w:hAnsi="Arial"/>
          <w:sz w:val="22"/>
          <w:szCs w:val="22"/>
        </w:rPr>
        <w:t>median</w:t>
      </w:r>
      <w:r w:rsidR="007F596B" w:rsidRPr="00A46331">
        <w:rPr>
          <w:rFonts w:ascii="Arial" w:hAnsi="Arial"/>
          <w:sz w:val="22"/>
          <w:szCs w:val="22"/>
        </w:rPr>
        <w:t xml:space="preserve"> sample size for previous therapist effects studies is n = </w:t>
      </w:r>
      <w:r w:rsidR="00D8092A">
        <w:rPr>
          <w:rFonts w:ascii="Arial" w:hAnsi="Arial"/>
          <w:sz w:val="22"/>
          <w:szCs w:val="22"/>
        </w:rPr>
        <w:t>9 therapists, with a range of 2 – 581 therapists (Johns, Barkham, Kellett and Saxon, 2019)</w:t>
      </w:r>
      <w:r w:rsidR="007F596B" w:rsidRPr="00A46331">
        <w:rPr>
          <w:rFonts w:ascii="Arial" w:hAnsi="Arial"/>
          <w:sz w:val="22"/>
          <w:szCs w:val="22"/>
        </w:rPr>
        <w:t>.   A small sample size is commonly cited as a limitation in the majority of the therapist effects studies.  Schiefele</w:t>
      </w:r>
      <w:r w:rsidR="00D8092A">
        <w:rPr>
          <w:rFonts w:ascii="Arial" w:hAnsi="Arial"/>
          <w:sz w:val="22"/>
          <w:szCs w:val="22"/>
        </w:rPr>
        <w:t>, Lutz, Barkham, Rubel, Bohnke, Delgadillo, Kopta</w:t>
      </w:r>
      <w:r w:rsidR="007F596B" w:rsidRPr="00A46331">
        <w:rPr>
          <w:rFonts w:ascii="Arial" w:hAnsi="Arial"/>
          <w:sz w:val="22"/>
          <w:szCs w:val="22"/>
        </w:rPr>
        <w:t>,</w:t>
      </w:r>
      <w:r w:rsidR="00D8092A">
        <w:rPr>
          <w:rFonts w:ascii="Arial" w:hAnsi="Arial"/>
          <w:sz w:val="22"/>
          <w:szCs w:val="22"/>
        </w:rPr>
        <w:t xml:space="preserve"> et al.,</w:t>
      </w:r>
      <w:r w:rsidR="007F596B" w:rsidRPr="00A46331">
        <w:rPr>
          <w:rFonts w:ascii="Arial" w:hAnsi="Arial"/>
          <w:sz w:val="22"/>
          <w:szCs w:val="22"/>
        </w:rPr>
        <w:t xml:space="preserve"> (2017) provide recommendations for sample size </w:t>
      </w:r>
      <w:r>
        <w:rPr>
          <w:rFonts w:ascii="Arial" w:hAnsi="Arial"/>
          <w:sz w:val="22"/>
          <w:szCs w:val="22"/>
        </w:rPr>
        <w:t xml:space="preserve">in their </w:t>
      </w:r>
      <w:r w:rsidR="007F596B" w:rsidRPr="00A46331">
        <w:rPr>
          <w:rFonts w:ascii="Arial" w:hAnsi="Arial"/>
          <w:sz w:val="22"/>
          <w:szCs w:val="22"/>
        </w:rPr>
        <w:t>table for real</w:t>
      </w:r>
      <w:r w:rsidR="0023735D">
        <w:rPr>
          <w:rFonts w:ascii="Arial" w:hAnsi="Arial"/>
          <w:sz w:val="22"/>
          <w:szCs w:val="22"/>
        </w:rPr>
        <w:t>-</w:t>
      </w:r>
      <w:r w:rsidR="007F596B" w:rsidRPr="00A46331">
        <w:rPr>
          <w:rFonts w:ascii="Arial" w:hAnsi="Arial"/>
          <w:sz w:val="22"/>
          <w:szCs w:val="22"/>
        </w:rPr>
        <w:t xml:space="preserve">world research studying therapist effects. </w:t>
      </w:r>
      <w:r w:rsidR="00D8092A">
        <w:rPr>
          <w:rFonts w:ascii="Arial" w:hAnsi="Arial"/>
          <w:sz w:val="22"/>
          <w:szCs w:val="22"/>
        </w:rPr>
        <w:t xml:space="preserve">Whilst this research is not a therapist effects study there are some similarities in that this research uses naturalistic data in a similar setting, using outcome as a dependent variable.  Schiefele et al., (2017) offer useful guidance and in the absence of historical data drawn from </w:t>
      </w:r>
      <w:r w:rsidR="00C94B5F">
        <w:rPr>
          <w:rFonts w:ascii="Arial" w:hAnsi="Arial"/>
          <w:sz w:val="22"/>
          <w:szCs w:val="22"/>
        </w:rPr>
        <w:t xml:space="preserve">therapist variables studies this guidance seemed the most robust sample size advice available. Schiefele et al., (2017) </w:t>
      </w:r>
      <w:r w:rsidR="007F596B" w:rsidRPr="00A46331">
        <w:rPr>
          <w:rFonts w:ascii="Arial" w:hAnsi="Arial"/>
          <w:sz w:val="22"/>
          <w:szCs w:val="22"/>
        </w:rPr>
        <w:t xml:space="preserve">suggest that where the sample size is </w:t>
      </w:r>
      <w:r w:rsidR="007F596B" w:rsidRPr="00A46331">
        <w:rPr>
          <w:rFonts w:ascii="Arial" w:hAnsi="Arial"/>
          <w:sz w:val="22"/>
          <w:szCs w:val="22"/>
        </w:rPr>
        <w:sym w:font="Symbol" w:char="F0A3"/>
      </w:r>
      <w:r w:rsidR="007F596B" w:rsidRPr="00A46331">
        <w:rPr>
          <w:rFonts w:ascii="Arial" w:hAnsi="Arial"/>
          <w:sz w:val="22"/>
          <w:szCs w:val="22"/>
        </w:rPr>
        <w:t xml:space="preserve"> 40 therapists then each therapist should have treated at least 4 patients, but in order to increase the confidence interval to 95% it is preferable for each therapist to have treated 30 patients. </w:t>
      </w:r>
      <w:r w:rsidR="00C94B5F">
        <w:rPr>
          <w:rFonts w:ascii="Arial" w:hAnsi="Arial"/>
          <w:sz w:val="22"/>
          <w:szCs w:val="22"/>
        </w:rPr>
        <w:t xml:space="preserve">Where more therapists (i.e. more than 100 therapists) are recruited Schiefele et al., (2017) suggest that the number of patients treated per therapist could be as low as 5. </w:t>
      </w:r>
      <w:r w:rsidR="007F596B" w:rsidRPr="00A46331">
        <w:rPr>
          <w:rFonts w:ascii="Arial" w:hAnsi="Arial"/>
          <w:sz w:val="22"/>
          <w:szCs w:val="22"/>
        </w:rPr>
        <w:t>Other guidance for correlational studies suggests a rule of thumb that sample sizes between 30 and 500 are adequate except in multivariate research where the sample size should be 10 times as large as the number of independent variables used in the study (Sek</w:t>
      </w:r>
      <w:r w:rsidR="00EB2D44">
        <w:rPr>
          <w:rFonts w:ascii="Arial" w:hAnsi="Arial"/>
          <w:sz w:val="22"/>
          <w:szCs w:val="22"/>
        </w:rPr>
        <w:t>a</w:t>
      </w:r>
      <w:r w:rsidR="007F596B" w:rsidRPr="00A46331">
        <w:rPr>
          <w:rFonts w:ascii="Arial" w:hAnsi="Arial"/>
          <w:sz w:val="22"/>
          <w:szCs w:val="22"/>
        </w:rPr>
        <w:t>ran</w:t>
      </w:r>
      <w:r w:rsidR="00EB2D44">
        <w:rPr>
          <w:rFonts w:ascii="Arial" w:hAnsi="Arial"/>
          <w:sz w:val="22"/>
          <w:szCs w:val="22"/>
        </w:rPr>
        <w:t xml:space="preserve"> and Bougie,</w:t>
      </w:r>
      <w:r w:rsidR="007F596B" w:rsidRPr="00A46331">
        <w:rPr>
          <w:rFonts w:ascii="Arial" w:hAnsi="Arial"/>
          <w:sz w:val="22"/>
          <w:szCs w:val="22"/>
        </w:rPr>
        <w:t xml:space="preserve"> 20</w:t>
      </w:r>
      <w:r w:rsidR="00EB2D44">
        <w:rPr>
          <w:rFonts w:ascii="Arial" w:hAnsi="Arial"/>
          <w:sz w:val="22"/>
          <w:szCs w:val="22"/>
        </w:rPr>
        <w:t>16</w:t>
      </w:r>
      <w:r w:rsidR="007F596B" w:rsidRPr="00A46331">
        <w:rPr>
          <w:rFonts w:ascii="Arial" w:hAnsi="Arial"/>
          <w:sz w:val="22"/>
          <w:szCs w:val="22"/>
        </w:rPr>
        <w:t xml:space="preserve">). </w:t>
      </w:r>
      <w:r w:rsidR="00E8417B">
        <w:rPr>
          <w:rFonts w:ascii="Arial" w:hAnsi="Arial"/>
          <w:sz w:val="22"/>
          <w:szCs w:val="22"/>
        </w:rPr>
        <w:t>As there are</w:t>
      </w:r>
      <w:r w:rsidR="00C27C15">
        <w:rPr>
          <w:rFonts w:ascii="Arial" w:hAnsi="Arial"/>
          <w:sz w:val="22"/>
          <w:szCs w:val="22"/>
        </w:rPr>
        <w:t xml:space="preserve"> </w:t>
      </w:r>
      <w:r w:rsidR="00C652A7">
        <w:rPr>
          <w:rFonts w:ascii="Arial" w:hAnsi="Arial"/>
          <w:sz w:val="22"/>
          <w:szCs w:val="22"/>
        </w:rPr>
        <w:t xml:space="preserve">19 independent variables </w:t>
      </w:r>
      <w:r w:rsidR="00641CA4">
        <w:rPr>
          <w:rFonts w:ascii="Arial" w:hAnsi="Arial"/>
          <w:sz w:val="22"/>
          <w:szCs w:val="22"/>
        </w:rPr>
        <w:t>in this study</w:t>
      </w:r>
      <w:r w:rsidR="006363E6">
        <w:rPr>
          <w:rFonts w:ascii="Arial" w:hAnsi="Arial"/>
          <w:sz w:val="22"/>
          <w:szCs w:val="22"/>
        </w:rPr>
        <w:t xml:space="preserve"> (see table 4.1)</w:t>
      </w:r>
      <w:r w:rsidR="000724C4">
        <w:rPr>
          <w:rFonts w:ascii="Arial" w:hAnsi="Arial"/>
          <w:sz w:val="22"/>
          <w:szCs w:val="22"/>
        </w:rPr>
        <w:t xml:space="preserve"> a sample of 200 therapists was deemed sufficient</w:t>
      </w:r>
      <w:r w:rsidR="002D0DA9">
        <w:rPr>
          <w:rFonts w:ascii="Arial" w:hAnsi="Arial"/>
          <w:sz w:val="22"/>
          <w:szCs w:val="22"/>
        </w:rPr>
        <w:t xml:space="preserve"> for the multivariate analyses. </w:t>
      </w:r>
      <w:r w:rsidR="003E42A1">
        <w:rPr>
          <w:rFonts w:ascii="Arial" w:hAnsi="Arial"/>
          <w:sz w:val="22"/>
          <w:szCs w:val="22"/>
        </w:rPr>
        <w:t>Additi</w:t>
      </w:r>
      <w:r w:rsidR="00DC4940">
        <w:rPr>
          <w:rFonts w:ascii="Arial" w:hAnsi="Arial"/>
          <w:sz w:val="22"/>
          <w:szCs w:val="22"/>
        </w:rPr>
        <w:t>onally,</w:t>
      </w:r>
      <w:r w:rsidR="003E42A1">
        <w:rPr>
          <w:rFonts w:ascii="Arial" w:hAnsi="Arial"/>
          <w:sz w:val="22"/>
          <w:szCs w:val="22"/>
        </w:rPr>
        <w:t xml:space="preserve"> based on </w:t>
      </w:r>
      <w:r w:rsidR="00DC4940">
        <w:rPr>
          <w:rFonts w:ascii="Arial" w:hAnsi="Arial"/>
          <w:sz w:val="22"/>
          <w:szCs w:val="22"/>
        </w:rPr>
        <w:t>the gu</w:t>
      </w:r>
      <w:r w:rsidR="009D21F4">
        <w:rPr>
          <w:rFonts w:ascii="Arial" w:hAnsi="Arial"/>
          <w:sz w:val="22"/>
          <w:szCs w:val="22"/>
        </w:rPr>
        <w:t xml:space="preserve">idance from </w:t>
      </w:r>
      <w:r w:rsidR="003E42A1">
        <w:rPr>
          <w:rFonts w:ascii="Arial" w:hAnsi="Arial"/>
          <w:sz w:val="22"/>
          <w:szCs w:val="22"/>
        </w:rPr>
        <w:t>Shie</w:t>
      </w:r>
      <w:r w:rsidR="00DC4940">
        <w:rPr>
          <w:rFonts w:ascii="Arial" w:hAnsi="Arial"/>
          <w:sz w:val="22"/>
          <w:szCs w:val="22"/>
        </w:rPr>
        <w:t>fele</w:t>
      </w:r>
      <w:r w:rsidR="009D21F4">
        <w:rPr>
          <w:rFonts w:ascii="Arial" w:hAnsi="Arial"/>
          <w:sz w:val="22"/>
          <w:szCs w:val="22"/>
        </w:rPr>
        <w:t xml:space="preserve"> et al., the </w:t>
      </w:r>
      <w:r w:rsidR="006C0686">
        <w:rPr>
          <w:rFonts w:ascii="Arial" w:hAnsi="Arial"/>
          <w:sz w:val="22"/>
          <w:szCs w:val="22"/>
        </w:rPr>
        <w:t xml:space="preserve">200 therapists were required to have </w:t>
      </w:r>
      <w:r w:rsidR="007F596B" w:rsidRPr="00A46331">
        <w:rPr>
          <w:rFonts w:ascii="Arial" w:hAnsi="Arial"/>
          <w:sz w:val="22"/>
          <w:szCs w:val="22"/>
        </w:rPr>
        <w:t>treated a minimum of 10 patients</w:t>
      </w:r>
      <w:r w:rsidR="006C0686">
        <w:rPr>
          <w:rFonts w:ascii="Arial" w:hAnsi="Arial"/>
          <w:sz w:val="22"/>
          <w:szCs w:val="22"/>
        </w:rPr>
        <w:t>.</w:t>
      </w:r>
    </w:p>
    <w:p w14:paraId="1126B740" w14:textId="77777777" w:rsidR="007F596B" w:rsidRDefault="007F596B" w:rsidP="007F596B">
      <w:pPr>
        <w:spacing w:line="480" w:lineRule="auto"/>
        <w:rPr>
          <w:rFonts w:ascii="Arial" w:hAnsi="Arial" w:cs="Arial"/>
        </w:rPr>
      </w:pPr>
    </w:p>
    <w:p w14:paraId="1550C1E8" w14:textId="4D3A2298" w:rsidR="007F596B" w:rsidRPr="00AB3CF6" w:rsidRDefault="00AB3CF6" w:rsidP="007F596B">
      <w:pPr>
        <w:pStyle w:val="Heading3"/>
        <w:rPr>
          <w:rFonts w:cs="Arial"/>
          <w:b w:val="0"/>
          <w:color w:val="000000" w:themeColor="text1"/>
          <w:szCs w:val="22"/>
        </w:rPr>
      </w:pPr>
      <w:bookmarkStart w:id="262" w:name="_Toc46770786"/>
      <w:bookmarkStart w:id="263" w:name="_Toc79414197"/>
      <w:r w:rsidRPr="00AB3CF6">
        <w:rPr>
          <w:rFonts w:cs="Arial"/>
          <w:color w:val="000000" w:themeColor="text1"/>
          <w:szCs w:val="22"/>
        </w:rPr>
        <w:lastRenderedPageBreak/>
        <w:t>4</w:t>
      </w:r>
      <w:r w:rsidR="007F596B" w:rsidRPr="00AB3CF6">
        <w:rPr>
          <w:rFonts w:cs="Arial"/>
          <w:color w:val="000000" w:themeColor="text1"/>
          <w:szCs w:val="22"/>
        </w:rPr>
        <w:t>.2.4 Raters</w:t>
      </w:r>
      <w:bookmarkEnd w:id="262"/>
      <w:bookmarkEnd w:id="263"/>
    </w:p>
    <w:p w14:paraId="562BA8D6" w14:textId="77777777" w:rsidR="007F596B" w:rsidRPr="00A46331" w:rsidRDefault="007F596B" w:rsidP="007F596B"/>
    <w:p w14:paraId="63F9057D" w14:textId="56841FBD" w:rsidR="007F596B" w:rsidRPr="00A46331" w:rsidRDefault="007F596B" w:rsidP="007F596B">
      <w:pPr>
        <w:spacing w:line="480" w:lineRule="auto"/>
        <w:rPr>
          <w:rFonts w:ascii="Arial" w:hAnsi="Arial" w:cs="Arial"/>
          <w:sz w:val="22"/>
          <w:szCs w:val="22"/>
        </w:rPr>
      </w:pPr>
      <w:r w:rsidRPr="00A46331">
        <w:rPr>
          <w:rFonts w:ascii="Arial" w:hAnsi="Arial" w:cs="Arial"/>
          <w:sz w:val="22"/>
          <w:szCs w:val="22"/>
        </w:rPr>
        <w:t>Six clinicians (including the researcher)</w:t>
      </w:r>
      <w:r w:rsidR="002A0A31">
        <w:rPr>
          <w:rFonts w:ascii="Arial" w:hAnsi="Arial" w:cs="Arial"/>
          <w:sz w:val="22"/>
          <w:szCs w:val="22"/>
        </w:rPr>
        <w:t xml:space="preserve"> had </w:t>
      </w:r>
      <w:r w:rsidR="00425BB8">
        <w:rPr>
          <w:rFonts w:ascii="Arial" w:hAnsi="Arial" w:cs="Arial"/>
          <w:sz w:val="22"/>
          <w:szCs w:val="22"/>
        </w:rPr>
        <w:t xml:space="preserve">previously </w:t>
      </w:r>
      <w:r w:rsidR="00C94B5F">
        <w:rPr>
          <w:rFonts w:ascii="Arial" w:hAnsi="Arial" w:cs="Arial"/>
          <w:sz w:val="22"/>
          <w:szCs w:val="22"/>
        </w:rPr>
        <w:t>rated</w:t>
      </w:r>
      <w:r w:rsidRPr="00A46331">
        <w:rPr>
          <w:rFonts w:ascii="Arial" w:hAnsi="Arial" w:cs="Arial"/>
          <w:sz w:val="22"/>
          <w:szCs w:val="22"/>
        </w:rPr>
        <w:t xml:space="preserve"> therapist transcripts.  All of the </w:t>
      </w:r>
      <w:r w:rsidR="00C94B5F">
        <w:rPr>
          <w:rFonts w:ascii="Arial" w:hAnsi="Arial" w:cs="Arial"/>
          <w:sz w:val="22"/>
          <w:szCs w:val="22"/>
        </w:rPr>
        <w:t>raters</w:t>
      </w:r>
      <w:r w:rsidRPr="00A46331">
        <w:rPr>
          <w:rFonts w:ascii="Arial" w:hAnsi="Arial" w:cs="Arial"/>
          <w:sz w:val="22"/>
          <w:szCs w:val="22"/>
        </w:rPr>
        <w:t xml:space="preserve"> had recent experience of teaching and assessing at a post-graduate</w:t>
      </w:r>
      <w:r w:rsidR="00EE6D30">
        <w:rPr>
          <w:rFonts w:ascii="Arial" w:hAnsi="Arial" w:cs="Arial"/>
          <w:sz w:val="22"/>
          <w:szCs w:val="22"/>
        </w:rPr>
        <w:t>, IAPT High Intensity</w:t>
      </w:r>
      <w:r w:rsidRPr="00A46331">
        <w:rPr>
          <w:rFonts w:ascii="Arial" w:hAnsi="Arial" w:cs="Arial"/>
          <w:sz w:val="22"/>
          <w:szCs w:val="22"/>
        </w:rPr>
        <w:t xml:space="preserve"> CBT training programme. The </w:t>
      </w:r>
      <w:r w:rsidR="00C94B5F">
        <w:rPr>
          <w:rFonts w:ascii="Arial" w:hAnsi="Arial" w:cs="Arial"/>
          <w:sz w:val="22"/>
          <w:szCs w:val="22"/>
        </w:rPr>
        <w:t>raters</w:t>
      </w:r>
      <w:r w:rsidRPr="00A46331">
        <w:rPr>
          <w:rFonts w:ascii="Arial" w:hAnsi="Arial" w:cs="Arial"/>
          <w:sz w:val="22"/>
          <w:szCs w:val="22"/>
        </w:rPr>
        <w:t xml:space="preserve"> undertook inter-reliability training for assessing therapist competence, using the CTS-R and adherence to evidence-based protocols using the Roth and Pilling</w:t>
      </w:r>
      <w:r>
        <w:rPr>
          <w:rFonts w:ascii="Arial" w:hAnsi="Arial" w:cs="Arial"/>
          <w:sz w:val="22"/>
          <w:szCs w:val="22"/>
        </w:rPr>
        <w:t xml:space="preserve"> (2006)</w:t>
      </w:r>
      <w:r w:rsidRPr="00A46331">
        <w:rPr>
          <w:rFonts w:ascii="Arial" w:hAnsi="Arial" w:cs="Arial"/>
          <w:sz w:val="22"/>
          <w:szCs w:val="22"/>
        </w:rPr>
        <w:t xml:space="preserve"> framework (see chapter </w:t>
      </w:r>
      <w:r>
        <w:rPr>
          <w:rFonts w:ascii="Arial" w:hAnsi="Arial" w:cs="Arial"/>
          <w:sz w:val="22"/>
          <w:szCs w:val="22"/>
        </w:rPr>
        <w:t>2 for a detailed account of the Roth and Pilling framework)</w:t>
      </w:r>
      <w:r w:rsidRPr="00A46331">
        <w:rPr>
          <w:rFonts w:ascii="Arial" w:hAnsi="Arial" w:cs="Arial"/>
          <w:sz w:val="22"/>
          <w:szCs w:val="22"/>
        </w:rPr>
        <w:t>.</w:t>
      </w:r>
    </w:p>
    <w:p w14:paraId="63546DE4" w14:textId="77777777" w:rsidR="007F596B" w:rsidRDefault="007F596B" w:rsidP="007F596B">
      <w:pPr>
        <w:spacing w:line="480" w:lineRule="auto"/>
        <w:rPr>
          <w:rFonts w:ascii="Arial" w:hAnsi="Arial" w:cs="Arial"/>
          <w:b/>
        </w:rPr>
      </w:pPr>
    </w:p>
    <w:p w14:paraId="3908A9BB" w14:textId="51C40C15" w:rsidR="007F596B" w:rsidRDefault="00AB3CF6" w:rsidP="007F596B">
      <w:pPr>
        <w:pStyle w:val="Heading3"/>
        <w:rPr>
          <w:rFonts w:cs="Arial"/>
          <w:b w:val="0"/>
          <w:color w:val="000000" w:themeColor="text1"/>
          <w:szCs w:val="22"/>
        </w:rPr>
      </w:pPr>
      <w:bookmarkStart w:id="264" w:name="_Toc46770787"/>
      <w:bookmarkStart w:id="265" w:name="_Toc79414198"/>
      <w:r>
        <w:rPr>
          <w:rFonts w:cs="Arial"/>
          <w:color w:val="000000" w:themeColor="text1"/>
          <w:szCs w:val="22"/>
        </w:rPr>
        <w:t>4</w:t>
      </w:r>
      <w:r w:rsidR="007F596B" w:rsidRPr="00A46331">
        <w:rPr>
          <w:rFonts w:cs="Arial"/>
          <w:color w:val="000000" w:themeColor="text1"/>
          <w:szCs w:val="22"/>
        </w:rPr>
        <w:t>.2.5 Patients</w:t>
      </w:r>
      <w:bookmarkEnd w:id="264"/>
      <w:bookmarkEnd w:id="265"/>
    </w:p>
    <w:p w14:paraId="1C6445F9" w14:textId="77777777" w:rsidR="007F596B" w:rsidRPr="00A46331" w:rsidRDefault="007F596B" w:rsidP="007F596B"/>
    <w:p w14:paraId="65D446B6" w14:textId="25C272F3" w:rsidR="007F596B" w:rsidRPr="001C6B5E" w:rsidRDefault="007F596B" w:rsidP="007F596B">
      <w:pPr>
        <w:spacing w:line="480" w:lineRule="auto"/>
        <w:rPr>
          <w:rFonts w:ascii="Arial" w:hAnsi="Arial" w:cs="Arial"/>
          <w:sz w:val="22"/>
          <w:szCs w:val="22"/>
        </w:rPr>
      </w:pPr>
      <w:r>
        <w:rPr>
          <w:rFonts w:ascii="Arial" w:hAnsi="Arial" w:cs="Arial"/>
          <w:sz w:val="22"/>
          <w:szCs w:val="22"/>
        </w:rPr>
        <w:t xml:space="preserve">The Internet Enabled CBT (IECBT) platform is owned and managed by the company </w:t>
      </w:r>
      <w:r w:rsidRPr="00A46331">
        <w:rPr>
          <w:rFonts w:ascii="Arial" w:hAnsi="Arial" w:cs="Arial"/>
          <w:sz w:val="22"/>
          <w:szCs w:val="22"/>
        </w:rPr>
        <w:t xml:space="preserve">Ieso Digital Health </w:t>
      </w:r>
      <w:r>
        <w:rPr>
          <w:rFonts w:ascii="Arial" w:hAnsi="Arial" w:cs="Arial"/>
          <w:sz w:val="22"/>
          <w:szCs w:val="22"/>
        </w:rPr>
        <w:t xml:space="preserve">(see </w:t>
      </w:r>
      <w:hyperlink r:id="rId51" w:history="1">
        <w:r w:rsidRPr="00CB29F9">
          <w:rPr>
            <w:rStyle w:val="Hyperlink"/>
            <w:rFonts w:ascii="Arial" w:hAnsi="Arial" w:cs="Arial"/>
            <w:sz w:val="22"/>
            <w:szCs w:val="22"/>
          </w:rPr>
          <w:t>www.iesohealth.com</w:t>
        </w:r>
      </w:hyperlink>
      <w:r>
        <w:rPr>
          <w:rFonts w:ascii="Arial" w:hAnsi="Arial" w:cs="Arial"/>
          <w:sz w:val="22"/>
          <w:szCs w:val="22"/>
        </w:rPr>
        <w:t xml:space="preserve">). The service </w:t>
      </w:r>
      <w:r w:rsidRPr="00A46331">
        <w:rPr>
          <w:rFonts w:ascii="Arial" w:hAnsi="Arial" w:cs="Arial"/>
          <w:sz w:val="22"/>
          <w:szCs w:val="22"/>
        </w:rPr>
        <w:t>delivers Cognitive Behavioural Therapy to patients within the United Kingdom’s IAPT programme.</w:t>
      </w:r>
      <w:r w:rsidRPr="00A46331">
        <w:rPr>
          <w:rFonts w:ascii="Arial" w:hAnsi="Arial" w:cs="Arial"/>
          <w:b/>
          <w:sz w:val="22"/>
          <w:szCs w:val="22"/>
        </w:rPr>
        <w:t xml:space="preserve"> </w:t>
      </w:r>
      <w:r w:rsidRPr="00A46331">
        <w:rPr>
          <w:rFonts w:ascii="Arial" w:hAnsi="Arial" w:cs="Arial"/>
          <w:sz w:val="22"/>
          <w:szCs w:val="22"/>
        </w:rPr>
        <w:t xml:space="preserve">IAPT services offer evidenced based interventions for patients who present with common mental health problems such as anxiety disorders and depression. Patients may either self-refer themselves to an IAPT service or be referred by their General Practitioner or another primary health care clinician. The service uses a stepped care model whereby patients are triaged by the service and allocated to either a step 2, low intensity, intervention (mild level of severity) or a step 3, high intensity, intervention (moderate to severe presentation).  Step 2 interventions are provided by Psychological Wellbeing Practitioners and step 3 interventions are provided by, more highly qualified, High Intensity CBT therapists. This research focuses only on cognitive behavioural treatments delivered at step three. Step 3 patients are a clearly identifiable population within an IAPT setting and results from this population are </w:t>
      </w:r>
      <w:r w:rsidR="002A04F5">
        <w:rPr>
          <w:rFonts w:ascii="Arial" w:hAnsi="Arial" w:cs="Arial"/>
          <w:sz w:val="22"/>
          <w:szCs w:val="22"/>
        </w:rPr>
        <w:t xml:space="preserve">regularly compared </w:t>
      </w:r>
      <w:r w:rsidR="001B27B1">
        <w:rPr>
          <w:rFonts w:ascii="Arial" w:hAnsi="Arial" w:cs="Arial"/>
          <w:sz w:val="22"/>
          <w:szCs w:val="22"/>
        </w:rPr>
        <w:t>in analysis of IAPT data</w:t>
      </w:r>
      <w:r w:rsidR="00F44277">
        <w:rPr>
          <w:rFonts w:ascii="Arial" w:hAnsi="Arial" w:cs="Arial"/>
          <w:sz w:val="22"/>
          <w:szCs w:val="22"/>
        </w:rPr>
        <w:t xml:space="preserve"> (</w:t>
      </w:r>
      <w:r w:rsidR="00B14E8F">
        <w:rPr>
          <w:rFonts w:ascii="Arial" w:hAnsi="Arial" w:cs="Arial"/>
          <w:sz w:val="22"/>
          <w:szCs w:val="22"/>
        </w:rPr>
        <w:t>Clark, 2018)</w:t>
      </w:r>
      <w:r w:rsidRPr="00A46331">
        <w:rPr>
          <w:rFonts w:ascii="Arial" w:hAnsi="Arial" w:cs="Arial"/>
          <w:sz w:val="22"/>
          <w:szCs w:val="22"/>
        </w:rPr>
        <w:t>.</w:t>
      </w:r>
      <w:r w:rsidR="001F4BA3">
        <w:rPr>
          <w:rFonts w:ascii="Arial" w:hAnsi="Arial" w:cs="Arial"/>
          <w:sz w:val="22"/>
          <w:szCs w:val="22"/>
        </w:rPr>
        <w:t xml:space="preserve"> </w:t>
      </w:r>
      <w:r w:rsidRPr="00A46331">
        <w:rPr>
          <w:rFonts w:ascii="Arial" w:hAnsi="Arial" w:cs="Arial"/>
          <w:sz w:val="22"/>
          <w:szCs w:val="22"/>
        </w:rPr>
        <w:t xml:space="preserve">The following IAPT inclusion and exclusion criteria were applied for patients treated at step </w:t>
      </w:r>
      <w:r>
        <w:rPr>
          <w:rFonts w:ascii="Arial" w:hAnsi="Arial" w:cs="Arial"/>
          <w:sz w:val="22"/>
          <w:szCs w:val="22"/>
        </w:rPr>
        <w:t>three</w:t>
      </w:r>
      <w:r w:rsidRPr="00A46331">
        <w:rPr>
          <w:rFonts w:ascii="Arial" w:hAnsi="Arial" w:cs="Arial"/>
          <w:sz w:val="22"/>
          <w:szCs w:val="22"/>
        </w:rPr>
        <w:t xml:space="preserve">: </w:t>
      </w:r>
    </w:p>
    <w:p w14:paraId="47769F1D" w14:textId="77777777" w:rsidR="00C94B5F" w:rsidRDefault="00C94B5F" w:rsidP="007F596B">
      <w:pPr>
        <w:spacing w:line="480" w:lineRule="auto"/>
        <w:rPr>
          <w:rFonts w:ascii="Arial" w:hAnsi="Arial" w:cs="Arial"/>
          <w:sz w:val="22"/>
          <w:szCs w:val="22"/>
        </w:rPr>
      </w:pPr>
    </w:p>
    <w:p w14:paraId="53E5ACFA" w14:textId="77777777" w:rsidR="00B14E8F" w:rsidRDefault="00B14E8F" w:rsidP="007F596B">
      <w:pPr>
        <w:spacing w:line="480" w:lineRule="auto"/>
        <w:rPr>
          <w:rFonts w:ascii="Arial" w:hAnsi="Arial" w:cs="Arial"/>
          <w:sz w:val="22"/>
          <w:szCs w:val="22"/>
        </w:rPr>
      </w:pPr>
    </w:p>
    <w:p w14:paraId="3786421A" w14:textId="77777777" w:rsidR="00B14E8F" w:rsidRDefault="00B14E8F" w:rsidP="007F596B">
      <w:pPr>
        <w:spacing w:line="480" w:lineRule="auto"/>
        <w:rPr>
          <w:rFonts w:ascii="Arial" w:hAnsi="Arial" w:cs="Arial"/>
          <w:sz w:val="22"/>
          <w:szCs w:val="22"/>
        </w:rPr>
      </w:pPr>
    </w:p>
    <w:p w14:paraId="1BA99441" w14:textId="55590686" w:rsidR="007F596B" w:rsidRPr="00736EF8" w:rsidRDefault="007F596B" w:rsidP="007F596B">
      <w:pPr>
        <w:spacing w:line="480" w:lineRule="auto"/>
        <w:rPr>
          <w:rFonts w:ascii="Arial" w:hAnsi="Arial" w:cs="Arial"/>
          <w:b/>
          <w:bCs/>
          <w:sz w:val="22"/>
          <w:szCs w:val="22"/>
        </w:rPr>
      </w:pPr>
      <w:r w:rsidRPr="00736EF8">
        <w:rPr>
          <w:rFonts w:ascii="Arial" w:hAnsi="Arial" w:cs="Arial"/>
          <w:b/>
          <w:bCs/>
          <w:sz w:val="22"/>
          <w:szCs w:val="22"/>
        </w:rPr>
        <w:lastRenderedPageBreak/>
        <w:t xml:space="preserve">IAPT </w:t>
      </w:r>
      <w:r w:rsidR="00736EF8" w:rsidRPr="00736EF8">
        <w:rPr>
          <w:rFonts w:ascii="Arial" w:hAnsi="Arial" w:cs="Arial"/>
          <w:b/>
          <w:bCs/>
          <w:sz w:val="22"/>
          <w:szCs w:val="22"/>
        </w:rPr>
        <w:t>i</w:t>
      </w:r>
      <w:r w:rsidRPr="00736EF8">
        <w:rPr>
          <w:rFonts w:ascii="Arial" w:hAnsi="Arial" w:cs="Arial"/>
          <w:b/>
          <w:bCs/>
          <w:sz w:val="22"/>
          <w:szCs w:val="22"/>
        </w:rPr>
        <w:t>nclusion criteria</w:t>
      </w:r>
    </w:p>
    <w:p w14:paraId="53A936D0" w14:textId="5AF836AD" w:rsidR="007F596B" w:rsidRDefault="007F596B" w:rsidP="007F596B">
      <w:pPr>
        <w:spacing w:line="480" w:lineRule="auto"/>
        <w:rPr>
          <w:rFonts w:ascii="Arial" w:hAnsi="Arial" w:cs="Arial"/>
          <w:sz w:val="22"/>
          <w:szCs w:val="22"/>
        </w:rPr>
      </w:pPr>
      <w:r w:rsidRPr="00A46331">
        <w:rPr>
          <w:rFonts w:ascii="Arial" w:hAnsi="Arial" w:cs="Arial"/>
          <w:sz w:val="22"/>
          <w:szCs w:val="22"/>
        </w:rPr>
        <w:t>All patients aged 18+ who present with a common mental health disorder such as (but not exclusive to): anxiety, depression, post-traumatic stress disorder, obsessive compulsive disorder, generalised anxiety disorder, agoraphobia, panic disorder, specific phobias, health anxiety, unexplained medical symptoms and long-term medical conditions.</w:t>
      </w:r>
    </w:p>
    <w:p w14:paraId="7F567385" w14:textId="77777777" w:rsidR="007C00C6" w:rsidRPr="00A46331" w:rsidRDefault="007C00C6" w:rsidP="007F596B">
      <w:pPr>
        <w:spacing w:line="480" w:lineRule="auto"/>
        <w:rPr>
          <w:rFonts w:ascii="Arial" w:hAnsi="Arial" w:cs="Arial"/>
          <w:sz w:val="22"/>
          <w:szCs w:val="22"/>
        </w:rPr>
      </w:pPr>
    </w:p>
    <w:p w14:paraId="1DA8A20E" w14:textId="6D3AAD67" w:rsidR="007F596B" w:rsidRPr="00736EF8" w:rsidRDefault="007F596B" w:rsidP="007F596B">
      <w:pPr>
        <w:spacing w:line="480" w:lineRule="auto"/>
        <w:rPr>
          <w:rFonts w:ascii="Arial" w:hAnsi="Arial" w:cs="Arial"/>
          <w:b/>
          <w:bCs/>
          <w:sz w:val="22"/>
          <w:szCs w:val="22"/>
        </w:rPr>
      </w:pPr>
      <w:r w:rsidRPr="00736EF8">
        <w:rPr>
          <w:rFonts w:ascii="Arial" w:hAnsi="Arial" w:cs="Arial"/>
          <w:b/>
          <w:bCs/>
          <w:sz w:val="22"/>
          <w:szCs w:val="22"/>
        </w:rPr>
        <w:t xml:space="preserve">IAPT </w:t>
      </w:r>
      <w:r w:rsidR="00736EF8" w:rsidRPr="00736EF8">
        <w:rPr>
          <w:rFonts w:ascii="Arial" w:hAnsi="Arial" w:cs="Arial"/>
          <w:b/>
          <w:bCs/>
          <w:sz w:val="22"/>
          <w:szCs w:val="22"/>
        </w:rPr>
        <w:t>e</w:t>
      </w:r>
      <w:r w:rsidRPr="00736EF8">
        <w:rPr>
          <w:rFonts w:ascii="Arial" w:hAnsi="Arial" w:cs="Arial"/>
          <w:b/>
          <w:bCs/>
          <w:sz w:val="22"/>
          <w:szCs w:val="22"/>
        </w:rPr>
        <w:t>xclusion criteria</w:t>
      </w:r>
    </w:p>
    <w:p w14:paraId="70A840F6" w14:textId="02B2B988" w:rsidR="007F596B" w:rsidRPr="00A46331" w:rsidRDefault="00736EF8" w:rsidP="007F596B">
      <w:pPr>
        <w:spacing w:line="480" w:lineRule="auto"/>
        <w:rPr>
          <w:rFonts w:ascii="Arial" w:hAnsi="Arial" w:cs="Arial"/>
          <w:sz w:val="22"/>
          <w:szCs w:val="22"/>
        </w:rPr>
      </w:pPr>
      <w:r>
        <w:rPr>
          <w:rFonts w:ascii="Arial" w:hAnsi="Arial" w:cs="Arial"/>
          <w:sz w:val="22"/>
          <w:szCs w:val="22"/>
        </w:rPr>
        <w:t>All p</w:t>
      </w:r>
      <w:r w:rsidR="007F596B" w:rsidRPr="00736EF8">
        <w:rPr>
          <w:rFonts w:ascii="Arial" w:hAnsi="Arial" w:cs="Arial"/>
          <w:sz w:val="22"/>
          <w:szCs w:val="22"/>
        </w:rPr>
        <w:t xml:space="preserve">atients who are or who become actively suicidal or present as a risk to others </w:t>
      </w:r>
      <w:r>
        <w:rPr>
          <w:rFonts w:ascii="Arial" w:hAnsi="Arial" w:cs="Arial"/>
          <w:sz w:val="22"/>
          <w:szCs w:val="22"/>
        </w:rPr>
        <w:t xml:space="preserve"> and p</w:t>
      </w:r>
      <w:r w:rsidR="007F596B" w:rsidRPr="00736EF8">
        <w:rPr>
          <w:rFonts w:ascii="Arial" w:hAnsi="Arial" w:cs="Arial"/>
          <w:sz w:val="22"/>
          <w:szCs w:val="22"/>
        </w:rPr>
        <w:t>atients who are experiencing symptoms of psychosis, hyper-mania, severe, cognitive impairment, severe personality disorder or severe learning disability</w:t>
      </w:r>
      <w:r>
        <w:rPr>
          <w:rFonts w:ascii="Arial" w:hAnsi="Arial" w:cs="Arial"/>
          <w:sz w:val="22"/>
          <w:szCs w:val="22"/>
        </w:rPr>
        <w:t>.</w:t>
      </w:r>
      <w:r w:rsidR="007F596B" w:rsidRPr="00736EF8">
        <w:rPr>
          <w:rFonts w:ascii="Arial" w:hAnsi="Arial" w:cs="Arial"/>
          <w:sz w:val="22"/>
          <w:szCs w:val="22"/>
        </w:rPr>
        <w:t xml:space="preserve"> </w:t>
      </w:r>
      <w:r w:rsidR="007F596B" w:rsidRPr="00A46331">
        <w:rPr>
          <w:rFonts w:ascii="Arial" w:hAnsi="Arial" w:cs="Arial"/>
          <w:sz w:val="22"/>
          <w:szCs w:val="22"/>
        </w:rPr>
        <w:t>In addition to the routine IAPT exclusion criteria Ieso Digital Health operate the following criteria:</w:t>
      </w:r>
    </w:p>
    <w:p w14:paraId="01D10226" w14:textId="77777777" w:rsidR="007F596B" w:rsidRPr="00A46331" w:rsidRDefault="007F596B" w:rsidP="00934842">
      <w:pPr>
        <w:pStyle w:val="ListParagraph"/>
        <w:numPr>
          <w:ilvl w:val="0"/>
          <w:numId w:val="4"/>
        </w:numPr>
        <w:spacing w:line="480" w:lineRule="auto"/>
        <w:rPr>
          <w:rFonts w:ascii="Arial" w:hAnsi="Arial" w:cs="Arial"/>
          <w:sz w:val="22"/>
          <w:szCs w:val="22"/>
        </w:rPr>
      </w:pPr>
      <w:r w:rsidRPr="00A46331">
        <w:rPr>
          <w:rFonts w:ascii="Arial" w:hAnsi="Arial" w:cs="Arial"/>
          <w:sz w:val="22"/>
          <w:szCs w:val="22"/>
        </w:rPr>
        <w:t xml:space="preserve">Patients who do not have access to an Internet enabled device or an Internet connection. </w:t>
      </w:r>
    </w:p>
    <w:p w14:paraId="4A4C2B1E" w14:textId="77777777" w:rsidR="007F596B" w:rsidRPr="00A46331" w:rsidRDefault="007F596B" w:rsidP="00934842">
      <w:pPr>
        <w:pStyle w:val="ListParagraph"/>
        <w:numPr>
          <w:ilvl w:val="0"/>
          <w:numId w:val="4"/>
        </w:numPr>
        <w:spacing w:line="480" w:lineRule="auto"/>
        <w:rPr>
          <w:rFonts w:ascii="Arial" w:hAnsi="Arial" w:cs="Arial"/>
          <w:sz w:val="22"/>
          <w:szCs w:val="22"/>
        </w:rPr>
      </w:pPr>
      <w:r w:rsidRPr="00A46331">
        <w:rPr>
          <w:rFonts w:ascii="Arial" w:hAnsi="Arial" w:cs="Arial"/>
          <w:sz w:val="22"/>
          <w:szCs w:val="22"/>
        </w:rPr>
        <w:t xml:space="preserve">Patients who have a low level of literacy i.e. patients who cannot write or read emails or texts </w:t>
      </w:r>
    </w:p>
    <w:p w14:paraId="671F0A65" w14:textId="77777777" w:rsidR="007F596B" w:rsidRPr="00A46331" w:rsidRDefault="007F596B" w:rsidP="00934842">
      <w:pPr>
        <w:pStyle w:val="ListParagraph"/>
        <w:numPr>
          <w:ilvl w:val="0"/>
          <w:numId w:val="4"/>
        </w:numPr>
        <w:spacing w:line="480" w:lineRule="auto"/>
        <w:rPr>
          <w:rFonts w:ascii="Arial" w:hAnsi="Arial" w:cs="Arial"/>
          <w:sz w:val="22"/>
          <w:szCs w:val="22"/>
        </w:rPr>
      </w:pPr>
      <w:r w:rsidRPr="00A46331">
        <w:rPr>
          <w:rFonts w:ascii="Arial" w:hAnsi="Arial" w:cs="Arial"/>
          <w:sz w:val="22"/>
          <w:szCs w:val="22"/>
        </w:rPr>
        <w:t>Patients who are visually impaired and are unable to write on or read from a computer and do not have access to appropriate assistive technology for the visually impaired.</w:t>
      </w:r>
    </w:p>
    <w:p w14:paraId="2CDEB622" w14:textId="77777777" w:rsidR="007F596B" w:rsidRPr="00A46331" w:rsidRDefault="007F596B" w:rsidP="00934842">
      <w:pPr>
        <w:pStyle w:val="ListParagraph"/>
        <w:numPr>
          <w:ilvl w:val="0"/>
          <w:numId w:val="4"/>
        </w:numPr>
        <w:spacing w:line="480" w:lineRule="auto"/>
        <w:rPr>
          <w:rFonts w:ascii="Arial" w:hAnsi="Arial" w:cs="Arial"/>
          <w:sz w:val="22"/>
          <w:szCs w:val="22"/>
        </w:rPr>
      </w:pPr>
      <w:r w:rsidRPr="00A46331">
        <w:rPr>
          <w:rFonts w:ascii="Arial" w:hAnsi="Arial" w:cs="Arial"/>
          <w:sz w:val="22"/>
          <w:szCs w:val="22"/>
        </w:rPr>
        <w:t>Patients who do not speak English.</w:t>
      </w:r>
    </w:p>
    <w:p w14:paraId="4224EC71" w14:textId="77777777" w:rsidR="007F596B" w:rsidRDefault="007F596B" w:rsidP="007F596B">
      <w:pPr>
        <w:spacing w:line="480" w:lineRule="auto"/>
        <w:rPr>
          <w:rFonts w:ascii="Arial" w:hAnsi="Arial" w:cs="Arial"/>
          <w:b/>
        </w:rPr>
      </w:pPr>
    </w:p>
    <w:p w14:paraId="1D8F742F" w14:textId="3BA65A8F" w:rsidR="007F596B" w:rsidRDefault="00AB3CF6" w:rsidP="007F596B">
      <w:pPr>
        <w:pStyle w:val="Heading3"/>
        <w:rPr>
          <w:rFonts w:cs="Arial"/>
          <w:b w:val="0"/>
          <w:color w:val="000000" w:themeColor="text1"/>
          <w:szCs w:val="22"/>
        </w:rPr>
      </w:pPr>
      <w:bookmarkStart w:id="266" w:name="_Toc46770788"/>
      <w:bookmarkStart w:id="267" w:name="_Toc79414199"/>
      <w:r>
        <w:rPr>
          <w:rFonts w:cs="Arial"/>
          <w:color w:val="000000" w:themeColor="text1"/>
          <w:szCs w:val="22"/>
        </w:rPr>
        <w:t>4</w:t>
      </w:r>
      <w:r w:rsidR="007F596B" w:rsidRPr="006A386F">
        <w:rPr>
          <w:rFonts w:cs="Arial"/>
          <w:color w:val="000000" w:themeColor="text1"/>
          <w:szCs w:val="22"/>
        </w:rPr>
        <w:t>.2.6 Treatment provided by the therapists</w:t>
      </w:r>
      <w:bookmarkEnd w:id="266"/>
      <w:bookmarkEnd w:id="267"/>
    </w:p>
    <w:p w14:paraId="2368ED57" w14:textId="77777777" w:rsidR="007F596B" w:rsidRPr="006A386F" w:rsidRDefault="007F596B" w:rsidP="007F596B"/>
    <w:p w14:paraId="0B65FA46" w14:textId="784BD26D" w:rsidR="007F596B" w:rsidRPr="006A386F" w:rsidRDefault="007F596B" w:rsidP="007F596B">
      <w:pPr>
        <w:spacing w:line="480" w:lineRule="auto"/>
        <w:rPr>
          <w:rFonts w:ascii="Arial" w:hAnsi="Arial" w:cs="Arial"/>
          <w:sz w:val="22"/>
          <w:szCs w:val="22"/>
        </w:rPr>
      </w:pPr>
      <w:r w:rsidRPr="006A386F">
        <w:rPr>
          <w:rFonts w:ascii="Arial" w:hAnsi="Arial" w:cs="Arial"/>
          <w:sz w:val="22"/>
          <w:szCs w:val="22"/>
        </w:rPr>
        <w:t>The therapists provided CBT following the disorder specific protocols used as standard within an IAPT CBT service.  All IAPT services are required to deliver evidence-based disorder specific interventions for depression and anxiety disorders.  These follow NICE</w:t>
      </w:r>
      <w:r w:rsidR="00C94B5F">
        <w:rPr>
          <w:rFonts w:ascii="Arial" w:hAnsi="Arial" w:cs="Arial"/>
          <w:sz w:val="22"/>
          <w:szCs w:val="22"/>
        </w:rPr>
        <w:t xml:space="preserve"> guidance </w:t>
      </w:r>
      <w:r w:rsidRPr="006A386F">
        <w:rPr>
          <w:rFonts w:ascii="Arial" w:hAnsi="Arial" w:cs="Arial"/>
          <w:sz w:val="22"/>
          <w:szCs w:val="22"/>
        </w:rPr>
        <w:t xml:space="preserve">and </w:t>
      </w:r>
      <w:r w:rsidR="00C94B5F">
        <w:rPr>
          <w:rFonts w:ascii="Arial" w:hAnsi="Arial" w:cs="Arial"/>
          <w:sz w:val="22"/>
          <w:szCs w:val="22"/>
        </w:rPr>
        <w:t xml:space="preserve">the </w:t>
      </w:r>
      <w:r w:rsidRPr="006A386F">
        <w:rPr>
          <w:rFonts w:ascii="Arial" w:hAnsi="Arial" w:cs="Arial"/>
          <w:sz w:val="22"/>
          <w:szCs w:val="22"/>
        </w:rPr>
        <w:t>Roth and Pilling (2007</w:t>
      </w:r>
      <w:r w:rsidR="001C6B5E">
        <w:rPr>
          <w:rFonts w:ascii="Arial" w:hAnsi="Arial" w:cs="Arial"/>
          <w:sz w:val="22"/>
          <w:szCs w:val="22"/>
        </w:rPr>
        <w:t>, 2008</w:t>
      </w:r>
      <w:r w:rsidRPr="006A386F">
        <w:rPr>
          <w:rFonts w:ascii="Arial" w:hAnsi="Arial" w:cs="Arial"/>
          <w:sz w:val="22"/>
          <w:szCs w:val="22"/>
        </w:rPr>
        <w:t xml:space="preserve">) </w:t>
      </w:r>
      <w:r w:rsidR="00C94B5F">
        <w:rPr>
          <w:rFonts w:ascii="Arial" w:hAnsi="Arial" w:cs="Arial"/>
          <w:sz w:val="22"/>
          <w:szCs w:val="22"/>
        </w:rPr>
        <w:t>competencies framework</w:t>
      </w:r>
      <w:r w:rsidR="00400D90">
        <w:rPr>
          <w:rFonts w:ascii="Arial" w:hAnsi="Arial" w:cs="Arial"/>
          <w:sz w:val="22"/>
          <w:szCs w:val="22"/>
        </w:rPr>
        <w:t>,</w:t>
      </w:r>
      <w:r w:rsidRPr="006A386F">
        <w:rPr>
          <w:rFonts w:ascii="Arial" w:hAnsi="Arial" w:cs="Arial"/>
          <w:sz w:val="22"/>
          <w:szCs w:val="22"/>
        </w:rPr>
        <w:t xml:space="preserve"> and</w:t>
      </w:r>
      <w:r w:rsidR="00C94B5F">
        <w:rPr>
          <w:rFonts w:ascii="Arial" w:hAnsi="Arial" w:cs="Arial"/>
          <w:sz w:val="22"/>
          <w:szCs w:val="22"/>
        </w:rPr>
        <w:t xml:space="preserve"> also</w:t>
      </w:r>
      <w:r w:rsidRPr="006A386F">
        <w:rPr>
          <w:rFonts w:ascii="Arial" w:hAnsi="Arial" w:cs="Arial"/>
          <w:sz w:val="22"/>
          <w:szCs w:val="22"/>
        </w:rPr>
        <w:t xml:space="preserve"> form part of the clinical training for all BABCP accredited CBT therapists</w:t>
      </w:r>
      <w:r w:rsidR="004A2FDF">
        <w:rPr>
          <w:rFonts w:ascii="Arial" w:hAnsi="Arial" w:cs="Arial"/>
          <w:sz w:val="22"/>
          <w:szCs w:val="22"/>
        </w:rPr>
        <w:t xml:space="preserve"> (further information about </w:t>
      </w:r>
      <w:r w:rsidR="001E1EC2">
        <w:rPr>
          <w:rFonts w:ascii="Arial" w:hAnsi="Arial" w:cs="Arial"/>
          <w:sz w:val="22"/>
          <w:szCs w:val="22"/>
        </w:rPr>
        <w:t>NICE</w:t>
      </w:r>
      <w:r w:rsidR="004A2FDF">
        <w:rPr>
          <w:rFonts w:ascii="Arial" w:hAnsi="Arial" w:cs="Arial"/>
          <w:sz w:val="22"/>
          <w:szCs w:val="22"/>
        </w:rPr>
        <w:t xml:space="preserve"> guid</w:t>
      </w:r>
      <w:r w:rsidR="00B347E9">
        <w:rPr>
          <w:rFonts w:ascii="Arial" w:hAnsi="Arial" w:cs="Arial"/>
          <w:sz w:val="22"/>
          <w:szCs w:val="22"/>
        </w:rPr>
        <w:t>e</w:t>
      </w:r>
      <w:r w:rsidR="001E1EC2">
        <w:rPr>
          <w:rFonts w:ascii="Arial" w:hAnsi="Arial" w:cs="Arial"/>
          <w:sz w:val="22"/>
          <w:szCs w:val="22"/>
        </w:rPr>
        <w:t>lines</w:t>
      </w:r>
      <w:r w:rsidR="004A2FDF">
        <w:rPr>
          <w:rFonts w:ascii="Arial" w:hAnsi="Arial" w:cs="Arial"/>
          <w:sz w:val="22"/>
          <w:szCs w:val="22"/>
        </w:rPr>
        <w:t xml:space="preserve"> and the Roth and Pilling competencies framework can be found in </w:t>
      </w:r>
      <w:r w:rsidR="00400D90">
        <w:rPr>
          <w:rFonts w:ascii="Arial" w:hAnsi="Arial" w:cs="Arial"/>
          <w:sz w:val="22"/>
          <w:szCs w:val="22"/>
        </w:rPr>
        <w:t>C</w:t>
      </w:r>
      <w:r w:rsidR="004A2FDF">
        <w:rPr>
          <w:rFonts w:ascii="Arial" w:hAnsi="Arial" w:cs="Arial"/>
          <w:sz w:val="22"/>
          <w:szCs w:val="22"/>
        </w:rPr>
        <w:t xml:space="preserve">hapter </w:t>
      </w:r>
      <w:r w:rsidR="00B347E9">
        <w:rPr>
          <w:rFonts w:ascii="Arial" w:hAnsi="Arial" w:cs="Arial"/>
          <w:sz w:val="22"/>
          <w:szCs w:val="22"/>
        </w:rPr>
        <w:lastRenderedPageBreak/>
        <w:t>2</w:t>
      </w:r>
      <w:r w:rsidR="004A2FDF">
        <w:rPr>
          <w:rFonts w:ascii="Arial" w:hAnsi="Arial" w:cs="Arial"/>
          <w:sz w:val="22"/>
          <w:szCs w:val="22"/>
        </w:rPr>
        <w:t xml:space="preserve"> of this thesis)</w:t>
      </w:r>
      <w:r w:rsidRPr="006A386F">
        <w:rPr>
          <w:rFonts w:ascii="Arial" w:hAnsi="Arial" w:cs="Arial"/>
          <w:sz w:val="22"/>
          <w:szCs w:val="22"/>
        </w:rPr>
        <w:t xml:space="preserve">.  </w:t>
      </w:r>
      <w:r w:rsidR="004A2FDF">
        <w:rPr>
          <w:rFonts w:ascii="Arial" w:hAnsi="Arial" w:cs="Arial"/>
          <w:sz w:val="22"/>
          <w:szCs w:val="22"/>
        </w:rPr>
        <w:t>Following NICE guidance and the Roth and Pilling competencies framework</w:t>
      </w:r>
      <w:r w:rsidR="00400D90">
        <w:rPr>
          <w:rFonts w:ascii="Arial" w:hAnsi="Arial" w:cs="Arial"/>
          <w:sz w:val="22"/>
          <w:szCs w:val="22"/>
        </w:rPr>
        <w:t>,</w:t>
      </w:r>
      <w:r w:rsidR="004A2FDF">
        <w:rPr>
          <w:rFonts w:ascii="Arial" w:hAnsi="Arial" w:cs="Arial"/>
          <w:sz w:val="22"/>
          <w:szCs w:val="22"/>
        </w:rPr>
        <w:t xml:space="preserve"> </w:t>
      </w:r>
      <w:r w:rsidR="00400D90">
        <w:rPr>
          <w:rFonts w:ascii="Arial" w:hAnsi="Arial" w:cs="Arial"/>
          <w:sz w:val="22"/>
          <w:szCs w:val="22"/>
        </w:rPr>
        <w:t>i</w:t>
      </w:r>
      <w:r w:rsidRPr="006A386F">
        <w:rPr>
          <w:rFonts w:ascii="Arial" w:hAnsi="Arial" w:cs="Arial"/>
          <w:sz w:val="22"/>
          <w:szCs w:val="22"/>
        </w:rPr>
        <w:t>ndividual therapists may select any appropriate treatment protocol</w:t>
      </w:r>
      <w:r w:rsidR="004A2FDF">
        <w:rPr>
          <w:rFonts w:ascii="Arial" w:hAnsi="Arial" w:cs="Arial"/>
          <w:sz w:val="22"/>
          <w:szCs w:val="22"/>
        </w:rPr>
        <w:t xml:space="preserve"> </w:t>
      </w:r>
      <w:r w:rsidRPr="006A386F">
        <w:rPr>
          <w:rFonts w:ascii="Arial" w:hAnsi="Arial" w:cs="Arial"/>
          <w:sz w:val="22"/>
          <w:szCs w:val="22"/>
        </w:rPr>
        <w:t xml:space="preserve">when working with a patient.  </w:t>
      </w:r>
      <w:r w:rsidR="004A2FDF">
        <w:rPr>
          <w:rFonts w:ascii="Arial" w:hAnsi="Arial" w:cs="Arial"/>
          <w:sz w:val="22"/>
          <w:szCs w:val="22"/>
        </w:rPr>
        <w:t>As this is a naturalistic observational study</w:t>
      </w:r>
      <w:r w:rsidR="001C7C38">
        <w:rPr>
          <w:rFonts w:ascii="Arial" w:hAnsi="Arial" w:cs="Arial"/>
          <w:sz w:val="22"/>
          <w:szCs w:val="22"/>
        </w:rPr>
        <w:t>,</w:t>
      </w:r>
      <w:r w:rsidR="00B347E9">
        <w:rPr>
          <w:rFonts w:ascii="Arial" w:hAnsi="Arial" w:cs="Arial"/>
          <w:sz w:val="22"/>
          <w:szCs w:val="22"/>
        </w:rPr>
        <w:t xml:space="preserve"> and the</w:t>
      </w:r>
      <w:r w:rsidR="00404873">
        <w:rPr>
          <w:rFonts w:ascii="Arial" w:hAnsi="Arial" w:cs="Arial"/>
          <w:sz w:val="22"/>
          <w:szCs w:val="22"/>
        </w:rPr>
        <w:t xml:space="preserve"> data was analysed post hoc</w:t>
      </w:r>
      <w:r w:rsidR="001C7C38">
        <w:rPr>
          <w:rFonts w:ascii="Arial" w:hAnsi="Arial" w:cs="Arial"/>
          <w:sz w:val="22"/>
          <w:szCs w:val="22"/>
        </w:rPr>
        <w:t>,</w:t>
      </w:r>
      <w:r w:rsidR="004A2FDF">
        <w:rPr>
          <w:rFonts w:ascii="Arial" w:hAnsi="Arial" w:cs="Arial"/>
          <w:sz w:val="22"/>
          <w:szCs w:val="22"/>
        </w:rPr>
        <w:t xml:space="preserve"> this research</w:t>
      </w:r>
      <w:r w:rsidRPr="006A386F">
        <w:rPr>
          <w:rFonts w:ascii="Arial" w:hAnsi="Arial" w:cs="Arial"/>
          <w:sz w:val="22"/>
          <w:szCs w:val="22"/>
        </w:rPr>
        <w:t xml:space="preserve"> </w:t>
      </w:r>
      <w:r w:rsidR="001D5C54">
        <w:rPr>
          <w:rFonts w:ascii="Arial" w:hAnsi="Arial" w:cs="Arial"/>
          <w:sz w:val="22"/>
          <w:szCs w:val="22"/>
        </w:rPr>
        <w:t>had no influence on which</w:t>
      </w:r>
      <w:r w:rsidRPr="006A386F">
        <w:rPr>
          <w:rFonts w:ascii="Arial" w:hAnsi="Arial" w:cs="Arial"/>
          <w:sz w:val="22"/>
          <w:szCs w:val="22"/>
        </w:rPr>
        <w:t xml:space="preserve"> treatment protocol the therapists selected</w:t>
      </w:r>
      <w:r w:rsidR="00171B15">
        <w:rPr>
          <w:rFonts w:ascii="Arial" w:hAnsi="Arial" w:cs="Arial"/>
          <w:sz w:val="22"/>
          <w:szCs w:val="22"/>
        </w:rPr>
        <w:t>.</w:t>
      </w:r>
      <w:r w:rsidRPr="006A386F">
        <w:rPr>
          <w:rFonts w:ascii="Arial" w:hAnsi="Arial" w:cs="Arial"/>
          <w:sz w:val="22"/>
          <w:szCs w:val="22"/>
        </w:rPr>
        <w:t xml:space="preserve"> The number of treatment sessions offered to each patient was at the discretion of the therapist </w:t>
      </w:r>
      <w:r w:rsidR="00171B15">
        <w:rPr>
          <w:rFonts w:ascii="Arial" w:hAnsi="Arial" w:cs="Arial"/>
          <w:sz w:val="22"/>
          <w:szCs w:val="22"/>
        </w:rPr>
        <w:t xml:space="preserve">and their Clinical Supervisor </w:t>
      </w:r>
      <w:r w:rsidRPr="006A386F">
        <w:rPr>
          <w:rFonts w:ascii="Arial" w:hAnsi="Arial" w:cs="Arial"/>
          <w:sz w:val="22"/>
          <w:szCs w:val="22"/>
        </w:rPr>
        <w:t>and generally depended upon the level of severity of the patient’s presenting problem. On average patients treated at step 3</w:t>
      </w:r>
      <w:r w:rsidR="004A2FDF">
        <w:rPr>
          <w:rFonts w:ascii="Arial" w:hAnsi="Arial" w:cs="Arial"/>
          <w:sz w:val="22"/>
          <w:szCs w:val="22"/>
        </w:rPr>
        <w:t>, face-to-face,</w:t>
      </w:r>
      <w:r w:rsidRPr="006A386F">
        <w:rPr>
          <w:rFonts w:ascii="Arial" w:hAnsi="Arial" w:cs="Arial"/>
          <w:sz w:val="22"/>
          <w:szCs w:val="22"/>
        </w:rPr>
        <w:t xml:space="preserve"> within IAPT complete treatment within four months and have between 8 and 14 treatment sessions.</w:t>
      </w:r>
      <w:r w:rsidR="004A2FDF">
        <w:rPr>
          <w:rFonts w:ascii="Arial" w:hAnsi="Arial" w:cs="Arial"/>
          <w:sz w:val="22"/>
          <w:szCs w:val="22"/>
        </w:rPr>
        <w:t xml:space="preserve"> The mean number of sessions in face-to-face is 6.8 (NHS Digital, 2018).</w:t>
      </w:r>
      <w:r w:rsidRPr="006A386F">
        <w:rPr>
          <w:rFonts w:ascii="Arial" w:hAnsi="Arial" w:cs="Arial"/>
          <w:sz w:val="22"/>
          <w:szCs w:val="22"/>
        </w:rPr>
        <w:t xml:space="preserve"> The mean number of sessions for patients treated in this study was 7. </w:t>
      </w:r>
      <w:r w:rsidR="001C6B5E">
        <w:rPr>
          <w:rFonts w:ascii="Arial" w:hAnsi="Arial" w:cs="Arial"/>
          <w:sz w:val="22"/>
          <w:szCs w:val="22"/>
        </w:rPr>
        <w:t xml:space="preserve"> </w:t>
      </w:r>
      <w:r w:rsidRPr="006A386F">
        <w:rPr>
          <w:rFonts w:ascii="Arial" w:hAnsi="Arial" w:cs="Arial"/>
          <w:sz w:val="22"/>
          <w:szCs w:val="22"/>
        </w:rPr>
        <w:t xml:space="preserve">Patients routinely completed three </w:t>
      </w:r>
      <w:r w:rsidR="004A2FDF">
        <w:rPr>
          <w:rFonts w:ascii="Arial" w:hAnsi="Arial" w:cs="Arial"/>
          <w:sz w:val="22"/>
          <w:szCs w:val="22"/>
        </w:rPr>
        <w:t>self-administered questionnaires before</w:t>
      </w:r>
      <w:r w:rsidRPr="006A386F">
        <w:rPr>
          <w:rFonts w:ascii="Arial" w:hAnsi="Arial" w:cs="Arial"/>
          <w:sz w:val="22"/>
          <w:szCs w:val="22"/>
        </w:rPr>
        <w:t xml:space="preserve"> each </w:t>
      </w:r>
      <w:r w:rsidR="004A2FDF">
        <w:rPr>
          <w:rFonts w:ascii="Arial" w:hAnsi="Arial" w:cs="Arial"/>
          <w:sz w:val="22"/>
          <w:szCs w:val="22"/>
        </w:rPr>
        <w:t>therapy appointment</w:t>
      </w:r>
      <w:r w:rsidRPr="006A386F">
        <w:rPr>
          <w:rFonts w:ascii="Arial" w:hAnsi="Arial" w:cs="Arial"/>
          <w:sz w:val="22"/>
          <w:szCs w:val="22"/>
        </w:rPr>
        <w:t>. This is normal practice within IAPT services. Routine measurement is part of the IAPT minimum data set and includes: the GAD-7 (Spitzer et al., 2007), PHQ-9 (Kroenke et al., 2001) and Work and Social Adjustment Scale (Mundt, Marks, Shear and Griest</w:t>
      </w:r>
      <w:r w:rsidR="00C94B5F">
        <w:rPr>
          <w:rFonts w:ascii="Arial" w:hAnsi="Arial" w:cs="Arial"/>
          <w:sz w:val="22"/>
          <w:szCs w:val="22"/>
        </w:rPr>
        <w:t>,</w:t>
      </w:r>
      <w:r w:rsidRPr="006A386F">
        <w:rPr>
          <w:rFonts w:ascii="Arial" w:hAnsi="Arial" w:cs="Arial"/>
          <w:sz w:val="22"/>
          <w:szCs w:val="22"/>
        </w:rPr>
        <w:t xml:space="preserve"> 2002). In addition, IAPT require patients </w:t>
      </w:r>
      <w:r w:rsidR="00400D90">
        <w:rPr>
          <w:rFonts w:ascii="Arial" w:hAnsi="Arial" w:cs="Arial"/>
          <w:sz w:val="22"/>
          <w:szCs w:val="22"/>
        </w:rPr>
        <w:t xml:space="preserve">to </w:t>
      </w:r>
      <w:r w:rsidRPr="006A386F">
        <w:rPr>
          <w:rFonts w:ascii="Arial" w:hAnsi="Arial" w:cs="Arial"/>
          <w:sz w:val="22"/>
          <w:szCs w:val="22"/>
        </w:rPr>
        <w:t xml:space="preserve">complete a patient experience questionnaire (PEQ) at the end of treatment.  </w:t>
      </w:r>
    </w:p>
    <w:p w14:paraId="46B523F2" w14:textId="77777777" w:rsidR="007F596B" w:rsidRDefault="007F596B" w:rsidP="007F596B">
      <w:pPr>
        <w:spacing w:line="480" w:lineRule="auto"/>
        <w:rPr>
          <w:rFonts w:ascii="Arial" w:hAnsi="Arial" w:cs="Arial"/>
          <w:b/>
        </w:rPr>
      </w:pPr>
    </w:p>
    <w:p w14:paraId="2E30E012" w14:textId="5DC4003D" w:rsidR="007F596B" w:rsidRPr="006A386F" w:rsidRDefault="00AB3CF6" w:rsidP="007F596B">
      <w:pPr>
        <w:pStyle w:val="Heading2"/>
        <w:rPr>
          <w:rFonts w:ascii="Arial" w:hAnsi="Arial" w:cs="Arial"/>
          <w:b w:val="0"/>
          <w:color w:val="000000" w:themeColor="text1"/>
          <w:sz w:val="22"/>
          <w:szCs w:val="22"/>
        </w:rPr>
      </w:pPr>
      <w:bookmarkStart w:id="268" w:name="_Toc46770789"/>
      <w:bookmarkStart w:id="269" w:name="_Toc79414200"/>
      <w:r>
        <w:rPr>
          <w:rFonts w:ascii="Arial" w:hAnsi="Arial" w:cs="Arial"/>
          <w:color w:val="000000" w:themeColor="text1"/>
          <w:sz w:val="22"/>
          <w:szCs w:val="22"/>
        </w:rPr>
        <w:t>4</w:t>
      </w:r>
      <w:r w:rsidR="007F596B" w:rsidRPr="006A386F">
        <w:rPr>
          <w:rFonts w:ascii="Arial" w:hAnsi="Arial" w:cs="Arial"/>
          <w:color w:val="000000" w:themeColor="text1"/>
          <w:sz w:val="22"/>
          <w:szCs w:val="22"/>
        </w:rPr>
        <w:t>.3 ETHICAL CONSIDERATION</w:t>
      </w:r>
      <w:bookmarkEnd w:id="268"/>
      <w:bookmarkEnd w:id="269"/>
    </w:p>
    <w:p w14:paraId="2410CE42" w14:textId="77777777" w:rsidR="007F596B" w:rsidRPr="00E8211C" w:rsidRDefault="007F596B" w:rsidP="007F596B">
      <w:pPr>
        <w:spacing w:line="480" w:lineRule="auto"/>
        <w:rPr>
          <w:rFonts w:ascii="Arial" w:hAnsi="Arial" w:cs="Arial"/>
        </w:rPr>
      </w:pPr>
    </w:p>
    <w:p w14:paraId="754AAFFB" w14:textId="0FD4892D" w:rsidR="007F596B" w:rsidRDefault="007F596B" w:rsidP="007F596B">
      <w:pPr>
        <w:spacing w:line="480" w:lineRule="auto"/>
        <w:rPr>
          <w:rFonts w:ascii="Arial" w:hAnsi="Arial" w:cs="Arial"/>
          <w:sz w:val="22"/>
          <w:szCs w:val="22"/>
        </w:rPr>
      </w:pPr>
      <w:r w:rsidRPr="006A386F">
        <w:rPr>
          <w:rFonts w:ascii="Arial" w:hAnsi="Arial" w:cs="Arial"/>
          <w:sz w:val="22"/>
          <w:szCs w:val="22"/>
        </w:rPr>
        <w:t>This study was conducted in compliance with a Research Ethics Committee (in this case) favourable opinion.  Ethical approval for this trial was granted on 17</w:t>
      </w:r>
      <w:r w:rsidRPr="006A386F">
        <w:rPr>
          <w:rFonts w:ascii="Arial" w:hAnsi="Arial" w:cs="Arial"/>
          <w:sz w:val="22"/>
          <w:szCs w:val="22"/>
          <w:vertAlign w:val="superscript"/>
        </w:rPr>
        <w:t>th</w:t>
      </w:r>
      <w:r w:rsidRPr="006A386F">
        <w:rPr>
          <w:rFonts w:ascii="Arial" w:hAnsi="Arial" w:cs="Arial"/>
          <w:sz w:val="22"/>
          <w:szCs w:val="22"/>
        </w:rPr>
        <w:t xml:space="preserve"> January 2018 by the Departmental Research Ethics Panel (DREP) under the terms of Anglia Ruskin University’s Research Ethics Policy</w:t>
      </w:r>
      <w:r w:rsidR="004A2FDF">
        <w:rPr>
          <w:rFonts w:ascii="Arial" w:hAnsi="Arial" w:cs="Arial"/>
          <w:sz w:val="22"/>
          <w:szCs w:val="22"/>
        </w:rPr>
        <w:t xml:space="preserve">, </w:t>
      </w:r>
      <w:r w:rsidRPr="006A386F">
        <w:rPr>
          <w:rFonts w:ascii="Arial" w:hAnsi="Arial" w:cs="Arial"/>
          <w:sz w:val="22"/>
          <w:szCs w:val="22"/>
        </w:rPr>
        <w:t>dated 8</w:t>
      </w:r>
      <w:r w:rsidR="00977B66" w:rsidRPr="00A248A7">
        <w:rPr>
          <w:rFonts w:ascii="Arial" w:hAnsi="Arial" w:cs="Arial"/>
          <w:sz w:val="22"/>
          <w:szCs w:val="22"/>
          <w:vertAlign w:val="superscript"/>
        </w:rPr>
        <w:t>th</w:t>
      </w:r>
      <w:r w:rsidRPr="006A386F">
        <w:rPr>
          <w:rFonts w:ascii="Arial" w:hAnsi="Arial" w:cs="Arial"/>
          <w:sz w:val="22"/>
          <w:szCs w:val="22"/>
        </w:rPr>
        <w:t xml:space="preserve"> September 2016, Version 1.7</w:t>
      </w:r>
      <w:r w:rsidR="002D12EA">
        <w:rPr>
          <w:rFonts w:ascii="Arial" w:hAnsi="Arial" w:cs="Arial"/>
          <w:sz w:val="22"/>
          <w:szCs w:val="22"/>
        </w:rPr>
        <w:t xml:space="preserve">, reference FHSE-DREP-17-069. </w:t>
      </w:r>
      <w:r w:rsidRPr="006A386F">
        <w:rPr>
          <w:rFonts w:ascii="Arial" w:hAnsi="Arial" w:cs="Arial"/>
          <w:sz w:val="22"/>
          <w:szCs w:val="22"/>
        </w:rPr>
        <w:t>This study was also conducted in accordance with the International Conference for Harmonisation of Good Clinical Practice and the Research Governance Framework for Health and Social Care (Health Research Authority 2016)</w:t>
      </w:r>
      <w:r w:rsidR="00977B66">
        <w:rPr>
          <w:rFonts w:ascii="Arial" w:hAnsi="Arial" w:cs="Arial"/>
          <w:sz w:val="22"/>
          <w:szCs w:val="22"/>
        </w:rPr>
        <w:t>.</w:t>
      </w:r>
    </w:p>
    <w:p w14:paraId="21836D2A" w14:textId="49FFABAA" w:rsidR="007139A4" w:rsidRDefault="007139A4" w:rsidP="007F596B">
      <w:pPr>
        <w:spacing w:line="480" w:lineRule="auto"/>
        <w:rPr>
          <w:rFonts w:ascii="Arial" w:hAnsi="Arial" w:cs="Arial"/>
          <w:sz w:val="22"/>
          <w:szCs w:val="22"/>
        </w:rPr>
      </w:pPr>
    </w:p>
    <w:p w14:paraId="70697691" w14:textId="6C0889BF" w:rsidR="007139A4" w:rsidRPr="007139A4" w:rsidRDefault="007139A4" w:rsidP="007139A4">
      <w:pPr>
        <w:pStyle w:val="Heading3"/>
        <w:rPr>
          <w:rFonts w:cs="Arial"/>
          <w:color w:val="000000" w:themeColor="text1"/>
          <w:szCs w:val="22"/>
        </w:rPr>
      </w:pPr>
      <w:bookmarkStart w:id="270" w:name="_Toc46770790"/>
      <w:bookmarkStart w:id="271" w:name="_Toc79414201"/>
      <w:r w:rsidRPr="007139A4">
        <w:rPr>
          <w:rFonts w:cs="Arial"/>
          <w:color w:val="000000" w:themeColor="text1"/>
          <w:szCs w:val="22"/>
        </w:rPr>
        <w:lastRenderedPageBreak/>
        <w:t>4.3.1 Therapists and clinical supervisors</w:t>
      </w:r>
      <w:bookmarkEnd w:id="270"/>
      <w:bookmarkEnd w:id="271"/>
    </w:p>
    <w:p w14:paraId="4D4E1E8D" w14:textId="77777777" w:rsidR="007F596B" w:rsidRPr="006A386F" w:rsidRDefault="007F596B" w:rsidP="007F596B">
      <w:pPr>
        <w:spacing w:line="480" w:lineRule="auto"/>
        <w:rPr>
          <w:rFonts w:ascii="Arial" w:hAnsi="Arial" w:cs="Arial"/>
          <w:sz w:val="22"/>
          <w:szCs w:val="22"/>
        </w:rPr>
      </w:pPr>
    </w:p>
    <w:p w14:paraId="43CB854E" w14:textId="679F3446" w:rsidR="00C33FE3" w:rsidRPr="006A386F" w:rsidRDefault="00505BB8" w:rsidP="00C33FE3">
      <w:pPr>
        <w:spacing w:line="480" w:lineRule="auto"/>
        <w:rPr>
          <w:rFonts w:ascii="Arial" w:hAnsi="Arial" w:cs="Arial"/>
          <w:sz w:val="22"/>
          <w:szCs w:val="22"/>
        </w:rPr>
      </w:pPr>
      <w:r>
        <w:rPr>
          <w:rFonts w:ascii="Arial" w:hAnsi="Arial" w:cs="Arial"/>
          <w:sz w:val="22"/>
          <w:szCs w:val="22"/>
        </w:rPr>
        <w:t>Full</w:t>
      </w:r>
      <w:r w:rsidR="001C6B5E">
        <w:rPr>
          <w:rFonts w:ascii="Arial" w:hAnsi="Arial" w:cs="Arial"/>
          <w:sz w:val="22"/>
          <w:szCs w:val="22"/>
        </w:rPr>
        <w:t>,</w:t>
      </w:r>
      <w:r>
        <w:rPr>
          <w:rFonts w:ascii="Arial" w:hAnsi="Arial" w:cs="Arial"/>
          <w:sz w:val="22"/>
          <w:szCs w:val="22"/>
        </w:rPr>
        <w:t xml:space="preserve"> multi-faceted</w:t>
      </w:r>
      <w:r w:rsidR="001C6B5E">
        <w:rPr>
          <w:rFonts w:ascii="Arial" w:hAnsi="Arial" w:cs="Arial"/>
          <w:sz w:val="22"/>
          <w:szCs w:val="22"/>
        </w:rPr>
        <w:t>,</w:t>
      </w:r>
      <w:r>
        <w:rPr>
          <w:rFonts w:ascii="Arial" w:hAnsi="Arial" w:cs="Arial"/>
          <w:sz w:val="22"/>
          <w:szCs w:val="22"/>
        </w:rPr>
        <w:t xml:space="preserve"> consideration (</w:t>
      </w:r>
      <w:r w:rsidR="00AA0D8E">
        <w:rPr>
          <w:rFonts w:ascii="Arial" w:hAnsi="Arial" w:cs="Arial"/>
          <w:sz w:val="22"/>
          <w:szCs w:val="22"/>
        </w:rPr>
        <w:t>Stewart</w:t>
      </w:r>
      <w:r>
        <w:rPr>
          <w:rFonts w:ascii="Arial" w:hAnsi="Arial" w:cs="Arial"/>
          <w:sz w:val="22"/>
          <w:szCs w:val="22"/>
        </w:rPr>
        <w:t xml:space="preserve">, </w:t>
      </w:r>
      <w:r w:rsidR="007F596B" w:rsidRPr="006A386F">
        <w:rPr>
          <w:rFonts w:ascii="Arial" w:hAnsi="Arial" w:cs="Arial"/>
          <w:sz w:val="22"/>
          <w:szCs w:val="22"/>
        </w:rPr>
        <w:t xml:space="preserve">2011) </w:t>
      </w:r>
      <w:r>
        <w:rPr>
          <w:rFonts w:ascii="Arial" w:hAnsi="Arial" w:cs="Arial"/>
          <w:sz w:val="22"/>
          <w:szCs w:val="22"/>
        </w:rPr>
        <w:t>was given in relation</w:t>
      </w:r>
      <w:r w:rsidR="007F596B" w:rsidRPr="006A386F">
        <w:rPr>
          <w:rFonts w:ascii="Arial" w:hAnsi="Arial" w:cs="Arial"/>
          <w:sz w:val="22"/>
          <w:szCs w:val="22"/>
        </w:rPr>
        <w:t xml:space="preserve"> to the potential impact of </w:t>
      </w:r>
      <w:r>
        <w:rPr>
          <w:rFonts w:ascii="Arial" w:hAnsi="Arial" w:cs="Arial"/>
          <w:sz w:val="22"/>
          <w:szCs w:val="22"/>
        </w:rPr>
        <w:t xml:space="preserve">this </w:t>
      </w:r>
      <w:r w:rsidR="007F596B" w:rsidRPr="006A386F">
        <w:rPr>
          <w:rFonts w:ascii="Arial" w:hAnsi="Arial" w:cs="Arial"/>
          <w:sz w:val="22"/>
          <w:szCs w:val="22"/>
        </w:rPr>
        <w:t>research on its participants</w:t>
      </w:r>
      <w:r w:rsidR="009C6B41">
        <w:rPr>
          <w:rFonts w:ascii="Arial" w:hAnsi="Arial" w:cs="Arial"/>
          <w:sz w:val="22"/>
          <w:szCs w:val="22"/>
        </w:rPr>
        <w:t>. All reasonable attempts were made</w:t>
      </w:r>
      <w:r w:rsidR="007F596B" w:rsidRPr="006A386F">
        <w:rPr>
          <w:rFonts w:ascii="Arial" w:hAnsi="Arial" w:cs="Arial"/>
          <w:sz w:val="22"/>
          <w:szCs w:val="22"/>
        </w:rPr>
        <w:t xml:space="preserve"> </w:t>
      </w:r>
      <w:r>
        <w:rPr>
          <w:rFonts w:ascii="Arial" w:hAnsi="Arial" w:cs="Arial"/>
          <w:sz w:val="22"/>
          <w:szCs w:val="22"/>
        </w:rPr>
        <w:t>to</w:t>
      </w:r>
      <w:r w:rsidR="007F596B" w:rsidRPr="006A386F">
        <w:rPr>
          <w:rFonts w:ascii="Arial" w:hAnsi="Arial" w:cs="Arial"/>
          <w:sz w:val="22"/>
          <w:szCs w:val="22"/>
        </w:rPr>
        <w:t xml:space="preserve"> minimise the </w:t>
      </w:r>
      <w:r>
        <w:rPr>
          <w:rFonts w:ascii="Arial" w:hAnsi="Arial" w:cs="Arial"/>
          <w:sz w:val="22"/>
          <w:szCs w:val="22"/>
        </w:rPr>
        <w:t>burden</w:t>
      </w:r>
      <w:r w:rsidR="007F596B" w:rsidRPr="006A386F">
        <w:rPr>
          <w:rFonts w:ascii="Arial" w:hAnsi="Arial" w:cs="Arial"/>
          <w:sz w:val="22"/>
          <w:szCs w:val="22"/>
        </w:rPr>
        <w:t xml:space="preserve"> on those working in </w:t>
      </w:r>
      <w:r>
        <w:rPr>
          <w:rFonts w:ascii="Arial" w:hAnsi="Arial" w:cs="Arial"/>
          <w:sz w:val="22"/>
          <w:szCs w:val="22"/>
        </w:rPr>
        <w:t xml:space="preserve">the research </w:t>
      </w:r>
      <w:r w:rsidR="007F596B" w:rsidRPr="006A386F">
        <w:rPr>
          <w:rFonts w:ascii="Arial" w:hAnsi="Arial" w:cs="Arial"/>
          <w:sz w:val="22"/>
          <w:szCs w:val="22"/>
        </w:rPr>
        <w:t xml:space="preserve">setting. </w:t>
      </w:r>
      <w:r>
        <w:rPr>
          <w:rFonts w:ascii="Arial" w:hAnsi="Arial" w:cs="Arial"/>
          <w:sz w:val="22"/>
          <w:szCs w:val="22"/>
        </w:rPr>
        <w:t>As the data collection for this research was routinely gathered as part of normal service delivery,</w:t>
      </w:r>
      <w:r w:rsidR="008675AD">
        <w:rPr>
          <w:rFonts w:ascii="Arial" w:hAnsi="Arial" w:cs="Arial"/>
          <w:sz w:val="22"/>
          <w:szCs w:val="22"/>
        </w:rPr>
        <w:t xml:space="preserve"> and analysed post hoc</w:t>
      </w:r>
      <w:r w:rsidR="008B6563">
        <w:rPr>
          <w:rFonts w:ascii="Arial" w:hAnsi="Arial" w:cs="Arial"/>
          <w:sz w:val="22"/>
          <w:szCs w:val="22"/>
        </w:rPr>
        <w:t>,</w:t>
      </w:r>
      <w:r>
        <w:rPr>
          <w:rFonts w:ascii="Arial" w:hAnsi="Arial" w:cs="Arial"/>
          <w:sz w:val="22"/>
          <w:szCs w:val="22"/>
        </w:rPr>
        <w:t xml:space="preserve"> this research did not impact on the </w:t>
      </w:r>
      <w:r w:rsidR="007139A4">
        <w:rPr>
          <w:rFonts w:ascii="Arial" w:hAnsi="Arial" w:cs="Arial"/>
          <w:sz w:val="22"/>
          <w:szCs w:val="22"/>
        </w:rPr>
        <w:t xml:space="preserve">therapists or the clinical supervisors who rated the therapists clinical work. </w:t>
      </w:r>
      <w:r>
        <w:rPr>
          <w:rFonts w:ascii="Arial" w:hAnsi="Arial" w:cs="Arial"/>
          <w:sz w:val="22"/>
          <w:szCs w:val="22"/>
        </w:rPr>
        <w:t>The data had already been collected</w:t>
      </w:r>
      <w:r w:rsidR="007139A4">
        <w:rPr>
          <w:rFonts w:ascii="Arial" w:hAnsi="Arial" w:cs="Arial"/>
          <w:sz w:val="22"/>
          <w:szCs w:val="22"/>
        </w:rPr>
        <w:t xml:space="preserve"> and the transcripts had been rated</w:t>
      </w:r>
      <w:r>
        <w:rPr>
          <w:rFonts w:ascii="Arial" w:hAnsi="Arial" w:cs="Arial"/>
          <w:sz w:val="22"/>
          <w:szCs w:val="22"/>
        </w:rPr>
        <w:t xml:space="preserve"> </w:t>
      </w:r>
      <w:r w:rsidR="007139A4">
        <w:rPr>
          <w:rFonts w:ascii="Arial" w:hAnsi="Arial" w:cs="Arial"/>
          <w:sz w:val="22"/>
          <w:szCs w:val="22"/>
        </w:rPr>
        <w:t>before this</w:t>
      </w:r>
      <w:r>
        <w:rPr>
          <w:rFonts w:ascii="Arial" w:hAnsi="Arial" w:cs="Arial"/>
          <w:sz w:val="22"/>
          <w:szCs w:val="22"/>
        </w:rPr>
        <w:t xml:space="preserve"> research commenced.</w:t>
      </w:r>
      <w:r w:rsidR="00977B66">
        <w:rPr>
          <w:rFonts w:ascii="Arial" w:hAnsi="Arial" w:cs="Arial"/>
          <w:sz w:val="22"/>
          <w:szCs w:val="22"/>
        </w:rPr>
        <w:t xml:space="preserve"> </w:t>
      </w:r>
      <w:r>
        <w:rPr>
          <w:rFonts w:ascii="Arial" w:hAnsi="Arial" w:cs="Arial"/>
          <w:sz w:val="22"/>
          <w:szCs w:val="22"/>
        </w:rPr>
        <w:t xml:space="preserve">Therapists were invited to participate in this research and were asked to provide consent that their anonymised data could be used in order to investigate the therapist variables that might be associated with </w:t>
      </w:r>
      <w:r w:rsidR="007139A4">
        <w:rPr>
          <w:rFonts w:ascii="Arial" w:hAnsi="Arial" w:cs="Arial"/>
          <w:sz w:val="22"/>
          <w:szCs w:val="22"/>
        </w:rPr>
        <w:t xml:space="preserve">clinical </w:t>
      </w:r>
      <w:r>
        <w:rPr>
          <w:rFonts w:ascii="Arial" w:hAnsi="Arial" w:cs="Arial"/>
          <w:sz w:val="22"/>
          <w:szCs w:val="22"/>
        </w:rPr>
        <w:t>outcome</w:t>
      </w:r>
      <w:r w:rsidR="007139A4">
        <w:rPr>
          <w:rFonts w:ascii="Arial" w:hAnsi="Arial" w:cs="Arial"/>
          <w:sz w:val="22"/>
          <w:szCs w:val="22"/>
        </w:rPr>
        <w:t xml:space="preserve">. </w:t>
      </w:r>
      <w:r w:rsidR="0061669B">
        <w:rPr>
          <w:rFonts w:ascii="Arial" w:hAnsi="Arial" w:cs="Arial"/>
          <w:sz w:val="22"/>
          <w:szCs w:val="22"/>
        </w:rPr>
        <w:t>Care was taken not to place therapists under any duress to consent for their data to be used. The researcher is aware of the potential power differentiation between herself and the therapists. Therefore, therapists were contacted only once, via email, and were provided with a participant information sheet and consent form.</w:t>
      </w:r>
      <w:r w:rsidR="00C33FE3">
        <w:rPr>
          <w:rFonts w:ascii="Arial" w:hAnsi="Arial" w:cs="Arial"/>
          <w:sz w:val="22"/>
          <w:szCs w:val="22"/>
        </w:rPr>
        <w:t xml:space="preserve"> </w:t>
      </w:r>
      <w:r w:rsidR="00C33FE3" w:rsidRPr="006A386F">
        <w:rPr>
          <w:rFonts w:ascii="Arial" w:hAnsi="Arial" w:cs="Arial"/>
          <w:sz w:val="22"/>
          <w:szCs w:val="22"/>
        </w:rPr>
        <w:t xml:space="preserve">The </w:t>
      </w:r>
      <w:r w:rsidR="00C33FE3">
        <w:rPr>
          <w:rFonts w:ascii="Arial" w:hAnsi="Arial" w:cs="Arial"/>
          <w:sz w:val="22"/>
          <w:szCs w:val="22"/>
        </w:rPr>
        <w:t xml:space="preserve">participant </w:t>
      </w:r>
      <w:r w:rsidR="00C33FE3" w:rsidRPr="006A386F">
        <w:rPr>
          <w:rFonts w:ascii="Arial" w:hAnsi="Arial" w:cs="Arial"/>
          <w:sz w:val="22"/>
          <w:szCs w:val="22"/>
        </w:rPr>
        <w:t xml:space="preserve">information sheet (see </w:t>
      </w:r>
      <w:r w:rsidR="00E900CF">
        <w:rPr>
          <w:rFonts w:ascii="Arial" w:hAnsi="Arial" w:cs="Arial"/>
          <w:sz w:val="22"/>
          <w:szCs w:val="22"/>
        </w:rPr>
        <w:t>appendix item 7</w:t>
      </w:r>
      <w:r w:rsidR="00C33FE3" w:rsidRPr="006A386F">
        <w:rPr>
          <w:rFonts w:ascii="Arial" w:hAnsi="Arial" w:cs="Arial"/>
          <w:sz w:val="22"/>
          <w:szCs w:val="22"/>
        </w:rPr>
        <w:t xml:space="preserve">) for this </w:t>
      </w:r>
      <w:r w:rsidR="00C33FE3">
        <w:rPr>
          <w:rFonts w:ascii="Arial" w:hAnsi="Arial" w:cs="Arial"/>
          <w:sz w:val="22"/>
          <w:szCs w:val="22"/>
        </w:rPr>
        <w:t>research</w:t>
      </w:r>
      <w:r w:rsidR="00C33FE3" w:rsidRPr="006A386F">
        <w:rPr>
          <w:rFonts w:ascii="Arial" w:hAnsi="Arial" w:cs="Arial"/>
          <w:sz w:val="22"/>
          <w:szCs w:val="22"/>
        </w:rPr>
        <w:t xml:space="preserve"> follows the guidance suggested by Sarantakos (2005) and includes:</w:t>
      </w:r>
    </w:p>
    <w:p w14:paraId="71C5CC56" w14:textId="77777777" w:rsidR="00C33FE3" w:rsidRPr="006A386F" w:rsidRDefault="00C33FE3" w:rsidP="00C33FE3">
      <w:pPr>
        <w:spacing w:line="480" w:lineRule="auto"/>
        <w:rPr>
          <w:rFonts w:ascii="Arial" w:hAnsi="Arial" w:cs="Arial"/>
          <w:sz w:val="22"/>
          <w:szCs w:val="22"/>
        </w:rPr>
      </w:pPr>
    </w:p>
    <w:p w14:paraId="4C3CF8A0" w14:textId="77777777" w:rsidR="00C33FE3" w:rsidRPr="006A386F" w:rsidRDefault="00C33FE3" w:rsidP="00934842">
      <w:pPr>
        <w:pStyle w:val="ListParagraph"/>
        <w:numPr>
          <w:ilvl w:val="0"/>
          <w:numId w:val="5"/>
        </w:numPr>
        <w:spacing w:line="480" w:lineRule="auto"/>
        <w:rPr>
          <w:rFonts w:ascii="Arial" w:hAnsi="Arial" w:cs="Arial"/>
          <w:sz w:val="22"/>
          <w:szCs w:val="22"/>
        </w:rPr>
      </w:pPr>
      <w:r w:rsidRPr="006A386F">
        <w:rPr>
          <w:rFonts w:ascii="Arial" w:hAnsi="Arial" w:cs="Arial"/>
          <w:sz w:val="22"/>
          <w:szCs w:val="22"/>
        </w:rPr>
        <w:t>Clear information relating to the researcher</w:t>
      </w:r>
    </w:p>
    <w:p w14:paraId="5A1AF5DA" w14:textId="77777777" w:rsidR="00C33FE3" w:rsidRPr="006A386F" w:rsidRDefault="00C33FE3" w:rsidP="00934842">
      <w:pPr>
        <w:pStyle w:val="ListParagraph"/>
        <w:numPr>
          <w:ilvl w:val="0"/>
          <w:numId w:val="5"/>
        </w:numPr>
        <w:spacing w:line="480" w:lineRule="auto"/>
        <w:rPr>
          <w:rFonts w:ascii="Arial" w:hAnsi="Arial" w:cs="Arial"/>
          <w:sz w:val="22"/>
          <w:szCs w:val="22"/>
        </w:rPr>
      </w:pPr>
      <w:r w:rsidRPr="006A386F">
        <w:rPr>
          <w:rFonts w:ascii="Arial" w:hAnsi="Arial" w:cs="Arial"/>
          <w:sz w:val="22"/>
          <w:szCs w:val="22"/>
        </w:rPr>
        <w:t>Clear information about the academic institution and the primary supervisor</w:t>
      </w:r>
    </w:p>
    <w:p w14:paraId="5756A355" w14:textId="77777777" w:rsidR="00C33FE3" w:rsidRPr="006A386F" w:rsidRDefault="00C33FE3" w:rsidP="00934842">
      <w:pPr>
        <w:pStyle w:val="ListParagraph"/>
        <w:numPr>
          <w:ilvl w:val="0"/>
          <w:numId w:val="5"/>
        </w:numPr>
        <w:spacing w:line="480" w:lineRule="auto"/>
        <w:rPr>
          <w:rFonts w:ascii="Arial" w:hAnsi="Arial" w:cs="Arial"/>
          <w:sz w:val="22"/>
          <w:szCs w:val="22"/>
        </w:rPr>
      </w:pPr>
      <w:r w:rsidRPr="006A386F">
        <w:rPr>
          <w:rFonts w:ascii="Arial" w:hAnsi="Arial" w:cs="Arial"/>
          <w:sz w:val="22"/>
          <w:szCs w:val="22"/>
        </w:rPr>
        <w:t>A description about the purpose of the study</w:t>
      </w:r>
    </w:p>
    <w:p w14:paraId="31C4C660" w14:textId="77777777" w:rsidR="00C33FE3" w:rsidRPr="006A386F" w:rsidRDefault="00C33FE3" w:rsidP="00934842">
      <w:pPr>
        <w:pStyle w:val="ListParagraph"/>
        <w:numPr>
          <w:ilvl w:val="0"/>
          <w:numId w:val="5"/>
        </w:numPr>
        <w:spacing w:line="480" w:lineRule="auto"/>
        <w:rPr>
          <w:rFonts w:ascii="Arial" w:hAnsi="Arial" w:cs="Arial"/>
          <w:sz w:val="22"/>
          <w:szCs w:val="22"/>
        </w:rPr>
      </w:pPr>
      <w:r w:rsidRPr="006A386F">
        <w:rPr>
          <w:rFonts w:ascii="Arial" w:hAnsi="Arial" w:cs="Arial"/>
          <w:sz w:val="22"/>
          <w:szCs w:val="22"/>
        </w:rPr>
        <w:t>A description relating to the benefits of participating in the study</w:t>
      </w:r>
    </w:p>
    <w:p w14:paraId="64FB2A30" w14:textId="77777777" w:rsidR="00C33FE3" w:rsidRPr="006A386F" w:rsidRDefault="00C33FE3" w:rsidP="00934842">
      <w:pPr>
        <w:pStyle w:val="ListParagraph"/>
        <w:numPr>
          <w:ilvl w:val="0"/>
          <w:numId w:val="5"/>
        </w:numPr>
        <w:spacing w:line="480" w:lineRule="auto"/>
        <w:rPr>
          <w:rFonts w:ascii="Arial" w:hAnsi="Arial" w:cs="Arial"/>
          <w:sz w:val="22"/>
          <w:szCs w:val="22"/>
        </w:rPr>
      </w:pPr>
      <w:r w:rsidRPr="006A386F">
        <w:rPr>
          <w:rFonts w:ascii="Arial" w:hAnsi="Arial" w:cs="Arial"/>
          <w:sz w:val="22"/>
          <w:szCs w:val="22"/>
        </w:rPr>
        <w:t>Notification relating to the level of participation and the processes involved</w:t>
      </w:r>
    </w:p>
    <w:p w14:paraId="128E6110" w14:textId="77777777" w:rsidR="00C33FE3" w:rsidRPr="006A386F" w:rsidRDefault="00C33FE3" w:rsidP="00934842">
      <w:pPr>
        <w:pStyle w:val="ListParagraph"/>
        <w:numPr>
          <w:ilvl w:val="0"/>
          <w:numId w:val="5"/>
        </w:numPr>
        <w:spacing w:line="480" w:lineRule="auto"/>
        <w:rPr>
          <w:rFonts w:ascii="Arial" w:hAnsi="Arial" w:cs="Arial"/>
          <w:sz w:val="22"/>
          <w:szCs w:val="22"/>
        </w:rPr>
      </w:pPr>
      <w:r w:rsidRPr="006A386F">
        <w:rPr>
          <w:rFonts w:ascii="Arial" w:hAnsi="Arial" w:cs="Arial"/>
          <w:sz w:val="22"/>
          <w:szCs w:val="22"/>
        </w:rPr>
        <w:t>Notification of any risks</w:t>
      </w:r>
    </w:p>
    <w:p w14:paraId="7B2E4C52" w14:textId="77777777" w:rsidR="00C33FE3" w:rsidRPr="006A386F" w:rsidRDefault="00C33FE3" w:rsidP="00934842">
      <w:pPr>
        <w:pStyle w:val="ListParagraph"/>
        <w:numPr>
          <w:ilvl w:val="0"/>
          <w:numId w:val="5"/>
        </w:numPr>
        <w:spacing w:line="480" w:lineRule="auto"/>
        <w:rPr>
          <w:rFonts w:ascii="Arial" w:hAnsi="Arial" w:cs="Arial"/>
          <w:sz w:val="22"/>
          <w:szCs w:val="22"/>
        </w:rPr>
      </w:pPr>
      <w:r w:rsidRPr="006A386F">
        <w:rPr>
          <w:rFonts w:ascii="Arial" w:hAnsi="Arial" w:cs="Arial"/>
          <w:sz w:val="22"/>
          <w:szCs w:val="22"/>
        </w:rPr>
        <w:t>A guarantee relating to confidentiality</w:t>
      </w:r>
    </w:p>
    <w:p w14:paraId="3A32D7C1" w14:textId="3BD73BD6" w:rsidR="00C33FE3" w:rsidRPr="006A386F" w:rsidRDefault="00C33FE3" w:rsidP="00934842">
      <w:pPr>
        <w:pStyle w:val="ListParagraph"/>
        <w:numPr>
          <w:ilvl w:val="0"/>
          <w:numId w:val="5"/>
        </w:numPr>
        <w:spacing w:line="480" w:lineRule="auto"/>
        <w:rPr>
          <w:rFonts w:ascii="Arial" w:hAnsi="Arial" w:cs="Arial"/>
          <w:sz w:val="22"/>
          <w:szCs w:val="22"/>
        </w:rPr>
      </w:pPr>
      <w:r w:rsidRPr="006A386F">
        <w:rPr>
          <w:rFonts w:ascii="Arial" w:hAnsi="Arial" w:cs="Arial"/>
          <w:sz w:val="22"/>
          <w:szCs w:val="22"/>
        </w:rPr>
        <w:t xml:space="preserve">A clear assurance that participation is not obligatory and that </w:t>
      </w:r>
      <w:r w:rsidR="002C6913">
        <w:rPr>
          <w:rFonts w:ascii="Arial" w:hAnsi="Arial" w:cs="Arial"/>
          <w:sz w:val="22"/>
          <w:szCs w:val="22"/>
        </w:rPr>
        <w:t>participants</w:t>
      </w:r>
      <w:r w:rsidRPr="006A386F">
        <w:rPr>
          <w:rFonts w:ascii="Arial" w:hAnsi="Arial" w:cs="Arial"/>
          <w:sz w:val="22"/>
          <w:szCs w:val="22"/>
        </w:rPr>
        <w:t xml:space="preserve"> may withdraw their consent at any time</w:t>
      </w:r>
      <w:r w:rsidR="009C6B41">
        <w:rPr>
          <w:rFonts w:ascii="Arial" w:hAnsi="Arial" w:cs="Arial"/>
          <w:sz w:val="22"/>
          <w:szCs w:val="22"/>
        </w:rPr>
        <w:t>,</w:t>
      </w:r>
      <w:r w:rsidRPr="006A386F">
        <w:rPr>
          <w:rFonts w:ascii="Arial" w:hAnsi="Arial" w:cs="Arial"/>
          <w:sz w:val="22"/>
          <w:szCs w:val="22"/>
        </w:rPr>
        <w:t xml:space="preserve"> and this will not be detrimenta</w:t>
      </w:r>
      <w:r w:rsidR="007860A9">
        <w:rPr>
          <w:rFonts w:ascii="Arial" w:hAnsi="Arial" w:cs="Arial"/>
          <w:sz w:val="22"/>
          <w:szCs w:val="22"/>
        </w:rPr>
        <w:t>l</w:t>
      </w:r>
    </w:p>
    <w:p w14:paraId="4B8BEB97" w14:textId="7948EFFB" w:rsidR="00C33FE3" w:rsidRPr="006A386F" w:rsidRDefault="00C33FE3" w:rsidP="00934842">
      <w:pPr>
        <w:pStyle w:val="ListParagraph"/>
        <w:numPr>
          <w:ilvl w:val="0"/>
          <w:numId w:val="5"/>
        </w:numPr>
        <w:spacing w:line="480" w:lineRule="auto"/>
        <w:rPr>
          <w:rFonts w:ascii="Arial" w:hAnsi="Arial" w:cs="Arial"/>
          <w:sz w:val="22"/>
          <w:szCs w:val="22"/>
        </w:rPr>
      </w:pPr>
      <w:r w:rsidRPr="006A386F">
        <w:rPr>
          <w:rFonts w:ascii="Arial" w:hAnsi="Arial" w:cs="Arial"/>
          <w:sz w:val="22"/>
          <w:szCs w:val="22"/>
        </w:rPr>
        <w:t xml:space="preserve">The names and contact details of people who may </w:t>
      </w:r>
      <w:r w:rsidR="00977B66">
        <w:rPr>
          <w:rFonts w:ascii="Arial" w:hAnsi="Arial" w:cs="Arial"/>
          <w:sz w:val="22"/>
          <w:szCs w:val="22"/>
        </w:rPr>
        <w:t xml:space="preserve">be </w:t>
      </w:r>
      <w:r w:rsidRPr="006A386F">
        <w:rPr>
          <w:rFonts w:ascii="Arial" w:hAnsi="Arial" w:cs="Arial"/>
          <w:sz w:val="22"/>
          <w:szCs w:val="22"/>
        </w:rPr>
        <w:t>contacted if any concerns or questions arise.</w:t>
      </w:r>
    </w:p>
    <w:p w14:paraId="2949A421" w14:textId="02B15095" w:rsidR="007139A4" w:rsidRDefault="0061669B" w:rsidP="007F596B">
      <w:pPr>
        <w:spacing w:line="480" w:lineRule="auto"/>
        <w:rPr>
          <w:rFonts w:ascii="Arial" w:hAnsi="Arial" w:cs="Arial"/>
          <w:sz w:val="22"/>
          <w:szCs w:val="22"/>
        </w:rPr>
      </w:pPr>
      <w:r>
        <w:rPr>
          <w:rFonts w:ascii="Arial" w:hAnsi="Arial" w:cs="Arial"/>
          <w:sz w:val="22"/>
          <w:szCs w:val="22"/>
        </w:rPr>
        <w:lastRenderedPageBreak/>
        <w:t>No follow</w:t>
      </w:r>
      <w:r w:rsidR="00977B66">
        <w:rPr>
          <w:rFonts w:ascii="Arial" w:hAnsi="Arial" w:cs="Arial"/>
          <w:sz w:val="22"/>
          <w:szCs w:val="22"/>
        </w:rPr>
        <w:t>-</w:t>
      </w:r>
      <w:r>
        <w:rPr>
          <w:rFonts w:ascii="Arial" w:hAnsi="Arial" w:cs="Arial"/>
          <w:sz w:val="22"/>
          <w:szCs w:val="22"/>
        </w:rPr>
        <w:t>up reminder</w:t>
      </w:r>
      <w:r w:rsidR="00977B66">
        <w:rPr>
          <w:rFonts w:ascii="Arial" w:hAnsi="Arial" w:cs="Arial"/>
          <w:sz w:val="22"/>
          <w:szCs w:val="22"/>
        </w:rPr>
        <w:t>s</w:t>
      </w:r>
      <w:r>
        <w:rPr>
          <w:rFonts w:ascii="Arial" w:hAnsi="Arial" w:cs="Arial"/>
          <w:sz w:val="22"/>
          <w:szCs w:val="22"/>
        </w:rPr>
        <w:t xml:space="preserve"> or chasing email</w:t>
      </w:r>
      <w:r w:rsidR="00977B66">
        <w:rPr>
          <w:rFonts w:ascii="Arial" w:hAnsi="Arial" w:cs="Arial"/>
          <w:sz w:val="22"/>
          <w:szCs w:val="22"/>
        </w:rPr>
        <w:t>s</w:t>
      </w:r>
      <w:r>
        <w:rPr>
          <w:rFonts w:ascii="Arial" w:hAnsi="Arial" w:cs="Arial"/>
          <w:sz w:val="22"/>
          <w:szCs w:val="22"/>
        </w:rPr>
        <w:t xml:space="preserve"> w</w:t>
      </w:r>
      <w:r w:rsidR="007860A9">
        <w:rPr>
          <w:rFonts w:ascii="Arial" w:hAnsi="Arial" w:cs="Arial"/>
          <w:sz w:val="22"/>
          <w:szCs w:val="22"/>
        </w:rPr>
        <w:t>ere</w:t>
      </w:r>
      <w:r>
        <w:rPr>
          <w:rFonts w:ascii="Arial" w:hAnsi="Arial" w:cs="Arial"/>
          <w:sz w:val="22"/>
          <w:szCs w:val="22"/>
        </w:rPr>
        <w:t xml:space="preserve"> sent</w:t>
      </w:r>
      <w:r w:rsidR="00C33FE3">
        <w:rPr>
          <w:rFonts w:ascii="Arial" w:hAnsi="Arial" w:cs="Arial"/>
          <w:sz w:val="22"/>
          <w:szCs w:val="22"/>
        </w:rPr>
        <w:t xml:space="preserve"> to the therapists. Care was taken to ensure that</w:t>
      </w:r>
      <w:r>
        <w:rPr>
          <w:rFonts w:ascii="Arial" w:hAnsi="Arial" w:cs="Arial"/>
          <w:sz w:val="22"/>
          <w:szCs w:val="22"/>
        </w:rPr>
        <w:t xml:space="preserve"> </w:t>
      </w:r>
      <w:r w:rsidR="00C33FE3">
        <w:rPr>
          <w:rFonts w:ascii="Arial" w:hAnsi="Arial" w:cs="Arial"/>
          <w:sz w:val="22"/>
          <w:szCs w:val="22"/>
        </w:rPr>
        <w:t>t</w:t>
      </w:r>
      <w:r>
        <w:rPr>
          <w:rFonts w:ascii="Arial" w:hAnsi="Arial" w:cs="Arial"/>
          <w:sz w:val="22"/>
          <w:szCs w:val="22"/>
        </w:rPr>
        <w:t>he participant information sheet and accompanying email informed t</w:t>
      </w:r>
      <w:r w:rsidR="00683B7C">
        <w:rPr>
          <w:rFonts w:ascii="Arial" w:hAnsi="Arial" w:cs="Arial"/>
          <w:sz w:val="22"/>
          <w:szCs w:val="22"/>
        </w:rPr>
        <w:t>herapists that they could withdraw their consent for their data to be used in this research</w:t>
      </w:r>
      <w:r w:rsidR="007860A9">
        <w:rPr>
          <w:rFonts w:ascii="Arial" w:hAnsi="Arial" w:cs="Arial"/>
          <w:sz w:val="22"/>
          <w:szCs w:val="22"/>
        </w:rPr>
        <w:t xml:space="preserve"> at any tim</w:t>
      </w:r>
      <w:r w:rsidR="00F96F6B">
        <w:rPr>
          <w:rFonts w:ascii="Arial" w:hAnsi="Arial" w:cs="Arial"/>
          <w:sz w:val="22"/>
          <w:szCs w:val="22"/>
        </w:rPr>
        <w:t>e.</w:t>
      </w:r>
      <w:r w:rsidR="00C33FE3">
        <w:rPr>
          <w:rFonts w:ascii="Arial" w:hAnsi="Arial" w:cs="Arial"/>
          <w:sz w:val="22"/>
          <w:szCs w:val="22"/>
        </w:rPr>
        <w:t xml:space="preserve"> </w:t>
      </w:r>
      <w:r w:rsidR="00F96F6B">
        <w:rPr>
          <w:rFonts w:ascii="Arial" w:hAnsi="Arial" w:cs="Arial"/>
          <w:sz w:val="22"/>
          <w:szCs w:val="22"/>
        </w:rPr>
        <w:t>Withdrawing consent could be done</w:t>
      </w:r>
      <w:r w:rsidR="00683B7C">
        <w:rPr>
          <w:rFonts w:ascii="Arial" w:hAnsi="Arial" w:cs="Arial"/>
          <w:sz w:val="22"/>
          <w:szCs w:val="22"/>
        </w:rPr>
        <w:t xml:space="preserve"> by informing the researcher or a named senior clinician employed by Ieso Digital Health. No therapists withdrew their consent in this research.  Therapists were asked if they would</w:t>
      </w:r>
      <w:r>
        <w:rPr>
          <w:rFonts w:ascii="Arial" w:hAnsi="Arial" w:cs="Arial"/>
          <w:sz w:val="22"/>
          <w:szCs w:val="22"/>
        </w:rPr>
        <w:t xml:space="preserve"> like</w:t>
      </w:r>
      <w:r w:rsidR="00683B7C">
        <w:rPr>
          <w:rFonts w:ascii="Arial" w:hAnsi="Arial" w:cs="Arial"/>
          <w:sz w:val="22"/>
          <w:szCs w:val="22"/>
        </w:rPr>
        <w:t xml:space="preserve"> to be kept informed of the findings from this research</w:t>
      </w:r>
      <w:r>
        <w:rPr>
          <w:rFonts w:ascii="Arial" w:hAnsi="Arial" w:cs="Arial"/>
          <w:sz w:val="22"/>
          <w:szCs w:val="22"/>
        </w:rPr>
        <w:t>. W</w:t>
      </w:r>
      <w:r w:rsidR="00683B7C">
        <w:rPr>
          <w:rFonts w:ascii="Arial" w:hAnsi="Arial" w:cs="Arial"/>
          <w:sz w:val="22"/>
          <w:szCs w:val="22"/>
        </w:rPr>
        <w:t>here a therapist ha</w:t>
      </w:r>
      <w:r>
        <w:rPr>
          <w:rFonts w:ascii="Arial" w:hAnsi="Arial" w:cs="Arial"/>
          <w:sz w:val="22"/>
          <w:szCs w:val="22"/>
        </w:rPr>
        <w:t>d</w:t>
      </w:r>
      <w:r w:rsidR="00683B7C">
        <w:rPr>
          <w:rFonts w:ascii="Arial" w:hAnsi="Arial" w:cs="Arial"/>
          <w:sz w:val="22"/>
          <w:szCs w:val="22"/>
        </w:rPr>
        <w:t xml:space="preserve"> indicated that they wished to be kept informed they have been provided with a summary of the findings and an opportunity to reflect on the potential impact of the findings on their practice with their clinical supervisor. The use of data to inform practice is routine practice in IAPT</w:t>
      </w:r>
      <w:r>
        <w:rPr>
          <w:rFonts w:ascii="Arial" w:hAnsi="Arial" w:cs="Arial"/>
          <w:sz w:val="22"/>
          <w:szCs w:val="22"/>
        </w:rPr>
        <w:t>,</w:t>
      </w:r>
      <w:r w:rsidR="00683B7C">
        <w:rPr>
          <w:rFonts w:ascii="Arial" w:hAnsi="Arial" w:cs="Arial"/>
          <w:sz w:val="22"/>
          <w:szCs w:val="22"/>
        </w:rPr>
        <w:t xml:space="preserve"> and at Ieso Digital Health</w:t>
      </w:r>
      <w:r>
        <w:rPr>
          <w:rFonts w:ascii="Arial" w:hAnsi="Arial" w:cs="Arial"/>
          <w:sz w:val="22"/>
          <w:szCs w:val="22"/>
        </w:rPr>
        <w:t>,</w:t>
      </w:r>
      <w:r w:rsidR="00683B7C">
        <w:rPr>
          <w:rFonts w:ascii="Arial" w:hAnsi="Arial" w:cs="Arial"/>
          <w:sz w:val="22"/>
          <w:szCs w:val="22"/>
        </w:rPr>
        <w:t xml:space="preserve"> therefore this process is unlikely to have been perceived as unusual, threatening or anxiety</w:t>
      </w:r>
      <w:r w:rsidR="00977B66">
        <w:rPr>
          <w:rFonts w:ascii="Arial" w:hAnsi="Arial" w:cs="Arial"/>
          <w:sz w:val="22"/>
          <w:szCs w:val="22"/>
        </w:rPr>
        <w:t>-</w:t>
      </w:r>
      <w:r w:rsidR="00683B7C">
        <w:rPr>
          <w:rFonts w:ascii="Arial" w:hAnsi="Arial" w:cs="Arial"/>
          <w:sz w:val="22"/>
          <w:szCs w:val="22"/>
        </w:rPr>
        <w:t>provoking. However,</w:t>
      </w:r>
      <w:r>
        <w:rPr>
          <w:rFonts w:ascii="Arial" w:hAnsi="Arial" w:cs="Arial"/>
          <w:sz w:val="22"/>
          <w:szCs w:val="22"/>
        </w:rPr>
        <w:t xml:space="preserve"> in the unlikely event that a therapist was concerned about this research</w:t>
      </w:r>
      <w:r w:rsidR="00977B66">
        <w:rPr>
          <w:rFonts w:ascii="Arial" w:hAnsi="Arial" w:cs="Arial"/>
          <w:sz w:val="22"/>
          <w:szCs w:val="22"/>
        </w:rPr>
        <w:t>,</w:t>
      </w:r>
      <w:r>
        <w:rPr>
          <w:rFonts w:ascii="Arial" w:hAnsi="Arial" w:cs="Arial"/>
          <w:sz w:val="22"/>
          <w:szCs w:val="22"/>
        </w:rPr>
        <w:t xml:space="preserve"> all</w:t>
      </w:r>
      <w:r w:rsidR="00683B7C">
        <w:rPr>
          <w:rFonts w:ascii="Arial" w:hAnsi="Arial" w:cs="Arial"/>
          <w:sz w:val="22"/>
          <w:szCs w:val="22"/>
        </w:rPr>
        <w:t xml:space="preserve"> </w:t>
      </w:r>
      <w:r>
        <w:rPr>
          <w:rFonts w:ascii="Arial" w:hAnsi="Arial" w:cs="Arial"/>
          <w:sz w:val="22"/>
          <w:szCs w:val="22"/>
        </w:rPr>
        <w:t>therapists were informed that support was available, if required, via any member of the clinical supervisory team, including their own clinical supervisor.</w:t>
      </w:r>
    </w:p>
    <w:p w14:paraId="676D113C" w14:textId="77777777" w:rsidR="00145326" w:rsidRDefault="00145326" w:rsidP="007F596B">
      <w:pPr>
        <w:spacing w:line="480" w:lineRule="auto"/>
        <w:rPr>
          <w:rFonts w:ascii="Arial" w:hAnsi="Arial" w:cs="Arial"/>
          <w:sz w:val="22"/>
          <w:szCs w:val="22"/>
        </w:rPr>
      </w:pPr>
    </w:p>
    <w:p w14:paraId="4988A2C5" w14:textId="6F501059" w:rsidR="007139A4" w:rsidRDefault="007139A4" w:rsidP="000D2D78">
      <w:pPr>
        <w:pStyle w:val="Heading3"/>
        <w:rPr>
          <w:rFonts w:cs="Arial"/>
          <w:color w:val="000000" w:themeColor="text1"/>
          <w:szCs w:val="22"/>
        </w:rPr>
      </w:pPr>
      <w:bookmarkStart w:id="272" w:name="_Toc46770791"/>
      <w:bookmarkStart w:id="273" w:name="_Toc79414202"/>
      <w:r w:rsidRPr="007139A4">
        <w:rPr>
          <w:rFonts w:cs="Arial"/>
          <w:color w:val="000000" w:themeColor="text1"/>
          <w:szCs w:val="22"/>
        </w:rPr>
        <w:t>4.3.2 Patients</w:t>
      </w:r>
      <w:bookmarkEnd w:id="272"/>
      <w:bookmarkEnd w:id="273"/>
    </w:p>
    <w:p w14:paraId="6D901107" w14:textId="77777777" w:rsidR="000D2D78" w:rsidRPr="000D2D78" w:rsidRDefault="000D2D78" w:rsidP="000D2D78"/>
    <w:p w14:paraId="4AB71EDC" w14:textId="4F75A1F1" w:rsidR="0061669B" w:rsidRDefault="00505BB8" w:rsidP="007F596B">
      <w:pPr>
        <w:spacing w:line="480" w:lineRule="auto"/>
        <w:rPr>
          <w:rFonts w:ascii="Arial" w:hAnsi="Arial" w:cs="Arial"/>
          <w:sz w:val="22"/>
          <w:szCs w:val="22"/>
        </w:rPr>
      </w:pPr>
      <w:r>
        <w:rPr>
          <w:rFonts w:ascii="Arial" w:hAnsi="Arial" w:cs="Arial"/>
          <w:sz w:val="22"/>
          <w:szCs w:val="22"/>
        </w:rPr>
        <w:t>Ieso Digital Health inform</w:t>
      </w:r>
      <w:r w:rsidR="009C6B41">
        <w:rPr>
          <w:rFonts w:ascii="Arial" w:hAnsi="Arial" w:cs="Arial"/>
          <w:sz w:val="22"/>
          <w:szCs w:val="22"/>
        </w:rPr>
        <w:t>s</w:t>
      </w:r>
      <w:r>
        <w:rPr>
          <w:rFonts w:ascii="Arial" w:hAnsi="Arial" w:cs="Arial"/>
          <w:sz w:val="22"/>
          <w:szCs w:val="22"/>
        </w:rPr>
        <w:t xml:space="preserve"> all patients that therapy transcripts and other data will be routinely reviewed by senior clinicians and clinical supervisors for quality control purposes, continuing professional development of the therapist and for research and development. All patients are asked to </w:t>
      </w:r>
      <w:r w:rsidR="00A05FFF">
        <w:rPr>
          <w:rFonts w:ascii="Arial" w:hAnsi="Arial" w:cs="Arial"/>
          <w:sz w:val="22"/>
          <w:szCs w:val="22"/>
        </w:rPr>
        <w:t>opt into</w:t>
      </w:r>
      <w:r w:rsidR="00756E66">
        <w:rPr>
          <w:rFonts w:ascii="Arial" w:hAnsi="Arial" w:cs="Arial"/>
          <w:sz w:val="22"/>
          <w:szCs w:val="22"/>
        </w:rPr>
        <w:t xml:space="preserve"> the use of their</w:t>
      </w:r>
      <w:r w:rsidR="00F15D93">
        <w:rPr>
          <w:rFonts w:ascii="Arial" w:hAnsi="Arial" w:cs="Arial"/>
          <w:sz w:val="22"/>
          <w:szCs w:val="22"/>
        </w:rPr>
        <w:t xml:space="preserve"> </w:t>
      </w:r>
      <w:r w:rsidR="00CE2DCC">
        <w:rPr>
          <w:rFonts w:ascii="Arial" w:hAnsi="Arial" w:cs="Arial"/>
          <w:sz w:val="22"/>
          <w:szCs w:val="22"/>
        </w:rPr>
        <w:t>data</w:t>
      </w:r>
      <w:r>
        <w:rPr>
          <w:rFonts w:ascii="Arial" w:hAnsi="Arial" w:cs="Arial"/>
          <w:sz w:val="22"/>
          <w:szCs w:val="22"/>
        </w:rPr>
        <w:t xml:space="preserve"> for these purposes.</w:t>
      </w:r>
      <w:r w:rsidR="007139A4">
        <w:rPr>
          <w:rFonts w:ascii="Arial" w:hAnsi="Arial" w:cs="Arial"/>
          <w:sz w:val="22"/>
          <w:szCs w:val="22"/>
        </w:rPr>
        <w:t xml:space="preserve"> </w:t>
      </w:r>
      <w:r w:rsidR="00CE2DCC">
        <w:rPr>
          <w:rFonts w:ascii="Arial" w:hAnsi="Arial" w:cs="Arial"/>
          <w:sz w:val="22"/>
          <w:szCs w:val="22"/>
        </w:rPr>
        <w:t>The opt in process is</w:t>
      </w:r>
      <w:r w:rsidR="007139A4">
        <w:rPr>
          <w:rFonts w:ascii="Arial" w:hAnsi="Arial" w:cs="Arial"/>
          <w:sz w:val="22"/>
          <w:szCs w:val="22"/>
        </w:rPr>
        <w:t xml:space="preserve"> collected and stored electronically using a </w:t>
      </w:r>
      <w:r w:rsidR="00977B66">
        <w:rPr>
          <w:rFonts w:ascii="Arial" w:hAnsi="Arial" w:cs="Arial"/>
          <w:sz w:val="22"/>
          <w:szCs w:val="22"/>
        </w:rPr>
        <w:t>tick box</w:t>
      </w:r>
      <w:r w:rsidR="007139A4">
        <w:rPr>
          <w:rFonts w:ascii="Arial" w:hAnsi="Arial" w:cs="Arial"/>
          <w:sz w:val="22"/>
          <w:szCs w:val="22"/>
        </w:rPr>
        <w:t xml:space="preserve"> declaration following </w:t>
      </w:r>
      <w:r w:rsidR="00FC3C24">
        <w:rPr>
          <w:rFonts w:ascii="Arial" w:hAnsi="Arial" w:cs="Arial"/>
          <w:sz w:val="22"/>
          <w:szCs w:val="22"/>
        </w:rPr>
        <w:t>guidance and regulations stipulated by NHS England under the auspices of the IAPT programme (NHS Digital, 2019</w:t>
      </w:r>
      <w:r w:rsidR="0039466E">
        <w:rPr>
          <w:rFonts w:ascii="Arial" w:hAnsi="Arial" w:cs="Arial"/>
          <w:sz w:val="22"/>
          <w:szCs w:val="22"/>
        </w:rPr>
        <w:t xml:space="preserve"> a,b,c,d,e)</w:t>
      </w:r>
      <w:r w:rsidR="007139A4">
        <w:rPr>
          <w:rFonts w:ascii="Arial" w:hAnsi="Arial" w:cs="Arial"/>
          <w:sz w:val="22"/>
          <w:szCs w:val="22"/>
        </w:rPr>
        <w:t>.  Patients are aware that they may withdraw consent at any time and can do so by notifying the Data Protection Officer</w:t>
      </w:r>
      <w:r w:rsidR="00683B7C">
        <w:rPr>
          <w:rFonts w:ascii="Arial" w:hAnsi="Arial" w:cs="Arial"/>
          <w:sz w:val="22"/>
          <w:szCs w:val="22"/>
        </w:rPr>
        <w:t xml:space="preserve"> at Ieso Digital Health</w:t>
      </w:r>
      <w:r w:rsidR="007D4A28">
        <w:rPr>
          <w:rFonts w:ascii="Arial" w:hAnsi="Arial" w:cs="Arial"/>
          <w:sz w:val="22"/>
          <w:szCs w:val="22"/>
        </w:rPr>
        <w:t xml:space="preserve"> or by using the NHS opt out service.</w:t>
      </w:r>
      <w:r w:rsidR="00683B7C">
        <w:rPr>
          <w:rFonts w:ascii="Arial" w:hAnsi="Arial" w:cs="Arial"/>
          <w:sz w:val="22"/>
          <w:szCs w:val="22"/>
        </w:rPr>
        <w:t xml:space="preserve"> No patients withdrew their consent in this research.</w:t>
      </w:r>
      <w:r>
        <w:rPr>
          <w:rFonts w:ascii="Arial" w:hAnsi="Arial" w:cs="Arial"/>
          <w:sz w:val="22"/>
          <w:szCs w:val="22"/>
        </w:rPr>
        <w:t xml:space="preserve"> </w:t>
      </w:r>
    </w:p>
    <w:p w14:paraId="025740A4" w14:textId="0FF45914" w:rsidR="00C33FE3" w:rsidRDefault="00C33FE3" w:rsidP="007F596B">
      <w:pPr>
        <w:spacing w:line="480" w:lineRule="auto"/>
        <w:rPr>
          <w:rFonts w:ascii="Arial" w:hAnsi="Arial" w:cs="Arial"/>
          <w:sz w:val="22"/>
          <w:szCs w:val="22"/>
        </w:rPr>
      </w:pPr>
    </w:p>
    <w:p w14:paraId="77688FD7" w14:textId="57841766" w:rsidR="00CF2039" w:rsidRPr="00D238AD" w:rsidRDefault="002C7C26" w:rsidP="00D238AD">
      <w:pPr>
        <w:spacing w:line="480" w:lineRule="auto"/>
        <w:rPr>
          <w:rFonts w:ascii="Arial" w:hAnsi="Arial" w:cs="Arial"/>
          <w:sz w:val="22"/>
          <w:szCs w:val="22"/>
        </w:rPr>
      </w:pPr>
      <w:r>
        <w:rPr>
          <w:rFonts w:ascii="Arial" w:hAnsi="Arial" w:cs="Arial"/>
          <w:sz w:val="22"/>
          <w:szCs w:val="22"/>
        </w:rPr>
        <w:lastRenderedPageBreak/>
        <w:t>IAPT collect anonymised patient data in the form of patient demographics, and outcome data. This data is available in the public domain via the website https:www.nhs.uk</w:t>
      </w:r>
      <w:r w:rsidR="000D2D78">
        <w:rPr>
          <w:rFonts w:ascii="Arial" w:hAnsi="Arial" w:cs="Arial"/>
          <w:sz w:val="22"/>
          <w:szCs w:val="22"/>
        </w:rPr>
        <w:t>.</w:t>
      </w:r>
      <w:r>
        <w:rPr>
          <w:rFonts w:ascii="Arial" w:hAnsi="Arial" w:cs="Arial"/>
          <w:sz w:val="22"/>
          <w:szCs w:val="22"/>
        </w:rPr>
        <w:t xml:space="preserve"> </w:t>
      </w:r>
      <w:r w:rsidR="000D2D78">
        <w:rPr>
          <w:rFonts w:ascii="Arial" w:hAnsi="Arial" w:cs="Arial"/>
          <w:sz w:val="22"/>
          <w:szCs w:val="22"/>
        </w:rPr>
        <w:t>R</w:t>
      </w:r>
      <w:r>
        <w:rPr>
          <w:rFonts w:ascii="Arial" w:hAnsi="Arial" w:cs="Arial"/>
          <w:sz w:val="22"/>
          <w:szCs w:val="22"/>
        </w:rPr>
        <w:t xml:space="preserve">esearch and development </w:t>
      </w:r>
      <w:r w:rsidR="000D2D78">
        <w:rPr>
          <w:rFonts w:ascii="Arial" w:hAnsi="Arial" w:cs="Arial"/>
          <w:sz w:val="22"/>
          <w:szCs w:val="22"/>
        </w:rPr>
        <w:t xml:space="preserve">are </w:t>
      </w:r>
      <w:r>
        <w:rPr>
          <w:rFonts w:ascii="Arial" w:hAnsi="Arial" w:cs="Arial"/>
          <w:sz w:val="22"/>
          <w:szCs w:val="22"/>
        </w:rPr>
        <w:t>considered to be an integral part of IAPT (Clark, 2011)</w:t>
      </w:r>
      <w:r w:rsidR="000D2D78">
        <w:rPr>
          <w:rFonts w:ascii="Arial" w:hAnsi="Arial" w:cs="Arial"/>
          <w:sz w:val="22"/>
          <w:szCs w:val="22"/>
        </w:rPr>
        <w:t xml:space="preserve"> and</w:t>
      </w:r>
      <w:r>
        <w:rPr>
          <w:rFonts w:ascii="Arial" w:hAnsi="Arial" w:cs="Arial"/>
          <w:sz w:val="22"/>
          <w:szCs w:val="22"/>
        </w:rPr>
        <w:t xml:space="preserve"> </w:t>
      </w:r>
      <w:r w:rsidR="000D2D78">
        <w:rPr>
          <w:rFonts w:ascii="Arial" w:hAnsi="Arial" w:cs="Arial"/>
          <w:sz w:val="22"/>
          <w:szCs w:val="22"/>
        </w:rPr>
        <w:t>s</w:t>
      </w:r>
      <w:r>
        <w:rPr>
          <w:rFonts w:ascii="Arial" w:hAnsi="Arial" w:cs="Arial"/>
          <w:sz w:val="22"/>
          <w:szCs w:val="22"/>
        </w:rPr>
        <w:t xml:space="preserve">ervices are required to request </w:t>
      </w:r>
      <w:r w:rsidR="00377C1E">
        <w:rPr>
          <w:rFonts w:ascii="Arial" w:hAnsi="Arial" w:cs="Arial"/>
          <w:sz w:val="22"/>
          <w:szCs w:val="22"/>
        </w:rPr>
        <w:t>patients opt in</w:t>
      </w:r>
      <w:r>
        <w:rPr>
          <w:rFonts w:ascii="Arial" w:hAnsi="Arial" w:cs="Arial"/>
          <w:sz w:val="22"/>
          <w:szCs w:val="22"/>
        </w:rPr>
        <w:t xml:space="preserve"> for their</w:t>
      </w:r>
      <w:r w:rsidR="00377C1E">
        <w:rPr>
          <w:rFonts w:ascii="Arial" w:hAnsi="Arial" w:cs="Arial"/>
          <w:sz w:val="22"/>
          <w:szCs w:val="22"/>
        </w:rPr>
        <w:t xml:space="preserve"> deidentified</w:t>
      </w:r>
      <w:r>
        <w:rPr>
          <w:rFonts w:ascii="Arial" w:hAnsi="Arial" w:cs="Arial"/>
          <w:sz w:val="22"/>
          <w:szCs w:val="22"/>
        </w:rPr>
        <w:t xml:space="preserve"> data to be used for these purposes </w:t>
      </w:r>
      <w:r w:rsidR="000D2D78">
        <w:rPr>
          <w:rFonts w:ascii="Arial" w:hAnsi="Arial" w:cs="Arial"/>
          <w:sz w:val="22"/>
          <w:szCs w:val="22"/>
        </w:rPr>
        <w:t>(Clark, 2011</w:t>
      </w:r>
      <w:r w:rsidR="00377C1E">
        <w:rPr>
          <w:rFonts w:ascii="Arial" w:hAnsi="Arial" w:cs="Arial"/>
          <w:sz w:val="22"/>
          <w:szCs w:val="22"/>
        </w:rPr>
        <w:t>, NHS Digital, 2019,b,c,d,e</w:t>
      </w:r>
      <w:r w:rsidR="000D2D78">
        <w:rPr>
          <w:rFonts w:ascii="Arial" w:hAnsi="Arial" w:cs="Arial"/>
          <w:sz w:val="22"/>
          <w:szCs w:val="22"/>
        </w:rPr>
        <w:t>)</w:t>
      </w:r>
      <w:r>
        <w:rPr>
          <w:rFonts w:ascii="Arial" w:hAnsi="Arial" w:cs="Arial"/>
          <w:sz w:val="22"/>
          <w:szCs w:val="22"/>
        </w:rPr>
        <w:t>.  This data is defined as the minimum data set and includes patient gender, age, disability status, geographical location (Clinical Commissioning Group area) ethnicity, outcome measure scores and the primary presenting problem that was treated. Th</w:t>
      </w:r>
      <w:r w:rsidR="00377C1E">
        <w:rPr>
          <w:rFonts w:ascii="Arial" w:hAnsi="Arial" w:cs="Arial"/>
          <w:sz w:val="22"/>
          <w:szCs w:val="22"/>
        </w:rPr>
        <w:t>e</w:t>
      </w:r>
      <w:r>
        <w:rPr>
          <w:rFonts w:ascii="Arial" w:hAnsi="Arial" w:cs="Arial"/>
          <w:sz w:val="22"/>
          <w:szCs w:val="22"/>
        </w:rPr>
        <w:t xml:space="preserve"> research </w:t>
      </w:r>
      <w:r w:rsidR="00377C1E">
        <w:rPr>
          <w:rFonts w:ascii="Arial" w:hAnsi="Arial" w:cs="Arial"/>
          <w:sz w:val="22"/>
          <w:szCs w:val="22"/>
        </w:rPr>
        <w:t xml:space="preserve">reported in this thesis </w:t>
      </w:r>
      <w:r>
        <w:rPr>
          <w:rFonts w:ascii="Arial" w:hAnsi="Arial" w:cs="Arial"/>
          <w:sz w:val="22"/>
          <w:szCs w:val="22"/>
        </w:rPr>
        <w:t>used the patient age, gender and PHQ-9 and GAD-7 score at the start of treatment.</w:t>
      </w:r>
      <w:r w:rsidR="00EE2A60">
        <w:rPr>
          <w:rFonts w:ascii="Arial" w:hAnsi="Arial" w:cs="Arial"/>
          <w:sz w:val="22"/>
          <w:szCs w:val="22"/>
        </w:rPr>
        <w:t xml:space="preserve">  </w:t>
      </w:r>
      <w:r w:rsidR="00D238AD">
        <w:rPr>
          <w:rFonts w:ascii="Arial" w:hAnsi="Arial" w:cs="Arial"/>
          <w:sz w:val="22"/>
          <w:szCs w:val="22"/>
        </w:rPr>
        <w:br/>
      </w:r>
    </w:p>
    <w:p w14:paraId="00E4F5C4" w14:textId="6C1EDF47" w:rsidR="00C33FE3" w:rsidRDefault="00C33FE3" w:rsidP="00C33FE3">
      <w:pPr>
        <w:pStyle w:val="Heading3"/>
        <w:rPr>
          <w:rFonts w:cs="Arial"/>
          <w:color w:val="000000" w:themeColor="text1"/>
          <w:szCs w:val="22"/>
        </w:rPr>
      </w:pPr>
      <w:bookmarkStart w:id="274" w:name="_Toc46770792"/>
      <w:bookmarkStart w:id="275" w:name="_Toc79414203"/>
      <w:r w:rsidRPr="00C33FE3">
        <w:rPr>
          <w:rFonts w:cs="Arial"/>
          <w:color w:val="000000" w:themeColor="text1"/>
          <w:szCs w:val="22"/>
        </w:rPr>
        <w:t>4.3.3 Information Security</w:t>
      </w:r>
      <w:bookmarkEnd w:id="274"/>
      <w:bookmarkEnd w:id="275"/>
    </w:p>
    <w:p w14:paraId="70EE65B4" w14:textId="77777777" w:rsidR="00C33FE3" w:rsidRPr="00C33FE3" w:rsidRDefault="00C33FE3" w:rsidP="00C33FE3"/>
    <w:p w14:paraId="7C0FFF19" w14:textId="31833ACD" w:rsidR="00C33FE3" w:rsidRDefault="00C33FE3" w:rsidP="007F596B">
      <w:pPr>
        <w:spacing w:line="480" w:lineRule="auto"/>
        <w:rPr>
          <w:rFonts w:ascii="Arial" w:hAnsi="Arial" w:cs="Arial"/>
          <w:sz w:val="22"/>
          <w:szCs w:val="22"/>
        </w:rPr>
      </w:pPr>
      <w:r>
        <w:rPr>
          <w:rFonts w:ascii="Arial" w:hAnsi="Arial" w:cs="Arial"/>
          <w:sz w:val="22"/>
          <w:szCs w:val="22"/>
        </w:rPr>
        <w:t>This research was conducted using therapy transcripts that have derived from online therapy sessions using the Ieso Digital Health platform</w:t>
      </w:r>
      <w:r w:rsidR="00C109B9">
        <w:rPr>
          <w:rFonts w:ascii="Arial" w:hAnsi="Arial" w:cs="Arial"/>
          <w:sz w:val="22"/>
          <w:szCs w:val="22"/>
        </w:rPr>
        <w:t xml:space="preserve"> as a normal and routine part of service delivery.  As part of normal practice</w:t>
      </w:r>
      <w:r w:rsidR="00030708">
        <w:rPr>
          <w:rFonts w:ascii="Arial" w:hAnsi="Arial" w:cs="Arial"/>
          <w:sz w:val="22"/>
          <w:szCs w:val="22"/>
        </w:rPr>
        <w:t>,</w:t>
      </w:r>
      <w:r w:rsidR="00C109B9">
        <w:rPr>
          <w:rFonts w:ascii="Arial" w:hAnsi="Arial" w:cs="Arial"/>
          <w:sz w:val="22"/>
          <w:szCs w:val="22"/>
        </w:rPr>
        <w:t xml:space="preserve"> the therapy is quality controlled by rating therapist</w:t>
      </w:r>
      <w:r w:rsidR="000A2690">
        <w:rPr>
          <w:rFonts w:ascii="Arial" w:hAnsi="Arial" w:cs="Arial"/>
          <w:sz w:val="22"/>
          <w:szCs w:val="22"/>
        </w:rPr>
        <w:t>s’</w:t>
      </w:r>
      <w:r w:rsidR="00C109B9">
        <w:rPr>
          <w:rFonts w:ascii="Arial" w:hAnsi="Arial" w:cs="Arial"/>
          <w:sz w:val="22"/>
          <w:szCs w:val="22"/>
        </w:rPr>
        <w:t xml:space="preserve"> competence and adherence</w:t>
      </w:r>
      <w:r w:rsidR="000A2690">
        <w:rPr>
          <w:rFonts w:ascii="Arial" w:hAnsi="Arial" w:cs="Arial"/>
          <w:sz w:val="22"/>
          <w:szCs w:val="22"/>
        </w:rPr>
        <w:t xml:space="preserve"> to NICE and Roth and Pilling (</w:t>
      </w:r>
      <w:r w:rsidR="007D5E60">
        <w:rPr>
          <w:rFonts w:ascii="Arial" w:hAnsi="Arial" w:cs="Arial"/>
          <w:sz w:val="22"/>
          <w:szCs w:val="22"/>
        </w:rPr>
        <w:t>2007,2008)</w:t>
      </w:r>
      <w:r w:rsidR="000A2690">
        <w:rPr>
          <w:rFonts w:ascii="Arial" w:hAnsi="Arial" w:cs="Arial"/>
          <w:sz w:val="22"/>
          <w:szCs w:val="22"/>
        </w:rPr>
        <w:t xml:space="preserve"> guidelines</w:t>
      </w:r>
      <w:r w:rsidR="007D5E60">
        <w:rPr>
          <w:rFonts w:ascii="Arial" w:hAnsi="Arial" w:cs="Arial"/>
          <w:sz w:val="22"/>
          <w:szCs w:val="22"/>
        </w:rPr>
        <w:t>.</w:t>
      </w:r>
      <w:r>
        <w:rPr>
          <w:rFonts w:ascii="Arial" w:hAnsi="Arial" w:cs="Arial"/>
          <w:sz w:val="22"/>
          <w:szCs w:val="22"/>
        </w:rPr>
        <w:t xml:space="preserve">  Ieso Digital Health follow internationally recognised standards for information security under ISO27001 certification (see </w:t>
      </w:r>
      <w:hyperlink r:id="rId52" w:history="1">
        <w:r w:rsidR="006D723A" w:rsidRPr="00787591">
          <w:rPr>
            <w:rStyle w:val="Hyperlink"/>
            <w:rFonts w:ascii="Arial" w:hAnsi="Arial" w:cs="Arial"/>
            <w:sz w:val="22"/>
            <w:szCs w:val="22"/>
          </w:rPr>
          <w:t>https://www.iso.org/isoiec-27001-information-security.html</w:t>
        </w:r>
      </w:hyperlink>
      <w:r>
        <w:rPr>
          <w:rFonts w:ascii="Arial" w:hAnsi="Arial" w:cs="Arial"/>
          <w:sz w:val="22"/>
          <w:szCs w:val="22"/>
        </w:rPr>
        <w:t>)</w:t>
      </w:r>
      <w:r w:rsidR="006D723A">
        <w:rPr>
          <w:rFonts w:ascii="Arial" w:hAnsi="Arial" w:cs="Arial"/>
          <w:sz w:val="22"/>
          <w:szCs w:val="22"/>
        </w:rPr>
        <w:t xml:space="preserve">. The company is audited annually in order to retain certification. In addition, Ieso Digital Health are mandated to adhere to the NHS Digital Data Security and Protection Toolkit Standard 2019-20 (see </w:t>
      </w:r>
      <w:hyperlink r:id="rId53" w:history="1">
        <w:r w:rsidR="006D723A" w:rsidRPr="00787591">
          <w:rPr>
            <w:rStyle w:val="Hyperlink"/>
            <w:rFonts w:ascii="Arial" w:hAnsi="Arial" w:cs="Arial"/>
            <w:sz w:val="22"/>
            <w:szCs w:val="22"/>
          </w:rPr>
          <w:t>https://www.dsptoolkit.nhs.uk</w:t>
        </w:r>
      </w:hyperlink>
      <w:r w:rsidR="006D723A">
        <w:rPr>
          <w:rFonts w:ascii="Arial" w:hAnsi="Arial" w:cs="Arial"/>
          <w:sz w:val="22"/>
          <w:szCs w:val="22"/>
        </w:rPr>
        <w:t xml:space="preserve">). Ieso Digital Health also has Cyber Essential Plus accreditation (see </w:t>
      </w:r>
      <w:r w:rsidR="006D723A" w:rsidRPr="006D723A">
        <w:rPr>
          <w:rFonts w:ascii="Arial" w:hAnsi="Arial" w:cs="Arial"/>
          <w:sz w:val="22"/>
          <w:szCs w:val="22"/>
        </w:rPr>
        <w:t>https://www.cyberessentials.ncsc.gov.uk</w:t>
      </w:r>
      <w:r w:rsidR="006D723A">
        <w:rPr>
          <w:rFonts w:ascii="Arial" w:hAnsi="Arial" w:cs="Arial"/>
          <w:sz w:val="22"/>
          <w:szCs w:val="22"/>
        </w:rPr>
        <w:t>).</w:t>
      </w:r>
    </w:p>
    <w:p w14:paraId="08173F1B" w14:textId="77777777" w:rsidR="0061669B" w:rsidRDefault="0061669B" w:rsidP="007F596B">
      <w:pPr>
        <w:spacing w:line="480" w:lineRule="auto"/>
        <w:rPr>
          <w:rFonts w:ascii="Arial" w:hAnsi="Arial" w:cs="Arial"/>
          <w:sz w:val="22"/>
          <w:szCs w:val="22"/>
        </w:rPr>
      </w:pPr>
    </w:p>
    <w:p w14:paraId="78709EF8" w14:textId="72D15FF5" w:rsidR="0061669B" w:rsidRDefault="0061669B" w:rsidP="0061669B">
      <w:pPr>
        <w:pStyle w:val="Heading3"/>
        <w:rPr>
          <w:rFonts w:cs="Arial"/>
          <w:color w:val="000000" w:themeColor="text1"/>
          <w:szCs w:val="22"/>
        </w:rPr>
      </w:pPr>
      <w:bookmarkStart w:id="276" w:name="_Toc46770793"/>
      <w:bookmarkStart w:id="277" w:name="_Toc79414204"/>
      <w:r w:rsidRPr="0061669B">
        <w:rPr>
          <w:rFonts w:cs="Arial"/>
          <w:color w:val="000000" w:themeColor="text1"/>
          <w:szCs w:val="22"/>
        </w:rPr>
        <w:t>4.3.</w:t>
      </w:r>
      <w:r w:rsidR="00AD0A0A">
        <w:rPr>
          <w:rFonts w:cs="Arial"/>
          <w:color w:val="000000" w:themeColor="text1"/>
          <w:szCs w:val="22"/>
        </w:rPr>
        <w:t>4</w:t>
      </w:r>
      <w:r w:rsidRPr="0061669B">
        <w:rPr>
          <w:rFonts w:cs="Arial"/>
          <w:color w:val="000000" w:themeColor="text1"/>
          <w:szCs w:val="22"/>
        </w:rPr>
        <w:t xml:space="preserve"> Research design</w:t>
      </w:r>
      <w:r w:rsidR="00870E9D">
        <w:rPr>
          <w:rFonts w:cs="Arial"/>
          <w:color w:val="000000" w:themeColor="text1"/>
          <w:szCs w:val="22"/>
        </w:rPr>
        <w:t xml:space="preserve"> and methods</w:t>
      </w:r>
      <w:bookmarkEnd w:id="276"/>
      <w:bookmarkEnd w:id="277"/>
    </w:p>
    <w:p w14:paraId="6B9A5414" w14:textId="77777777" w:rsidR="0061669B" w:rsidRPr="0061669B" w:rsidRDefault="0061669B" w:rsidP="0061669B"/>
    <w:p w14:paraId="1D1770AB" w14:textId="7AC764A8" w:rsidR="00B02A4D" w:rsidRDefault="00C33FE3" w:rsidP="00C33FE3">
      <w:pPr>
        <w:spacing w:line="480" w:lineRule="auto"/>
        <w:rPr>
          <w:rFonts w:ascii="Arial" w:hAnsi="Arial" w:cs="Arial"/>
          <w:sz w:val="22"/>
          <w:szCs w:val="22"/>
        </w:rPr>
      </w:pPr>
      <w:r>
        <w:rPr>
          <w:rFonts w:ascii="Arial" w:hAnsi="Arial" w:cs="Arial"/>
          <w:sz w:val="22"/>
          <w:szCs w:val="22"/>
        </w:rPr>
        <w:t xml:space="preserve">The researcher is aware </w:t>
      </w:r>
      <w:r w:rsidR="006D723A">
        <w:rPr>
          <w:rFonts w:ascii="Arial" w:hAnsi="Arial" w:cs="Arial"/>
          <w:sz w:val="22"/>
          <w:szCs w:val="22"/>
        </w:rPr>
        <w:t>of</w:t>
      </w:r>
      <w:r>
        <w:rPr>
          <w:rFonts w:ascii="Arial" w:hAnsi="Arial" w:cs="Arial"/>
          <w:sz w:val="22"/>
          <w:szCs w:val="22"/>
        </w:rPr>
        <w:t xml:space="preserve"> their position</w:t>
      </w:r>
      <w:r w:rsidR="006D723A">
        <w:rPr>
          <w:rFonts w:ascii="Arial" w:hAnsi="Arial" w:cs="Arial"/>
          <w:sz w:val="22"/>
          <w:szCs w:val="22"/>
        </w:rPr>
        <w:t xml:space="preserve"> of privilege and power,</w:t>
      </w:r>
      <w:r>
        <w:rPr>
          <w:rFonts w:ascii="Arial" w:hAnsi="Arial" w:cs="Arial"/>
          <w:sz w:val="22"/>
          <w:szCs w:val="22"/>
        </w:rPr>
        <w:t xml:space="preserve"> as both an insider researcher and a senior </w:t>
      </w:r>
      <w:r w:rsidR="00356546">
        <w:rPr>
          <w:rFonts w:ascii="Arial" w:hAnsi="Arial" w:cs="Arial"/>
          <w:sz w:val="22"/>
          <w:szCs w:val="22"/>
        </w:rPr>
        <w:t>leader</w:t>
      </w:r>
      <w:r>
        <w:rPr>
          <w:rFonts w:ascii="Arial" w:hAnsi="Arial" w:cs="Arial"/>
          <w:sz w:val="22"/>
          <w:szCs w:val="22"/>
        </w:rPr>
        <w:t xml:space="preserve"> in the research setting</w:t>
      </w:r>
      <w:r w:rsidR="006D723A">
        <w:rPr>
          <w:rFonts w:ascii="Arial" w:hAnsi="Arial" w:cs="Arial"/>
          <w:sz w:val="22"/>
          <w:szCs w:val="22"/>
        </w:rPr>
        <w:t xml:space="preserve">. </w:t>
      </w:r>
      <w:r w:rsidR="0012053B">
        <w:rPr>
          <w:rFonts w:ascii="Arial" w:hAnsi="Arial" w:cs="Arial"/>
          <w:sz w:val="22"/>
          <w:szCs w:val="22"/>
        </w:rPr>
        <w:t xml:space="preserve">Care was taken to consider the impact of herself on the research and on those being researched (the therapists). This involved discussions with therapists and with staff at Ieso Digital Health, in order to ascertain </w:t>
      </w:r>
      <w:r w:rsidR="0012053B">
        <w:rPr>
          <w:rFonts w:ascii="Arial" w:hAnsi="Arial" w:cs="Arial"/>
          <w:sz w:val="22"/>
          <w:szCs w:val="22"/>
        </w:rPr>
        <w:lastRenderedPageBreak/>
        <w:t xml:space="preserve">how this research might be perceived by </w:t>
      </w:r>
      <w:r w:rsidR="00356546">
        <w:rPr>
          <w:rFonts w:ascii="Arial" w:hAnsi="Arial" w:cs="Arial"/>
          <w:sz w:val="22"/>
          <w:szCs w:val="22"/>
        </w:rPr>
        <w:t>therapists</w:t>
      </w:r>
      <w:r w:rsidR="0012053B">
        <w:rPr>
          <w:rFonts w:ascii="Arial" w:hAnsi="Arial" w:cs="Arial"/>
          <w:sz w:val="22"/>
          <w:szCs w:val="22"/>
        </w:rPr>
        <w:t xml:space="preserve"> and how it may impact on them. The ethics of being in a position of trust are not to be understated. Therefore, it </w:t>
      </w:r>
      <w:r w:rsidR="00507B05">
        <w:rPr>
          <w:rFonts w:ascii="Arial" w:hAnsi="Arial" w:cs="Arial"/>
          <w:sz w:val="22"/>
          <w:szCs w:val="22"/>
        </w:rPr>
        <w:t xml:space="preserve">was </w:t>
      </w:r>
      <w:r w:rsidR="0012053B">
        <w:rPr>
          <w:rFonts w:ascii="Arial" w:hAnsi="Arial" w:cs="Arial"/>
          <w:sz w:val="22"/>
          <w:szCs w:val="22"/>
        </w:rPr>
        <w:t>important to ensure that both therapists and staff members were assured that the motives for this research were benevolent and the overarching aims of the research were clear and understandable (</w:t>
      </w:r>
      <w:r w:rsidR="008034D9">
        <w:rPr>
          <w:rFonts w:ascii="Arial" w:hAnsi="Arial" w:cs="Arial"/>
          <w:sz w:val="22"/>
          <w:szCs w:val="22"/>
        </w:rPr>
        <w:t>Costley, Elliott and Gibbs</w:t>
      </w:r>
      <w:r w:rsidR="0012053B">
        <w:rPr>
          <w:rFonts w:ascii="Arial" w:hAnsi="Arial" w:cs="Arial"/>
          <w:sz w:val="22"/>
          <w:szCs w:val="22"/>
        </w:rPr>
        <w:t>,</w:t>
      </w:r>
      <w:r w:rsidR="008034D9">
        <w:rPr>
          <w:rFonts w:ascii="Arial" w:hAnsi="Arial" w:cs="Arial"/>
          <w:sz w:val="22"/>
          <w:szCs w:val="22"/>
        </w:rPr>
        <w:t xml:space="preserve"> 2013</w:t>
      </w:r>
      <w:r w:rsidR="0012053B">
        <w:rPr>
          <w:rFonts w:ascii="Arial" w:hAnsi="Arial" w:cs="Arial"/>
          <w:sz w:val="22"/>
          <w:szCs w:val="22"/>
        </w:rPr>
        <w:t>).</w:t>
      </w:r>
      <w:r>
        <w:rPr>
          <w:rFonts w:ascii="Arial" w:hAnsi="Arial" w:cs="Arial"/>
          <w:sz w:val="22"/>
          <w:szCs w:val="22"/>
        </w:rPr>
        <w:t xml:space="preserve"> </w:t>
      </w:r>
      <w:r w:rsidR="0012053B">
        <w:rPr>
          <w:rFonts w:ascii="Arial" w:hAnsi="Arial" w:cs="Arial"/>
          <w:sz w:val="22"/>
          <w:szCs w:val="22"/>
        </w:rPr>
        <w:t>Furthermore, it was important that both participants and staff members felt confi</w:t>
      </w:r>
      <w:r w:rsidR="00B02A4D">
        <w:rPr>
          <w:rFonts w:ascii="Arial" w:hAnsi="Arial" w:cs="Arial"/>
          <w:sz w:val="22"/>
          <w:szCs w:val="22"/>
        </w:rPr>
        <w:t>d</w:t>
      </w:r>
      <w:r w:rsidR="0012053B">
        <w:rPr>
          <w:rFonts w:ascii="Arial" w:hAnsi="Arial" w:cs="Arial"/>
          <w:sz w:val="22"/>
          <w:szCs w:val="22"/>
        </w:rPr>
        <w:t xml:space="preserve">ent that </w:t>
      </w:r>
      <w:r w:rsidR="00B02A4D">
        <w:rPr>
          <w:rFonts w:ascii="Arial" w:hAnsi="Arial" w:cs="Arial"/>
          <w:sz w:val="22"/>
          <w:szCs w:val="22"/>
        </w:rPr>
        <w:t xml:space="preserve">this research employed sound scientific principles, (Schulz, Altman and Moher, 2010).  As the researcher was in a position of power, within the research setting, it was important to ensure that the research design incorporated reasonable steps to minimise the impact of power or influence on those being researched or on those who were otherwise involved in this research. </w:t>
      </w:r>
      <w:r w:rsidR="00870E9D">
        <w:rPr>
          <w:rFonts w:ascii="Arial" w:hAnsi="Arial" w:cs="Arial"/>
          <w:sz w:val="22"/>
          <w:szCs w:val="22"/>
        </w:rPr>
        <w:t xml:space="preserve">Whilst it is unlikely that all influence was removed, the research design and methods </w:t>
      </w:r>
      <w:r w:rsidR="00E05DCF">
        <w:rPr>
          <w:rFonts w:ascii="Arial" w:hAnsi="Arial" w:cs="Arial"/>
          <w:sz w:val="22"/>
          <w:szCs w:val="22"/>
        </w:rPr>
        <w:t xml:space="preserve">attempted to reduce influence as </w:t>
      </w:r>
      <w:r w:rsidR="00DA3395">
        <w:rPr>
          <w:rFonts w:ascii="Arial" w:hAnsi="Arial" w:cs="Arial"/>
          <w:sz w:val="22"/>
          <w:szCs w:val="22"/>
        </w:rPr>
        <w:t xml:space="preserve">far as this was </w:t>
      </w:r>
      <w:r w:rsidR="00E05DCF">
        <w:rPr>
          <w:rFonts w:ascii="Arial" w:hAnsi="Arial" w:cs="Arial"/>
          <w:sz w:val="22"/>
          <w:szCs w:val="22"/>
        </w:rPr>
        <w:t>possible. These included adopting familiar research methodology, design and methods, provision of inter-rater reliability training, using data that was collected retrospectively (with the exception of the therapist demographic data that was collected after the therapist had consented to participate), providing a clear explanation of the research together with the research question, maintaining a stance of benevolence, resisting attempts to coerce therapists (or other staff) to participate.</w:t>
      </w:r>
    </w:p>
    <w:p w14:paraId="34932CCF" w14:textId="77777777" w:rsidR="009C6B41" w:rsidRDefault="009C6B41" w:rsidP="00C33FE3">
      <w:pPr>
        <w:spacing w:line="480" w:lineRule="auto"/>
        <w:rPr>
          <w:rFonts w:ascii="Arial" w:hAnsi="Arial" w:cs="Arial"/>
          <w:sz w:val="22"/>
          <w:szCs w:val="22"/>
        </w:rPr>
      </w:pPr>
    </w:p>
    <w:p w14:paraId="176C275C" w14:textId="29F3057F" w:rsidR="00E05DCF" w:rsidRDefault="00E05DCF" w:rsidP="00C33FE3">
      <w:pPr>
        <w:spacing w:line="480" w:lineRule="auto"/>
        <w:rPr>
          <w:rFonts w:ascii="Arial" w:hAnsi="Arial" w:cs="Arial"/>
          <w:sz w:val="22"/>
          <w:szCs w:val="22"/>
        </w:rPr>
      </w:pPr>
      <w:r>
        <w:rPr>
          <w:rFonts w:ascii="Arial" w:hAnsi="Arial" w:cs="Arial"/>
          <w:sz w:val="22"/>
          <w:szCs w:val="22"/>
        </w:rPr>
        <w:t>Further attempts could have been made to reduce researcher influence in the design in that</w:t>
      </w:r>
      <w:r w:rsidR="00752287">
        <w:rPr>
          <w:rFonts w:ascii="Arial" w:hAnsi="Arial" w:cs="Arial"/>
          <w:sz w:val="22"/>
          <w:szCs w:val="22"/>
        </w:rPr>
        <w:t xml:space="preserve">, for pragmatic reasons, </w:t>
      </w:r>
      <w:r>
        <w:rPr>
          <w:rFonts w:ascii="Arial" w:hAnsi="Arial" w:cs="Arial"/>
          <w:sz w:val="22"/>
          <w:szCs w:val="22"/>
        </w:rPr>
        <w:t xml:space="preserve">the researcher </w:t>
      </w:r>
      <w:r w:rsidR="009C6B41">
        <w:rPr>
          <w:rFonts w:ascii="Arial" w:hAnsi="Arial" w:cs="Arial"/>
          <w:sz w:val="22"/>
          <w:szCs w:val="22"/>
        </w:rPr>
        <w:t xml:space="preserve">had </w:t>
      </w:r>
      <w:r>
        <w:rPr>
          <w:rFonts w:ascii="Arial" w:hAnsi="Arial" w:cs="Arial"/>
          <w:sz w:val="22"/>
          <w:szCs w:val="22"/>
        </w:rPr>
        <w:t xml:space="preserve">rated </w:t>
      </w:r>
      <w:r w:rsidR="009C6B41">
        <w:rPr>
          <w:rFonts w:ascii="Arial" w:hAnsi="Arial" w:cs="Arial"/>
          <w:sz w:val="22"/>
          <w:szCs w:val="22"/>
        </w:rPr>
        <w:t>33 (16.5%) of the therapists</w:t>
      </w:r>
      <w:r>
        <w:rPr>
          <w:rFonts w:ascii="Arial" w:hAnsi="Arial" w:cs="Arial"/>
          <w:sz w:val="22"/>
          <w:szCs w:val="22"/>
        </w:rPr>
        <w:t xml:space="preserve"> of the therapy transcripts. Albeit that the researcher took care to ensure that the therapists were unknown to her it might have strengthened the design if the researcher has not been involved in rating</w:t>
      </w:r>
      <w:r w:rsidR="009C6B41">
        <w:rPr>
          <w:rFonts w:ascii="Arial" w:hAnsi="Arial" w:cs="Arial"/>
          <w:sz w:val="22"/>
          <w:szCs w:val="22"/>
        </w:rPr>
        <w:t xml:space="preserve"> therapy transcripts, however this would have reduced the sample size to n=167.</w:t>
      </w:r>
      <w:r w:rsidR="00A30417">
        <w:rPr>
          <w:rFonts w:ascii="Arial" w:hAnsi="Arial" w:cs="Arial"/>
          <w:sz w:val="22"/>
          <w:szCs w:val="22"/>
        </w:rPr>
        <w:t xml:space="preserve"> </w:t>
      </w:r>
      <w:r w:rsidR="00152AF4">
        <w:rPr>
          <w:rFonts w:ascii="Arial" w:hAnsi="Arial" w:cs="Arial"/>
          <w:sz w:val="22"/>
          <w:szCs w:val="22"/>
        </w:rPr>
        <w:t>The researcher decided to proceed with</w:t>
      </w:r>
      <w:r w:rsidR="00D635C5">
        <w:rPr>
          <w:rFonts w:ascii="Arial" w:hAnsi="Arial" w:cs="Arial"/>
          <w:sz w:val="22"/>
          <w:szCs w:val="22"/>
        </w:rPr>
        <w:t xml:space="preserve"> the inclusion of all 200 therapists in that any inferences that were drawn from the statistical analyses </w:t>
      </w:r>
      <w:r w:rsidR="00B3689D">
        <w:rPr>
          <w:rFonts w:ascii="Arial" w:hAnsi="Arial" w:cs="Arial"/>
          <w:sz w:val="22"/>
          <w:szCs w:val="22"/>
        </w:rPr>
        <w:t xml:space="preserve">could be more reliable.  This was particularly important given that the </w:t>
      </w:r>
      <w:r w:rsidR="00F405B2">
        <w:rPr>
          <w:rFonts w:ascii="Arial" w:hAnsi="Arial" w:cs="Arial"/>
          <w:sz w:val="22"/>
          <w:szCs w:val="22"/>
        </w:rPr>
        <w:t xml:space="preserve">rule of thumb for </w:t>
      </w:r>
      <w:r w:rsidR="00B3689D">
        <w:rPr>
          <w:rFonts w:ascii="Arial" w:hAnsi="Arial" w:cs="Arial"/>
          <w:sz w:val="22"/>
          <w:szCs w:val="22"/>
        </w:rPr>
        <w:t xml:space="preserve">multivariate analyses </w:t>
      </w:r>
      <w:r w:rsidR="00F405B2">
        <w:rPr>
          <w:rFonts w:ascii="Arial" w:hAnsi="Arial" w:cs="Arial"/>
          <w:sz w:val="22"/>
          <w:szCs w:val="22"/>
        </w:rPr>
        <w:t xml:space="preserve">require the sample size to 10 times greater than the number of independent variables. </w:t>
      </w:r>
      <w:r w:rsidR="00E67036">
        <w:rPr>
          <w:rFonts w:ascii="Arial" w:hAnsi="Arial" w:cs="Arial"/>
          <w:sz w:val="22"/>
          <w:szCs w:val="22"/>
        </w:rPr>
        <w:t>It is recognised that the decision to include the researcher ratings in this study may have affected the results.</w:t>
      </w:r>
    </w:p>
    <w:p w14:paraId="1D98F3F3" w14:textId="77839955" w:rsidR="007F596B" w:rsidRDefault="00AB3CF6" w:rsidP="007F596B">
      <w:pPr>
        <w:pStyle w:val="Heading2"/>
        <w:rPr>
          <w:rFonts w:ascii="Arial" w:hAnsi="Arial" w:cs="Arial"/>
          <w:color w:val="000000" w:themeColor="text1"/>
          <w:sz w:val="22"/>
          <w:szCs w:val="22"/>
        </w:rPr>
      </w:pPr>
      <w:bookmarkStart w:id="278" w:name="_Toc46770794"/>
      <w:bookmarkStart w:id="279" w:name="_Toc79414205"/>
      <w:r>
        <w:rPr>
          <w:rFonts w:ascii="Arial" w:hAnsi="Arial" w:cs="Arial"/>
          <w:color w:val="000000" w:themeColor="text1"/>
          <w:sz w:val="22"/>
          <w:szCs w:val="22"/>
        </w:rPr>
        <w:lastRenderedPageBreak/>
        <w:t>4</w:t>
      </w:r>
      <w:r w:rsidR="007F596B" w:rsidRPr="006A386F">
        <w:rPr>
          <w:rFonts w:ascii="Arial" w:hAnsi="Arial" w:cs="Arial"/>
          <w:color w:val="000000" w:themeColor="text1"/>
          <w:sz w:val="22"/>
          <w:szCs w:val="22"/>
        </w:rPr>
        <w:t>.4 METHOD</w:t>
      </w:r>
      <w:bookmarkEnd w:id="278"/>
      <w:bookmarkEnd w:id="279"/>
    </w:p>
    <w:p w14:paraId="020D6E36" w14:textId="5849AE36" w:rsidR="009C6B41" w:rsidRDefault="009C6B41" w:rsidP="009C6B41"/>
    <w:p w14:paraId="1DAD27FC" w14:textId="58A7DC44" w:rsidR="009C6B41" w:rsidRPr="00145326" w:rsidRDefault="009C6B41" w:rsidP="0070105C">
      <w:pPr>
        <w:spacing w:line="480" w:lineRule="auto"/>
        <w:rPr>
          <w:rFonts w:ascii="Arial" w:hAnsi="Arial" w:cs="Arial"/>
          <w:sz w:val="22"/>
          <w:szCs w:val="22"/>
        </w:rPr>
      </w:pPr>
      <w:r w:rsidRPr="009C6B41">
        <w:rPr>
          <w:rFonts w:ascii="Arial" w:hAnsi="Arial" w:cs="Arial"/>
          <w:sz w:val="22"/>
          <w:szCs w:val="22"/>
        </w:rPr>
        <w:t>This research</w:t>
      </w:r>
      <w:r>
        <w:rPr>
          <w:rFonts w:ascii="Arial" w:hAnsi="Arial" w:cs="Arial"/>
          <w:sz w:val="22"/>
          <w:szCs w:val="22"/>
        </w:rPr>
        <w:t xml:space="preserve"> used the data from previously</w:t>
      </w:r>
      <w:r w:rsidR="006E6C64">
        <w:rPr>
          <w:rFonts w:ascii="Arial" w:hAnsi="Arial" w:cs="Arial"/>
          <w:sz w:val="22"/>
          <w:szCs w:val="22"/>
        </w:rPr>
        <w:t xml:space="preserve"> </w:t>
      </w:r>
      <w:r>
        <w:rPr>
          <w:rFonts w:ascii="Arial" w:hAnsi="Arial" w:cs="Arial"/>
          <w:sz w:val="22"/>
          <w:szCs w:val="22"/>
        </w:rPr>
        <w:t>rated therapy sessions and whole treatment episodes (all therapy sessions that were delivered to a patient by the therapist</w:t>
      </w:r>
      <w:r w:rsidR="0070105C">
        <w:rPr>
          <w:rFonts w:ascii="Arial" w:hAnsi="Arial" w:cs="Arial"/>
          <w:sz w:val="22"/>
          <w:szCs w:val="22"/>
        </w:rPr>
        <w:t>). The practice of reviewing a therapist’s clinical work was a normal part of service delivery in the research setting</w:t>
      </w:r>
      <w:r w:rsidR="0010352C">
        <w:rPr>
          <w:rFonts w:ascii="Arial" w:hAnsi="Arial" w:cs="Arial"/>
          <w:sz w:val="22"/>
          <w:szCs w:val="22"/>
        </w:rPr>
        <w:t>. T</w:t>
      </w:r>
      <w:r w:rsidR="0070105C">
        <w:rPr>
          <w:rFonts w:ascii="Arial" w:hAnsi="Arial" w:cs="Arial"/>
          <w:sz w:val="22"/>
          <w:szCs w:val="22"/>
        </w:rPr>
        <w:t xml:space="preserve">he overarching aim of </w:t>
      </w:r>
      <w:r w:rsidR="0010352C">
        <w:rPr>
          <w:rFonts w:ascii="Arial" w:hAnsi="Arial" w:cs="Arial"/>
          <w:sz w:val="22"/>
          <w:szCs w:val="22"/>
        </w:rPr>
        <w:t xml:space="preserve">this process is to </w:t>
      </w:r>
      <w:r w:rsidR="0070105C">
        <w:rPr>
          <w:rFonts w:ascii="Arial" w:hAnsi="Arial" w:cs="Arial"/>
          <w:sz w:val="22"/>
          <w:szCs w:val="22"/>
        </w:rPr>
        <w:t>us</w:t>
      </w:r>
      <w:r w:rsidR="0010352C">
        <w:rPr>
          <w:rFonts w:ascii="Arial" w:hAnsi="Arial" w:cs="Arial"/>
          <w:sz w:val="22"/>
          <w:szCs w:val="22"/>
        </w:rPr>
        <w:t>e</w:t>
      </w:r>
      <w:r w:rsidR="0070105C">
        <w:rPr>
          <w:rFonts w:ascii="Arial" w:hAnsi="Arial" w:cs="Arial"/>
          <w:sz w:val="22"/>
          <w:szCs w:val="22"/>
        </w:rPr>
        <w:t xml:space="preserve"> the data to inform therapists’ continuing professional development. The use of live recordings of therapy sessions to support therapists to reflect and learn from their own practice is common practice in CBT (BABCP</w:t>
      </w:r>
      <w:r w:rsidR="000D2D78">
        <w:rPr>
          <w:rFonts w:ascii="Arial" w:hAnsi="Arial" w:cs="Arial"/>
          <w:sz w:val="22"/>
          <w:szCs w:val="22"/>
        </w:rPr>
        <w:t>,</w:t>
      </w:r>
      <w:r w:rsidR="0070105C">
        <w:rPr>
          <w:rFonts w:ascii="Arial" w:hAnsi="Arial" w:cs="Arial"/>
          <w:sz w:val="22"/>
          <w:szCs w:val="22"/>
        </w:rPr>
        <w:t xml:space="preserve"> </w:t>
      </w:r>
      <w:r w:rsidR="000D2D78">
        <w:rPr>
          <w:rFonts w:ascii="Arial" w:hAnsi="Arial" w:cs="Arial"/>
          <w:sz w:val="22"/>
          <w:szCs w:val="22"/>
        </w:rPr>
        <w:t>2019</w:t>
      </w:r>
      <w:r w:rsidR="0070105C">
        <w:rPr>
          <w:rFonts w:ascii="Arial" w:hAnsi="Arial" w:cs="Arial"/>
          <w:sz w:val="22"/>
          <w:szCs w:val="22"/>
        </w:rPr>
        <w:t>)</w:t>
      </w:r>
      <w:r w:rsidR="0010352C">
        <w:rPr>
          <w:rFonts w:ascii="Arial" w:hAnsi="Arial" w:cs="Arial"/>
          <w:sz w:val="22"/>
          <w:szCs w:val="22"/>
        </w:rPr>
        <w:t xml:space="preserve">, although it is </w:t>
      </w:r>
      <w:r w:rsidR="0010352C" w:rsidRPr="00145326">
        <w:rPr>
          <w:rFonts w:ascii="Arial" w:hAnsi="Arial" w:cs="Arial"/>
          <w:sz w:val="22"/>
          <w:szCs w:val="22"/>
        </w:rPr>
        <w:t>unknown for a service to have access to every therapy session the therapist has delivered.</w:t>
      </w:r>
    </w:p>
    <w:p w14:paraId="2365A30B" w14:textId="77777777" w:rsidR="007F596B" w:rsidRPr="00145326" w:rsidRDefault="007F596B" w:rsidP="00145326">
      <w:pPr>
        <w:spacing w:after="240" w:line="480" w:lineRule="auto"/>
        <w:rPr>
          <w:rFonts w:ascii="Arial" w:hAnsi="Arial" w:cs="Arial"/>
          <w:sz w:val="22"/>
          <w:szCs w:val="22"/>
        </w:rPr>
      </w:pPr>
    </w:p>
    <w:p w14:paraId="03A08D42" w14:textId="029C0341" w:rsidR="007F596B" w:rsidRPr="006A386F" w:rsidRDefault="00AB3CF6" w:rsidP="007F596B">
      <w:pPr>
        <w:pStyle w:val="Heading3"/>
        <w:rPr>
          <w:rFonts w:cs="Arial"/>
          <w:b w:val="0"/>
          <w:color w:val="000000" w:themeColor="text1"/>
          <w:szCs w:val="22"/>
        </w:rPr>
      </w:pPr>
      <w:bookmarkStart w:id="280" w:name="_Toc46770795"/>
      <w:bookmarkStart w:id="281" w:name="_Toc79414206"/>
      <w:r>
        <w:rPr>
          <w:rFonts w:cs="Arial"/>
          <w:color w:val="000000" w:themeColor="text1"/>
          <w:szCs w:val="22"/>
        </w:rPr>
        <w:t>4</w:t>
      </w:r>
      <w:r w:rsidR="007F596B" w:rsidRPr="006A386F">
        <w:rPr>
          <w:rFonts w:cs="Arial"/>
          <w:color w:val="000000" w:themeColor="text1"/>
          <w:szCs w:val="22"/>
        </w:rPr>
        <w:t>.4.1 Therapist demographic data</w:t>
      </w:r>
      <w:bookmarkEnd w:id="280"/>
      <w:bookmarkEnd w:id="281"/>
    </w:p>
    <w:p w14:paraId="4157DFF6" w14:textId="77777777" w:rsidR="007F596B" w:rsidRPr="006A386F" w:rsidRDefault="007F596B" w:rsidP="007F596B"/>
    <w:p w14:paraId="6337C90A" w14:textId="3ABA03F4" w:rsidR="007F596B" w:rsidRDefault="007F596B" w:rsidP="007F596B">
      <w:pPr>
        <w:spacing w:line="480" w:lineRule="auto"/>
        <w:rPr>
          <w:rFonts w:ascii="Arial" w:hAnsi="Arial" w:cs="Arial"/>
          <w:sz w:val="22"/>
          <w:szCs w:val="22"/>
        </w:rPr>
      </w:pPr>
      <w:r w:rsidRPr="006A386F">
        <w:rPr>
          <w:rFonts w:ascii="Arial" w:hAnsi="Arial" w:cs="Arial"/>
          <w:sz w:val="22"/>
          <w:szCs w:val="22"/>
        </w:rPr>
        <w:t>The n = 200 therapists, who consented to participate in this study</w:t>
      </w:r>
      <w:r w:rsidR="00A028C4">
        <w:rPr>
          <w:rFonts w:ascii="Arial" w:hAnsi="Arial" w:cs="Arial"/>
          <w:sz w:val="22"/>
          <w:szCs w:val="22"/>
        </w:rPr>
        <w:t>,</w:t>
      </w:r>
      <w:r w:rsidRPr="006A386F">
        <w:rPr>
          <w:rFonts w:ascii="Arial" w:hAnsi="Arial" w:cs="Arial"/>
          <w:sz w:val="22"/>
          <w:szCs w:val="22"/>
        </w:rPr>
        <w:t xml:space="preserve"> were asked to provide demographic information about themselves. T</w:t>
      </w:r>
      <w:r w:rsidR="002F6E7B">
        <w:rPr>
          <w:rFonts w:ascii="Arial" w:hAnsi="Arial" w:cs="Arial"/>
          <w:sz w:val="22"/>
          <w:szCs w:val="22"/>
        </w:rPr>
        <w:t>able 4</w:t>
      </w:r>
      <w:r w:rsidR="006C5235">
        <w:rPr>
          <w:rFonts w:ascii="Arial" w:hAnsi="Arial" w:cs="Arial"/>
          <w:sz w:val="22"/>
          <w:szCs w:val="22"/>
        </w:rPr>
        <w:t>.1</w:t>
      </w:r>
      <w:r w:rsidR="00D83535">
        <w:rPr>
          <w:rFonts w:ascii="Arial" w:hAnsi="Arial" w:cs="Arial"/>
          <w:sz w:val="22"/>
          <w:szCs w:val="22"/>
        </w:rPr>
        <w:t xml:space="preserve"> shows</w:t>
      </w:r>
      <w:r w:rsidR="006C5235">
        <w:rPr>
          <w:rFonts w:ascii="Arial" w:hAnsi="Arial" w:cs="Arial"/>
          <w:sz w:val="22"/>
          <w:szCs w:val="22"/>
        </w:rPr>
        <w:t xml:space="preserve"> the</w:t>
      </w:r>
      <w:r w:rsidR="00D83535">
        <w:rPr>
          <w:rFonts w:ascii="Arial" w:hAnsi="Arial" w:cs="Arial"/>
          <w:sz w:val="22"/>
          <w:szCs w:val="22"/>
        </w:rPr>
        <w:t xml:space="preserve"> </w:t>
      </w:r>
      <w:r w:rsidR="006C5235">
        <w:rPr>
          <w:rFonts w:ascii="Arial" w:hAnsi="Arial" w:cs="Arial"/>
          <w:sz w:val="22"/>
          <w:szCs w:val="22"/>
        </w:rPr>
        <w:t>information that that therapists were asked to provide.</w:t>
      </w:r>
    </w:p>
    <w:p w14:paraId="0CD51968" w14:textId="77777777" w:rsidR="00E66E56" w:rsidRDefault="00E66E56" w:rsidP="007F596B">
      <w:pPr>
        <w:spacing w:line="480" w:lineRule="auto"/>
        <w:rPr>
          <w:rFonts w:ascii="Arial" w:hAnsi="Arial" w:cs="Arial"/>
          <w:sz w:val="22"/>
          <w:szCs w:val="22"/>
        </w:rPr>
      </w:pPr>
    </w:p>
    <w:p w14:paraId="03AC9B6D" w14:textId="6FBF6118" w:rsidR="00813807" w:rsidRDefault="00813807" w:rsidP="00813807">
      <w:pPr>
        <w:pStyle w:val="Tables"/>
      </w:pPr>
      <w:bookmarkStart w:id="282" w:name="_Toc28347777"/>
      <w:bookmarkStart w:id="283" w:name="_Toc46770978"/>
      <w:r w:rsidRPr="00D02A80">
        <w:t xml:space="preserve">Table 4.1 </w:t>
      </w:r>
      <w:r w:rsidRPr="00813807">
        <w:rPr>
          <w:b w:val="0"/>
        </w:rPr>
        <w:t>Questions that were used to collect therapist demographic data</w:t>
      </w:r>
      <w:bookmarkEnd w:id="282"/>
      <w:bookmarkEnd w:id="283"/>
    </w:p>
    <w:tbl>
      <w:tblPr>
        <w:tblStyle w:val="TableGrid"/>
        <w:tblW w:w="0" w:type="auto"/>
        <w:tblLook w:val="04A0" w:firstRow="1" w:lastRow="0" w:firstColumn="1" w:lastColumn="0" w:noHBand="0" w:noVBand="1"/>
      </w:tblPr>
      <w:tblGrid>
        <w:gridCol w:w="1271"/>
        <w:gridCol w:w="3969"/>
        <w:gridCol w:w="3770"/>
      </w:tblGrid>
      <w:tr w:rsidR="00314E1C" w14:paraId="1ADC940E" w14:textId="77777777" w:rsidTr="00034586">
        <w:trPr>
          <w:trHeight w:val="340"/>
        </w:trPr>
        <w:tc>
          <w:tcPr>
            <w:tcW w:w="1271"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C853FBF" w14:textId="141A8655" w:rsidR="00314E1C" w:rsidRPr="007C00C6" w:rsidRDefault="00B446E5" w:rsidP="00034586">
            <w:pPr>
              <w:rPr>
                <w:rFonts w:ascii="Arial" w:hAnsi="Arial" w:cs="Arial"/>
                <w:b/>
                <w:bCs/>
                <w:sz w:val="18"/>
                <w:szCs w:val="18"/>
              </w:rPr>
            </w:pPr>
            <w:r w:rsidRPr="007C00C6">
              <w:rPr>
                <w:rFonts w:ascii="Arial" w:hAnsi="Arial" w:cs="Arial"/>
                <w:b/>
                <w:bCs/>
                <w:sz w:val="18"/>
                <w:szCs w:val="18"/>
              </w:rPr>
              <w:t xml:space="preserve">Item </w:t>
            </w:r>
          </w:p>
        </w:tc>
        <w:tc>
          <w:tcPr>
            <w:tcW w:w="3969" w:type="dxa"/>
            <w:tcBorders>
              <w:left w:val="single" w:sz="4" w:space="0" w:color="auto"/>
            </w:tcBorders>
            <w:shd w:val="clear" w:color="auto" w:fill="DBE5F1" w:themeFill="accent1" w:themeFillTint="33"/>
            <w:vAlign w:val="center"/>
          </w:tcPr>
          <w:p w14:paraId="5EEB5B1A" w14:textId="532F8CCB" w:rsidR="00314E1C" w:rsidRPr="007C00C6" w:rsidRDefault="00B446E5" w:rsidP="00034586">
            <w:pPr>
              <w:rPr>
                <w:rFonts w:ascii="Arial" w:hAnsi="Arial" w:cs="Arial"/>
                <w:b/>
                <w:bCs/>
                <w:sz w:val="18"/>
                <w:szCs w:val="18"/>
              </w:rPr>
            </w:pPr>
            <w:r w:rsidRPr="007C00C6">
              <w:rPr>
                <w:rFonts w:ascii="Arial" w:hAnsi="Arial" w:cs="Arial"/>
                <w:b/>
                <w:bCs/>
                <w:sz w:val="18"/>
                <w:szCs w:val="18"/>
              </w:rPr>
              <w:t>Question</w:t>
            </w:r>
          </w:p>
        </w:tc>
        <w:tc>
          <w:tcPr>
            <w:tcW w:w="3770" w:type="dxa"/>
            <w:shd w:val="clear" w:color="auto" w:fill="DBE5F1" w:themeFill="accent1" w:themeFillTint="33"/>
            <w:vAlign w:val="center"/>
          </w:tcPr>
          <w:p w14:paraId="0612D0B0" w14:textId="76310EBB" w:rsidR="00314E1C" w:rsidRPr="007C00C6" w:rsidRDefault="00B446E5" w:rsidP="00034586">
            <w:pPr>
              <w:rPr>
                <w:rFonts w:ascii="Arial" w:hAnsi="Arial" w:cs="Arial"/>
                <w:b/>
                <w:bCs/>
                <w:sz w:val="18"/>
                <w:szCs w:val="18"/>
              </w:rPr>
            </w:pPr>
            <w:r w:rsidRPr="007C00C6">
              <w:rPr>
                <w:rFonts w:ascii="Arial" w:hAnsi="Arial" w:cs="Arial"/>
                <w:b/>
                <w:bCs/>
                <w:sz w:val="18"/>
                <w:szCs w:val="18"/>
              </w:rPr>
              <w:t>Response</w:t>
            </w:r>
          </w:p>
        </w:tc>
      </w:tr>
      <w:tr w:rsidR="00314E1C" w14:paraId="17A8E799" w14:textId="77777777" w:rsidTr="007C00C6">
        <w:trPr>
          <w:trHeight w:val="340"/>
        </w:trPr>
        <w:tc>
          <w:tcPr>
            <w:tcW w:w="1271" w:type="dxa"/>
            <w:tcBorders>
              <w:top w:val="single" w:sz="4" w:space="0" w:color="auto"/>
            </w:tcBorders>
            <w:vAlign w:val="center"/>
          </w:tcPr>
          <w:p w14:paraId="1B28A5B2" w14:textId="530F1B03" w:rsidR="00314E1C" w:rsidRPr="007C00C6" w:rsidRDefault="00B446E5" w:rsidP="007C00C6">
            <w:pPr>
              <w:rPr>
                <w:rFonts w:ascii="Arial" w:hAnsi="Arial" w:cs="Arial"/>
                <w:sz w:val="18"/>
                <w:szCs w:val="18"/>
              </w:rPr>
            </w:pPr>
            <w:r w:rsidRPr="007C00C6">
              <w:rPr>
                <w:rFonts w:ascii="Arial" w:hAnsi="Arial" w:cs="Arial"/>
                <w:sz w:val="18"/>
                <w:szCs w:val="18"/>
              </w:rPr>
              <w:t>1</w:t>
            </w:r>
          </w:p>
        </w:tc>
        <w:tc>
          <w:tcPr>
            <w:tcW w:w="3969" w:type="dxa"/>
            <w:vAlign w:val="center"/>
          </w:tcPr>
          <w:p w14:paraId="01695185" w14:textId="133A0FAC" w:rsidR="00314E1C" w:rsidRPr="007C00C6" w:rsidRDefault="00635C98" w:rsidP="007C00C6">
            <w:pPr>
              <w:rPr>
                <w:rFonts w:ascii="Arial" w:hAnsi="Arial" w:cs="Arial"/>
                <w:sz w:val="18"/>
                <w:szCs w:val="18"/>
              </w:rPr>
            </w:pPr>
            <w:r w:rsidRPr="007C00C6">
              <w:rPr>
                <w:rFonts w:ascii="Arial" w:hAnsi="Arial" w:cs="Arial"/>
                <w:sz w:val="18"/>
                <w:szCs w:val="18"/>
              </w:rPr>
              <w:t>Did you attend an IAPT training programme?</w:t>
            </w:r>
          </w:p>
        </w:tc>
        <w:tc>
          <w:tcPr>
            <w:tcW w:w="3770" w:type="dxa"/>
            <w:vAlign w:val="center"/>
          </w:tcPr>
          <w:p w14:paraId="4069031B" w14:textId="1607AA70" w:rsidR="00314E1C" w:rsidRPr="007C00C6" w:rsidRDefault="00635C98" w:rsidP="007C00C6">
            <w:pPr>
              <w:rPr>
                <w:rFonts w:ascii="Arial" w:hAnsi="Arial" w:cs="Arial"/>
                <w:sz w:val="18"/>
                <w:szCs w:val="18"/>
              </w:rPr>
            </w:pPr>
            <w:r w:rsidRPr="007C00C6">
              <w:rPr>
                <w:rFonts w:ascii="Arial" w:hAnsi="Arial" w:cs="Arial"/>
                <w:sz w:val="18"/>
                <w:szCs w:val="18"/>
              </w:rPr>
              <w:t>Yes/No</w:t>
            </w:r>
          </w:p>
        </w:tc>
      </w:tr>
      <w:tr w:rsidR="000A590C" w14:paraId="10D56BF2" w14:textId="77777777" w:rsidTr="007C00C6">
        <w:trPr>
          <w:trHeight w:val="340"/>
        </w:trPr>
        <w:tc>
          <w:tcPr>
            <w:tcW w:w="1271" w:type="dxa"/>
            <w:tcBorders>
              <w:top w:val="single" w:sz="4" w:space="0" w:color="auto"/>
            </w:tcBorders>
            <w:vAlign w:val="center"/>
          </w:tcPr>
          <w:p w14:paraId="596D0E33" w14:textId="6FFD4EBA" w:rsidR="000A590C" w:rsidRPr="007C00C6" w:rsidRDefault="00C5183C" w:rsidP="007C00C6">
            <w:pPr>
              <w:rPr>
                <w:rFonts w:ascii="Arial" w:hAnsi="Arial" w:cs="Arial"/>
                <w:sz w:val="18"/>
                <w:szCs w:val="18"/>
              </w:rPr>
            </w:pPr>
            <w:r w:rsidRPr="007C00C6">
              <w:rPr>
                <w:rFonts w:ascii="Arial" w:hAnsi="Arial" w:cs="Arial"/>
                <w:sz w:val="18"/>
                <w:szCs w:val="18"/>
              </w:rPr>
              <w:t>2</w:t>
            </w:r>
          </w:p>
        </w:tc>
        <w:tc>
          <w:tcPr>
            <w:tcW w:w="3969" w:type="dxa"/>
            <w:vAlign w:val="center"/>
          </w:tcPr>
          <w:p w14:paraId="47C6AD8B" w14:textId="29647A8F" w:rsidR="000A590C" w:rsidRPr="007C00C6" w:rsidRDefault="00C5183C" w:rsidP="007C00C6">
            <w:pPr>
              <w:rPr>
                <w:rFonts w:ascii="Arial" w:hAnsi="Arial" w:cs="Arial"/>
                <w:sz w:val="18"/>
                <w:szCs w:val="18"/>
              </w:rPr>
            </w:pPr>
            <w:r w:rsidRPr="007C00C6">
              <w:rPr>
                <w:rFonts w:ascii="Arial" w:hAnsi="Arial" w:cs="Arial"/>
                <w:sz w:val="18"/>
                <w:szCs w:val="18"/>
              </w:rPr>
              <w:t>How would you describe your gender?</w:t>
            </w:r>
          </w:p>
        </w:tc>
        <w:tc>
          <w:tcPr>
            <w:tcW w:w="3770" w:type="dxa"/>
            <w:vAlign w:val="center"/>
          </w:tcPr>
          <w:p w14:paraId="2BFC805E" w14:textId="016EB8E2" w:rsidR="000A590C" w:rsidRPr="007C00C6" w:rsidRDefault="00C5183C" w:rsidP="007C00C6">
            <w:pPr>
              <w:rPr>
                <w:rFonts w:ascii="Arial" w:hAnsi="Arial" w:cs="Arial"/>
                <w:sz w:val="18"/>
                <w:szCs w:val="18"/>
              </w:rPr>
            </w:pPr>
            <w:r w:rsidRPr="007C00C6">
              <w:rPr>
                <w:rFonts w:ascii="Arial" w:hAnsi="Arial" w:cs="Arial"/>
                <w:sz w:val="18"/>
                <w:szCs w:val="18"/>
              </w:rPr>
              <w:t>Free text</w:t>
            </w:r>
          </w:p>
        </w:tc>
      </w:tr>
      <w:tr w:rsidR="00314E1C" w14:paraId="18C0E48F" w14:textId="77777777" w:rsidTr="007C00C6">
        <w:trPr>
          <w:trHeight w:val="510"/>
        </w:trPr>
        <w:tc>
          <w:tcPr>
            <w:tcW w:w="1271" w:type="dxa"/>
            <w:vAlign w:val="center"/>
          </w:tcPr>
          <w:p w14:paraId="45C98DC8" w14:textId="2E63511A" w:rsidR="00314E1C" w:rsidRPr="007C00C6" w:rsidRDefault="006C5235" w:rsidP="007C00C6">
            <w:pPr>
              <w:rPr>
                <w:rFonts w:ascii="Arial" w:hAnsi="Arial" w:cs="Arial"/>
                <w:sz w:val="18"/>
                <w:szCs w:val="18"/>
              </w:rPr>
            </w:pPr>
            <w:r w:rsidRPr="007C00C6">
              <w:rPr>
                <w:rFonts w:ascii="Arial" w:hAnsi="Arial" w:cs="Arial"/>
                <w:sz w:val="18"/>
                <w:szCs w:val="18"/>
              </w:rPr>
              <w:t>3</w:t>
            </w:r>
          </w:p>
        </w:tc>
        <w:tc>
          <w:tcPr>
            <w:tcW w:w="3969" w:type="dxa"/>
            <w:vAlign w:val="center"/>
          </w:tcPr>
          <w:p w14:paraId="60510A25" w14:textId="5A7BD925" w:rsidR="00314E1C" w:rsidRPr="007C00C6" w:rsidRDefault="006C44CC" w:rsidP="007C00C6">
            <w:pPr>
              <w:rPr>
                <w:rFonts w:ascii="Arial" w:hAnsi="Arial" w:cs="Arial"/>
                <w:sz w:val="18"/>
                <w:szCs w:val="18"/>
              </w:rPr>
            </w:pPr>
            <w:r w:rsidRPr="007C00C6">
              <w:rPr>
                <w:rFonts w:ascii="Arial" w:hAnsi="Arial" w:cs="Arial"/>
                <w:sz w:val="18"/>
                <w:szCs w:val="18"/>
              </w:rPr>
              <w:t>To the nearest year how long have you been qualified as a cognitive behavioural therapist</w:t>
            </w:r>
            <w:r w:rsidR="00997904" w:rsidRPr="007C00C6">
              <w:rPr>
                <w:rFonts w:ascii="Arial" w:hAnsi="Arial" w:cs="Arial"/>
                <w:sz w:val="18"/>
                <w:szCs w:val="18"/>
              </w:rPr>
              <w:t>?</w:t>
            </w:r>
          </w:p>
        </w:tc>
        <w:tc>
          <w:tcPr>
            <w:tcW w:w="3770" w:type="dxa"/>
            <w:vAlign w:val="center"/>
          </w:tcPr>
          <w:p w14:paraId="1FFF1B24" w14:textId="1D80FE8D" w:rsidR="00314E1C" w:rsidRPr="007C00C6" w:rsidRDefault="00997904" w:rsidP="007C00C6">
            <w:pPr>
              <w:rPr>
                <w:rFonts w:ascii="Arial" w:hAnsi="Arial" w:cs="Arial"/>
                <w:sz w:val="18"/>
                <w:szCs w:val="18"/>
              </w:rPr>
            </w:pPr>
            <w:r w:rsidRPr="007C00C6">
              <w:rPr>
                <w:rFonts w:ascii="Arial" w:hAnsi="Arial" w:cs="Arial"/>
                <w:sz w:val="18"/>
                <w:szCs w:val="18"/>
              </w:rPr>
              <w:t>n</w:t>
            </w:r>
          </w:p>
        </w:tc>
      </w:tr>
      <w:tr w:rsidR="00314E1C" w14:paraId="7299D4DD" w14:textId="77777777" w:rsidTr="007C00C6">
        <w:trPr>
          <w:trHeight w:val="340"/>
        </w:trPr>
        <w:tc>
          <w:tcPr>
            <w:tcW w:w="1271" w:type="dxa"/>
            <w:vAlign w:val="center"/>
          </w:tcPr>
          <w:p w14:paraId="3B0D096E" w14:textId="19744806" w:rsidR="00314E1C" w:rsidRPr="007C00C6" w:rsidRDefault="006C5235" w:rsidP="007C00C6">
            <w:pPr>
              <w:rPr>
                <w:rFonts w:ascii="Arial" w:hAnsi="Arial" w:cs="Arial"/>
                <w:sz w:val="18"/>
                <w:szCs w:val="18"/>
              </w:rPr>
            </w:pPr>
            <w:r w:rsidRPr="007C00C6">
              <w:rPr>
                <w:rFonts w:ascii="Arial" w:hAnsi="Arial" w:cs="Arial"/>
                <w:sz w:val="18"/>
                <w:szCs w:val="18"/>
              </w:rPr>
              <w:t>4</w:t>
            </w:r>
          </w:p>
        </w:tc>
        <w:tc>
          <w:tcPr>
            <w:tcW w:w="3969" w:type="dxa"/>
            <w:vAlign w:val="center"/>
          </w:tcPr>
          <w:p w14:paraId="7E2FA5BC" w14:textId="016BB700" w:rsidR="00314E1C" w:rsidRPr="007C00C6" w:rsidRDefault="00997904" w:rsidP="007C00C6">
            <w:pPr>
              <w:rPr>
                <w:rFonts w:ascii="Arial" w:hAnsi="Arial" w:cs="Arial"/>
                <w:sz w:val="18"/>
                <w:szCs w:val="18"/>
              </w:rPr>
            </w:pPr>
            <w:r w:rsidRPr="007C00C6">
              <w:rPr>
                <w:rFonts w:ascii="Arial" w:hAnsi="Arial" w:cs="Arial"/>
                <w:sz w:val="18"/>
                <w:szCs w:val="18"/>
              </w:rPr>
              <w:t>What is your core profession?</w:t>
            </w:r>
          </w:p>
        </w:tc>
        <w:tc>
          <w:tcPr>
            <w:tcW w:w="3770" w:type="dxa"/>
            <w:vAlign w:val="center"/>
          </w:tcPr>
          <w:p w14:paraId="1C581EF8" w14:textId="77777777" w:rsidR="00997904" w:rsidRPr="007C00C6" w:rsidRDefault="00997904" w:rsidP="007C00C6">
            <w:pPr>
              <w:pStyle w:val="ListParagraph"/>
              <w:numPr>
                <w:ilvl w:val="0"/>
                <w:numId w:val="13"/>
              </w:numPr>
              <w:rPr>
                <w:rFonts w:ascii="Arial" w:hAnsi="Arial" w:cs="Arial"/>
                <w:sz w:val="18"/>
                <w:szCs w:val="18"/>
              </w:rPr>
            </w:pPr>
            <w:r w:rsidRPr="007C00C6">
              <w:rPr>
                <w:rFonts w:ascii="Arial" w:hAnsi="Arial" w:cs="Arial"/>
                <w:sz w:val="18"/>
                <w:szCs w:val="18"/>
              </w:rPr>
              <w:t>Nurse</w:t>
            </w:r>
          </w:p>
          <w:p w14:paraId="7BA8CAC3" w14:textId="77777777" w:rsidR="00997904" w:rsidRPr="007C00C6" w:rsidRDefault="00997904" w:rsidP="007C00C6">
            <w:pPr>
              <w:pStyle w:val="ListParagraph"/>
              <w:numPr>
                <w:ilvl w:val="0"/>
                <w:numId w:val="13"/>
              </w:numPr>
              <w:rPr>
                <w:rFonts w:ascii="Arial" w:hAnsi="Arial" w:cs="Arial"/>
                <w:sz w:val="18"/>
                <w:szCs w:val="18"/>
              </w:rPr>
            </w:pPr>
            <w:r w:rsidRPr="007C00C6">
              <w:rPr>
                <w:rFonts w:ascii="Arial" w:hAnsi="Arial" w:cs="Arial"/>
                <w:sz w:val="18"/>
                <w:szCs w:val="18"/>
              </w:rPr>
              <w:t>Social Work</w:t>
            </w:r>
          </w:p>
          <w:p w14:paraId="157788CD" w14:textId="77777777" w:rsidR="00997904" w:rsidRPr="007C00C6" w:rsidRDefault="00997904" w:rsidP="007C00C6">
            <w:pPr>
              <w:pStyle w:val="ListParagraph"/>
              <w:numPr>
                <w:ilvl w:val="0"/>
                <w:numId w:val="13"/>
              </w:numPr>
              <w:rPr>
                <w:rFonts w:ascii="Arial" w:hAnsi="Arial" w:cs="Arial"/>
                <w:sz w:val="18"/>
                <w:szCs w:val="18"/>
              </w:rPr>
            </w:pPr>
            <w:r w:rsidRPr="007C00C6">
              <w:rPr>
                <w:rFonts w:ascii="Arial" w:hAnsi="Arial" w:cs="Arial"/>
                <w:sz w:val="18"/>
                <w:szCs w:val="18"/>
              </w:rPr>
              <w:t>Clinical Psychology</w:t>
            </w:r>
          </w:p>
          <w:p w14:paraId="25C7D633" w14:textId="77777777" w:rsidR="00997904" w:rsidRPr="007C00C6" w:rsidRDefault="00997904" w:rsidP="007C00C6">
            <w:pPr>
              <w:pStyle w:val="ListParagraph"/>
              <w:numPr>
                <w:ilvl w:val="0"/>
                <w:numId w:val="13"/>
              </w:numPr>
              <w:rPr>
                <w:rFonts w:ascii="Arial" w:hAnsi="Arial" w:cs="Arial"/>
                <w:sz w:val="18"/>
                <w:szCs w:val="18"/>
              </w:rPr>
            </w:pPr>
            <w:r w:rsidRPr="007C00C6">
              <w:rPr>
                <w:rFonts w:ascii="Arial" w:hAnsi="Arial" w:cs="Arial"/>
                <w:sz w:val="18"/>
                <w:szCs w:val="18"/>
              </w:rPr>
              <w:t>Counselling Psychology</w:t>
            </w:r>
          </w:p>
          <w:p w14:paraId="7E711F11" w14:textId="77777777" w:rsidR="00997904" w:rsidRPr="007C00C6" w:rsidRDefault="00997904" w:rsidP="007C00C6">
            <w:pPr>
              <w:pStyle w:val="ListParagraph"/>
              <w:numPr>
                <w:ilvl w:val="0"/>
                <w:numId w:val="13"/>
              </w:numPr>
              <w:rPr>
                <w:rFonts w:ascii="Arial" w:hAnsi="Arial" w:cs="Arial"/>
                <w:sz w:val="18"/>
                <w:szCs w:val="18"/>
              </w:rPr>
            </w:pPr>
            <w:r w:rsidRPr="007C00C6">
              <w:rPr>
                <w:rFonts w:ascii="Arial" w:hAnsi="Arial" w:cs="Arial"/>
                <w:sz w:val="18"/>
                <w:szCs w:val="18"/>
              </w:rPr>
              <w:t>None, I used the KSA route to become accredited as a CBT therapist</w:t>
            </w:r>
          </w:p>
          <w:p w14:paraId="54C1C663" w14:textId="77777777" w:rsidR="00997904" w:rsidRPr="007C00C6" w:rsidRDefault="00997904" w:rsidP="007C00C6">
            <w:pPr>
              <w:pStyle w:val="ListParagraph"/>
              <w:numPr>
                <w:ilvl w:val="0"/>
                <w:numId w:val="13"/>
              </w:numPr>
              <w:rPr>
                <w:rFonts w:ascii="Arial" w:hAnsi="Arial" w:cs="Arial"/>
                <w:sz w:val="18"/>
                <w:szCs w:val="18"/>
              </w:rPr>
            </w:pPr>
            <w:r w:rsidRPr="007C00C6">
              <w:rPr>
                <w:rFonts w:ascii="Arial" w:hAnsi="Arial" w:cs="Arial"/>
                <w:sz w:val="18"/>
                <w:szCs w:val="18"/>
              </w:rPr>
              <w:t>Health Psychology</w:t>
            </w:r>
          </w:p>
          <w:p w14:paraId="04F62944" w14:textId="5928A6BA" w:rsidR="00314E1C" w:rsidRPr="007C00C6" w:rsidRDefault="00997904" w:rsidP="007C00C6">
            <w:pPr>
              <w:pStyle w:val="ListParagraph"/>
              <w:numPr>
                <w:ilvl w:val="0"/>
                <w:numId w:val="13"/>
              </w:numPr>
              <w:rPr>
                <w:rFonts w:ascii="Arial" w:hAnsi="Arial" w:cs="Arial"/>
                <w:sz w:val="18"/>
                <w:szCs w:val="18"/>
              </w:rPr>
            </w:pPr>
            <w:r w:rsidRPr="007C00C6">
              <w:rPr>
                <w:rFonts w:ascii="Arial" w:hAnsi="Arial" w:cs="Arial"/>
                <w:sz w:val="18"/>
                <w:szCs w:val="18"/>
              </w:rPr>
              <w:t>Other (please specify in the next question)</w:t>
            </w:r>
          </w:p>
        </w:tc>
      </w:tr>
      <w:tr w:rsidR="00314E1C" w14:paraId="0323209A" w14:textId="77777777" w:rsidTr="007C00C6">
        <w:trPr>
          <w:trHeight w:val="510"/>
        </w:trPr>
        <w:tc>
          <w:tcPr>
            <w:tcW w:w="1271" w:type="dxa"/>
            <w:vAlign w:val="center"/>
          </w:tcPr>
          <w:p w14:paraId="12882736" w14:textId="0221519F" w:rsidR="00314E1C" w:rsidRPr="007C00C6" w:rsidRDefault="006C5235" w:rsidP="007C00C6">
            <w:pPr>
              <w:rPr>
                <w:rFonts w:ascii="Arial" w:hAnsi="Arial" w:cs="Arial"/>
                <w:sz w:val="18"/>
                <w:szCs w:val="18"/>
              </w:rPr>
            </w:pPr>
            <w:r w:rsidRPr="007C00C6">
              <w:rPr>
                <w:rFonts w:ascii="Arial" w:hAnsi="Arial" w:cs="Arial"/>
                <w:sz w:val="18"/>
                <w:szCs w:val="18"/>
              </w:rPr>
              <w:t>5</w:t>
            </w:r>
          </w:p>
        </w:tc>
        <w:tc>
          <w:tcPr>
            <w:tcW w:w="3969" w:type="dxa"/>
            <w:vAlign w:val="center"/>
          </w:tcPr>
          <w:p w14:paraId="0C54FF16" w14:textId="72BD806F" w:rsidR="00314E1C" w:rsidRPr="007C00C6" w:rsidRDefault="00A971CC" w:rsidP="007C00C6">
            <w:pPr>
              <w:rPr>
                <w:rFonts w:ascii="Arial" w:hAnsi="Arial" w:cs="Arial"/>
                <w:sz w:val="18"/>
                <w:szCs w:val="18"/>
              </w:rPr>
            </w:pPr>
            <w:r w:rsidRPr="007C00C6">
              <w:rPr>
                <w:rFonts w:ascii="Arial" w:hAnsi="Arial" w:cs="Arial"/>
                <w:sz w:val="18"/>
                <w:szCs w:val="18"/>
              </w:rPr>
              <w:t>If you answered ‘other’ to question 3 please specify your core profession</w:t>
            </w:r>
          </w:p>
        </w:tc>
        <w:tc>
          <w:tcPr>
            <w:tcW w:w="3770" w:type="dxa"/>
            <w:vAlign w:val="center"/>
          </w:tcPr>
          <w:p w14:paraId="33CAB8DF" w14:textId="1ED748FE" w:rsidR="00314E1C" w:rsidRPr="007C00C6" w:rsidRDefault="00A971CC" w:rsidP="007C00C6">
            <w:pPr>
              <w:rPr>
                <w:rFonts w:ascii="Arial" w:hAnsi="Arial" w:cs="Arial"/>
                <w:sz w:val="18"/>
                <w:szCs w:val="18"/>
              </w:rPr>
            </w:pPr>
            <w:r w:rsidRPr="007C00C6">
              <w:rPr>
                <w:rFonts w:ascii="Arial" w:hAnsi="Arial" w:cs="Arial"/>
                <w:sz w:val="18"/>
                <w:szCs w:val="18"/>
              </w:rPr>
              <w:t>Free text</w:t>
            </w:r>
          </w:p>
        </w:tc>
      </w:tr>
      <w:tr w:rsidR="00314E1C" w14:paraId="17B71B6D" w14:textId="77777777" w:rsidTr="007C00C6">
        <w:trPr>
          <w:trHeight w:val="340"/>
        </w:trPr>
        <w:tc>
          <w:tcPr>
            <w:tcW w:w="1271" w:type="dxa"/>
            <w:vAlign w:val="center"/>
          </w:tcPr>
          <w:p w14:paraId="75A66266" w14:textId="151BB3B4" w:rsidR="00314E1C" w:rsidRPr="007C00C6" w:rsidRDefault="006C5235" w:rsidP="007C00C6">
            <w:pPr>
              <w:rPr>
                <w:rFonts w:ascii="Arial" w:hAnsi="Arial" w:cs="Arial"/>
                <w:sz w:val="18"/>
                <w:szCs w:val="18"/>
              </w:rPr>
            </w:pPr>
            <w:r w:rsidRPr="007C00C6">
              <w:rPr>
                <w:rFonts w:ascii="Arial" w:hAnsi="Arial" w:cs="Arial"/>
                <w:sz w:val="18"/>
                <w:szCs w:val="18"/>
              </w:rPr>
              <w:t>6</w:t>
            </w:r>
          </w:p>
        </w:tc>
        <w:tc>
          <w:tcPr>
            <w:tcW w:w="3969" w:type="dxa"/>
            <w:vAlign w:val="center"/>
          </w:tcPr>
          <w:p w14:paraId="0B19D494" w14:textId="51CF9586" w:rsidR="00314E1C" w:rsidRPr="007C00C6" w:rsidRDefault="00B446E5" w:rsidP="007C00C6">
            <w:pPr>
              <w:rPr>
                <w:rFonts w:ascii="Arial" w:hAnsi="Arial" w:cs="Arial"/>
                <w:sz w:val="18"/>
                <w:szCs w:val="18"/>
              </w:rPr>
            </w:pPr>
            <w:r w:rsidRPr="007C00C6">
              <w:rPr>
                <w:rFonts w:ascii="Arial" w:hAnsi="Arial" w:cs="Arial"/>
                <w:sz w:val="18"/>
                <w:szCs w:val="18"/>
              </w:rPr>
              <w:t>How old are you?</w:t>
            </w:r>
          </w:p>
        </w:tc>
        <w:tc>
          <w:tcPr>
            <w:tcW w:w="3770" w:type="dxa"/>
            <w:vAlign w:val="center"/>
          </w:tcPr>
          <w:p w14:paraId="78FCDCFF" w14:textId="23A828D9" w:rsidR="00314E1C" w:rsidRPr="007C00C6" w:rsidRDefault="00B446E5" w:rsidP="007C00C6">
            <w:pPr>
              <w:rPr>
                <w:rFonts w:ascii="Arial" w:hAnsi="Arial" w:cs="Arial"/>
                <w:sz w:val="18"/>
                <w:szCs w:val="18"/>
              </w:rPr>
            </w:pPr>
            <w:r w:rsidRPr="007C00C6">
              <w:rPr>
                <w:rFonts w:ascii="Arial" w:hAnsi="Arial" w:cs="Arial"/>
                <w:sz w:val="18"/>
                <w:szCs w:val="18"/>
              </w:rPr>
              <w:t>n</w:t>
            </w:r>
          </w:p>
        </w:tc>
      </w:tr>
    </w:tbl>
    <w:p w14:paraId="42EBBB74" w14:textId="77777777" w:rsidR="007F596B" w:rsidRPr="006A386F" w:rsidRDefault="007F596B" w:rsidP="007F596B">
      <w:pPr>
        <w:rPr>
          <w:rFonts w:ascii="Arial" w:hAnsi="Arial" w:cs="Arial"/>
          <w:sz w:val="22"/>
          <w:szCs w:val="22"/>
        </w:rPr>
      </w:pPr>
    </w:p>
    <w:p w14:paraId="688321B0" w14:textId="77777777" w:rsidR="007F596B" w:rsidRPr="006A386F" w:rsidRDefault="007F596B" w:rsidP="007F596B">
      <w:pPr>
        <w:rPr>
          <w:rFonts w:ascii="Arial" w:hAnsi="Arial" w:cs="Arial"/>
          <w:sz w:val="22"/>
          <w:szCs w:val="22"/>
        </w:rPr>
      </w:pPr>
    </w:p>
    <w:p w14:paraId="5C465CFE" w14:textId="77777777" w:rsidR="00813807" w:rsidRDefault="00813807">
      <w:pPr>
        <w:rPr>
          <w:rFonts w:ascii="Arial" w:hAnsi="Arial" w:cs="Arial"/>
          <w:sz w:val="22"/>
          <w:szCs w:val="22"/>
        </w:rPr>
      </w:pPr>
      <w:r>
        <w:rPr>
          <w:rFonts w:ascii="Arial" w:hAnsi="Arial" w:cs="Arial"/>
          <w:sz w:val="22"/>
          <w:szCs w:val="22"/>
        </w:rPr>
        <w:br w:type="page"/>
      </w:r>
    </w:p>
    <w:p w14:paraId="68AD10DC" w14:textId="1438A609" w:rsidR="007F596B" w:rsidRPr="006A386F" w:rsidRDefault="007F596B" w:rsidP="007F596B">
      <w:pPr>
        <w:spacing w:line="480" w:lineRule="auto"/>
        <w:rPr>
          <w:rFonts w:ascii="Arial" w:hAnsi="Arial" w:cs="Arial"/>
          <w:sz w:val="22"/>
          <w:szCs w:val="22"/>
        </w:rPr>
      </w:pPr>
      <w:r w:rsidRPr="006A386F">
        <w:rPr>
          <w:rFonts w:ascii="Arial" w:hAnsi="Arial" w:cs="Arial"/>
          <w:sz w:val="22"/>
          <w:szCs w:val="22"/>
        </w:rPr>
        <w:lastRenderedPageBreak/>
        <w:t xml:space="preserve">The information was initially used to confirm that the therapists were representative of the wider population of High Intensity CBT Therapists. In addition, this data was used as </w:t>
      </w:r>
      <w:r w:rsidR="003E212A">
        <w:rPr>
          <w:rFonts w:ascii="Arial" w:hAnsi="Arial" w:cs="Arial"/>
          <w:sz w:val="22"/>
          <w:szCs w:val="22"/>
        </w:rPr>
        <w:t xml:space="preserve">five of the </w:t>
      </w:r>
      <w:r w:rsidRPr="006A386F">
        <w:rPr>
          <w:rFonts w:ascii="Arial" w:hAnsi="Arial" w:cs="Arial"/>
          <w:sz w:val="22"/>
          <w:szCs w:val="22"/>
        </w:rPr>
        <w:t xml:space="preserve">independent variables </w:t>
      </w:r>
      <w:r w:rsidR="003E212A">
        <w:rPr>
          <w:rFonts w:ascii="Arial" w:hAnsi="Arial" w:cs="Arial"/>
          <w:sz w:val="22"/>
          <w:szCs w:val="22"/>
        </w:rPr>
        <w:t xml:space="preserve">used </w:t>
      </w:r>
      <w:r w:rsidR="0010352C">
        <w:rPr>
          <w:rFonts w:ascii="Arial" w:hAnsi="Arial" w:cs="Arial"/>
          <w:sz w:val="22"/>
          <w:szCs w:val="22"/>
        </w:rPr>
        <w:t xml:space="preserve">to </w:t>
      </w:r>
      <w:r w:rsidR="006956E2">
        <w:rPr>
          <w:rFonts w:ascii="Arial" w:hAnsi="Arial" w:cs="Arial"/>
          <w:sz w:val="22"/>
          <w:szCs w:val="22"/>
        </w:rPr>
        <w:t>understand whether there is a relationship between any of the demographic variables and clinical outcome.</w:t>
      </w:r>
      <w:r w:rsidRPr="006A386F">
        <w:rPr>
          <w:rFonts w:ascii="Arial" w:hAnsi="Arial" w:cs="Arial"/>
          <w:sz w:val="22"/>
          <w:szCs w:val="22"/>
        </w:rPr>
        <w:t xml:space="preserve"> </w:t>
      </w:r>
    </w:p>
    <w:p w14:paraId="526CAB0D" w14:textId="77777777" w:rsidR="007F596B" w:rsidRDefault="007F596B" w:rsidP="007F596B">
      <w:pPr>
        <w:spacing w:line="480" w:lineRule="auto"/>
        <w:rPr>
          <w:rFonts w:ascii="Arial" w:hAnsi="Arial" w:cs="Arial"/>
          <w:sz w:val="22"/>
          <w:szCs w:val="22"/>
        </w:rPr>
      </w:pPr>
    </w:p>
    <w:p w14:paraId="2DEAF77A" w14:textId="6BE7870A" w:rsidR="007F596B" w:rsidRDefault="00AB3CF6" w:rsidP="007F596B">
      <w:pPr>
        <w:pStyle w:val="Heading3"/>
        <w:rPr>
          <w:rFonts w:cs="Arial"/>
          <w:color w:val="000000" w:themeColor="text1"/>
          <w:szCs w:val="22"/>
        </w:rPr>
      </w:pPr>
      <w:bookmarkStart w:id="284" w:name="_Toc46770796"/>
      <w:bookmarkStart w:id="285" w:name="_Toc79414207"/>
      <w:r>
        <w:rPr>
          <w:rFonts w:cs="Arial"/>
          <w:color w:val="000000" w:themeColor="text1"/>
          <w:szCs w:val="22"/>
        </w:rPr>
        <w:t>4</w:t>
      </w:r>
      <w:r w:rsidR="007F596B" w:rsidRPr="006A386F">
        <w:rPr>
          <w:rFonts w:cs="Arial"/>
          <w:color w:val="000000" w:themeColor="text1"/>
          <w:szCs w:val="22"/>
        </w:rPr>
        <w:t xml:space="preserve">.4.2 Rating </w:t>
      </w:r>
      <w:r w:rsidR="007F596B">
        <w:rPr>
          <w:rFonts w:cs="Arial"/>
          <w:color w:val="000000" w:themeColor="text1"/>
          <w:szCs w:val="22"/>
        </w:rPr>
        <w:t>therapy transcripts</w:t>
      </w:r>
      <w:bookmarkEnd w:id="284"/>
      <w:bookmarkEnd w:id="285"/>
    </w:p>
    <w:p w14:paraId="2C34878A" w14:textId="1335C2E7" w:rsidR="001641D5" w:rsidRDefault="001641D5" w:rsidP="001641D5"/>
    <w:p w14:paraId="1082CD1F" w14:textId="7FE639AB" w:rsidR="001641D5" w:rsidRPr="001641D5" w:rsidRDefault="00AC18F7" w:rsidP="001641D5">
      <w:pPr>
        <w:spacing w:line="480" w:lineRule="auto"/>
        <w:rPr>
          <w:rFonts w:ascii="Arial" w:hAnsi="Arial" w:cs="Arial"/>
          <w:sz w:val="22"/>
          <w:szCs w:val="22"/>
        </w:rPr>
      </w:pPr>
      <w:r>
        <w:rPr>
          <w:rFonts w:ascii="Arial" w:hAnsi="Arial" w:cs="Arial"/>
          <w:sz w:val="22"/>
          <w:szCs w:val="22"/>
        </w:rPr>
        <w:t>The therapists work</w:t>
      </w:r>
      <w:r w:rsidR="008F04F4">
        <w:rPr>
          <w:rFonts w:ascii="Arial" w:hAnsi="Arial" w:cs="Arial"/>
          <w:sz w:val="22"/>
          <w:szCs w:val="22"/>
        </w:rPr>
        <w:t xml:space="preserve"> included in this research</w:t>
      </w:r>
      <w:r w:rsidR="001641D5" w:rsidRPr="001641D5">
        <w:rPr>
          <w:rFonts w:ascii="Arial" w:hAnsi="Arial" w:cs="Arial"/>
          <w:sz w:val="22"/>
          <w:szCs w:val="22"/>
        </w:rPr>
        <w:t xml:space="preserve"> were </w:t>
      </w:r>
      <w:r w:rsidR="00AC7162">
        <w:rPr>
          <w:rFonts w:ascii="Arial" w:hAnsi="Arial" w:cs="Arial"/>
          <w:sz w:val="22"/>
          <w:szCs w:val="22"/>
        </w:rPr>
        <w:t xml:space="preserve">rated by </w:t>
      </w:r>
      <w:r w:rsidR="008F04F4">
        <w:rPr>
          <w:rFonts w:ascii="Arial" w:hAnsi="Arial" w:cs="Arial"/>
          <w:sz w:val="22"/>
          <w:szCs w:val="22"/>
        </w:rPr>
        <w:t xml:space="preserve">6 raters, including the researcher. </w:t>
      </w:r>
      <w:r w:rsidR="00233EAC">
        <w:rPr>
          <w:rFonts w:ascii="Arial" w:hAnsi="Arial" w:cs="Arial"/>
          <w:sz w:val="22"/>
          <w:szCs w:val="22"/>
        </w:rPr>
        <w:t>However, as part of normal service delivery 10 raters</w:t>
      </w:r>
      <w:r>
        <w:rPr>
          <w:rFonts w:ascii="Arial" w:hAnsi="Arial" w:cs="Arial"/>
          <w:sz w:val="22"/>
          <w:szCs w:val="22"/>
        </w:rPr>
        <w:t xml:space="preserve"> had previously rated therapists work.</w:t>
      </w:r>
      <w:r w:rsidR="001641D5">
        <w:rPr>
          <w:rFonts w:ascii="Arial" w:hAnsi="Arial" w:cs="Arial"/>
          <w:sz w:val="22"/>
          <w:szCs w:val="22"/>
        </w:rPr>
        <w:t xml:space="preserve"> </w:t>
      </w:r>
      <w:r w:rsidR="00D53EE4" w:rsidRPr="008815D7">
        <w:rPr>
          <w:rFonts w:ascii="Arial" w:hAnsi="Arial" w:cs="Arial"/>
          <w:sz w:val="22"/>
          <w:szCs w:val="22"/>
        </w:rPr>
        <w:t>Unfortunately</w:t>
      </w:r>
      <w:r w:rsidR="001641D5" w:rsidRPr="008815D7">
        <w:rPr>
          <w:rFonts w:ascii="Arial" w:hAnsi="Arial" w:cs="Arial"/>
          <w:sz w:val="22"/>
          <w:szCs w:val="22"/>
        </w:rPr>
        <w:t>,</w:t>
      </w:r>
      <w:r w:rsidR="00DE6034" w:rsidRPr="008815D7">
        <w:rPr>
          <w:rFonts w:ascii="Arial" w:hAnsi="Arial" w:cs="Arial"/>
          <w:sz w:val="22"/>
          <w:szCs w:val="22"/>
        </w:rPr>
        <w:t xml:space="preserve"> the</w:t>
      </w:r>
      <w:r w:rsidR="001641D5" w:rsidRPr="008815D7">
        <w:rPr>
          <w:rFonts w:ascii="Arial" w:hAnsi="Arial" w:cs="Arial"/>
          <w:sz w:val="22"/>
          <w:szCs w:val="22"/>
        </w:rPr>
        <w:t xml:space="preserve"> int</w:t>
      </w:r>
      <w:r w:rsidR="00CC72C7" w:rsidRPr="008815D7">
        <w:rPr>
          <w:rFonts w:ascii="Arial" w:hAnsi="Arial" w:cs="Arial"/>
          <w:sz w:val="22"/>
          <w:szCs w:val="22"/>
        </w:rPr>
        <w:t>ra</w:t>
      </w:r>
      <w:r w:rsidR="001641D5" w:rsidRPr="008815D7">
        <w:rPr>
          <w:rFonts w:ascii="Arial" w:hAnsi="Arial" w:cs="Arial"/>
          <w:sz w:val="22"/>
          <w:szCs w:val="22"/>
        </w:rPr>
        <w:t>-class correlation showed that 4 of the 10 raters were consistent outliers, despite inter-rater reliability train</w:t>
      </w:r>
      <w:r w:rsidR="001641D5" w:rsidRPr="005144E4">
        <w:rPr>
          <w:rFonts w:ascii="Arial" w:hAnsi="Arial" w:cs="Arial"/>
          <w:sz w:val="22"/>
          <w:szCs w:val="22"/>
        </w:rPr>
        <w:t>ing</w:t>
      </w:r>
      <w:r w:rsidR="001641D5">
        <w:rPr>
          <w:rFonts w:ascii="Arial" w:hAnsi="Arial" w:cs="Arial"/>
          <w:sz w:val="22"/>
          <w:szCs w:val="22"/>
        </w:rPr>
        <w:t xml:space="preserve"> (see </w:t>
      </w:r>
      <w:r w:rsidR="006E6C64">
        <w:rPr>
          <w:rFonts w:ascii="Arial" w:hAnsi="Arial" w:cs="Arial"/>
          <w:sz w:val="22"/>
          <w:szCs w:val="22"/>
        </w:rPr>
        <w:t>C</w:t>
      </w:r>
      <w:r w:rsidR="001641D5">
        <w:rPr>
          <w:rFonts w:ascii="Arial" w:hAnsi="Arial" w:cs="Arial"/>
          <w:sz w:val="22"/>
          <w:szCs w:val="22"/>
        </w:rPr>
        <w:t>hapter 5 for details of int</w:t>
      </w:r>
      <w:r w:rsidR="00DE6034">
        <w:rPr>
          <w:rFonts w:ascii="Arial" w:hAnsi="Arial" w:cs="Arial"/>
          <w:sz w:val="22"/>
          <w:szCs w:val="22"/>
        </w:rPr>
        <w:t>ra</w:t>
      </w:r>
      <w:r w:rsidR="001641D5">
        <w:rPr>
          <w:rFonts w:ascii="Arial" w:hAnsi="Arial" w:cs="Arial"/>
          <w:sz w:val="22"/>
          <w:szCs w:val="22"/>
        </w:rPr>
        <w:t>-class correlation and inter-rater reliability).</w:t>
      </w:r>
      <w:r w:rsidR="001641D5" w:rsidRPr="001641D5">
        <w:rPr>
          <w:rFonts w:ascii="Arial" w:hAnsi="Arial" w:cs="Arial"/>
          <w:sz w:val="22"/>
          <w:szCs w:val="22"/>
        </w:rPr>
        <w:t xml:space="preserve"> </w:t>
      </w:r>
      <w:r w:rsidR="002E0538">
        <w:rPr>
          <w:rFonts w:ascii="Arial" w:hAnsi="Arial" w:cs="Arial"/>
          <w:sz w:val="22"/>
          <w:szCs w:val="22"/>
        </w:rPr>
        <w:t>I</w:t>
      </w:r>
      <w:r w:rsidR="00054F32">
        <w:rPr>
          <w:rFonts w:ascii="Arial" w:hAnsi="Arial" w:cs="Arial"/>
          <w:sz w:val="22"/>
          <w:szCs w:val="22"/>
        </w:rPr>
        <w:t>nspection of the i</w:t>
      </w:r>
      <w:r w:rsidR="002E0538">
        <w:rPr>
          <w:rFonts w:ascii="Arial" w:hAnsi="Arial" w:cs="Arial"/>
          <w:sz w:val="22"/>
          <w:szCs w:val="22"/>
        </w:rPr>
        <w:t>nt</w:t>
      </w:r>
      <w:r w:rsidR="00DE6034">
        <w:rPr>
          <w:rFonts w:ascii="Arial" w:hAnsi="Arial" w:cs="Arial"/>
          <w:sz w:val="22"/>
          <w:szCs w:val="22"/>
        </w:rPr>
        <w:t>ra</w:t>
      </w:r>
      <w:r w:rsidR="002E0538">
        <w:rPr>
          <w:rFonts w:ascii="Arial" w:hAnsi="Arial" w:cs="Arial"/>
          <w:sz w:val="22"/>
          <w:szCs w:val="22"/>
        </w:rPr>
        <w:t>-</w:t>
      </w:r>
      <w:r w:rsidR="002642D9">
        <w:rPr>
          <w:rFonts w:ascii="Arial" w:hAnsi="Arial" w:cs="Arial"/>
          <w:sz w:val="22"/>
          <w:szCs w:val="22"/>
        </w:rPr>
        <w:t>class correlation showed that one rater had rate</w:t>
      </w:r>
      <w:r w:rsidR="000E59E3">
        <w:rPr>
          <w:rFonts w:ascii="Arial" w:hAnsi="Arial" w:cs="Arial"/>
          <w:sz w:val="22"/>
          <w:szCs w:val="22"/>
        </w:rPr>
        <w:t>d 37 of the n=237 therapists who had originally consented.</w:t>
      </w:r>
      <w:r w:rsidR="008977C0">
        <w:rPr>
          <w:rFonts w:ascii="Arial" w:hAnsi="Arial" w:cs="Arial"/>
          <w:sz w:val="22"/>
          <w:szCs w:val="22"/>
        </w:rPr>
        <w:t xml:space="preserve"> The therapists who had been rated by this rater were therefore excluded from this study. </w:t>
      </w:r>
    </w:p>
    <w:p w14:paraId="2A24D06C" w14:textId="77777777" w:rsidR="007F596B" w:rsidRPr="006A386F" w:rsidRDefault="007F596B" w:rsidP="007F596B"/>
    <w:p w14:paraId="37E225A7" w14:textId="72D69701" w:rsidR="007F596B" w:rsidRPr="006A386F" w:rsidRDefault="00367CCA" w:rsidP="007F596B">
      <w:pPr>
        <w:spacing w:line="480" w:lineRule="auto"/>
        <w:rPr>
          <w:rFonts w:ascii="Arial" w:hAnsi="Arial" w:cs="Arial"/>
          <w:sz w:val="22"/>
          <w:szCs w:val="22"/>
        </w:rPr>
      </w:pPr>
      <w:r>
        <w:rPr>
          <w:rFonts w:ascii="Arial" w:hAnsi="Arial" w:cs="Arial"/>
          <w:sz w:val="22"/>
          <w:szCs w:val="22"/>
        </w:rPr>
        <w:t>As part of the routine rating of therapists’ sessions, r</w:t>
      </w:r>
      <w:r w:rsidR="001641D5">
        <w:rPr>
          <w:rFonts w:ascii="Arial" w:hAnsi="Arial" w:cs="Arial"/>
          <w:sz w:val="22"/>
          <w:szCs w:val="22"/>
        </w:rPr>
        <w:t>aters</w:t>
      </w:r>
      <w:r w:rsidR="007F596B" w:rsidRPr="006A386F">
        <w:rPr>
          <w:rFonts w:ascii="Arial" w:hAnsi="Arial" w:cs="Arial"/>
          <w:sz w:val="22"/>
          <w:szCs w:val="22"/>
        </w:rPr>
        <w:t xml:space="preserve"> were randomly allocated therapists to assess</w:t>
      </w:r>
      <w:r w:rsidR="001641D5">
        <w:rPr>
          <w:rFonts w:ascii="Arial" w:hAnsi="Arial" w:cs="Arial"/>
          <w:sz w:val="22"/>
          <w:szCs w:val="22"/>
        </w:rPr>
        <w:t>.</w:t>
      </w:r>
      <w:r w:rsidR="007F596B" w:rsidRPr="006A386F">
        <w:rPr>
          <w:rFonts w:ascii="Arial" w:hAnsi="Arial" w:cs="Arial"/>
          <w:sz w:val="22"/>
          <w:szCs w:val="22"/>
        </w:rPr>
        <w:t xml:space="preserve"> All of the </w:t>
      </w:r>
      <w:r w:rsidR="0010352C">
        <w:rPr>
          <w:rFonts w:ascii="Arial" w:hAnsi="Arial" w:cs="Arial"/>
          <w:sz w:val="22"/>
          <w:szCs w:val="22"/>
        </w:rPr>
        <w:t>raters</w:t>
      </w:r>
      <w:r w:rsidR="007F596B" w:rsidRPr="006A386F">
        <w:rPr>
          <w:rFonts w:ascii="Arial" w:hAnsi="Arial" w:cs="Arial"/>
          <w:sz w:val="22"/>
          <w:szCs w:val="22"/>
        </w:rPr>
        <w:t xml:space="preserve"> were blind to the </w:t>
      </w:r>
      <w:r w:rsidR="00D85327">
        <w:rPr>
          <w:rFonts w:ascii="Arial" w:hAnsi="Arial" w:cs="Arial"/>
          <w:sz w:val="22"/>
          <w:szCs w:val="22"/>
        </w:rPr>
        <w:t xml:space="preserve">clinical </w:t>
      </w:r>
      <w:r w:rsidR="007F596B" w:rsidRPr="006A386F">
        <w:rPr>
          <w:rFonts w:ascii="Arial" w:hAnsi="Arial" w:cs="Arial"/>
          <w:sz w:val="22"/>
          <w:szCs w:val="22"/>
        </w:rPr>
        <w:t xml:space="preserve">outcome and demographic data. </w:t>
      </w:r>
      <w:r w:rsidR="0010352C">
        <w:rPr>
          <w:rFonts w:ascii="Arial" w:hAnsi="Arial" w:cs="Arial"/>
          <w:sz w:val="22"/>
          <w:szCs w:val="22"/>
        </w:rPr>
        <w:t>Additionally, the raters did not know the therapists they were rating in that they had not previously supervised or taught them.</w:t>
      </w:r>
      <w:r w:rsidR="007F596B" w:rsidRPr="006A386F">
        <w:rPr>
          <w:rFonts w:ascii="Arial" w:hAnsi="Arial" w:cs="Arial"/>
          <w:sz w:val="22"/>
          <w:szCs w:val="22"/>
        </w:rPr>
        <w:t xml:space="preserve"> The </w:t>
      </w:r>
      <w:r w:rsidR="0010352C">
        <w:rPr>
          <w:rFonts w:ascii="Arial" w:hAnsi="Arial" w:cs="Arial"/>
          <w:sz w:val="22"/>
          <w:szCs w:val="22"/>
        </w:rPr>
        <w:t>raters</w:t>
      </w:r>
      <w:r w:rsidR="007F596B" w:rsidRPr="006A386F">
        <w:rPr>
          <w:rFonts w:ascii="Arial" w:hAnsi="Arial" w:cs="Arial"/>
          <w:sz w:val="22"/>
          <w:szCs w:val="22"/>
        </w:rPr>
        <w:t xml:space="preserve"> were instructed to randomly select 3 completed cases from the therapist’s caseload using the following criteria:</w:t>
      </w:r>
    </w:p>
    <w:p w14:paraId="79CB52ED" w14:textId="77777777" w:rsidR="007F596B" w:rsidRPr="006A386F" w:rsidRDefault="007F596B" w:rsidP="00934842">
      <w:pPr>
        <w:pStyle w:val="ListParagraph"/>
        <w:numPr>
          <w:ilvl w:val="0"/>
          <w:numId w:val="15"/>
        </w:numPr>
        <w:spacing w:line="480" w:lineRule="auto"/>
        <w:rPr>
          <w:rFonts w:ascii="Arial" w:hAnsi="Arial" w:cs="Arial"/>
          <w:sz w:val="22"/>
          <w:szCs w:val="22"/>
        </w:rPr>
      </w:pPr>
      <w:r w:rsidRPr="006A386F">
        <w:rPr>
          <w:rFonts w:ascii="Arial" w:hAnsi="Arial" w:cs="Arial"/>
          <w:sz w:val="22"/>
          <w:szCs w:val="22"/>
        </w:rPr>
        <w:t>Each case selected must be a completed case (i.e. the patient must not have dropped out of therapy).</w:t>
      </w:r>
    </w:p>
    <w:p w14:paraId="08395772" w14:textId="77777777" w:rsidR="007F596B" w:rsidRPr="006A386F" w:rsidRDefault="007F596B" w:rsidP="00934842">
      <w:pPr>
        <w:pStyle w:val="ListParagraph"/>
        <w:numPr>
          <w:ilvl w:val="0"/>
          <w:numId w:val="15"/>
        </w:numPr>
        <w:spacing w:line="480" w:lineRule="auto"/>
        <w:rPr>
          <w:rFonts w:ascii="Arial" w:hAnsi="Arial" w:cs="Arial"/>
          <w:sz w:val="22"/>
          <w:szCs w:val="22"/>
        </w:rPr>
      </w:pPr>
      <w:r w:rsidRPr="006A386F">
        <w:rPr>
          <w:rFonts w:ascii="Arial" w:hAnsi="Arial" w:cs="Arial"/>
          <w:sz w:val="22"/>
          <w:szCs w:val="22"/>
        </w:rPr>
        <w:t>The case must have been treated at step 3</w:t>
      </w:r>
    </w:p>
    <w:p w14:paraId="6EDE232B" w14:textId="2A2C7658" w:rsidR="00211FF2" w:rsidRPr="00D238AD" w:rsidRDefault="007F596B" w:rsidP="007F596B">
      <w:pPr>
        <w:pStyle w:val="ListParagraph"/>
        <w:numPr>
          <w:ilvl w:val="0"/>
          <w:numId w:val="15"/>
        </w:numPr>
        <w:spacing w:line="480" w:lineRule="auto"/>
        <w:rPr>
          <w:rFonts w:ascii="Arial" w:hAnsi="Arial" w:cs="Arial"/>
          <w:sz w:val="22"/>
          <w:szCs w:val="22"/>
        </w:rPr>
      </w:pPr>
      <w:r w:rsidRPr="006A386F">
        <w:rPr>
          <w:rFonts w:ascii="Arial" w:hAnsi="Arial" w:cs="Arial"/>
          <w:sz w:val="22"/>
          <w:szCs w:val="22"/>
        </w:rPr>
        <w:t>The case must have been completed during the time period April 2017 to April 2018.</w:t>
      </w:r>
      <w:r w:rsidR="00D238AD">
        <w:rPr>
          <w:rFonts w:ascii="Arial" w:hAnsi="Arial" w:cs="Arial"/>
          <w:sz w:val="22"/>
          <w:szCs w:val="22"/>
        </w:rPr>
        <w:br/>
      </w:r>
    </w:p>
    <w:p w14:paraId="6A938DBB" w14:textId="5F703640" w:rsidR="007F596B" w:rsidRPr="006A386F" w:rsidRDefault="00AB3CF6" w:rsidP="007F596B">
      <w:pPr>
        <w:pStyle w:val="Heading3"/>
        <w:rPr>
          <w:rFonts w:cs="Arial"/>
          <w:b w:val="0"/>
          <w:color w:val="000000" w:themeColor="text1"/>
          <w:szCs w:val="22"/>
        </w:rPr>
      </w:pPr>
      <w:bookmarkStart w:id="286" w:name="_Toc46770797"/>
      <w:bookmarkStart w:id="287" w:name="_Toc79414208"/>
      <w:r>
        <w:rPr>
          <w:rFonts w:cs="Arial"/>
          <w:color w:val="000000" w:themeColor="text1"/>
          <w:szCs w:val="22"/>
        </w:rPr>
        <w:t>4</w:t>
      </w:r>
      <w:r w:rsidR="007F596B" w:rsidRPr="006A386F">
        <w:rPr>
          <w:rFonts w:cs="Arial"/>
          <w:color w:val="000000" w:themeColor="text1"/>
          <w:szCs w:val="22"/>
        </w:rPr>
        <w:t>.4.3 Rating therapist competence (F score)</w:t>
      </w:r>
      <w:bookmarkEnd w:id="286"/>
      <w:bookmarkEnd w:id="287"/>
    </w:p>
    <w:p w14:paraId="39B129C8" w14:textId="77777777" w:rsidR="007F596B" w:rsidRPr="006A386F" w:rsidRDefault="007F596B" w:rsidP="007F596B">
      <w:pPr>
        <w:spacing w:line="480" w:lineRule="auto"/>
        <w:rPr>
          <w:rFonts w:ascii="Arial" w:hAnsi="Arial" w:cs="Arial"/>
          <w:sz w:val="22"/>
          <w:szCs w:val="22"/>
        </w:rPr>
      </w:pPr>
    </w:p>
    <w:p w14:paraId="05891DDD" w14:textId="17C8ABB1" w:rsidR="00390102" w:rsidRPr="008815D7" w:rsidRDefault="005D75CB" w:rsidP="007F596B">
      <w:pPr>
        <w:spacing w:line="480" w:lineRule="auto"/>
        <w:rPr>
          <w:rFonts w:ascii="Arial" w:hAnsi="Arial" w:cs="Arial"/>
          <w:sz w:val="22"/>
          <w:szCs w:val="22"/>
        </w:rPr>
      </w:pPr>
      <w:r w:rsidRPr="008815D7">
        <w:rPr>
          <w:rFonts w:ascii="Arial" w:hAnsi="Arial" w:cs="Arial"/>
          <w:sz w:val="22"/>
          <w:szCs w:val="22"/>
        </w:rPr>
        <w:t xml:space="preserve">Section 2.5.3 of this thesis describes the development of tools that </w:t>
      </w:r>
      <w:r w:rsidR="00A805B1" w:rsidRPr="008815D7">
        <w:rPr>
          <w:rFonts w:ascii="Arial" w:hAnsi="Arial" w:cs="Arial"/>
          <w:sz w:val="22"/>
          <w:szCs w:val="22"/>
        </w:rPr>
        <w:t>have been used to rate therapist competence</w:t>
      </w:r>
      <w:r w:rsidR="0015109C" w:rsidRPr="008815D7">
        <w:rPr>
          <w:rFonts w:ascii="Arial" w:hAnsi="Arial" w:cs="Arial"/>
          <w:sz w:val="22"/>
          <w:szCs w:val="22"/>
        </w:rPr>
        <w:t xml:space="preserve">, most notably the Cognitive Therapy Scale (CTS) and Cognitive </w:t>
      </w:r>
      <w:r w:rsidR="0015109C" w:rsidRPr="008815D7">
        <w:rPr>
          <w:rFonts w:ascii="Arial" w:hAnsi="Arial" w:cs="Arial"/>
          <w:sz w:val="22"/>
          <w:szCs w:val="22"/>
        </w:rPr>
        <w:lastRenderedPageBreak/>
        <w:t xml:space="preserve">Therapy Scale-Revised (CTS-R). </w:t>
      </w:r>
      <w:r w:rsidR="00712C7F" w:rsidRPr="008815D7">
        <w:rPr>
          <w:rFonts w:ascii="Arial" w:hAnsi="Arial" w:cs="Arial"/>
          <w:sz w:val="22"/>
          <w:szCs w:val="22"/>
        </w:rPr>
        <w:t xml:space="preserve">Other methods of assessing therapist competence have </w:t>
      </w:r>
      <w:r w:rsidR="00182231" w:rsidRPr="008815D7">
        <w:rPr>
          <w:rFonts w:ascii="Arial" w:hAnsi="Arial" w:cs="Arial"/>
          <w:sz w:val="22"/>
          <w:szCs w:val="22"/>
        </w:rPr>
        <w:t>evolved</w:t>
      </w:r>
      <w:r w:rsidR="00304E43" w:rsidRPr="008815D7">
        <w:rPr>
          <w:rFonts w:ascii="Arial" w:hAnsi="Arial" w:cs="Arial"/>
          <w:sz w:val="22"/>
          <w:szCs w:val="22"/>
        </w:rPr>
        <w:t>,</w:t>
      </w:r>
      <w:r w:rsidR="00182231" w:rsidRPr="008815D7">
        <w:rPr>
          <w:rFonts w:ascii="Arial" w:hAnsi="Arial" w:cs="Arial"/>
          <w:sz w:val="22"/>
          <w:szCs w:val="22"/>
        </w:rPr>
        <w:t xml:space="preserve"> including the Cognitive</w:t>
      </w:r>
      <w:r w:rsidR="00941C7D" w:rsidRPr="008815D7">
        <w:rPr>
          <w:rFonts w:ascii="Arial" w:hAnsi="Arial" w:cs="Arial"/>
          <w:sz w:val="22"/>
          <w:szCs w:val="22"/>
        </w:rPr>
        <w:t xml:space="preserve"> Therapy Adherence and Competence Scale (Barber et al., 2003)</w:t>
      </w:r>
      <w:r w:rsidR="00BE76F6" w:rsidRPr="008815D7">
        <w:rPr>
          <w:rFonts w:ascii="Arial" w:hAnsi="Arial" w:cs="Arial"/>
          <w:sz w:val="22"/>
          <w:szCs w:val="22"/>
        </w:rPr>
        <w:t>, the Yale Adherence and Competence Scale (Carroll</w:t>
      </w:r>
      <w:r w:rsidR="00206193" w:rsidRPr="008815D7">
        <w:rPr>
          <w:rFonts w:ascii="Arial" w:hAnsi="Arial" w:cs="Arial"/>
          <w:sz w:val="22"/>
          <w:szCs w:val="22"/>
        </w:rPr>
        <w:t xml:space="preserve"> </w:t>
      </w:r>
      <w:r w:rsidR="00BE76F6" w:rsidRPr="008815D7">
        <w:rPr>
          <w:rFonts w:ascii="Arial" w:hAnsi="Arial" w:cs="Arial"/>
          <w:sz w:val="22"/>
          <w:szCs w:val="22"/>
        </w:rPr>
        <w:t xml:space="preserve">et al., 2000) </w:t>
      </w:r>
      <w:r w:rsidR="00E34F03" w:rsidRPr="008815D7">
        <w:rPr>
          <w:rFonts w:ascii="Arial" w:hAnsi="Arial" w:cs="Arial"/>
          <w:sz w:val="22"/>
          <w:szCs w:val="22"/>
        </w:rPr>
        <w:t>and</w:t>
      </w:r>
      <w:r w:rsidR="00570AF2" w:rsidRPr="008815D7">
        <w:rPr>
          <w:rFonts w:ascii="Arial" w:hAnsi="Arial" w:cs="Arial"/>
          <w:sz w:val="22"/>
          <w:szCs w:val="22"/>
        </w:rPr>
        <w:t>,</w:t>
      </w:r>
      <w:r w:rsidR="00E34F03" w:rsidRPr="008815D7">
        <w:rPr>
          <w:rFonts w:ascii="Arial" w:hAnsi="Arial" w:cs="Arial"/>
          <w:sz w:val="22"/>
          <w:szCs w:val="22"/>
        </w:rPr>
        <w:t xml:space="preserve"> more recently</w:t>
      </w:r>
      <w:r w:rsidR="00570AF2" w:rsidRPr="008815D7">
        <w:rPr>
          <w:rFonts w:ascii="Arial" w:hAnsi="Arial" w:cs="Arial"/>
          <w:sz w:val="22"/>
          <w:szCs w:val="22"/>
        </w:rPr>
        <w:t>,</w:t>
      </w:r>
      <w:r w:rsidR="00E34F03" w:rsidRPr="008815D7">
        <w:rPr>
          <w:rFonts w:ascii="Arial" w:hAnsi="Arial" w:cs="Arial"/>
          <w:sz w:val="22"/>
          <w:szCs w:val="22"/>
        </w:rPr>
        <w:t xml:space="preserve"> the Assessment of Core CBT Skills (Muse, McManus</w:t>
      </w:r>
      <w:r w:rsidR="00BB7548" w:rsidRPr="008815D7">
        <w:rPr>
          <w:rFonts w:ascii="Arial" w:hAnsi="Arial" w:cs="Arial"/>
          <w:sz w:val="22"/>
          <w:szCs w:val="22"/>
        </w:rPr>
        <w:t xml:space="preserve">, Rakovshik and Thwaites, 2017). </w:t>
      </w:r>
      <w:r w:rsidR="00E779E6" w:rsidRPr="008815D7">
        <w:rPr>
          <w:rFonts w:ascii="Arial" w:hAnsi="Arial" w:cs="Arial"/>
          <w:sz w:val="22"/>
          <w:szCs w:val="22"/>
        </w:rPr>
        <w:t>None of these tools have been widely adopted</w:t>
      </w:r>
      <w:r w:rsidR="00E34F03" w:rsidRPr="008815D7">
        <w:rPr>
          <w:rFonts w:ascii="Arial" w:hAnsi="Arial" w:cs="Arial"/>
          <w:sz w:val="22"/>
          <w:szCs w:val="22"/>
        </w:rPr>
        <w:t xml:space="preserve"> </w:t>
      </w:r>
      <w:r w:rsidR="008B32C4" w:rsidRPr="008815D7">
        <w:rPr>
          <w:rFonts w:ascii="Arial" w:hAnsi="Arial" w:cs="Arial"/>
          <w:sz w:val="22"/>
          <w:szCs w:val="22"/>
        </w:rPr>
        <w:t>in the assessment of CBT therapist competence (Muse et al., 2017)</w:t>
      </w:r>
      <w:r w:rsidR="007254E4" w:rsidRPr="008815D7">
        <w:rPr>
          <w:rFonts w:ascii="Arial" w:hAnsi="Arial" w:cs="Arial"/>
          <w:sz w:val="22"/>
          <w:szCs w:val="22"/>
        </w:rPr>
        <w:t xml:space="preserve"> and the CTS-R remains </w:t>
      </w:r>
      <w:r w:rsidR="00246787" w:rsidRPr="008815D7">
        <w:rPr>
          <w:rFonts w:ascii="Arial" w:hAnsi="Arial" w:cs="Arial"/>
          <w:sz w:val="22"/>
          <w:szCs w:val="22"/>
        </w:rPr>
        <w:t>the most commonly</w:t>
      </w:r>
      <w:r w:rsidR="007254E4" w:rsidRPr="008815D7">
        <w:rPr>
          <w:rFonts w:ascii="Arial" w:hAnsi="Arial" w:cs="Arial"/>
          <w:sz w:val="22"/>
          <w:szCs w:val="22"/>
        </w:rPr>
        <w:t xml:space="preserve"> </w:t>
      </w:r>
      <w:r w:rsidR="00246787" w:rsidRPr="008815D7">
        <w:rPr>
          <w:rFonts w:ascii="Arial" w:hAnsi="Arial" w:cs="Arial"/>
          <w:sz w:val="22"/>
          <w:szCs w:val="22"/>
        </w:rPr>
        <w:t xml:space="preserve">used and widely </w:t>
      </w:r>
      <w:r w:rsidR="007254E4" w:rsidRPr="008815D7">
        <w:rPr>
          <w:rFonts w:ascii="Arial" w:hAnsi="Arial" w:cs="Arial"/>
          <w:sz w:val="22"/>
          <w:szCs w:val="22"/>
        </w:rPr>
        <w:t xml:space="preserve">accepted </w:t>
      </w:r>
      <w:r w:rsidR="00246787" w:rsidRPr="008815D7">
        <w:rPr>
          <w:rFonts w:ascii="Arial" w:hAnsi="Arial" w:cs="Arial"/>
          <w:sz w:val="22"/>
          <w:szCs w:val="22"/>
        </w:rPr>
        <w:t xml:space="preserve">tool of choice </w:t>
      </w:r>
      <w:r w:rsidR="00970E4D" w:rsidRPr="008815D7">
        <w:rPr>
          <w:rFonts w:ascii="Arial" w:hAnsi="Arial" w:cs="Arial"/>
          <w:sz w:val="22"/>
          <w:szCs w:val="22"/>
        </w:rPr>
        <w:t>to assess therapist competence. Therefore,</w:t>
      </w:r>
      <w:r w:rsidR="000128AF" w:rsidRPr="008815D7">
        <w:rPr>
          <w:rFonts w:ascii="Arial" w:hAnsi="Arial" w:cs="Arial"/>
          <w:sz w:val="22"/>
          <w:szCs w:val="22"/>
        </w:rPr>
        <w:t xml:space="preserve"> the CTS-R was selected to rate therapist competence</w:t>
      </w:r>
      <w:r w:rsidR="00AC0E83" w:rsidRPr="008815D7">
        <w:rPr>
          <w:rFonts w:ascii="Arial" w:hAnsi="Arial" w:cs="Arial"/>
          <w:sz w:val="22"/>
          <w:szCs w:val="22"/>
        </w:rPr>
        <w:t xml:space="preserve"> because </w:t>
      </w:r>
      <w:r w:rsidR="006E1564" w:rsidRPr="008815D7">
        <w:rPr>
          <w:rFonts w:ascii="Arial" w:hAnsi="Arial" w:cs="Arial"/>
          <w:sz w:val="22"/>
          <w:szCs w:val="22"/>
        </w:rPr>
        <w:t xml:space="preserve">it </w:t>
      </w:r>
      <w:r w:rsidR="00BF2CCE" w:rsidRPr="008815D7">
        <w:rPr>
          <w:rFonts w:ascii="Arial" w:hAnsi="Arial" w:cs="Arial"/>
          <w:sz w:val="22"/>
          <w:szCs w:val="22"/>
        </w:rPr>
        <w:t>is so commonly used.</w:t>
      </w:r>
      <w:r w:rsidR="00D17547" w:rsidRPr="008815D7">
        <w:rPr>
          <w:rFonts w:ascii="Arial" w:hAnsi="Arial" w:cs="Arial"/>
          <w:sz w:val="22"/>
          <w:szCs w:val="22"/>
        </w:rPr>
        <w:t xml:space="preserve"> </w:t>
      </w:r>
      <w:r w:rsidR="00BF2CCE" w:rsidRPr="008815D7">
        <w:rPr>
          <w:rFonts w:ascii="Arial" w:hAnsi="Arial" w:cs="Arial"/>
          <w:sz w:val="22"/>
          <w:szCs w:val="22"/>
        </w:rPr>
        <w:t>Furthermore</w:t>
      </w:r>
      <w:r w:rsidR="005E63C0" w:rsidRPr="008815D7">
        <w:rPr>
          <w:rFonts w:ascii="Arial" w:hAnsi="Arial" w:cs="Arial"/>
          <w:sz w:val="22"/>
          <w:szCs w:val="22"/>
        </w:rPr>
        <w:t>,</w:t>
      </w:r>
      <w:r w:rsidR="00BF2CCE" w:rsidRPr="008815D7">
        <w:rPr>
          <w:rFonts w:ascii="Arial" w:hAnsi="Arial" w:cs="Arial"/>
          <w:sz w:val="22"/>
          <w:szCs w:val="22"/>
        </w:rPr>
        <w:t xml:space="preserve"> using</w:t>
      </w:r>
      <w:r w:rsidR="005E63C0" w:rsidRPr="008815D7">
        <w:rPr>
          <w:rFonts w:ascii="Arial" w:hAnsi="Arial" w:cs="Arial"/>
          <w:sz w:val="22"/>
          <w:szCs w:val="22"/>
        </w:rPr>
        <w:t xml:space="preserve"> the CTS-R</w:t>
      </w:r>
      <w:r w:rsidR="009634C3" w:rsidRPr="008815D7">
        <w:rPr>
          <w:rFonts w:ascii="Arial" w:hAnsi="Arial" w:cs="Arial"/>
          <w:sz w:val="22"/>
          <w:szCs w:val="22"/>
        </w:rPr>
        <w:t xml:space="preserve"> </w:t>
      </w:r>
      <w:r w:rsidR="00963CC0" w:rsidRPr="008815D7">
        <w:rPr>
          <w:rFonts w:ascii="Arial" w:hAnsi="Arial" w:cs="Arial"/>
          <w:sz w:val="22"/>
          <w:szCs w:val="22"/>
        </w:rPr>
        <w:t xml:space="preserve">affords other advantages including the ability </w:t>
      </w:r>
      <w:r w:rsidR="009634C3" w:rsidRPr="008815D7">
        <w:rPr>
          <w:rFonts w:ascii="Arial" w:hAnsi="Arial" w:cs="Arial"/>
          <w:sz w:val="22"/>
          <w:szCs w:val="22"/>
        </w:rPr>
        <w:t>compare</w:t>
      </w:r>
      <w:r w:rsidR="00ED5B16" w:rsidRPr="008815D7">
        <w:rPr>
          <w:rFonts w:ascii="Arial" w:hAnsi="Arial" w:cs="Arial"/>
          <w:sz w:val="22"/>
          <w:szCs w:val="22"/>
        </w:rPr>
        <w:t xml:space="preserve"> findings from this research </w:t>
      </w:r>
      <w:r w:rsidR="007D4DDE" w:rsidRPr="008815D7">
        <w:rPr>
          <w:rFonts w:ascii="Arial" w:hAnsi="Arial" w:cs="Arial"/>
          <w:sz w:val="22"/>
          <w:szCs w:val="22"/>
        </w:rPr>
        <w:t>to</w:t>
      </w:r>
      <w:r w:rsidR="00ED5B16" w:rsidRPr="008815D7">
        <w:rPr>
          <w:rFonts w:ascii="Arial" w:hAnsi="Arial" w:cs="Arial"/>
          <w:sz w:val="22"/>
          <w:szCs w:val="22"/>
        </w:rPr>
        <w:t xml:space="preserve"> previous </w:t>
      </w:r>
      <w:r w:rsidR="007D4DDE" w:rsidRPr="008815D7">
        <w:rPr>
          <w:rFonts w:ascii="Arial" w:hAnsi="Arial" w:cs="Arial"/>
          <w:sz w:val="22"/>
          <w:szCs w:val="22"/>
        </w:rPr>
        <w:t xml:space="preserve">studies and </w:t>
      </w:r>
      <w:r w:rsidR="00963CC0" w:rsidRPr="008815D7">
        <w:rPr>
          <w:rFonts w:ascii="Arial" w:hAnsi="Arial" w:cs="Arial"/>
          <w:sz w:val="22"/>
          <w:szCs w:val="22"/>
        </w:rPr>
        <w:t>enabling</w:t>
      </w:r>
      <w:r w:rsidR="007D4DDE" w:rsidRPr="008815D7">
        <w:rPr>
          <w:rFonts w:ascii="Arial" w:hAnsi="Arial" w:cs="Arial"/>
          <w:sz w:val="22"/>
          <w:szCs w:val="22"/>
        </w:rPr>
        <w:t xml:space="preserve"> future researchers to </w:t>
      </w:r>
      <w:r w:rsidR="00973F7C" w:rsidRPr="008815D7">
        <w:rPr>
          <w:rFonts w:ascii="Arial" w:hAnsi="Arial" w:cs="Arial"/>
          <w:sz w:val="22"/>
          <w:szCs w:val="22"/>
        </w:rPr>
        <w:t>undertake similar studies</w:t>
      </w:r>
      <w:r w:rsidR="00CD1689" w:rsidRPr="008815D7">
        <w:rPr>
          <w:rFonts w:ascii="Arial" w:hAnsi="Arial" w:cs="Arial"/>
          <w:sz w:val="22"/>
          <w:szCs w:val="22"/>
        </w:rPr>
        <w:t>.</w:t>
      </w:r>
    </w:p>
    <w:p w14:paraId="00C59B69" w14:textId="77777777" w:rsidR="00390102" w:rsidRPr="008815D7" w:rsidRDefault="00390102" w:rsidP="007F596B">
      <w:pPr>
        <w:spacing w:line="480" w:lineRule="auto"/>
        <w:rPr>
          <w:rFonts w:ascii="Arial" w:hAnsi="Arial" w:cs="Arial"/>
          <w:sz w:val="22"/>
          <w:szCs w:val="22"/>
        </w:rPr>
      </w:pPr>
    </w:p>
    <w:p w14:paraId="35A7484B" w14:textId="5FA3100B" w:rsidR="00206193" w:rsidRDefault="00390102" w:rsidP="007F596B">
      <w:pPr>
        <w:spacing w:line="480" w:lineRule="auto"/>
        <w:rPr>
          <w:rFonts w:ascii="Arial" w:hAnsi="Arial" w:cs="Arial"/>
          <w:sz w:val="22"/>
          <w:szCs w:val="22"/>
        </w:rPr>
      </w:pPr>
      <w:r w:rsidRPr="008815D7">
        <w:rPr>
          <w:rFonts w:ascii="Arial" w:hAnsi="Arial" w:cs="Arial"/>
          <w:sz w:val="22"/>
          <w:szCs w:val="22"/>
        </w:rPr>
        <w:t>A</w:t>
      </w:r>
      <w:r w:rsidR="009E707E" w:rsidRPr="008815D7">
        <w:rPr>
          <w:rFonts w:ascii="Arial" w:hAnsi="Arial" w:cs="Arial"/>
          <w:sz w:val="22"/>
          <w:szCs w:val="22"/>
        </w:rPr>
        <w:t>s the CTS-R is such a commonly used instrument</w:t>
      </w:r>
      <w:r w:rsidR="009E707E">
        <w:rPr>
          <w:rFonts w:ascii="Arial" w:hAnsi="Arial" w:cs="Arial"/>
          <w:sz w:val="22"/>
          <w:szCs w:val="22"/>
        </w:rPr>
        <w:t xml:space="preserve"> all the raters in this study</w:t>
      </w:r>
      <w:r w:rsidR="00AC0E83">
        <w:rPr>
          <w:rFonts w:ascii="Arial" w:hAnsi="Arial" w:cs="Arial"/>
          <w:sz w:val="22"/>
          <w:szCs w:val="22"/>
        </w:rPr>
        <w:t xml:space="preserve"> </w:t>
      </w:r>
      <w:r w:rsidR="00206193">
        <w:rPr>
          <w:rFonts w:ascii="Arial" w:hAnsi="Arial" w:cs="Arial"/>
          <w:sz w:val="22"/>
          <w:szCs w:val="22"/>
        </w:rPr>
        <w:t xml:space="preserve">had experience of using the CTS-R as a formative and summative assessment tool in IAPT High Intensity CBT training programmes in Higher Education. The raters had also completed inter-rater reliability training together. </w:t>
      </w:r>
      <w:r w:rsidR="007F596B" w:rsidRPr="006A386F">
        <w:rPr>
          <w:rFonts w:ascii="Arial" w:hAnsi="Arial" w:cs="Arial"/>
          <w:sz w:val="22"/>
          <w:szCs w:val="22"/>
        </w:rPr>
        <w:t xml:space="preserve"> </w:t>
      </w:r>
    </w:p>
    <w:p w14:paraId="440FE62F" w14:textId="77777777" w:rsidR="00206193" w:rsidRDefault="00206193" w:rsidP="007F596B">
      <w:pPr>
        <w:spacing w:line="480" w:lineRule="auto"/>
        <w:rPr>
          <w:rFonts w:ascii="Arial" w:hAnsi="Arial" w:cs="Arial"/>
          <w:sz w:val="22"/>
          <w:szCs w:val="22"/>
        </w:rPr>
      </w:pPr>
    </w:p>
    <w:p w14:paraId="71DA857E" w14:textId="25AF1A3B" w:rsidR="007F596B" w:rsidRPr="006A386F" w:rsidRDefault="00206193" w:rsidP="007F596B">
      <w:pPr>
        <w:spacing w:line="480" w:lineRule="auto"/>
        <w:rPr>
          <w:rFonts w:ascii="Arial" w:hAnsi="Arial" w:cs="Arial"/>
          <w:sz w:val="22"/>
          <w:szCs w:val="22"/>
        </w:rPr>
      </w:pPr>
      <w:r>
        <w:rPr>
          <w:rFonts w:ascii="Arial" w:hAnsi="Arial" w:cs="Arial"/>
          <w:sz w:val="22"/>
          <w:szCs w:val="22"/>
        </w:rPr>
        <w:t>Having randomly selected three completed cases from the therapist’s caseload (see section 4.4.2, above), the raters</w:t>
      </w:r>
      <w:r w:rsidR="007F596B" w:rsidRPr="006A386F">
        <w:rPr>
          <w:rFonts w:ascii="Arial" w:hAnsi="Arial" w:cs="Arial"/>
          <w:sz w:val="22"/>
          <w:szCs w:val="22"/>
        </w:rPr>
        <w:t xml:space="preserve"> were asked to </w:t>
      </w:r>
      <w:r>
        <w:rPr>
          <w:rFonts w:ascii="Arial" w:hAnsi="Arial" w:cs="Arial"/>
          <w:sz w:val="22"/>
          <w:szCs w:val="22"/>
        </w:rPr>
        <w:t xml:space="preserve">randomly </w:t>
      </w:r>
      <w:r w:rsidR="007F596B" w:rsidRPr="006A386F">
        <w:rPr>
          <w:rFonts w:ascii="Arial" w:hAnsi="Arial" w:cs="Arial"/>
          <w:sz w:val="22"/>
          <w:szCs w:val="22"/>
        </w:rPr>
        <w:t xml:space="preserve">select </w:t>
      </w:r>
      <w:r>
        <w:rPr>
          <w:rFonts w:ascii="Arial" w:hAnsi="Arial" w:cs="Arial"/>
          <w:sz w:val="22"/>
          <w:szCs w:val="22"/>
        </w:rPr>
        <w:t>one</w:t>
      </w:r>
      <w:r w:rsidR="007F596B" w:rsidRPr="006A386F">
        <w:rPr>
          <w:rFonts w:ascii="Arial" w:hAnsi="Arial" w:cs="Arial"/>
          <w:sz w:val="22"/>
          <w:szCs w:val="22"/>
        </w:rPr>
        <w:t xml:space="preserve"> therapy session, from </w:t>
      </w:r>
      <w:r>
        <w:rPr>
          <w:rFonts w:ascii="Arial" w:hAnsi="Arial" w:cs="Arial"/>
          <w:sz w:val="22"/>
          <w:szCs w:val="22"/>
        </w:rPr>
        <w:t>each</w:t>
      </w:r>
      <w:r w:rsidR="007F596B" w:rsidRPr="006A386F">
        <w:rPr>
          <w:rFonts w:ascii="Arial" w:hAnsi="Arial" w:cs="Arial"/>
          <w:sz w:val="22"/>
          <w:szCs w:val="22"/>
        </w:rPr>
        <w:t xml:space="preserve"> case</w:t>
      </w:r>
      <w:r>
        <w:rPr>
          <w:rFonts w:ascii="Arial" w:hAnsi="Arial" w:cs="Arial"/>
          <w:sz w:val="22"/>
          <w:szCs w:val="22"/>
        </w:rPr>
        <w:t xml:space="preserve">. </w:t>
      </w:r>
      <w:r w:rsidR="007F596B" w:rsidRPr="006A386F">
        <w:rPr>
          <w:rFonts w:ascii="Arial" w:hAnsi="Arial" w:cs="Arial"/>
          <w:sz w:val="22"/>
          <w:szCs w:val="22"/>
        </w:rPr>
        <w:t>The session selected had to be the third, fourth, fifth or sixth treatment session, but not where the sixth session was the final treatment session. Final treatment sessions tend to differ from earlier treatment sessions and often contain less cognitive behavioural interventions</w:t>
      </w:r>
      <w:r w:rsidR="001C6B5E">
        <w:rPr>
          <w:rFonts w:ascii="Arial" w:hAnsi="Arial" w:cs="Arial"/>
          <w:sz w:val="22"/>
          <w:szCs w:val="22"/>
        </w:rPr>
        <w:t xml:space="preserve">. </w:t>
      </w:r>
      <w:r>
        <w:rPr>
          <w:rFonts w:ascii="Arial" w:hAnsi="Arial" w:cs="Arial"/>
          <w:sz w:val="22"/>
          <w:szCs w:val="22"/>
        </w:rPr>
        <w:t xml:space="preserve">The rater then reviewed the therapy session and scored the session using the CTS-R. This was repeated for each of the three cases, resulting in three scores. The scores were expressed as a percentage. </w:t>
      </w:r>
      <w:r w:rsidR="007F596B" w:rsidRPr="006A386F">
        <w:rPr>
          <w:rFonts w:ascii="Arial" w:hAnsi="Arial" w:cs="Arial"/>
          <w:sz w:val="22"/>
          <w:szCs w:val="22"/>
        </w:rPr>
        <w:t>The resulting scores were then recorded as follows:</w:t>
      </w:r>
    </w:p>
    <w:p w14:paraId="67402B1C" w14:textId="77777777" w:rsidR="007F596B" w:rsidRPr="006A386F" w:rsidRDefault="007F596B" w:rsidP="007F596B">
      <w:pPr>
        <w:spacing w:line="480" w:lineRule="auto"/>
        <w:rPr>
          <w:rFonts w:ascii="Arial" w:hAnsi="Arial" w:cs="Arial"/>
          <w:sz w:val="22"/>
          <w:szCs w:val="22"/>
        </w:rPr>
      </w:pPr>
    </w:p>
    <w:p w14:paraId="23C2B727" w14:textId="77777777" w:rsidR="007F596B" w:rsidRPr="006A386F" w:rsidRDefault="007F596B" w:rsidP="00934842">
      <w:pPr>
        <w:pStyle w:val="ListParagraph"/>
        <w:numPr>
          <w:ilvl w:val="0"/>
          <w:numId w:val="16"/>
        </w:numPr>
        <w:spacing w:line="480" w:lineRule="auto"/>
        <w:rPr>
          <w:rFonts w:ascii="Arial" w:hAnsi="Arial" w:cs="Arial"/>
          <w:sz w:val="22"/>
          <w:szCs w:val="22"/>
        </w:rPr>
      </w:pPr>
      <w:r w:rsidRPr="006A386F">
        <w:rPr>
          <w:rFonts w:ascii="Arial" w:hAnsi="Arial" w:cs="Arial"/>
          <w:sz w:val="22"/>
          <w:szCs w:val="22"/>
        </w:rPr>
        <w:t>Fidelity to the CBT model was recorded as an ‘F’ score and was entered as the mean of the three CTS-R scores</w:t>
      </w:r>
    </w:p>
    <w:p w14:paraId="10BA0B85" w14:textId="77777777" w:rsidR="007F596B" w:rsidRDefault="007F596B" w:rsidP="007F596B">
      <w:pPr>
        <w:spacing w:line="480" w:lineRule="auto"/>
        <w:rPr>
          <w:rFonts w:ascii="Arial" w:hAnsi="Arial" w:cs="Arial"/>
          <w:sz w:val="22"/>
          <w:szCs w:val="22"/>
        </w:rPr>
      </w:pPr>
    </w:p>
    <w:p w14:paraId="4C58AB95" w14:textId="309BDF78" w:rsidR="007F596B" w:rsidRDefault="00AB3CF6" w:rsidP="007F596B">
      <w:pPr>
        <w:pStyle w:val="Heading3"/>
        <w:rPr>
          <w:rFonts w:cs="Arial"/>
          <w:color w:val="000000" w:themeColor="text1"/>
          <w:szCs w:val="22"/>
        </w:rPr>
      </w:pPr>
      <w:bookmarkStart w:id="288" w:name="_Toc46770798"/>
      <w:bookmarkStart w:id="289" w:name="_Toc79414209"/>
      <w:r>
        <w:rPr>
          <w:rFonts w:cs="Arial"/>
          <w:color w:val="000000" w:themeColor="text1"/>
          <w:szCs w:val="22"/>
        </w:rPr>
        <w:lastRenderedPageBreak/>
        <w:t>4</w:t>
      </w:r>
      <w:r w:rsidR="007F596B" w:rsidRPr="008F7798">
        <w:rPr>
          <w:rFonts w:cs="Arial"/>
          <w:color w:val="000000" w:themeColor="text1"/>
          <w:szCs w:val="22"/>
        </w:rPr>
        <w:t>.4.4 Rating therapist adherence (A score)</w:t>
      </w:r>
      <w:bookmarkEnd w:id="288"/>
      <w:bookmarkEnd w:id="289"/>
    </w:p>
    <w:p w14:paraId="604DA0FC" w14:textId="1D25C8ED" w:rsidR="00206193" w:rsidRDefault="00206193" w:rsidP="00206193"/>
    <w:p w14:paraId="4D99FCB8" w14:textId="498E1B68" w:rsidR="00206193" w:rsidRPr="00206193" w:rsidRDefault="00206193" w:rsidP="002402A7">
      <w:pPr>
        <w:spacing w:line="480" w:lineRule="auto"/>
      </w:pPr>
      <w:r w:rsidRPr="00803471">
        <w:rPr>
          <w:rFonts w:ascii="Arial" w:hAnsi="Arial" w:cs="Arial"/>
          <w:sz w:val="22"/>
          <w:szCs w:val="22"/>
        </w:rPr>
        <w:t>Therapist adherence was assessed using the Roth and Pilling (2</w:t>
      </w:r>
      <w:r w:rsidR="006B3DD8">
        <w:rPr>
          <w:rFonts w:ascii="Arial" w:hAnsi="Arial" w:cs="Arial"/>
          <w:sz w:val="22"/>
          <w:szCs w:val="22"/>
        </w:rPr>
        <w:t>007, 2008</w:t>
      </w:r>
      <w:r w:rsidRPr="00803471">
        <w:rPr>
          <w:rFonts w:ascii="Arial" w:hAnsi="Arial" w:cs="Arial"/>
          <w:sz w:val="22"/>
          <w:szCs w:val="22"/>
        </w:rPr>
        <w:t>) competency framework</w:t>
      </w:r>
      <w:r w:rsidR="002402A7">
        <w:t xml:space="preserve"> </w:t>
      </w:r>
      <w:r w:rsidR="002402A7" w:rsidRPr="006A386F">
        <w:rPr>
          <w:rFonts w:ascii="Arial" w:hAnsi="Arial" w:cs="Arial"/>
          <w:sz w:val="22"/>
          <w:szCs w:val="22"/>
        </w:rPr>
        <w:t xml:space="preserve">(see </w:t>
      </w:r>
      <w:r w:rsidR="006E6C64">
        <w:rPr>
          <w:rFonts w:ascii="Arial" w:hAnsi="Arial" w:cs="Arial"/>
          <w:sz w:val="22"/>
          <w:szCs w:val="22"/>
        </w:rPr>
        <w:t>C</w:t>
      </w:r>
      <w:r w:rsidR="002402A7">
        <w:rPr>
          <w:rFonts w:ascii="Arial" w:hAnsi="Arial" w:cs="Arial"/>
          <w:sz w:val="22"/>
          <w:szCs w:val="22"/>
        </w:rPr>
        <w:t>hapter 2</w:t>
      </w:r>
      <w:r w:rsidR="001C6B5E">
        <w:rPr>
          <w:rFonts w:ascii="Arial" w:hAnsi="Arial" w:cs="Arial"/>
          <w:sz w:val="22"/>
          <w:szCs w:val="22"/>
        </w:rPr>
        <w:t xml:space="preserve">, section 2. </w:t>
      </w:r>
      <w:r w:rsidR="002402A7">
        <w:rPr>
          <w:rFonts w:ascii="Arial" w:hAnsi="Arial" w:cs="Arial"/>
          <w:sz w:val="22"/>
          <w:szCs w:val="22"/>
        </w:rPr>
        <w:t xml:space="preserve"> </w:t>
      </w:r>
      <w:r w:rsidR="002402A7" w:rsidRPr="006A386F">
        <w:rPr>
          <w:rFonts w:ascii="Arial" w:hAnsi="Arial" w:cs="Arial"/>
          <w:sz w:val="22"/>
          <w:szCs w:val="22"/>
        </w:rPr>
        <w:t xml:space="preserve">for further details), National Institute of Health and Social Care Excellence (NICE) guidelines and the evidence base for third wave cognitive behavioural interventions, such as Acceptance and Commitment Therapy (ACT) and Mindfulness Based Cognitive Therapy (MBCT). The </w:t>
      </w:r>
      <w:r w:rsidR="002402A7">
        <w:rPr>
          <w:rFonts w:ascii="Arial" w:hAnsi="Arial" w:cs="Arial"/>
          <w:sz w:val="22"/>
          <w:szCs w:val="22"/>
        </w:rPr>
        <w:t xml:space="preserve">raters </w:t>
      </w:r>
      <w:r w:rsidR="002402A7" w:rsidRPr="006A386F">
        <w:rPr>
          <w:rFonts w:ascii="Arial" w:hAnsi="Arial" w:cs="Arial"/>
          <w:sz w:val="22"/>
          <w:szCs w:val="22"/>
        </w:rPr>
        <w:t xml:space="preserve">were asked to record whether, or not, they found sufficient evidence that the therapist was using an evidence-based protocol by recording a mark of 0 where there was insufficient evidence and a mark of 1 where there was evidence that a protocol had been used.  </w:t>
      </w:r>
    </w:p>
    <w:p w14:paraId="00BB4ACD" w14:textId="77777777" w:rsidR="007F596B" w:rsidRDefault="007F596B" w:rsidP="007F596B">
      <w:pPr>
        <w:spacing w:line="480" w:lineRule="auto"/>
        <w:rPr>
          <w:rFonts w:ascii="Arial" w:hAnsi="Arial" w:cs="Arial"/>
          <w:sz w:val="22"/>
          <w:szCs w:val="22"/>
        </w:rPr>
      </w:pPr>
    </w:p>
    <w:p w14:paraId="437FA27B" w14:textId="1A4BE140" w:rsidR="002402A7" w:rsidRDefault="002402A7" w:rsidP="007F596B">
      <w:pPr>
        <w:spacing w:line="480" w:lineRule="auto"/>
        <w:rPr>
          <w:rFonts w:ascii="Arial" w:hAnsi="Arial" w:cs="Arial"/>
          <w:sz w:val="22"/>
          <w:szCs w:val="22"/>
        </w:rPr>
      </w:pPr>
      <w:r>
        <w:rPr>
          <w:rFonts w:ascii="Arial" w:hAnsi="Arial" w:cs="Arial"/>
          <w:sz w:val="22"/>
          <w:szCs w:val="22"/>
        </w:rPr>
        <w:t>The raters examined 3 completed cases, reviewing</w:t>
      </w:r>
      <w:r w:rsidR="007F596B" w:rsidRPr="006A386F">
        <w:rPr>
          <w:rFonts w:ascii="Arial" w:hAnsi="Arial" w:cs="Arial"/>
          <w:sz w:val="22"/>
          <w:szCs w:val="22"/>
        </w:rPr>
        <w:t xml:space="preserve"> every </w:t>
      </w:r>
      <w:r>
        <w:rPr>
          <w:rFonts w:ascii="Arial" w:hAnsi="Arial" w:cs="Arial"/>
          <w:sz w:val="22"/>
          <w:szCs w:val="22"/>
        </w:rPr>
        <w:t xml:space="preserve">therapy </w:t>
      </w:r>
      <w:r w:rsidR="007F596B" w:rsidRPr="006A386F">
        <w:rPr>
          <w:rFonts w:ascii="Arial" w:hAnsi="Arial" w:cs="Arial"/>
          <w:sz w:val="22"/>
          <w:szCs w:val="22"/>
        </w:rPr>
        <w:t xml:space="preserve">transcript.  The </w:t>
      </w:r>
      <w:r>
        <w:rPr>
          <w:rFonts w:ascii="Arial" w:hAnsi="Arial" w:cs="Arial"/>
          <w:sz w:val="22"/>
          <w:szCs w:val="22"/>
        </w:rPr>
        <w:t xml:space="preserve">raters </w:t>
      </w:r>
      <w:r w:rsidR="007F596B" w:rsidRPr="006A386F">
        <w:rPr>
          <w:rFonts w:ascii="Arial" w:hAnsi="Arial" w:cs="Arial"/>
          <w:sz w:val="22"/>
          <w:szCs w:val="22"/>
        </w:rPr>
        <w:t>were asked to decide whether the therapist had used an evidence</w:t>
      </w:r>
      <w:r>
        <w:rPr>
          <w:rFonts w:ascii="Arial" w:hAnsi="Arial" w:cs="Arial"/>
          <w:sz w:val="22"/>
          <w:szCs w:val="22"/>
        </w:rPr>
        <w:t>-</w:t>
      </w:r>
      <w:r w:rsidR="007F596B" w:rsidRPr="006A386F">
        <w:rPr>
          <w:rFonts w:ascii="Arial" w:hAnsi="Arial" w:cs="Arial"/>
          <w:sz w:val="22"/>
          <w:szCs w:val="22"/>
        </w:rPr>
        <w:t>based</w:t>
      </w:r>
      <w:r>
        <w:rPr>
          <w:rFonts w:ascii="Arial" w:hAnsi="Arial" w:cs="Arial"/>
          <w:sz w:val="22"/>
          <w:szCs w:val="22"/>
        </w:rPr>
        <w:t xml:space="preserve"> </w:t>
      </w:r>
      <w:r w:rsidR="007F596B" w:rsidRPr="006A386F">
        <w:rPr>
          <w:rFonts w:ascii="Arial" w:hAnsi="Arial" w:cs="Arial"/>
          <w:sz w:val="22"/>
          <w:szCs w:val="22"/>
        </w:rPr>
        <w:t xml:space="preserve">treatment protocol that was appropriate to the patient’s primary presenting problem.  </w:t>
      </w:r>
      <w:r w:rsidR="007F596B" w:rsidRPr="008F7798">
        <w:rPr>
          <w:rFonts w:ascii="Arial" w:hAnsi="Arial" w:cs="Arial"/>
          <w:sz w:val="22"/>
          <w:szCs w:val="22"/>
        </w:rPr>
        <w:t>Adherence to an evidence</w:t>
      </w:r>
      <w:r>
        <w:rPr>
          <w:rFonts w:ascii="Arial" w:hAnsi="Arial" w:cs="Arial"/>
          <w:sz w:val="22"/>
          <w:szCs w:val="22"/>
        </w:rPr>
        <w:t>-</w:t>
      </w:r>
      <w:r w:rsidR="007F596B" w:rsidRPr="008F7798">
        <w:rPr>
          <w:rFonts w:ascii="Arial" w:hAnsi="Arial" w:cs="Arial"/>
          <w:sz w:val="22"/>
          <w:szCs w:val="22"/>
        </w:rPr>
        <w:t xml:space="preserve"> based protocol was recorded as an ‘A’ score where</w:t>
      </w:r>
      <w:r>
        <w:rPr>
          <w:rFonts w:ascii="Arial" w:hAnsi="Arial" w:cs="Arial"/>
          <w:sz w:val="22"/>
          <w:szCs w:val="22"/>
        </w:rPr>
        <w:t>:</w:t>
      </w:r>
    </w:p>
    <w:p w14:paraId="0DDD8219" w14:textId="1909714A" w:rsidR="002402A7" w:rsidRDefault="002402A7" w:rsidP="007F596B">
      <w:pPr>
        <w:spacing w:line="480" w:lineRule="auto"/>
        <w:rPr>
          <w:rFonts w:ascii="Arial" w:hAnsi="Arial" w:cs="Arial"/>
          <w:sz w:val="22"/>
          <w:szCs w:val="22"/>
        </w:rPr>
      </w:pPr>
      <w:r>
        <w:rPr>
          <w:rFonts w:ascii="Arial" w:hAnsi="Arial" w:cs="Arial"/>
          <w:sz w:val="22"/>
          <w:szCs w:val="22"/>
        </w:rPr>
        <w:t>A score of</w:t>
      </w:r>
      <w:r w:rsidR="007F596B" w:rsidRPr="008F7798">
        <w:rPr>
          <w:rFonts w:ascii="Arial" w:hAnsi="Arial" w:cs="Arial"/>
          <w:sz w:val="22"/>
          <w:szCs w:val="22"/>
        </w:rPr>
        <w:t xml:space="preserve"> 4 indicated that </w:t>
      </w:r>
      <w:r>
        <w:rPr>
          <w:rFonts w:ascii="Arial" w:hAnsi="Arial" w:cs="Arial"/>
          <w:sz w:val="22"/>
          <w:szCs w:val="22"/>
        </w:rPr>
        <w:t xml:space="preserve">the therapist demonstrated adherence in </w:t>
      </w:r>
      <w:r w:rsidR="007F596B" w:rsidRPr="008F7798">
        <w:rPr>
          <w:rFonts w:ascii="Arial" w:hAnsi="Arial" w:cs="Arial"/>
          <w:sz w:val="22"/>
          <w:szCs w:val="22"/>
        </w:rPr>
        <w:t xml:space="preserve">all 3 cases </w:t>
      </w:r>
    </w:p>
    <w:p w14:paraId="7A2AFD41" w14:textId="0B5FE711" w:rsidR="002402A7" w:rsidRDefault="002402A7" w:rsidP="007F596B">
      <w:pPr>
        <w:spacing w:line="480" w:lineRule="auto"/>
        <w:rPr>
          <w:rFonts w:ascii="Arial" w:hAnsi="Arial" w:cs="Arial"/>
          <w:sz w:val="22"/>
          <w:szCs w:val="22"/>
        </w:rPr>
      </w:pPr>
      <w:r>
        <w:rPr>
          <w:rFonts w:ascii="Arial" w:hAnsi="Arial" w:cs="Arial"/>
          <w:sz w:val="22"/>
          <w:szCs w:val="22"/>
        </w:rPr>
        <w:t xml:space="preserve">A </w:t>
      </w:r>
      <w:r w:rsidR="007F596B" w:rsidRPr="008F7798">
        <w:rPr>
          <w:rFonts w:ascii="Arial" w:hAnsi="Arial" w:cs="Arial"/>
          <w:sz w:val="22"/>
          <w:szCs w:val="22"/>
        </w:rPr>
        <w:t xml:space="preserve">score of 3 indicated that </w:t>
      </w:r>
      <w:r>
        <w:rPr>
          <w:rFonts w:ascii="Arial" w:hAnsi="Arial" w:cs="Arial"/>
          <w:sz w:val="22"/>
          <w:szCs w:val="22"/>
        </w:rPr>
        <w:t xml:space="preserve">the therapist demonstrated adherence in </w:t>
      </w:r>
      <w:r w:rsidR="007F596B" w:rsidRPr="008F7798">
        <w:rPr>
          <w:rFonts w:ascii="Arial" w:hAnsi="Arial" w:cs="Arial"/>
          <w:sz w:val="22"/>
          <w:szCs w:val="22"/>
        </w:rPr>
        <w:t xml:space="preserve">2 out of 3 of the cases </w:t>
      </w:r>
    </w:p>
    <w:p w14:paraId="1B89E6A7" w14:textId="79303763" w:rsidR="002402A7" w:rsidRDefault="002402A7" w:rsidP="007F596B">
      <w:pPr>
        <w:spacing w:line="480" w:lineRule="auto"/>
        <w:rPr>
          <w:rFonts w:ascii="Arial" w:hAnsi="Arial" w:cs="Arial"/>
          <w:sz w:val="22"/>
          <w:szCs w:val="22"/>
        </w:rPr>
      </w:pPr>
      <w:r>
        <w:rPr>
          <w:rFonts w:ascii="Arial" w:hAnsi="Arial" w:cs="Arial"/>
          <w:sz w:val="22"/>
          <w:szCs w:val="22"/>
        </w:rPr>
        <w:t>A</w:t>
      </w:r>
      <w:r w:rsidR="007F596B" w:rsidRPr="008F7798">
        <w:rPr>
          <w:rFonts w:ascii="Arial" w:hAnsi="Arial" w:cs="Arial"/>
          <w:sz w:val="22"/>
          <w:szCs w:val="22"/>
        </w:rPr>
        <w:t xml:space="preserve"> score of 2, indicated that </w:t>
      </w:r>
      <w:r>
        <w:rPr>
          <w:rFonts w:ascii="Arial" w:hAnsi="Arial" w:cs="Arial"/>
          <w:sz w:val="22"/>
          <w:szCs w:val="22"/>
        </w:rPr>
        <w:t xml:space="preserve">the therapist demonstrated adherence in </w:t>
      </w:r>
      <w:r w:rsidR="007F596B" w:rsidRPr="008F7798">
        <w:rPr>
          <w:rFonts w:ascii="Arial" w:hAnsi="Arial" w:cs="Arial"/>
          <w:sz w:val="22"/>
          <w:szCs w:val="22"/>
        </w:rPr>
        <w:t xml:space="preserve">only one of the cases </w:t>
      </w:r>
    </w:p>
    <w:p w14:paraId="2C313B84" w14:textId="7B8A967F" w:rsidR="007F596B" w:rsidRPr="008F7798" w:rsidRDefault="002402A7" w:rsidP="007F596B">
      <w:pPr>
        <w:spacing w:line="480" w:lineRule="auto"/>
        <w:rPr>
          <w:rFonts w:ascii="Arial" w:hAnsi="Arial" w:cs="Arial"/>
          <w:sz w:val="22"/>
          <w:szCs w:val="22"/>
        </w:rPr>
      </w:pPr>
      <w:r>
        <w:rPr>
          <w:rFonts w:ascii="Arial" w:hAnsi="Arial" w:cs="Arial"/>
          <w:sz w:val="22"/>
          <w:szCs w:val="22"/>
        </w:rPr>
        <w:t xml:space="preserve">A </w:t>
      </w:r>
      <w:r w:rsidR="007F596B" w:rsidRPr="008F7798">
        <w:rPr>
          <w:rFonts w:ascii="Arial" w:hAnsi="Arial" w:cs="Arial"/>
          <w:sz w:val="22"/>
          <w:szCs w:val="22"/>
        </w:rPr>
        <w:t>score of 1 indicated that</w:t>
      </w:r>
      <w:r>
        <w:rPr>
          <w:rFonts w:ascii="Arial" w:hAnsi="Arial" w:cs="Arial"/>
          <w:sz w:val="22"/>
          <w:szCs w:val="22"/>
        </w:rPr>
        <w:t xml:space="preserve"> the therapist had not demonstrated adherence in any of the cases.</w:t>
      </w:r>
    </w:p>
    <w:p w14:paraId="77C514C3" w14:textId="77777777" w:rsidR="007F596B" w:rsidRPr="008F7798" w:rsidRDefault="007F596B" w:rsidP="007F596B"/>
    <w:p w14:paraId="5EBA7210" w14:textId="68874348" w:rsidR="007F596B" w:rsidRDefault="007F596B" w:rsidP="007F596B">
      <w:pPr>
        <w:spacing w:line="480" w:lineRule="auto"/>
        <w:rPr>
          <w:rFonts w:ascii="Arial" w:hAnsi="Arial" w:cs="Arial"/>
          <w:sz w:val="22"/>
          <w:szCs w:val="22"/>
        </w:rPr>
      </w:pPr>
      <w:r w:rsidRPr="006A386F">
        <w:rPr>
          <w:rFonts w:ascii="Arial" w:hAnsi="Arial" w:cs="Arial"/>
          <w:sz w:val="22"/>
          <w:szCs w:val="22"/>
        </w:rPr>
        <w:t>The resulting score</w:t>
      </w:r>
      <w:r w:rsidR="002402A7">
        <w:rPr>
          <w:rFonts w:ascii="Arial" w:hAnsi="Arial" w:cs="Arial"/>
          <w:sz w:val="22"/>
          <w:szCs w:val="22"/>
        </w:rPr>
        <w:t xml:space="preserve"> for each therapist </w:t>
      </w:r>
      <w:r w:rsidRPr="006A386F">
        <w:rPr>
          <w:rFonts w:ascii="Arial" w:hAnsi="Arial" w:cs="Arial"/>
          <w:sz w:val="22"/>
          <w:szCs w:val="22"/>
        </w:rPr>
        <w:t xml:space="preserve">were recorded </w:t>
      </w:r>
      <w:r w:rsidR="002402A7">
        <w:rPr>
          <w:rFonts w:ascii="Arial" w:hAnsi="Arial" w:cs="Arial"/>
          <w:sz w:val="22"/>
          <w:szCs w:val="22"/>
        </w:rPr>
        <w:t>as an A score</w:t>
      </w:r>
      <w:r w:rsidRPr="006A386F">
        <w:rPr>
          <w:rFonts w:ascii="Arial" w:hAnsi="Arial" w:cs="Arial"/>
          <w:sz w:val="22"/>
          <w:szCs w:val="22"/>
        </w:rPr>
        <w:t xml:space="preserve">. Table </w:t>
      </w:r>
      <w:r w:rsidR="00625AC0">
        <w:rPr>
          <w:rFonts w:ascii="Arial" w:hAnsi="Arial" w:cs="Arial"/>
          <w:sz w:val="22"/>
          <w:szCs w:val="22"/>
        </w:rPr>
        <w:t>4</w:t>
      </w:r>
      <w:r>
        <w:rPr>
          <w:rFonts w:ascii="Arial" w:hAnsi="Arial" w:cs="Arial"/>
          <w:sz w:val="22"/>
          <w:szCs w:val="22"/>
        </w:rPr>
        <w:t>.</w:t>
      </w:r>
      <w:r w:rsidR="00E66E56">
        <w:rPr>
          <w:rFonts w:ascii="Arial" w:hAnsi="Arial" w:cs="Arial"/>
          <w:sz w:val="22"/>
          <w:szCs w:val="22"/>
        </w:rPr>
        <w:t>2</w:t>
      </w:r>
      <w:r w:rsidRPr="006A386F">
        <w:rPr>
          <w:rFonts w:ascii="Arial" w:hAnsi="Arial" w:cs="Arial"/>
          <w:sz w:val="22"/>
          <w:szCs w:val="22"/>
        </w:rPr>
        <w:t xml:space="preserve"> illustrates the complete data set recorded for each therapist</w:t>
      </w:r>
      <w:r>
        <w:rPr>
          <w:rFonts w:ascii="Arial" w:hAnsi="Arial" w:cs="Arial"/>
          <w:sz w:val="22"/>
          <w:szCs w:val="22"/>
        </w:rPr>
        <w:t>.</w:t>
      </w:r>
    </w:p>
    <w:p w14:paraId="5E4148A9" w14:textId="77777777" w:rsidR="007F596B" w:rsidRPr="008F7798" w:rsidRDefault="007F596B" w:rsidP="007F596B">
      <w:pPr>
        <w:spacing w:line="480" w:lineRule="auto"/>
        <w:rPr>
          <w:rFonts w:ascii="Arial" w:hAnsi="Arial" w:cs="Arial"/>
          <w:sz w:val="22"/>
          <w:szCs w:val="22"/>
        </w:rPr>
      </w:pPr>
    </w:p>
    <w:p w14:paraId="6B99DFE5" w14:textId="77777777" w:rsidR="005B31A6" w:rsidRDefault="005B31A6" w:rsidP="00211FF2">
      <w:pPr>
        <w:pStyle w:val="Tables"/>
      </w:pPr>
      <w:bookmarkStart w:id="290" w:name="_Toc28347778"/>
    </w:p>
    <w:p w14:paraId="744D4079" w14:textId="77777777" w:rsidR="005B31A6" w:rsidRDefault="005B31A6" w:rsidP="00211FF2">
      <w:pPr>
        <w:pStyle w:val="Tables"/>
      </w:pPr>
    </w:p>
    <w:p w14:paraId="0E8F54B3" w14:textId="77777777" w:rsidR="00145326" w:rsidRDefault="00145326">
      <w:pPr>
        <w:rPr>
          <w:rFonts w:ascii="Arial" w:hAnsi="Arial"/>
          <w:b/>
          <w:iCs/>
          <w:sz w:val="22"/>
          <w:szCs w:val="18"/>
        </w:rPr>
      </w:pPr>
      <w:r>
        <w:br w:type="page"/>
      </w:r>
    </w:p>
    <w:p w14:paraId="4E55B7D8" w14:textId="6BC563B7" w:rsidR="00211FF2" w:rsidRDefault="00211FF2" w:rsidP="00211FF2">
      <w:pPr>
        <w:pStyle w:val="Tables"/>
        <w:rPr>
          <w:b w:val="0"/>
        </w:rPr>
      </w:pPr>
      <w:bookmarkStart w:id="291" w:name="_Toc46770979"/>
      <w:r w:rsidRPr="00FE7E52">
        <w:lastRenderedPageBreak/>
        <w:t xml:space="preserve">Table 4.2 </w:t>
      </w:r>
      <w:r w:rsidRPr="00211FF2">
        <w:rPr>
          <w:b w:val="0"/>
        </w:rPr>
        <w:t>Data collected for each therapist</w:t>
      </w:r>
      <w:bookmarkEnd w:id="290"/>
      <w:bookmarkEnd w:id="291"/>
    </w:p>
    <w:tbl>
      <w:tblPr>
        <w:tblStyle w:val="TableGrid"/>
        <w:tblW w:w="9752"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876"/>
        <w:gridCol w:w="4876"/>
      </w:tblGrid>
      <w:tr w:rsidR="007F596B" w14:paraId="49C05C35" w14:textId="77777777" w:rsidTr="007F596B">
        <w:tc>
          <w:tcPr>
            <w:tcW w:w="4876" w:type="dxa"/>
          </w:tcPr>
          <w:p w14:paraId="098D6379" w14:textId="77777777" w:rsidR="007F596B" w:rsidRPr="008F7798" w:rsidRDefault="007F596B" w:rsidP="007F596B">
            <w:pPr>
              <w:spacing w:line="480" w:lineRule="auto"/>
              <w:rPr>
                <w:rFonts w:ascii="Arial" w:hAnsi="Arial" w:cs="Arial"/>
                <w:b/>
                <w:sz w:val="22"/>
                <w:szCs w:val="22"/>
              </w:rPr>
            </w:pPr>
            <w:r w:rsidRPr="008F7798">
              <w:rPr>
                <w:rFonts w:ascii="Arial" w:hAnsi="Arial" w:cs="Arial"/>
                <w:b/>
                <w:sz w:val="22"/>
                <w:szCs w:val="22"/>
              </w:rPr>
              <w:t>Dependent variable</w:t>
            </w:r>
          </w:p>
        </w:tc>
        <w:tc>
          <w:tcPr>
            <w:tcW w:w="4876" w:type="dxa"/>
          </w:tcPr>
          <w:p w14:paraId="102DD7E6" w14:textId="77777777" w:rsidR="007F596B" w:rsidRPr="008F7798" w:rsidRDefault="007F596B" w:rsidP="007F596B">
            <w:pPr>
              <w:spacing w:line="480" w:lineRule="auto"/>
              <w:rPr>
                <w:rFonts w:ascii="Arial" w:hAnsi="Arial" w:cs="Arial"/>
                <w:b/>
                <w:sz w:val="22"/>
                <w:szCs w:val="22"/>
              </w:rPr>
            </w:pPr>
            <w:r w:rsidRPr="008F7798">
              <w:rPr>
                <w:rFonts w:ascii="Arial" w:hAnsi="Arial" w:cs="Arial"/>
                <w:b/>
                <w:sz w:val="22"/>
                <w:szCs w:val="22"/>
              </w:rPr>
              <w:t>Independent variables</w:t>
            </w:r>
          </w:p>
        </w:tc>
      </w:tr>
      <w:tr w:rsidR="007F596B" w14:paraId="1C267376" w14:textId="77777777" w:rsidTr="007F596B">
        <w:tc>
          <w:tcPr>
            <w:tcW w:w="4876" w:type="dxa"/>
          </w:tcPr>
          <w:p w14:paraId="739E4C4B" w14:textId="77777777" w:rsidR="007F596B" w:rsidRPr="008F7798" w:rsidRDefault="007F596B" w:rsidP="002F6B75">
            <w:pPr>
              <w:spacing w:line="360" w:lineRule="auto"/>
              <w:rPr>
                <w:rFonts w:ascii="Arial" w:hAnsi="Arial" w:cs="Arial"/>
                <w:sz w:val="22"/>
                <w:szCs w:val="22"/>
              </w:rPr>
            </w:pPr>
            <w:r w:rsidRPr="008F7798">
              <w:rPr>
                <w:rFonts w:ascii="Arial" w:hAnsi="Arial" w:cs="Arial"/>
                <w:sz w:val="22"/>
                <w:szCs w:val="22"/>
              </w:rPr>
              <w:t>IAPT clinical outcome definitions:</w:t>
            </w:r>
          </w:p>
          <w:p w14:paraId="1AE1E0CB" w14:textId="700AFA0A" w:rsidR="007F596B" w:rsidRPr="008F7798" w:rsidRDefault="007F596B" w:rsidP="00934842">
            <w:pPr>
              <w:pStyle w:val="ListParagraph"/>
              <w:numPr>
                <w:ilvl w:val="0"/>
                <w:numId w:val="17"/>
              </w:numPr>
              <w:spacing w:line="360" w:lineRule="auto"/>
              <w:rPr>
                <w:rFonts w:ascii="Arial" w:hAnsi="Arial" w:cs="Arial"/>
                <w:sz w:val="22"/>
                <w:szCs w:val="22"/>
              </w:rPr>
            </w:pPr>
            <w:r w:rsidRPr="008F7798">
              <w:rPr>
                <w:rFonts w:ascii="Arial" w:hAnsi="Arial" w:cs="Arial"/>
                <w:sz w:val="22"/>
                <w:szCs w:val="22"/>
              </w:rPr>
              <w:t>Recovery Rate</w:t>
            </w:r>
            <w:r w:rsidR="002402A7">
              <w:rPr>
                <w:rFonts w:ascii="Arial" w:hAnsi="Arial" w:cs="Arial"/>
                <w:sz w:val="22"/>
                <w:szCs w:val="22"/>
              </w:rPr>
              <w:t xml:space="preserve"> (expressed as</w:t>
            </w:r>
            <w:r w:rsidR="002F6B75">
              <w:rPr>
                <w:rFonts w:ascii="Arial" w:hAnsi="Arial" w:cs="Arial"/>
                <w:sz w:val="22"/>
                <w:szCs w:val="22"/>
              </w:rPr>
              <w:t xml:space="preserve"> a mean for all patient treated and as a binary outcome) </w:t>
            </w:r>
          </w:p>
          <w:p w14:paraId="5EB88F8B" w14:textId="77777777" w:rsidR="002F6B75" w:rsidRPr="008F7798" w:rsidRDefault="007F596B" w:rsidP="00934842">
            <w:pPr>
              <w:pStyle w:val="ListParagraph"/>
              <w:numPr>
                <w:ilvl w:val="0"/>
                <w:numId w:val="17"/>
              </w:numPr>
              <w:spacing w:line="360" w:lineRule="auto"/>
              <w:rPr>
                <w:rFonts w:ascii="Arial" w:hAnsi="Arial" w:cs="Arial"/>
                <w:sz w:val="22"/>
                <w:szCs w:val="22"/>
              </w:rPr>
            </w:pPr>
            <w:r w:rsidRPr="008F7798">
              <w:rPr>
                <w:rFonts w:ascii="Arial" w:hAnsi="Arial" w:cs="Arial"/>
                <w:sz w:val="22"/>
                <w:szCs w:val="22"/>
              </w:rPr>
              <w:t>Reliable Improvement</w:t>
            </w:r>
            <w:r w:rsidR="002F6B75">
              <w:rPr>
                <w:rFonts w:ascii="Arial" w:hAnsi="Arial" w:cs="Arial"/>
                <w:sz w:val="22"/>
                <w:szCs w:val="22"/>
              </w:rPr>
              <w:t xml:space="preserve"> (expressed as a mean for all patient treated and as a binary outcome) </w:t>
            </w:r>
          </w:p>
          <w:p w14:paraId="667995D9" w14:textId="547319FB" w:rsidR="007F596B" w:rsidRPr="008F7798" w:rsidRDefault="007F596B" w:rsidP="002F6B75">
            <w:pPr>
              <w:pStyle w:val="ListParagraph"/>
              <w:spacing w:line="360" w:lineRule="auto"/>
              <w:rPr>
                <w:rFonts w:ascii="Arial" w:hAnsi="Arial" w:cs="Arial"/>
                <w:sz w:val="22"/>
                <w:szCs w:val="22"/>
              </w:rPr>
            </w:pPr>
          </w:p>
          <w:p w14:paraId="61769852" w14:textId="77777777" w:rsidR="007F596B" w:rsidRPr="008F7798" w:rsidRDefault="007F596B" w:rsidP="007F596B">
            <w:pPr>
              <w:pStyle w:val="ListParagraph"/>
              <w:spacing w:line="480" w:lineRule="auto"/>
              <w:rPr>
                <w:rFonts w:ascii="Arial" w:hAnsi="Arial" w:cs="Arial"/>
                <w:sz w:val="22"/>
                <w:szCs w:val="22"/>
              </w:rPr>
            </w:pPr>
          </w:p>
        </w:tc>
        <w:tc>
          <w:tcPr>
            <w:tcW w:w="4876" w:type="dxa"/>
          </w:tcPr>
          <w:p w14:paraId="1DBE709C" w14:textId="77777777" w:rsidR="007F596B" w:rsidRPr="008F7798" w:rsidRDefault="007F596B" w:rsidP="00934842">
            <w:pPr>
              <w:pStyle w:val="ListParagraph"/>
              <w:numPr>
                <w:ilvl w:val="0"/>
                <w:numId w:val="18"/>
              </w:numPr>
              <w:spacing w:line="360" w:lineRule="auto"/>
              <w:rPr>
                <w:rFonts w:ascii="Arial" w:hAnsi="Arial" w:cs="Arial"/>
                <w:sz w:val="22"/>
                <w:szCs w:val="22"/>
              </w:rPr>
            </w:pPr>
            <w:r w:rsidRPr="008F7798">
              <w:rPr>
                <w:rFonts w:ascii="Arial" w:hAnsi="Arial" w:cs="Arial"/>
                <w:sz w:val="22"/>
                <w:szCs w:val="22"/>
              </w:rPr>
              <w:t>Demographics: Age, core-profession, training type (IAPT/non IAPT), years of experience and gender</w:t>
            </w:r>
          </w:p>
          <w:p w14:paraId="2DF2DCF3" w14:textId="77777777" w:rsidR="007F596B" w:rsidRPr="008F7798" w:rsidRDefault="007F596B" w:rsidP="00934842">
            <w:pPr>
              <w:pStyle w:val="ListParagraph"/>
              <w:numPr>
                <w:ilvl w:val="0"/>
                <w:numId w:val="18"/>
              </w:numPr>
              <w:spacing w:line="360" w:lineRule="auto"/>
              <w:rPr>
                <w:rFonts w:ascii="Arial" w:hAnsi="Arial" w:cs="Arial"/>
                <w:sz w:val="22"/>
                <w:szCs w:val="22"/>
              </w:rPr>
            </w:pPr>
            <w:r w:rsidRPr="008F7798">
              <w:rPr>
                <w:rFonts w:ascii="Arial" w:hAnsi="Arial" w:cs="Arial"/>
                <w:sz w:val="22"/>
                <w:szCs w:val="22"/>
              </w:rPr>
              <w:t>F Score</w:t>
            </w:r>
          </w:p>
          <w:p w14:paraId="59132CAB" w14:textId="77777777" w:rsidR="007F596B" w:rsidRPr="008F7798" w:rsidRDefault="007F596B" w:rsidP="00934842">
            <w:pPr>
              <w:pStyle w:val="ListParagraph"/>
              <w:numPr>
                <w:ilvl w:val="0"/>
                <w:numId w:val="18"/>
              </w:numPr>
              <w:spacing w:line="360" w:lineRule="auto"/>
              <w:rPr>
                <w:rFonts w:ascii="Arial" w:hAnsi="Arial" w:cs="Arial"/>
                <w:sz w:val="22"/>
                <w:szCs w:val="22"/>
              </w:rPr>
            </w:pPr>
            <w:r w:rsidRPr="008F7798">
              <w:rPr>
                <w:rFonts w:ascii="Arial" w:hAnsi="Arial" w:cs="Arial"/>
                <w:sz w:val="22"/>
                <w:szCs w:val="22"/>
              </w:rPr>
              <w:t>A Score</w:t>
            </w:r>
          </w:p>
          <w:p w14:paraId="46203447" w14:textId="5C826B85" w:rsidR="002F6B75" w:rsidRDefault="002F6B75" w:rsidP="00934842">
            <w:pPr>
              <w:pStyle w:val="ListParagraph"/>
              <w:numPr>
                <w:ilvl w:val="0"/>
                <w:numId w:val="18"/>
              </w:numPr>
              <w:spacing w:line="360" w:lineRule="auto"/>
              <w:rPr>
                <w:rFonts w:ascii="Arial" w:hAnsi="Arial" w:cs="Arial"/>
                <w:sz w:val="22"/>
                <w:szCs w:val="22"/>
              </w:rPr>
            </w:pPr>
            <w:r>
              <w:rPr>
                <w:rFonts w:ascii="Arial" w:hAnsi="Arial" w:cs="Arial"/>
                <w:sz w:val="22"/>
                <w:szCs w:val="22"/>
              </w:rPr>
              <w:t>The mean score of each of the 12</w:t>
            </w:r>
          </w:p>
          <w:p w14:paraId="4FA58685" w14:textId="55840E2A" w:rsidR="007F596B" w:rsidRPr="002F6B75" w:rsidRDefault="002F6B75" w:rsidP="002F6B75">
            <w:pPr>
              <w:pStyle w:val="ListParagraph"/>
              <w:spacing w:line="360" w:lineRule="auto"/>
              <w:rPr>
                <w:rFonts w:ascii="Arial" w:hAnsi="Arial" w:cs="Arial"/>
                <w:sz w:val="22"/>
                <w:szCs w:val="22"/>
              </w:rPr>
            </w:pPr>
            <w:r w:rsidRPr="002F6B75">
              <w:rPr>
                <w:rFonts w:ascii="Arial" w:hAnsi="Arial" w:cs="Arial"/>
                <w:sz w:val="22"/>
                <w:szCs w:val="22"/>
              </w:rPr>
              <w:t xml:space="preserve"> </w:t>
            </w:r>
            <w:r w:rsidR="007F596B" w:rsidRPr="002F6B75">
              <w:rPr>
                <w:rFonts w:ascii="Arial" w:hAnsi="Arial" w:cs="Arial"/>
                <w:sz w:val="22"/>
                <w:szCs w:val="22"/>
              </w:rPr>
              <w:t>CTS-R items</w:t>
            </w:r>
          </w:p>
        </w:tc>
      </w:tr>
    </w:tbl>
    <w:p w14:paraId="0A2832DD" w14:textId="77777777" w:rsidR="007F596B" w:rsidRDefault="007F596B" w:rsidP="007F596B">
      <w:pPr>
        <w:spacing w:line="480" w:lineRule="auto"/>
        <w:rPr>
          <w:rFonts w:ascii="Arial" w:hAnsi="Arial" w:cs="Arial"/>
        </w:rPr>
      </w:pPr>
    </w:p>
    <w:p w14:paraId="4333F637" w14:textId="5B1F4637" w:rsidR="007F596B" w:rsidRPr="00B75D75" w:rsidRDefault="00AB3CF6" w:rsidP="00B75D75">
      <w:pPr>
        <w:pStyle w:val="Heading2"/>
        <w:rPr>
          <w:rFonts w:ascii="Arial" w:hAnsi="Arial" w:cs="Arial"/>
          <w:color w:val="000000" w:themeColor="text1"/>
          <w:sz w:val="22"/>
          <w:szCs w:val="22"/>
        </w:rPr>
      </w:pPr>
      <w:bookmarkStart w:id="292" w:name="_Toc46770799"/>
      <w:bookmarkStart w:id="293" w:name="_Toc79414210"/>
      <w:r w:rsidRPr="00B75D75">
        <w:rPr>
          <w:rFonts w:ascii="Arial" w:hAnsi="Arial" w:cs="Arial"/>
          <w:color w:val="000000" w:themeColor="text1"/>
          <w:sz w:val="22"/>
          <w:szCs w:val="22"/>
        </w:rPr>
        <w:t>4</w:t>
      </w:r>
      <w:r w:rsidR="007F596B" w:rsidRPr="00B75D75">
        <w:rPr>
          <w:rFonts w:ascii="Arial" w:hAnsi="Arial" w:cs="Arial"/>
          <w:color w:val="000000" w:themeColor="text1"/>
          <w:sz w:val="22"/>
          <w:szCs w:val="22"/>
        </w:rPr>
        <w:t>.5 MEASURING OUTCOME</w:t>
      </w:r>
      <w:bookmarkEnd w:id="292"/>
      <w:bookmarkEnd w:id="293"/>
    </w:p>
    <w:p w14:paraId="3B798315" w14:textId="77777777" w:rsidR="007F596B" w:rsidRPr="008F7798" w:rsidRDefault="007F596B" w:rsidP="007F596B"/>
    <w:p w14:paraId="3FA69412" w14:textId="4871D221" w:rsidR="007F596B" w:rsidRDefault="007F596B" w:rsidP="007F596B">
      <w:pPr>
        <w:spacing w:line="480" w:lineRule="auto"/>
        <w:rPr>
          <w:rFonts w:ascii="Arial" w:hAnsi="Arial" w:cs="Arial"/>
          <w:sz w:val="22"/>
          <w:szCs w:val="22"/>
        </w:rPr>
      </w:pPr>
      <w:r w:rsidRPr="008F7798">
        <w:rPr>
          <w:rFonts w:ascii="Arial" w:hAnsi="Arial" w:cs="Arial"/>
          <w:sz w:val="22"/>
          <w:szCs w:val="22"/>
        </w:rPr>
        <w:t xml:space="preserve">The dependent variables used in the analysis for this study were the IAPT definitions of clinical outcome using the </w:t>
      </w:r>
      <w:r w:rsidR="000D2D78">
        <w:rPr>
          <w:rFonts w:ascii="Arial" w:hAnsi="Arial" w:cs="Arial"/>
          <w:sz w:val="22"/>
          <w:szCs w:val="22"/>
        </w:rPr>
        <w:t xml:space="preserve">global scores on the </w:t>
      </w:r>
      <w:r w:rsidRPr="008F7798">
        <w:rPr>
          <w:rFonts w:ascii="Arial" w:hAnsi="Arial" w:cs="Arial"/>
          <w:sz w:val="22"/>
          <w:szCs w:val="22"/>
        </w:rPr>
        <w:t xml:space="preserve">PHQ-9 and GAD-7. These measures form part of the IAPT mandatory minimum data set and are routinely used at every appointment within all IAPT services.  They were used </w:t>
      </w:r>
      <w:r w:rsidR="002D4FFC">
        <w:rPr>
          <w:rFonts w:ascii="Arial" w:hAnsi="Arial" w:cs="Arial"/>
          <w:sz w:val="22"/>
          <w:szCs w:val="22"/>
        </w:rPr>
        <w:t xml:space="preserve">as a normal part of service delivery </w:t>
      </w:r>
      <w:r w:rsidR="009E08BA">
        <w:rPr>
          <w:rFonts w:ascii="Arial" w:hAnsi="Arial" w:cs="Arial"/>
          <w:sz w:val="22"/>
          <w:szCs w:val="22"/>
        </w:rPr>
        <w:t xml:space="preserve">and for the post hoc analysis </w:t>
      </w:r>
      <w:r w:rsidRPr="008F7798">
        <w:rPr>
          <w:rFonts w:ascii="Arial" w:hAnsi="Arial" w:cs="Arial"/>
          <w:sz w:val="22"/>
          <w:szCs w:val="22"/>
        </w:rPr>
        <w:t xml:space="preserve">in this </w:t>
      </w:r>
      <w:r w:rsidR="009E08BA">
        <w:rPr>
          <w:rFonts w:ascii="Arial" w:hAnsi="Arial" w:cs="Arial"/>
          <w:sz w:val="22"/>
          <w:szCs w:val="22"/>
        </w:rPr>
        <w:t>research</w:t>
      </w:r>
      <w:r w:rsidRPr="008F7798">
        <w:rPr>
          <w:rFonts w:ascii="Arial" w:hAnsi="Arial" w:cs="Arial"/>
          <w:sz w:val="22"/>
          <w:szCs w:val="22"/>
        </w:rPr>
        <w:t xml:space="preserve"> to measure recovery, reliable clinical improvement and minimum clinically significant improvement. </w:t>
      </w:r>
      <w:r>
        <w:rPr>
          <w:rFonts w:ascii="Arial" w:hAnsi="Arial" w:cs="Arial"/>
          <w:sz w:val="22"/>
          <w:szCs w:val="22"/>
        </w:rPr>
        <w:t xml:space="preserve"> A full definition of the terms recovery and reliable improve</w:t>
      </w:r>
      <w:r w:rsidR="002D4FFC">
        <w:rPr>
          <w:rFonts w:ascii="Arial" w:hAnsi="Arial" w:cs="Arial"/>
          <w:sz w:val="22"/>
          <w:szCs w:val="22"/>
        </w:rPr>
        <w:t>ment</w:t>
      </w:r>
      <w:r>
        <w:rPr>
          <w:rFonts w:ascii="Arial" w:hAnsi="Arial" w:cs="Arial"/>
          <w:sz w:val="22"/>
          <w:szCs w:val="22"/>
        </w:rPr>
        <w:t xml:space="preserve"> can be found in </w:t>
      </w:r>
      <w:r w:rsidR="00625AC0">
        <w:rPr>
          <w:rFonts w:ascii="Arial" w:hAnsi="Arial" w:cs="Arial"/>
          <w:sz w:val="22"/>
          <w:szCs w:val="22"/>
        </w:rPr>
        <w:t>section</w:t>
      </w:r>
      <w:r w:rsidR="00A56C09">
        <w:rPr>
          <w:rFonts w:ascii="Arial" w:hAnsi="Arial" w:cs="Arial"/>
          <w:sz w:val="22"/>
          <w:szCs w:val="22"/>
        </w:rPr>
        <w:t xml:space="preserve"> 2.12</w:t>
      </w:r>
      <w:r>
        <w:rPr>
          <w:rFonts w:ascii="Arial" w:hAnsi="Arial" w:cs="Arial"/>
          <w:sz w:val="22"/>
          <w:szCs w:val="22"/>
        </w:rPr>
        <w:t xml:space="preserve"> of this thesis.</w:t>
      </w:r>
    </w:p>
    <w:p w14:paraId="748B4F67" w14:textId="77777777" w:rsidR="007F596B" w:rsidRDefault="007F596B" w:rsidP="007F596B">
      <w:pPr>
        <w:spacing w:line="480" w:lineRule="auto"/>
        <w:rPr>
          <w:rFonts w:ascii="Arial" w:hAnsi="Arial" w:cs="Arial"/>
          <w:sz w:val="22"/>
          <w:szCs w:val="22"/>
        </w:rPr>
      </w:pPr>
    </w:p>
    <w:p w14:paraId="1F720C98" w14:textId="6F3F3DAD" w:rsidR="007F596B" w:rsidRPr="00631B0D" w:rsidRDefault="00AB3CF6" w:rsidP="007F596B">
      <w:pPr>
        <w:pStyle w:val="Heading3"/>
        <w:rPr>
          <w:rFonts w:cs="Arial"/>
          <w:b w:val="0"/>
          <w:color w:val="000000" w:themeColor="text1"/>
          <w:szCs w:val="22"/>
        </w:rPr>
      </w:pPr>
      <w:bookmarkStart w:id="294" w:name="_Toc46770800"/>
      <w:bookmarkStart w:id="295" w:name="_Toc79414211"/>
      <w:r>
        <w:rPr>
          <w:rFonts w:cs="Arial"/>
          <w:color w:val="000000" w:themeColor="text1"/>
          <w:szCs w:val="22"/>
        </w:rPr>
        <w:t>4</w:t>
      </w:r>
      <w:r w:rsidR="007F596B" w:rsidRPr="00631B0D">
        <w:rPr>
          <w:rFonts w:cs="Arial"/>
          <w:color w:val="000000" w:themeColor="text1"/>
          <w:szCs w:val="22"/>
        </w:rPr>
        <w:t>.5.1 Outcome measures</w:t>
      </w:r>
      <w:bookmarkEnd w:id="294"/>
      <w:bookmarkEnd w:id="295"/>
    </w:p>
    <w:p w14:paraId="7559E587" w14:textId="77777777" w:rsidR="007F596B" w:rsidRDefault="007F596B" w:rsidP="007F596B"/>
    <w:p w14:paraId="14C762BB" w14:textId="6BBE33AE" w:rsidR="007F596B" w:rsidRPr="00631B0D" w:rsidRDefault="007F596B" w:rsidP="007F596B">
      <w:pPr>
        <w:spacing w:line="480" w:lineRule="auto"/>
        <w:rPr>
          <w:rFonts w:ascii="Arial" w:hAnsi="Arial" w:cs="Arial"/>
          <w:sz w:val="22"/>
          <w:szCs w:val="22"/>
        </w:rPr>
      </w:pPr>
      <w:r w:rsidRPr="00631B0D">
        <w:rPr>
          <w:rFonts w:ascii="Arial" w:hAnsi="Arial" w:cs="Arial"/>
          <w:sz w:val="22"/>
          <w:szCs w:val="22"/>
        </w:rPr>
        <w:t xml:space="preserve">The following outcome measures are routinely used at every appointment (see </w:t>
      </w:r>
      <w:r w:rsidR="00FA39E2">
        <w:rPr>
          <w:rFonts w:ascii="Arial" w:hAnsi="Arial" w:cs="Arial"/>
          <w:sz w:val="22"/>
          <w:szCs w:val="22"/>
        </w:rPr>
        <w:t>C</w:t>
      </w:r>
      <w:r w:rsidRPr="00631B0D">
        <w:rPr>
          <w:rFonts w:ascii="Arial" w:hAnsi="Arial" w:cs="Arial"/>
          <w:sz w:val="22"/>
          <w:szCs w:val="22"/>
        </w:rPr>
        <w:t>hapter</w:t>
      </w:r>
      <w:r w:rsidR="002F6B75">
        <w:rPr>
          <w:rFonts w:ascii="Arial" w:hAnsi="Arial" w:cs="Arial"/>
          <w:sz w:val="22"/>
          <w:szCs w:val="22"/>
        </w:rPr>
        <w:t xml:space="preserve"> 2 for full details of the outcome measures)</w:t>
      </w:r>
      <w:r w:rsidR="002A2B6A">
        <w:rPr>
          <w:rFonts w:ascii="Arial" w:hAnsi="Arial" w:cs="Arial"/>
          <w:sz w:val="22"/>
          <w:szCs w:val="22"/>
        </w:rPr>
        <w:t>. The measures</w:t>
      </w:r>
      <w:r w:rsidR="000D2D78">
        <w:rPr>
          <w:rFonts w:ascii="Arial" w:hAnsi="Arial" w:cs="Arial"/>
          <w:sz w:val="22"/>
          <w:szCs w:val="22"/>
        </w:rPr>
        <w:t xml:space="preserve"> are sent digitally to the patient before each therapy appointment</w:t>
      </w:r>
      <w:r w:rsidR="002A2B6A">
        <w:rPr>
          <w:rFonts w:ascii="Arial" w:hAnsi="Arial" w:cs="Arial"/>
          <w:sz w:val="22"/>
          <w:szCs w:val="22"/>
        </w:rPr>
        <w:t xml:space="preserve"> via the Ieso Digital Health platform</w:t>
      </w:r>
      <w:r w:rsidR="000D2D78">
        <w:rPr>
          <w:rFonts w:ascii="Arial" w:hAnsi="Arial" w:cs="Arial"/>
          <w:sz w:val="22"/>
          <w:szCs w:val="22"/>
        </w:rPr>
        <w:t xml:space="preserve">.  The measures are self-administered, and patients complete them via their smart phone, tablet or computer. </w:t>
      </w:r>
      <w:r w:rsidRPr="00631B0D">
        <w:rPr>
          <w:rFonts w:ascii="Arial" w:hAnsi="Arial" w:cs="Arial"/>
          <w:sz w:val="22"/>
          <w:szCs w:val="22"/>
        </w:rPr>
        <w:t>The outcome measures were used to measure outcome in terms of recovery and reliable improvement.</w:t>
      </w:r>
    </w:p>
    <w:p w14:paraId="40236EFC" w14:textId="77777777" w:rsidR="007F596B" w:rsidRPr="008F7798" w:rsidRDefault="007F596B" w:rsidP="007F596B">
      <w:pPr>
        <w:spacing w:line="480" w:lineRule="auto"/>
        <w:rPr>
          <w:rFonts w:ascii="Arial" w:hAnsi="Arial" w:cs="Arial"/>
          <w:sz w:val="22"/>
          <w:szCs w:val="22"/>
        </w:rPr>
      </w:pPr>
      <w:r w:rsidRPr="008F7798">
        <w:rPr>
          <w:rFonts w:ascii="Arial" w:hAnsi="Arial" w:cs="Arial"/>
          <w:sz w:val="22"/>
          <w:szCs w:val="22"/>
        </w:rPr>
        <w:t xml:space="preserve"> </w:t>
      </w:r>
    </w:p>
    <w:p w14:paraId="2A65853A" w14:textId="77777777" w:rsidR="007F596B" w:rsidRPr="00E66E56" w:rsidRDefault="007F596B" w:rsidP="007F596B">
      <w:pPr>
        <w:spacing w:line="480" w:lineRule="auto"/>
        <w:rPr>
          <w:rFonts w:ascii="Arial" w:hAnsi="Arial" w:cs="Arial"/>
          <w:b/>
          <w:bCs/>
          <w:sz w:val="22"/>
          <w:szCs w:val="22"/>
        </w:rPr>
      </w:pPr>
      <w:r w:rsidRPr="00E66E56">
        <w:rPr>
          <w:rFonts w:ascii="Arial" w:hAnsi="Arial" w:cs="Arial"/>
          <w:b/>
          <w:bCs/>
          <w:sz w:val="22"/>
          <w:szCs w:val="22"/>
        </w:rPr>
        <w:lastRenderedPageBreak/>
        <w:t>GAD-7</w:t>
      </w:r>
    </w:p>
    <w:p w14:paraId="34903E36" w14:textId="0C87AC68" w:rsidR="007F596B" w:rsidRPr="00E66E56" w:rsidRDefault="007F596B" w:rsidP="007F596B">
      <w:pPr>
        <w:spacing w:line="480" w:lineRule="auto"/>
        <w:rPr>
          <w:rFonts w:ascii="Arial" w:hAnsi="Arial"/>
          <w:sz w:val="22"/>
          <w:szCs w:val="22"/>
        </w:rPr>
      </w:pPr>
      <w:r w:rsidRPr="008815D7">
        <w:rPr>
          <w:rFonts w:ascii="Arial" w:hAnsi="Arial" w:cs="Arial"/>
          <w:sz w:val="22"/>
          <w:szCs w:val="22"/>
        </w:rPr>
        <w:t xml:space="preserve">The </w:t>
      </w:r>
      <w:r w:rsidRPr="008815D7">
        <w:rPr>
          <w:rFonts w:ascii="Arial" w:hAnsi="Arial"/>
          <w:sz w:val="22"/>
          <w:szCs w:val="22"/>
        </w:rPr>
        <w:t xml:space="preserve">GAD-7 </w:t>
      </w:r>
      <w:r w:rsidR="003D07EE" w:rsidRPr="008815D7">
        <w:rPr>
          <w:rFonts w:ascii="Arial" w:hAnsi="Arial"/>
          <w:sz w:val="22"/>
          <w:szCs w:val="22"/>
        </w:rPr>
        <w:t>(</w:t>
      </w:r>
      <w:r w:rsidRPr="008815D7">
        <w:rPr>
          <w:rFonts w:ascii="Arial" w:hAnsi="Arial"/>
          <w:sz w:val="22"/>
          <w:szCs w:val="22"/>
        </w:rPr>
        <w:t xml:space="preserve">Spitzer et al., 2006) is a seven-item </w:t>
      </w:r>
      <w:r w:rsidR="000D2D78" w:rsidRPr="008815D7">
        <w:rPr>
          <w:rFonts w:ascii="Arial" w:hAnsi="Arial"/>
          <w:sz w:val="22"/>
          <w:szCs w:val="22"/>
        </w:rPr>
        <w:t xml:space="preserve">self-report </w:t>
      </w:r>
      <w:r w:rsidR="00C05B17" w:rsidRPr="008815D7">
        <w:rPr>
          <w:rFonts w:ascii="Arial" w:hAnsi="Arial"/>
          <w:sz w:val="22"/>
          <w:szCs w:val="22"/>
        </w:rPr>
        <w:t xml:space="preserve">measure </w:t>
      </w:r>
      <w:r w:rsidRPr="008815D7">
        <w:rPr>
          <w:rFonts w:ascii="Arial" w:hAnsi="Arial"/>
          <w:sz w:val="22"/>
          <w:szCs w:val="22"/>
        </w:rPr>
        <w:t>for anxiety using a 4-point Likert scale (0-3, where 0 indicates the absence of a symptom and 3 indicates greater severity).</w:t>
      </w:r>
      <w:r w:rsidRPr="008F7798">
        <w:rPr>
          <w:rFonts w:ascii="Arial" w:hAnsi="Arial"/>
          <w:sz w:val="22"/>
          <w:szCs w:val="22"/>
        </w:rPr>
        <w:t xml:space="preserve"> A cut</w:t>
      </w:r>
      <w:r w:rsidR="00FA39E2">
        <w:rPr>
          <w:rFonts w:ascii="Arial" w:hAnsi="Arial"/>
          <w:sz w:val="22"/>
          <w:szCs w:val="22"/>
        </w:rPr>
        <w:t xml:space="preserve"> </w:t>
      </w:r>
      <w:r w:rsidRPr="008F7798">
        <w:rPr>
          <w:rFonts w:ascii="Arial" w:hAnsi="Arial"/>
          <w:sz w:val="22"/>
          <w:szCs w:val="22"/>
        </w:rPr>
        <w:t xml:space="preserve">off point of ≥ eight indicates greatest sensitivity and a clinical case in a primary care population. A cut of ≥ 15 indicates severe symptoms. The GAD-7 has been demonstrated to be a reliable and valid instrument with a sensitivity of 89%, a specificity of 82% and good internal consistency (Cronbach </w:t>
      </w:r>
      <w:r w:rsidRPr="008F7798">
        <w:rPr>
          <w:rFonts w:ascii="Arial" w:hAnsi="Arial"/>
          <w:sz w:val="22"/>
          <w:szCs w:val="22"/>
        </w:rPr>
        <w:sym w:font="Symbol" w:char="F061"/>
      </w:r>
      <w:r w:rsidRPr="008F7798">
        <w:rPr>
          <w:rFonts w:ascii="Arial" w:hAnsi="Arial"/>
          <w:sz w:val="22"/>
          <w:szCs w:val="22"/>
        </w:rPr>
        <w:t xml:space="preserve"> =0.92).</w:t>
      </w:r>
    </w:p>
    <w:p w14:paraId="43FEF8B0" w14:textId="77777777" w:rsidR="00A03F3A" w:rsidRDefault="00A03F3A" w:rsidP="007F596B">
      <w:pPr>
        <w:spacing w:line="480" w:lineRule="auto"/>
        <w:rPr>
          <w:rFonts w:ascii="Arial" w:hAnsi="Arial"/>
          <w:sz w:val="22"/>
          <w:szCs w:val="22"/>
        </w:rPr>
      </w:pPr>
    </w:p>
    <w:p w14:paraId="1CAF76C9" w14:textId="56317FC1" w:rsidR="007F596B" w:rsidRPr="00E66E56" w:rsidRDefault="007F596B" w:rsidP="007F596B">
      <w:pPr>
        <w:spacing w:line="480" w:lineRule="auto"/>
        <w:rPr>
          <w:rFonts w:ascii="Arial" w:hAnsi="Arial"/>
          <w:b/>
          <w:bCs/>
          <w:sz w:val="22"/>
          <w:szCs w:val="22"/>
        </w:rPr>
      </w:pPr>
      <w:r w:rsidRPr="00E66E56">
        <w:rPr>
          <w:rFonts w:ascii="Arial" w:hAnsi="Arial"/>
          <w:b/>
          <w:bCs/>
          <w:sz w:val="22"/>
          <w:szCs w:val="22"/>
        </w:rPr>
        <w:t>PHQ-9</w:t>
      </w:r>
    </w:p>
    <w:p w14:paraId="126CB658" w14:textId="77777777" w:rsidR="007F596B" w:rsidRPr="008F7798" w:rsidRDefault="007F596B" w:rsidP="007F596B">
      <w:pPr>
        <w:spacing w:line="480" w:lineRule="auto"/>
        <w:rPr>
          <w:rFonts w:ascii="Arial" w:hAnsi="Arial"/>
          <w:sz w:val="22"/>
          <w:szCs w:val="22"/>
        </w:rPr>
      </w:pPr>
      <w:r w:rsidRPr="008F7798">
        <w:rPr>
          <w:rFonts w:ascii="Arial" w:hAnsi="Arial"/>
          <w:sz w:val="22"/>
          <w:szCs w:val="22"/>
        </w:rPr>
        <w:t xml:space="preserve">The PHQ-9 (Kroenke, Spitzer and Willams 2001) is a nine-item measure for depression using a 4-point Likert scale (0-3, where 0 indicates the absence of a symptom and 3 indicates greater severity). A cut off point of ≥ ten is used to indicate a diagnosis of depression in a primary care population. A score of ≥ 10 has been demonstrated to be a valid and a reliable tool with a sensitivity of 88% and specificity of 88%, when compared to a mental health professional validation interview (Kroenke, Spitzer and Williams 2001). </w:t>
      </w:r>
    </w:p>
    <w:p w14:paraId="6F9BFFB8" w14:textId="77777777" w:rsidR="007F596B" w:rsidRPr="008F7798" w:rsidRDefault="007F596B" w:rsidP="007F596B">
      <w:pPr>
        <w:spacing w:line="480" w:lineRule="auto"/>
        <w:rPr>
          <w:rFonts w:ascii="Arial" w:hAnsi="Arial"/>
          <w:sz w:val="22"/>
          <w:szCs w:val="22"/>
        </w:rPr>
      </w:pPr>
    </w:p>
    <w:p w14:paraId="4EAE270F" w14:textId="77777777" w:rsidR="007F596B" w:rsidRPr="00E66E56" w:rsidRDefault="007F596B" w:rsidP="007F596B">
      <w:pPr>
        <w:spacing w:line="480" w:lineRule="auto"/>
        <w:rPr>
          <w:rFonts w:ascii="Arial" w:hAnsi="Arial" w:cs="Arial"/>
          <w:b/>
          <w:bCs/>
          <w:sz w:val="22"/>
          <w:szCs w:val="22"/>
        </w:rPr>
      </w:pPr>
      <w:r w:rsidRPr="00E66E56">
        <w:rPr>
          <w:rFonts w:ascii="Arial" w:hAnsi="Arial" w:cs="Arial"/>
          <w:b/>
          <w:bCs/>
          <w:sz w:val="22"/>
          <w:szCs w:val="22"/>
        </w:rPr>
        <w:t>Outcome indices</w:t>
      </w:r>
    </w:p>
    <w:p w14:paraId="0A1D55FA" w14:textId="57906572" w:rsidR="007F596B" w:rsidRPr="00961DD9" w:rsidRDefault="007F596B" w:rsidP="007F596B">
      <w:pPr>
        <w:spacing w:line="480" w:lineRule="auto"/>
        <w:rPr>
          <w:rFonts w:ascii="Arial" w:hAnsi="Arial"/>
          <w:sz w:val="22"/>
          <w:szCs w:val="22"/>
        </w:rPr>
      </w:pPr>
      <w:r w:rsidRPr="00961DD9">
        <w:rPr>
          <w:rFonts w:ascii="Arial" w:hAnsi="Arial" w:cs="Arial"/>
          <w:sz w:val="22"/>
          <w:szCs w:val="22"/>
        </w:rPr>
        <w:t xml:space="preserve">The dependent variable (clinical outcome) was calculated using the IAPT definitions of recovery and reliable improvement (see </w:t>
      </w:r>
      <w:r w:rsidR="00A03F3A">
        <w:rPr>
          <w:rFonts w:ascii="Arial" w:hAnsi="Arial" w:cs="Arial"/>
          <w:sz w:val="22"/>
          <w:szCs w:val="22"/>
        </w:rPr>
        <w:t>section 2.12, in this thesis,</w:t>
      </w:r>
      <w:r w:rsidRPr="00961DD9">
        <w:rPr>
          <w:rFonts w:ascii="Arial" w:hAnsi="Arial" w:cs="Arial"/>
          <w:sz w:val="22"/>
          <w:szCs w:val="22"/>
        </w:rPr>
        <w:t xml:space="preserve"> for a detailed description of the IAPT calculations for both recovery and reliable improvement). </w:t>
      </w:r>
    </w:p>
    <w:p w14:paraId="75DC73CB" w14:textId="77777777" w:rsidR="006A7D68" w:rsidRDefault="006A7D68" w:rsidP="00022F53">
      <w:pPr>
        <w:spacing w:after="240" w:line="480" w:lineRule="auto"/>
      </w:pPr>
    </w:p>
    <w:p w14:paraId="70596B2B" w14:textId="128AE769" w:rsidR="007F596B" w:rsidRDefault="00AB3CF6" w:rsidP="007F596B">
      <w:pPr>
        <w:pStyle w:val="Heading2"/>
        <w:rPr>
          <w:rFonts w:ascii="Arial" w:hAnsi="Arial" w:cs="Arial"/>
          <w:b w:val="0"/>
          <w:color w:val="000000" w:themeColor="text1"/>
          <w:sz w:val="22"/>
          <w:szCs w:val="22"/>
        </w:rPr>
      </w:pPr>
      <w:bookmarkStart w:id="296" w:name="_Toc46770801"/>
      <w:bookmarkStart w:id="297" w:name="_Toc79414212"/>
      <w:r>
        <w:rPr>
          <w:rFonts w:ascii="Arial" w:hAnsi="Arial" w:cs="Arial"/>
          <w:color w:val="000000" w:themeColor="text1"/>
          <w:sz w:val="22"/>
          <w:szCs w:val="22"/>
        </w:rPr>
        <w:t>4</w:t>
      </w:r>
      <w:r w:rsidR="007F596B" w:rsidRPr="00631B0D">
        <w:rPr>
          <w:rFonts w:ascii="Arial" w:hAnsi="Arial" w:cs="Arial"/>
          <w:color w:val="000000" w:themeColor="text1"/>
          <w:sz w:val="22"/>
          <w:szCs w:val="22"/>
        </w:rPr>
        <w:t>.6 THERAPIST VARIABLES (INDEPENDENT VARIABLES)</w:t>
      </w:r>
      <w:bookmarkEnd w:id="296"/>
      <w:bookmarkEnd w:id="297"/>
      <w:r w:rsidR="007F596B" w:rsidRPr="00631B0D">
        <w:rPr>
          <w:rFonts w:ascii="Arial" w:hAnsi="Arial" w:cs="Arial"/>
          <w:color w:val="000000" w:themeColor="text1"/>
          <w:sz w:val="22"/>
          <w:szCs w:val="22"/>
        </w:rPr>
        <w:t xml:space="preserve"> </w:t>
      </w:r>
    </w:p>
    <w:p w14:paraId="317150E6" w14:textId="77777777" w:rsidR="007F596B" w:rsidRPr="00631B0D" w:rsidRDefault="007F596B" w:rsidP="007F596B"/>
    <w:p w14:paraId="63396031" w14:textId="35519E25" w:rsidR="007F596B" w:rsidRPr="00631B0D" w:rsidRDefault="007F596B" w:rsidP="007F596B">
      <w:pPr>
        <w:spacing w:line="480" w:lineRule="auto"/>
        <w:rPr>
          <w:rFonts w:ascii="Arial" w:hAnsi="Arial"/>
          <w:sz w:val="22"/>
          <w:szCs w:val="22"/>
        </w:rPr>
      </w:pPr>
      <w:r w:rsidRPr="00631B0D">
        <w:rPr>
          <w:rFonts w:ascii="Arial" w:hAnsi="Arial"/>
          <w:sz w:val="22"/>
          <w:szCs w:val="22"/>
        </w:rPr>
        <w:t xml:space="preserve">The therapist </w:t>
      </w:r>
      <w:r w:rsidR="00A03F3A">
        <w:rPr>
          <w:rFonts w:ascii="Arial" w:hAnsi="Arial"/>
          <w:sz w:val="22"/>
          <w:szCs w:val="22"/>
        </w:rPr>
        <w:t xml:space="preserve">(independent) </w:t>
      </w:r>
      <w:r w:rsidRPr="00631B0D">
        <w:rPr>
          <w:rFonts w:ascii="Arial" w:hAnsi="Arial"/>
          <w:sz w:val="22"/>
          <w:szCs w:val="22"/>
        </w:rPr>
        <w:t>variables used in this research fall into three categories; therapist demographic data, therapist competence (F score) and therapist adherence (A score).</w:t>
      </w:r>
    </w:p>
    <w:p w14:paraId="2B2C336F" w14:textId="77777777" w:rsidR="007F596B" w:rsidRDefault="007F596B" w:rsidP="007F596B">
      <w:pPr>
        <w:spacing w:line="480" w:lineRule="auto"/>
        <w:rPr>
          <w:rFonts w:ascii="Arial" w:hAnsi="Arial"/>
          <w:b/>
        </w:rPr>
      </w:pPr>
    </w:p>
    <w:p w14:paraId="59BDF7EC" w14:textId="2CA79363" w:rsidR="007F596B" w:rsidRDefault="00AB3CF6" w:rsidP="007F596B">
      <w:pPr>
        <w:pStyle w:val="Heading3"/>
        <w:rPr>
          <w:rFonts w:cs="Arial"/>
          <w:b w:val="0"/>
          <w:color w:val="000000" w:themeColor="text1"/>
          <w:szCs w:val="22"/>
        </w:rPr>
      </w:pPr>
      <w:bookmarkStart w:id="298" w:name="_Toc46770802"/>
      <w:bookmarkStart w:id="299" w:name="_Toc79414213"/>
      <w:r>
        <w:rPr>
          <w:rFonts w:cs="Arial"/>
          <w:color w:val="000000" w:themeColor="text1"/>
          <w:szCs w:val="22"/>
        </w:rPr>
        <w:lastRenderedPageBreak/>
        <w:t>4</w:t>
      </w:r>
      <w:r w:rsidR="007F596B" w:rsidRPr="00631B0D">
        <w:rPr>
          <w:rFonts w:cs="Arial"/>
          <w:color w:val="000000" w:themeColor="text1"/>
          <w:szCs w:val="22"/>
        </w:rPr>
        <w:t>.6.1 Therapists demographics</w:t>
      </w:r>
      <w:bookmarkEnd w:id="298"/>
      <w:bookmarkEnd w:id="299"/>
    </w:p>
    <w:p w14:paraId="67DD0754" w14:textId="77777777" w:rsidR="007F596B" w:rsidRPr="00631B0D" w:rsidRDefault="007F596B" w:rsidP="007F596B"/>
    <w:p w14:paraId="256EFF41" w14:textId="657F7380" w:rsidR="007F596B" w:rsidRPr="00C05B17" w:rsidRDefault="007F596B" w:rsidP="007F596B">
      <w:pPr>
        <w:spacing w:line="480" w:lineRule="auto"/>
        <w:rPr>
          <w:rFonts w:ascii="Arial" w:hAnsi="Arial"/>
          <w:sz w:val="22"/>
          <w:szCs w:val="22"/>
        </w:rPr>
      </w:pPr>
      <w:r w:rsidRPr="00631B0D">
        <w:rPr>
          <w:rFonts w:ascii="Arial" w:hAnsi="Arial"/>
          <w:sz w:val="22"/>
          <w:szCs w:val="22"/>
        </w:rPr>
        <w:t>Therapists provided information about their age, gender, years of experience, type of training they had completed (IAPT course or non IAPT course) and their core profession. In order to become accredited as a CBT therapist, clinicians are required to have a core profession including, registered mental health nurse, doctor, occupational therapist, social worker, clinical psychologist, health psychologist, counselling psychologist, degree in counselling or special educational needs teacher. Clinicians who do not have a core profession are permitted to apply for accreditation via the Key Skills Assessment (KSA) route. The KSA route requires applicants to compile a portfolio of evidence that demonstrates that they have developed the key skills taught on clinical training programmes for the core professions. These skills include topics such as conducting a risk assessment, writing clinical notes, anatomy and physiology, pharmacology and diagnostic</w:t>
      </w:r>
      <w:r>
        <w:rPr>
          <w:rFonts w:ascii="Arial" w:hAnsi="Arial"/>
        </w:rPr>
        <w:t xml:space="preserve"> criterion.</w:t>
      </w:r>
      <w:r w:rsidR="00C05B17">
        <w:rPr>
          <w:rFonts w:ascii="Arial" w:hAnsi="Arial"/>
        </w:rPr>
        <w:t xml:space="preserve"> </w:t>
      </w:r>
      <w:r w:rsidR="00C05B17" w:rsidRPr="00C05B17">
        <w:rPr>
          <w:rFonts w:ascii="Arial" w:hAnsi="Arial"/>
          <w:sz w:val="22"/>
          <w:szCs w:val="22"/>
        </w:rPr>
        <w:t xml:space="preserve">In addition to meeting the KSA criteria at the BABCP require applicants to High Intensity training programmes to have a minimum of two </w:t>
      </w:r>
      <w:r w:rsidR="00030708" w:rsidRPr="00C05B17">
        <w:rPr>
          <w:rFonts w:ascii="Arial" w:hAnsi="Arial"/>
          <w:sz w:val="22"/>
          <w:szCs w:val="22"/>
        </w:rPr>
        <w:t>years’ experience</w:t>
      </w:r>
      <w:r w:rsidR="00C05B17" w:rsidRPr="00C05B17">
        <w:rPr>
          <w:rFonts w:ascii="Arial" w:hAnsi="Arial"/>
          <w:sz w:val="22"/>
          <w:szCs w:val="22"/>
        </w:rPr>
        <w:t xml:space="preserve"> in a relevant mental health setting</w:t>
      </w:r>
      <w:r w:rsidR="00C05B17">
        <w:rPr>
          <w:rFonts w:ascii="Arial" w:hAnsi="Arial"/>
          <w:sz w:val="22"/>
          <w:szCs w:val="22"/>
        </w:rPr>
        <w:t xml:space="preserve"> (BABCP, 2019).</w:t>
      </w:r>
    </w:p>
    <w:p w14:paraId="5FBC98A3" w14:textId="77777777" w:rsidR="007F596B" w:rsidRDefault="007F596B" w:rsidP="007F596B">
      <w:pPr>
        <w:spacing w:line="480" w:lineRule="auto"/>
        <w:rPr>
          <w:rFonts w:ascii="Arial" w:hAnsi="Arial"/>
          <w:b/>
        </w:rPr>
      </w:pPr>
    </w:p>
    <w:p w14:paraId="613886EB" w14:textId="7F76C63E" w:rsidR="007F596B" w:rsidRDefault="00AB3CF6" w:rsidP="007F596B">
      <w:pPr>
        <w:pStyle w:val="Heading3"/>
        <w:rPr>
          <w:rFonts w:cs="Arial"/>
          <w:b w:val="0"/>
          <w:color w:val="000000" w:themeColor="text1"/>
          <w:szCs w:val="22"/>
        </w:rPr>
      </w:pPr>
      <w:bookmarkStart w:id="300" w:name="_Toc46770803"/>
      <w:bookmarkStart w:id="301" w:name="_Toc79414214"/>
      <w:r>
        <w:rPr>
          <w:rFonts w:cs="Arial"/>
          <w:color w:val="000000" w:themeColor="text1"/>
          <w:szCs w:val="22"/>
        </w:rPr>
        <w:t>4</w:t>
      </w:r>
      <w:r w:rsidR="007F596B" w:rsidRPr="00631B0D">
        <w:rPr>
          <w:rFonts w:cs="Arial"/>
          <w:color w:val="000000" w:themeColor="text1"/>
          <w:szCs w:val="22"/>
        </w:rPr>
        <w:t>.6.2 Therapist competence (F score)</w:t>
      </w:r>
      <w:bookmarkEnd w:id="300"/>
      <w:bookmarkEnd w:id="301"/>
    </w:p>
    <w:p w14:paraId="509CE02E" w14:textId="77777777" w:rsidR="007F596B" w:rsidRPr="00631B0D" w:rsidRDefault="007F596B" w:rsidP="007F596B"/>
    <w:p w14:paraId="4A78C046" w14:textId="525A0F6D" w:rsidR="002F6B75" w:rsidRPr="00C05B17" w:rsidRDefault="007F596B" w:rsidP="007F596B">
      <w:pPr>
        <w:spacing w:line="480" w:lineRule="auto"/>
        <w:rPr>
          <w:rFonts w:ascii="Arial" w:hAnsi="Arial" w:cs="Arial"/>
          <w:color w:val="000000" w:themeColor="text1"/>
          <w:sz w:val="22"/>
          <w:szCs w:val="22"/>
        </w:rPr>
      </w:pPr>
      <w:r w:rsidRPr="00631B0D">
        <w:rPr>
          <w:rFonts w:ascii="Arial" w:hAnsi="Arial" w:cs="Arial"/>
          <w:sz w:val="22"/>
          <w:szCs w:val="22"/>
        </w:rPr>
        <w:t xml:space="preserve">The CTS-R (Cognitive Therapy Scale-Revised) </w:t>
      </w:r>
      <w:r w:rsidRPr="00631B0D">
        <w:rPr>
          <w:rFonts w:ascii="Arial" w:hAnsi="Arial" w:cs="Verdana"/>
          <w:sz w:val="22"/>
          <w:szCs w:val="22"/>
          <w:lang w:val="en-US"/>
        </w:rPr>
        <w:t xml:space="preserve">is a twelve item, standardised measure used to assess therapist competence across a range of therapeutic skill areas (Blackburn, Milne and James, Baker, Standart and Garland 2001). Blackburn et al., demonstrated that the CTS-R is a valid and reliable measure of therapist competence and the tool is used to assess how closely a therapist is adhering to the CBT model. The CTS-R is used as both a formative and summative assessment on post-graduate clinical training programmes, for CBT therapists, in the United Kingdom. The instrument has been demonstrated to have high internal consistency </w:t>
      </w:r>
      <w:r w:rsidRPr="00631B0D">
        <w:rPr>
          <w:rFonts w:ascii="Arial" w:hAnsi="Arial" w:cs="Arial"/>
          <w:color w:val="000000" w:themeColor="text1"/>
          <w:sz w:val="22"/>
          <w:szCs w:val="22"/>
        </w:rPr>
        <w:t>(</w:t>
      </w:r>
      <w:r w:rsidRPr="00631B0D">
        <w:rPr>
          <w:rStyle w:val="Emphasis"/>
          <w:rFonts w:ascii="Arial" w:hAnsi="Arial" w:cs="Arial"/>
          <w:color w:val="000000" w:themeColor="text1"/>
          <w:sz w:val="22"/>
          <w:szCs w:val="22"/>
        </w:rPr>
        <w:t>α</w:t>
      </w:r>
      <w:r w:rsidRPr="00631B0D">
        <w:rPr>
          <w:rStyle w:val="apple-converted-space"/>
          <w:rFonts w:ascii="Arial" w:hAnsi="Arial" w:cs="Arial"/>
          <w:color w:val="000000" w:themeColor="text1"/>
          <w:sz w:val="22"/>
          <w:szCs w:val="22"/>
        </w:rPr>
        <w:t> </w:t>
      </w:r>
      <w:r w:rsidRPr="00631B0D">
        <w:rPr>
          <w:rFonts w:ascii="Arial" w:hAnsi="Arial" w:cs="Arial"/>
          <w:color w:val="000000" w:themeColor="text1"/>
          <w:sz w:val="22"/>
          <w:szCs w:val="22"/>
        </w:rPr>
        <w:t xml:space="preserve">range = .75–.97 Blackburn et al., Reichelt et al., 2003) </w:t>
      </w:r>
      <w:r w:rsidRPr="00631B0D">
        <w:rPr>
          <w:rFonts w:ascii="Arial" w:hAnsi="Arial" w:cs="Verdana"/>
          <w:sz w:val="22"/>
          <w:szCs w:val="22"/>
          <w:lang w:val="en-US"/>
        </w:rPr>
        <w:t>and adequate inter-rater reliability (r=0.67). The CTS-R has been widely adopted in United Kingdom and is also commonly used in research studies</w:t>
      </w:r>
      <w:r w:rsidRPr="00631B0D">
        <w:rPr>
          <w:rFonts w:ascii="Arial" w:hAnsi="Arial" w:cs="Verdana"/>
          <w:color w:val="393939"/>
          <w:sz w:val="22"/>
          <w:szCs w:val="22"/>
          <w:lang w:val="en-US"/>
        </w:rPr>
        <w:t xml:space="preserve"> </w:t>
      </w:r>
      <w:r w:rsidRPr="00631B0D">
        <w:rPr>
          <w:rFonts w:ascii="Arial" w:hAnsi="Arial" w:cs="Verdana"/>
          <w:sz w:val="22"/>
          <w:szCs w:val="22"/>
          <w:lang w:val="en-US"/>
        </w:rPr>
        <w:t xml:space="preserve">to demonstrate fidelity to the CBT model (Gordon </w:t>
      </w:r>
      <w:r w:rsidRPr="00631B0D">
        <w:rPr>
          <w:rFonts w:ascii="Arial" w:hAnsi="Arial" w:cs="Verdana"/>
          <w:sz w:val="22"/>
          <w:szCs w:val="22"/>
          <w:lang w:val="en-US"/>
        </w:rPr>
        <w:lastRenderedPageBreak/>
        <w:t>2006).</w:t>
      </w:r>
      <w:r w:rsidRPr="00631B0D">
        <w:rPr>
          <w:rFonts w:ascii="Arial" w:hAnsi="Arial" w:cs="Arial"/>
          <w:color w:val="000000" w:themeColor="text1"/>
          <w:sz w:val="22"/>
          <w:szCs w:val="22"/>
        </w:rPr>
        <w:t xml:space="preserve">  </w:t>
      </w:r>
      <w:r w:rsidRPr="00631B0D">
        <w:rPr>
          <w:rFonts w:ascii="Arial" w:hAnsi="Arial" w:cs="Verdana"/>
          <w:sz w:val="22"/>
          <w:szCs w:val="22"/>
          <w:lang w:val="en-US"/>
        </w:rPr>
        <w:t>The CTS-R assesses a therapist ability across 12 areas (see</w:t>
      </w:r>
      <w:r>
        <w:rPr>
          <w:rFonts w:ascii="Arial" w:hAnsi="Arial" w:cs="Verdana"/>
          <w:sz w:val="22"/>
          <w:szCs w:val="22"/>
          <w:lang w:val="en-US"/>
        </w:rPr>
        <w:t xml:space="preserve"> table </w:t>
      </w:r>
      <w:r w:rsidR="00E66E56">
        <w:rPr>
          <w:rFonts w:ascii="Arial" w:hAnsi="Arial" w:cs="Verdana"/>
          <w:sz w:val="22"/>
          <w:szCs w:val="22"/>
          <w:lang w:val="en-US"/>
        </w:rPr>
        <w:t>4.3</w:t>
      </w:r>
      <w:r w:rsidRPr="00631B0D">
        <w:rPr>
          <w:rFonts w:ascii="Arial" w:hAnsi="Arial" w:cs="Verdana"/>
          <w:sz w:val="22"/>
          <w:szCs w:val="22"/>
          <w:lang w:val="en-US"/>
        </w:rPr>
        <w:t>). The first 5 items are general therapeutic skills and the latter 7 items assess CBT specific skills.</w:t>
      </w:r>
    </w:p>
    <w:p w14:paraId="21F26037" w14:textId="77777777" w:rsidR="007F596B" w:rsidRPr="00631B0D" w:rsidRDefault="007F596B" w:rsidP="00022F53">
      <w:pPr>
        <w:spacing w:after="240" w:line="480" w:lineRule="auto"/>
        <w:rPr>
          <w:lang w:val="en-US"/>
        </w:rPr>
      </w:pPr>
    </w:p>
    <w:p w14:paraId="67F05C69" w14:textId="4F8D3632" w:rsidR="008434CC" w:rsidRPr="008434CC" w:rsidRDefault="008434CC" w:rsidP="008434CC">
      <w:pPr>
        <w:pStyle w:val="Tables"/>
        <w:rPr>
          <w:b w:val="0"/>
        </w:rPr>
      </w:pPr>
      <w:bookmarkStart w:id="302" w:name="_Toc28347779"/>
      <w:bookmarkStart w:id="303" w:name="_Toc46770980"/>
      <w:r w:rsidRPr="00894C8D">
        <w:t xml:space="preserve">Table 4.3 </w:t>
      </w:r>
      <w:r w:rsidRPr="008434CC">
        <w:rPr>
          <w:b w:val="0"/>
        </w:rPr>
        <w:t>The 12 CTS-R items (Blackburn et al., 2001)</w:t>
      </w:r>
      <w:bookmarkEnd w:id="302"/>
      <w:bookmarkEnd w:id="303"/>
    </w:p>
    <w:tbl>
      <w:tblPr>
        <w:tblW w:w="9053" w:type="dxa"/>
        <w:tblCellMar>
          <w:left w:w="0" w:type="dxa"/>
          <w:right w:w="0" w:type="dxa"/>
        </w:tblCellMar>
        <w:tblLook w:val="04A0" w:firstRow="1" w:lastRow="0" w:firstColumn="1" w:lastColumn="0" w:noHBand="0" w:noVBand="1"/>
      </w:tblPr>
      <w:tblGrid>
        <w:gridCol w:w="3498"/>
        <w:gridCol w:w="5555"/>
      </w:tblGrid>
      <w:tr w:rsidR="007F596B" w:rsidRPr="00AB081E" w14:paraId="218A6192" w14:textId="77777777" w:rsidTr="00E66E56">
        <w:trPr>
          <w:trHeight w:val="1385"/>
        </w:trPr>
        <w:tc>
          <w:tcPr>
            <w:tcW w:w="0" w:type="auto"/>
            <w:tcMar>
              <w:top w:w="75" w:type="dxa"/>
              <w:left w:w="75" w:type="dxa"/>
              <w:bottom w:w="75" w:type="dxa"/>
              <w:right w:w="75" w:type="dxa"/>
            </w:tcMar>
            <w:hideMark/>
          </w:tcPr>
          <w:p w14:paraId="6A61D3A0" w14:textId="77777777" w:rsidR="007F596B" w:rsidRPr="002C57AC" w:rsidRDefault="007F596B" w:rsidP="007F596B">
            <w:pPr>
              <w:rPr>
                <w:rFonts w:ascii="Arial" w:eastAsia="Times New Roman" w:hAnsi="Arial" w:cs="Arial"/>
                <w:sz w:val="22"/>
                <w:szCs w:val="22"/>
              </w:rPr>
            </w:pPr>
            <w:r w:rsidRPr="002C57AC">
              <w:rPr>
                <w:rFonts w:ascii="Arial" w:eastAsia="Times New Roman" w:hAnsi="Arial" w:cs="Arial"/>
                <w:sz w:val="22"/>
                <w:szCs w:val="22"/>
              </w:rPr>
              <w:t>General therapeutic skills</w:t>
            </w:r>
          </w:p>
        </w:tc>
        <w:tc>
          <w:tcPr>
            <w:tcW w:w="0" w:type="auto"/>
            <w:tcMar>
              <w:top w:w="75" w:type="dxa"/>
              <w:left w:w="75" w:type="dxa"/>
              <w:bottom w:w="75" w:type="dxa"/>
              <w:right w:w="75" w:type="dxa"/>
            </w:tcMar>
            <w:hideMark/>
          </w:tcPr>
          <w:p w14:paraId="12D35DD4" w14:textId="77777777" w:rsidR="007F596B" w:rsidRDefault="007F596B" w:rsidP="007F596B">
            <w:pPr>
              <w:rPr>
                <w:rFonts w:ascii="Arial" w:eastAsia="Times New Roman" w:hAnsi="Arial" w:cs="Arial"/>
                <w:sz w:val="22"/>
                <w:szCs w:val="22"/>
              </w:rPr>
            </w:pPr>
            <w:r w:rsidRPr="002C57AC">
              <w:rPr>
                <w:rFonts w:ascii="Arial" w:eastAsia="Times New Roman" w:hAnsi="Arial" w:cs="Arial"/>
                <w:sz w:val="22"/>
                <w:szCs w:val="22"/>
              </w:rPr>
              <w:t>1. Agenda</w:t>
            </w:r>
            <w:r w:rsidRPr="002C57AC">
              <w:rPr>
                <w:rFonts w:ascii="Arial" w:eastAsia="Times New Roman" w:hAnsi="Arial" w:cs="Arial"/>
                <w:sz w:val="22"/>
                <w:szCs w:val="22"/>
              </w:rPr>
              <w:br/>
              <w:t>2. Feedback</w:t>
            </w:r>
            <w:r w:rsidRPr="002C57AC">
              <w:rPr>
                <w:rFonts w:ascii="Arial" w:eastAsia="Times New Roman" w:hAnsi="Arial" w:cs="Arial"/>
                <w:sz w:val="22"/>
                <w:szCs w:val="22"/>
              </w:rPr>
              <w:br/>
              <w:t>3. Collaboration</w:t>
            </w:r>
            <w:r w:rsidRPr="002C57AC">
              <w:rPr>
                <w:rFonts w:ascii="Arial" w:eastAsia="Times New Roman" w:hAnsi="Arial" w:cs="Arial"/>
                <w:sz w:val="22"/>
                <w:szCs w:val="22"/>
              </w:rPr>
              <w:br/>
              <w:t>4. Pacing/use of time</w:t>
            </w:r>
            <w:r w:rsidRPr="002C57AC">
              <w:rPr>
                <w:rFonts w:ascii="Arial" w:eastAsia="Times New Roman" w:hAnsi="Arial" w:cs="Arial"/>
                <w:sz w:val="22"/>
                <w:szCs w:val="22"/>
              </w:rPr>
              <w:br/>
              <w:t>5. Interpersonal effectiveness</w:t>
            </w:r>
          </w:p>
          <w:p w14:paraId="4600A36D" w14:textId="38078057" w:rsidR="00B81FAF" w:rsidRPr="002C57AC" w:rsidRDefault="00B81FAF" w:rsidP="007F596B">
            <w:pPr>
              <w:rPr>
                <w:rFonts w:ascii="Arial" w:eastAsia="Times New Roman" w:hAnsi="Arial" w:cs="Arial"/>
                <w:sz w:val="22"/>
                <w:szCs w:val="22"/>
              </w:rPr>
            </w:pPr>
          </w:p>
        </w:tc>
      </w:tr>
      <w:tr w:rsidR="007F596B" w:rsidRPr="00AB081E" w14:paraId="75D85E9B" w14:textId="77777777" w:rsidTr="00E66E56">
        <w:trPr>
          <w:trHeight w:val="1938"/>
        </w:trPr>
        <w:tc>
          <w:tcPr>
            <w:tcW w:w="0" w:type="auto"/>
            <w:tcMar>
              <w:top w:w="75" w:type="dxa"/>
              <w:left w:w="75" w:type="dxa"/>
              <w:bottom w:w="75" w:type="dxa"/>
              <w:right w:w="75" w:type="dxa"/>
            </w:tcMar>
            <w:hideMark/>
          </w:tcPr>
          <w:p w14:paraId="0D47F916" w14:textId="77777777" w:rsidR="00B81FAF" w:rsidRDefault="00B81FAF" w:rsidP="007F596B">
            <w:pPr>
              <w:rPr>
                <w:rFonts w:ascii="Arial" w:eastAsia="Times New Roman" w:hAnsi="Arial" w:cs="Arial"/>
                <w:sz w:val="22"/>
                <w:szCs w:val="22"/>
              </w:rPr>
            </w:pPr>
          </w:p>
          <w:p w14:paraId="54CDD0C4" w14:textId="79F6D4A0" w:rsidR="007F596B" w:rsidRPr="002C57AC" w:rsidRDefault="007F596B" w:rsidP="007F596B">
            <w:pPr>
              <w:rPr>
                <w:rFonts w:ascii="Arial" w:eastAsia="Times New Roman" w:hAnsi="Arial" w:cs="Arial"/>
                <w:sz w:val="22"/>
                <w:szCs w:val="22"/>
              </w:rPr>
            </w:pPr>
            <w:r w:rsidRPr="002C57AC">
              <w:rPr>
                <w:rFonts w:ascii="Arial" w:eastAsia="Times New Roman" w:hAnsi="Arial" w:cs="Arial"/>
                <w:sz w:val="22"/>
                <w:szCs w:val="22"/>
              </w:rPr>
              <w:t xml:space="preserve">CBT specific skills </w:t>
            </w:r>
          </w:p>
        </w:tc>
        <w:tc>
          <w:tcPr>
            <w:tcW w:w="0" w:type="auto"/>
            <w:tcMar>
              <w:top w:w="75" w:type="dxa"/>
              <w:left w:w="75" w:type="dxa"/>
              <w:bottom w:w="75" w:type="dxa"/>
              <w:right w:w="75" w:type="dxa"/>
            </w:tcMar>
            <w:hideMark/>
          </w:tcPr>
          <w:p w14:paraId="278D2C5A" w14:textId="77777777" w:rsidR="00B81FAF" w:rsidRDefault="00B81FAF" w:rsidP="007F596B">
            <w:pPr>
              <w:rPr>
                <w:rFonts w:ascii="Arial" w:eastAsia="Times New Roman" w:hAnsi="Arial" w:cs="Arial"/>
                <w:sz w:val="22"/>
                <w:szCs w:val="22"/>
              </w:rPr>
            </w:pPr>
          </w:p>
          <w:p w14:paraId="76CEC7EA" w14:textId="1D2B7751" w:rsidR="007F596B" w:rsidRPr="002C57AC" w:rsidRDefault="007F596B" w:rsidP="007F596B">
            <w:pPr>
              <w:rPr>
                <w:rFonts w:ascii="Arial" w:eastAsia="Times New Roman" w:hAnsi="Arial" w:cs="Arial"/>
                <w:sz w:val="22"/>
                <w:szCs w:val="22"/>
              </w:rPr>
            </w:pPr>
            <w:r w:rsidRPr="002C57AC">
              <w:rPr>
                <w:rFonts w:ascii="Arial" w:eastAsia="Times New Roman" w:hAnsi="Arial" w:cs="Arial"/>
                <w:sz w:val="22"/>
                <w:szCs w:val="22"/>
              </w:rPr>
              <w:t>6. Guided discovery</w:t>
            </w:r>
            <w:r w:rsidRPr="002C57AC">
              <w:rPr>
                <w:rFonts w:ascii="Arial" w:eastAsia="Times New Roman" w:hAnsi="Arial" w:cs="Arial"/>
                <w:sz w:val="22"/>
                <w:szCs w:val="22"/>
              </w:rPr>
              <w:br/>
              <w:t>7. Conceptualisation</w:t>
            </w:r>
            <w:r w:rsidRPr="002C57AC">
              <w:rPr>
                <w:rFonts w:ascii="Arial" w:eastAsia="Times New Roman" w:hAnsi="Arial" w:cs="Arial"/>
                <w:sz w:val="22"/>
                <w:szCs w:val="22"/>
              </w:rPr>
              <w:br/>
              <w:t>8. Identifying key cognitions</w:t>
            </w:r>
            <w:r w:rsidRPr="002C57AC">
              <w:rPr>
                <w:rFonts w:ascii="Arial" w:eastAsia="Times New Roman" w:hAnsi="Arial" w:cs="Arial"/>
                <w:sz w:val="22"/>
                <w:szCs w:val="22"/>
              </w:rPr>
              <w:br/>
              <w:t>9. Application of change methods</w:t>
            </w:r>
            <w:r w:rsidRPr="002C57AC">
              <w:rPr>
                <w:rFonts w:ascii="Arial" w:eastAsia="Times New Roman" w:hAnsi="Arial" w:cs="Arial"/>
                <w:sz w:val="22"/>
                <w:szCs w:val="22"/>
              </w:rPr>
              <w:br/>
              <w:t>10. Application of behavioural techniques</w:t>
            </w:r>
            <w:r w:rsidRPr="002C57AC">
              <w:rPr>
                <w:rFonts w:ascii="Arial" w:eastAsia="Times New Roman" w:hAnsi="Arial" w:cs="Arial"/>
                <w:sz w:val="22"/>
                <w:szCs w:val="22"/>
              </w:rPr>
              <w:br/>
              <w:t>11. Homework</w:t>
            </w:r>
            <w:r w:rsidRPr="002C57AC">
              <w:rPr>
                <w:rFonts w:ascii="Arial" w:eastAsia="Times New Roman" w:hAnsi="Arial" w:cs="Arial"/>
                <w:sz w:val="22"/>
                <w:szCs w:val="22"/>
              </w:rPr>
              <w:br/>
              <w:t>12. Facilitation of emotional expression</w:t>
            </w:r>
          </w:p>
        </w:tc>
      </w:tr>
    </w:tbl>
    <w:p w14:paraId="08B2513B" w14:textId="77777777" w:rsidR="007F596B" w:rsidRDefault="007F596B" w:rsidP="007F596B">
      <w:pPr>
        <w:spacing w:line="480" w:lineRule="auto"/>
        <w:rPr>
          <w:rFonts w:ascii="Arial" w:hAnsi="Arial" w:cs="Verdana"/>
          <w:lang w:val="en-US"/>
        </w:rPr>
      </w:pPr>
    </w:p>
    <w:p w14:paraId="47520A29" w14:textId="29977263" w:rsidR="00F16030" w:rsidRDefault="00F16030">
      <w:pPr>
        <w:rPr>
          <w:rFonts w:ascii="Arial" w:hAnsi="Arial" w:cs="Verdana"/>
          <w:sz w:val="22"/>
          <w:szCs w:val="22"/>
          <w:lang w:val="en-US"/>
        </w:rPr>
      </w:pPr>
    </w:p>
    <w:p w14:paraId="5A7EF6AF" w14:textId="0519BC1B" w:rsidR="007F596B" w:rsidRDefault="007F596B" w:rsidP="007F596B">
      <w:pPr>
        <w:spacing w:line="480" w:lineRule="auto"/>
        <w:rPr>
          <w:rFonts w:ascii="Arial" w:hAnsi="Arial" w:cs="Verdana"/>
          <w:sz w:val="22"/>
          <w:szCs w:val="22"/>
          <w:lang w:val="en-US"/>
        </w:rPr>
      </w:pPr>
      <w:r w:rsidRPr="00961DD9">
        <w:rPr>
          <w:rFonts w:ascii="Arial" w:hAnsi="Arial" w:cs="Verdana"/>
          <w:sz w:val="22"/>
          <w:szCs w:val="22"/>
          <w:lang w:val="en-US"/>
        </w:rPr>
        <w:t xml:space="preserve">Each item is scored on a </w:t>
      </w:r>
      <w:r w:rsidR="00030708" w:rsidRPr="00961DD9">
        <w:rPr>
          <w:rFonts w:ascii="Arial" w:hAnsi="Arial" w:cs="Verdana"/>
          <w:sz w:val="22"/>
          <w:szCs w:val="22"/>
          <w:lang w:val="en-US"/>
        </w:rPr>
        <w:t>7-point</w:t>
      </w:r>
      <w:r w:rsidRPr="00961DD9">
        <w:rPr>
          <w:rFonts w:ascii="Arial" w:hAnsi="Arial" w:cs="Verdana"/>
          <w:sz w:val="22"/>
          <w:szCs w:val="22"/>
          <w:lang w:val="en-US"/>
        </w:rPr>
        <w:t xml:space="preserve"> Likert scale where a score of 0 indicates an absence of the skill and a score of 6 indicates a high level of expertise has been demonstrated. The total range is 0- 72 with the overall score presented as a percentage. Blackburn et al., provide a training manual, for assessors, detailing example descriptions for each item</w:t>
      </w:r>
      <w:r w:rsidR="00C04430">
        <w:rPr>
          <w:rFonts w:ascii="Arial" w:hAnsi="Arial" w:cs="Verdana"/>
          <w:sz w:val="22"/>
          <w:szCs w:val="22"/>
          <w:lang w:val="en-US"/>
        </w:rPr>
        <w:t xml:space="preserve">. A copy of the </w:t>
      </w:r>
      <w:r w:rsidR="00F311BE">
        <w:rPr>
          <w:rFonts w:ascii="Arial" w:hAnsi="Arial" w:cs="Verdana"/>
          <w:sz w:val="22"/>
          <w:szCs w:val="22"/>
          <w:lang w:val="en-US"/>
        </w:rPr>
        <w:t xml:space="preserve">CTS-R </w:t>
      </w:r>
      <w:r w:rsidR="00C04430">
        <w:rPr>
          <w:rFonts w:ascii="Arial" w:hAnsi="Arial" w:cs="Verdana"/>
          <w:sz w:val="22"/>
          <w:szCs w:val="22"/>
          <w:lang w:val="en-US"/>
        </w:rPr>
        <w:t xml:space="preserve">manual can be found at </w:t>
      </w:r>
      <w:hyperlink r:id="rId54" w:history="1">
        <w:r w:rsidR="00183FB5" w:rsidRPr="00E87551">
          <w:rPr>
            <w:rStyle w:val="Hyperlink"/>
            <w:rFonts w:ascii="Arial" w:hAnsi="Arial" w:cs="Verdana"/>
            <w:sz w:val="22"/>
            <w:szCs w:val="22"/>
            <w:lang w:val="en-US"/>
          </w:rPr>
          <w:t>https://cedar.exeter.ac.uk/iapt/hihandbook/assessments/ctsrmanual/</w:t>
        </w:r>
      </w:hyperlink>
      <w:r w:rsidR="00183FB5">
        <w:rPr>
          <w:rFonts w:ascii="Arial" w:hAnsi="Arial" w:cs="Verdana"/>
          <w:sz w:val="22"/>
          <w:szCs w:val="22"/>
          <w:lang w:val="en-US"/>
        </w:rPr>
        <w:t xml:space="preserve"> </w:t>
      </w:r>
    </w:p>
    <w:p w14:paraId="0F3BE2FC" w14:textId="77777777" w:rsidR="00F311BE" w:rsidRPr="00F311BE" w:rsidRDefault="00F311BE" w:rsidP="007F596B">
      <w:pPr>
        <w:spacing w:line="480" w:lineRule="auto"/>
        <w:rPr>
          <w:rFonts w:ascii="Arial" w:hAnsi="Arial" w:cs="Verdana"/>
          <w:sz w:val="22"/>
          <w:szCs w:val="22"/>
          <w:lang w:val="en-US"/>
        </w:rPr>
      </w:pPr>
    </w:p>
    <w:p w14:paraId="53CA7F93" w14:textId="724C88D1" w:rsidR="007F596B" w:rsidRDefault="00AB3CF6" w:rsidP="007F596B">
      <w:pPr>
        <w:pStyle w:val="Heading3"/>
        <w:rPr>
          <w:rFonts w:cs="Arial"/>
          <w:b w:val="0"/>
          <w:color w:val="000000" w:themeColor="text1"/>
          <w:szCs w:val="22"/>
        </w:rPr>
      </w:pPr>
      <w:bookmarkStart w:id="304" w:name="_Toc46770804"/>
      <w:bookmarkStart w:id="305" w:name="_Toc79414215"/>
      <w:r>
        <w:rPr>
          <w:rFonts w:cs="Arial"/>
          <w:color w:val="000000" w:themeColor="text1"/>
          <w:szCs w:val="22"/>
        </w:rPr>
        <w:t>4</w:t>
      </w:r>
      <w:r w:rsidR="007F596B" w:rsidRPr="00961DD9">
        <w:rPr>
          <w:rFonts w:cs="Arial"/>
          <w:color w:val="000000" w:themeColor="text1"/>
          <w:szCs w:val="22"/>
        </w:rPr>
        <w:t>.6.3 Therapist Adherence (A) score</w:t>
      </w:r>
      <w:bookmarkEnd w:id="304"/>
      <w:bookmarkEnd w:id="305"/>
    </w:p>
    <w:p w14:paraId="1A8D08BD" w14:textId="77777777" w:rsidR="007F596B" w:rsidRPr="00961DD9" w:rsidRDefault="007F596B" w:rsidP="007F596B"/>
    <w:p w14:paraId="2F950870" w14:textId="6DEB4EEF" w:rsidR="007F596B" w:rsidRDefault="007F596B" w:rsidP="007F596B">
      <w:pPr>
        <w:spacing w:line="480" w:lineRule="auto"/>
        <w:rPr>
          <w:rFonts w:ascii="Arial" w:hAnsi="Arial"/>
          <w:sz w:val="22"/>
          <w:szCs w:val="22"/>
        </w:rPr>
      </w:pPr>
      <w:r w:rsidRPr="00961DD9">
        <w:rPr>
          <w:rFonts w:ascii="Arial" w:hAnsi="Arial"/>
          <w:sz w:val="22"/>
          <w:szCs w:val="22"/>
        </w:rPr>
        <w:t>Adherence to an evidence-based protocol was assessed using guidelines from three sources Roth and Pilling (2007, 2008) guidelines for the competencies required for the cognitive behavioural treatment of depression and anxiety disorders, NICE guidelines for the treatment of patients with depression or an anxiety disorder and evidence</w:t>
      </w:r>
      <w:r w:rsidR="00FA39E2">
        <w:rPr>
          <w:rFonts w:ascii="Arial" w:hAnsi="Arial"/>
          <w:sz w:val="22"/>
          <w:szCs w:val="22"/>
        </w:rPr>
        <w:t>-</w:t>
      </w:r>
      <w:r w:rsidRPr="00961DD9">
        <w:rPr>
          <w:rFonts w:ascii="Arial" w:hAnsi="Arial"/>
          <w:sz w:val="22"/>
          <w:szCs w:val="22"/>
        </w:rPr>
        <w:t xml:space="preserve">based treatment protocols documented in CBT academic text books.  </w:t>
      </w:r>
      <w:r>
        <w:rPr>
          <w:rFonts w:ascii="Arial" w:hAnsi="Arial"/>
          <w:sz w:val="22"/>
          <w:szCs w:val="22"/>
        </w:rPr>
        <w:t>Raters</w:t>
      </w:r>
      <w:r w:rsidRPr="00961DD9">
        <w:rPr>
          <w:rFonts w:ascii="Arial" w:hAnsi="Arial"/>
          <w:sz w:val="22"/>
          <w:szCs w:val="22"/>
        </w:rPr>
        <w:t xml:space="preserve"> were asked whether, in their opinion, the therapist had</w:t>
      </w:r>
      <w:r>
        <w:rPr>
          <w:rFonts w:ascii="Arial" w:hAnsi="Arial"/>
          <w:sz w:val="22"/>
          <w:szCs w:val="22"/>
        </w:rPr>
        <w:t>,</w:t>
      </w:r>
      <w:r w:rsidRPr="00961DD9">
        <w:rPr>
          <w:rFonts w:ascii="Arial" w:hAnsi="Arial"/>
          <w:sz w:val="22"/>
          <w:szCs w:val="22"/>
        </w:rPr>
        <w:t xml:space="preserve"> or had not</w:t>
      </w:r>
      <w:r>
        <w:rPr>
          <w:rFonts w:ascii="Arial" w:hAnsi="Arial"/>
          <w:sz w:val="22"/>
          <w:szCs w:val="22"/>
        </w:rPr>
        <w:t>,</w:t>
      </w:r>
      <w:r w:rsidRPr="00961DD9">
        <w:rPr>
          <w:rFonts w:ascii="Arial" w:hAnsi="Arial"/>
          <w:sz w:val="22"/>
          <w:szCs w:val="22"/>
        </w:rPr>
        <w:t xml:space="preserve"> demonstrated adherence to an evidence</w:t>
      </w:r>
      <w:r w:rsidR="00FA39E2">
        <w:rPr>
          <w:rFonts w:ascii="Arial" w:hAnsi="Arial"/>
          <w:sz w:val="22"/>
          <w:szCs w:val="22"/>
        </w:rPr>
        <w:t>-</w:t>
      </w:r>
      <w:r w:rsidRPr="00961DD9">
        <w:rPr>
          <w:rFonts w:ascii="Arial" w:hAnsi="Arial"/>
          <w:sz w:val="22"/>
          <w:szCs w:val="22"/>
        </w:rPr>
        <w:t xml:space="preserve">based </w:t>
      </w:r>
      <w:r w:rsidRPr="00961DD9">
        <w:rPr>
          <w:rFonts w:ascii="Arial" w:hAnsi="Arial"/>
          <w:sz w:val="22"/>
          <w:szCs w:val="22"/>
        </w:rPr>
        <w:lastRenderedPageBreak/>
        <w:t xml:space="preserve">protocol as found in </w:t>
      </w:r>
      <w:r w:rsidR="00366446">
        <w:rPr>
          <w:rFonts w:ascii="Arial" w:hAnsi="Arial"/>
          <w:sz w:val="22"/>
          <w:szCs w:val="22"/>
        </w:rPr>
        <w:t xml:space="preserve">NICE guidelines, Roth and Pilling guidelines or published research cited in </w:t>
      </w:r>
      <w:r w:rsidR="00A7398F">
        <w:rPr>
          <w:rFonts w:ascii="Arial" w:hAnsi="Arial"/>
          <w:sz w:val="22"/>
          <w:szCs w:val="22"/>
        </w:rPr>
        <w:t>CBT academic textbooks.</w:t>
      </w:r>
    </w:p>
    <w:p w14:paraId="774029A5" w14:textId="77777777" w:rsidR="00B81FAF" w:rsidRPr="00961DD9" w:rsidRDefault="00B81FAF" w:rsidP="007F596B">
      <w:pPr>
        <w:spacing w:line="480" w:lineRule="auto"/>
        <w:rPr>
          <w:rFonts w:ascii="Arial" w:hAnsi="Arial"/>
          <w:sz w:val="22"/>
          <w:szCs w:val="22"/>
        </w:rPr>
      </w:pPr>
    </w:p>
    <w:p w14:paraId="0E9C3175" w14:textId="265D6999" w:rsidR="007F596B" w:rsidRDefault="00AB3CF6" w:rsidP="007F596B">
      <w:pPr>
        <w:pStyle w:val="Heading2"/>
        <w:rPr>
          <w:rFonts w:ascii="Arial" w:hAnsi="Arial" w:cs="Arial"/>
          <w:b w:val="0"/>
          <w:color w:val="000000" w:themeColor="text1"/>
          <w:sz w:val="22"/>
          <w:szCs w:val="22"/>
        </w:rPr>
      </w:pPr>
      <w:bookmarkStart w:id="306" w:name="_Toc46770805"/>
      <w:bookmarkStart w:id="307" w:name="_Toc79414216"/>
      <w:r>
        <w:rPr>
          <w:rFonts w:ascii="Arial" w:hAnsi="Arial" w:cs="Arial"/>
          <w:color w:val="000000" w:themeColor="text1"/>
          <w:sz w:val="22"/>
          <w:szCs w:val="22"/>
        </w:rPr>
        <w:t>4</w:t>
      </w:r>
      <w:r w:rsidR="007F596B" w:rsidRPr="00961DD9">
        <w:rPr>
          <w:rFonts w:ascii="Arial" w:hAnsi="Arial" w:cs="Arial"/>
          <w:color w:val="000000" w:themeColor="text1"/>
          <w:sz w:val="22"/>
          <w:szCs w:val="22"/>
        </w:rPr>
        <w:t xml:space="preserve">.7 INTER-RATER RELIABILITY </w:t>
      </w:r>
      <w:r w:rsidR="002F6B75">
        <w:rPr>
          <w:rFonts w:ascii="Arial" w:hAnsi="Arial" w:cs="Arial"/>
          <w:color w:val="000000" w:themeColor="text1"/>
          <w:sz w:val="22"/>
          <w:szCs w:val="22"/>
        </w:rPr>
        <w:t>TRAINING</w:t>
      </w:r>
      <w:bookmarkEnd w:id="306"/>
      <w:bookmarkEnd w:id="307"/>
    </w:p>
    <w:p w14:paraId="192218CB" w14:textId="77777777" w:rsidR="007F596B" w:rsidRPr="00961DD9" w:rsidRDefault="007F596B" w:rsidP="007F596B"/>
    <w:p w14:paraId="4C1DDB91" w14:textId="42FFA4AF" w:rsidR="007F596B" w:rsidRDefault="007F596B" w:rsidP="007F596B">
      <w:pPr>
        <w:spacing w:line="480" w:lineRule="auto"/>
        <w:rPr>
          <w:rFonts w:ascii="Arial" w:hAnsi="Arial" w:cs="Arial"/>
          <w:sz w:val="22"/>
          <w:szCs w:val="22"/>
        </w:rPr>
      </w:pPr>
      <w:r w:rsidRPr="00961DD9">
        <w:rPr>
          <w:rFonts w:ascii="Arial" w:hAnsi="Arial" w:cs="Arial"/>
          <w:sz w:val="22"/>
          <w:szCs w:val="22"/>
        </w:rPr>
        <w:t>The raters in this research were required to complete inter-rater reliability training for both assessment of competence</w:t>
      </w:r>
      <w:r w:rsidR="00C05B17">
        <w:rPr>
          <w:rFonts w:ascii="Arial" w:hAnsi="Arial" w:cs="Arial"/>
          <w:sz w:val="22"/>
          <w:szCs w:val="22"/>
        </w:rPr>
        <w:t>, as assessed by the CTS-R, (</w:t>
      </w:r>
      <w:r w:rsidRPr="00961DD9">
        <w:rPr>
          <w:rFonts w:ascii="Arial" w:hAnsi="Arial" w:cs="Arial"/>
          <w:sz w:val="22"/>
          <w:szCs w:val="22"/>
        </w:rPr>
        <w:t xml:space="preserve">F score) and adherence (A score).  The raters were provided with a CTS-R manual and the guidelines for A score assessments. They were asked to complete F scores and A scores on 4 </w:t>
      </w:r>
      <w:r w:rsidR="002F6B75">
        <w:rPr>
          <w:rFonts w:ascii="Arial" w:hAnsi="Arial" w:cs="Arial"/>
          <w:sz w:val="22"/>
          <w:szCs w:val="22"/>
        </w:rPr>
        <w:t>completed cases.</w:t>
      </w:r>
      <w:r w:rsidRPr="00961DD9">
        <w:rPr>
          <w:rFonts w:ascii="Arial" w:hAnsi="Arial" w:cs="Arial"/>
          <w:sz w:val="22"/>
          <w:szCs w:val="22"/>
        </w:rPr>
        <w:t xml:space="preserve">  All the raters </w:t>
      </w:r>
      <w:r w:rsidR="002F6B75">
        <w:rPr>
          <w:rFonts w:ascii="Arial" w:hAnsi="Arial" w:cs="Arial"/>
          <w:sz w:val="22"/>
          <w:szCs w:val="22"/>
        </w:rPr>
        <w:t>assessed the F score (competence, as assessed by the CTS-R)</w:t>
      </w:r>
      <w:r w:rsidRPr="00961DD9">
        <w:rPr>
          <w:rFonts w:ascii="Arial" w:hAnsi="Arial" w:cs="Arial"/>
          <w:sz w:val="22"/>
          <w:szCs w:val="22"/>
        </w:rPr>
        <w:t xml:space="preserve"> on the same transcripts. The raters then attended a whole day training session where they shared the</w:t>
      </w:r>
      <w:r w:rsidR="002F6B75">
        <w:rPr>
          <w:rFonts w:ascii="Arial" w:hAnsi="Arial" w:cs="Arial"/>
          <w:sz w:val="22"/>
          <w:szCs w:val="22"/>
        </w:rPr>
        <w:t>ir</w:t>
      </w:r>
      <w:r w:rsidRPr="00961DD9">
        <w:rPr>
          <w:rFonts w:ascii="Arial" w:hAnsi="Arial" w:cs="Arial"/>
          <w:sz w:val="22"/>
          <w:szCs w:val="22"/>
        </w:rPr>
        <w:t xml:space="preserve"> scores with the other raters and provided a rationale for why they had allocated a particular score. The process was repeated with </w:t>
      </w:r>
      <w:r w:rsidR="002F6B75">
        <w:rPr>
          <w:rFonts w:ascii="Arial" w:hAnsi="Arial" w:cs="Arial"/>
          <w:sz w:val="22"/>
          <w:szCs w:val="22"/>
        </w:rPr>
        <w:t xml:space="preserve">4 different completed cases </w:t>
      </w:r>
      <w:r w:rsidRPr="00961DD9">
        <w:rPr>
          <w:rFonts w:ascii="Arial" w:hAnsi="Arial" w:cs="Arial"/>
          <w:sz w:val="22"/>
          <w:szCs w:val="22"/>
        </w:rPr>
        <w:t xml:space="preserve">and the assessors attended a further day’s training. </w:t>
      </w:r>
    </w:p>
    <w:p w14:paraId="4DA29B49" w14:textId="2761FA30" w:rsidR="007F596B" w:rsidRDefault="00AB3CF6" w:rsidP="007F596B">
      <w:pPr>
        <w:pStyle w:val="Heading2"/>
        <w:rPr>
          <w:rFonts w:ascii="Arial" w:hAnsi="Arial" w:cs="Arial"/>
          <w:b w:val="0"/>
          <w:color w:val="000000" w:themeColor="text1"/>
          <w:sz w:val="22"/>
          <w:szCs w:val="22"/>
        </w:rPr>
      </w:pPr>
      <w:bookmarkStart w:id="308" w:name="_Toc46770806"/>
      <w:bookmarkStart w:id="309" w:name="_Toc79414217"/>
      <w:r>
        <w:rPr>
          <w:rFonts w:ascii="Arial" w:hAnsi="Arial" w:cs="Arial"/>
          <w:color w:val="000000" w:themeColor="text1"/>
          <w:sz w:val="22"/>
          <w:szCs w:val="22"/>
        </w:rPr>
        <w:t>4</w:t>
      </w:r>
      <w:r w:rsidR="007F596B" w:rsidRPr="00961DD9">
        <w:rPr>
          <w:rFonts w:ascii="Arial" w:hAnsi="Arial" w:cs="Arial"/>
          <w:color w:val="000000" w:themeColor="text1"/>
          <w:sz w:val="22"/>
          <w:szCs w:val="22"/>
        </w:rPr>
        <w:t>.8 PATIENT VARIABLES</w:t>
      </w:r>
      <w:r w:rsidR="007F596B">
        <w:rPr>
          <w:rFonts w:ascii="Arial" w:hAnsi="Arial" w:cs="Arial"/>
          <w:color w:val="000000" w:themeColor="text1"/>
          <w:sz w:val="22"/>
          <w:szCs w:val="22"/>
        </w:rPr>
        <w:t xml:space="preserve"> FOR LOG-LINEAR ANALYSES</w:t>
      </w:r>
      <w:bookmarkEnd w:id="308"/>
      <w:bookmarkEnd w:id="309"/>
    </w:p>
    <w:p w14:paraId="722C2379" w14:textId="77777777" w:rsidR="007F596B" w:rsidRDefault="007F596B" w:rsidP="007F596B"/>
    <w:p w14:paraId="2259BEA3" w14:textId="052D4582" w:rsidR="007F596B" w:rsidRDefault="007F596B" w:rsidP="007F596B">
      <w:pPr>
        <w:spacing w:line="480" w:lineRule="auto"/>
        <w:rPr>
          <w:rFonts w:ascii="Arial" w:hAnsi="Arial" w:cs="Arial"/>
          <w:sz w:val="22"/>
          <w:szCs w:val="22"/>
        </w:rPr>
      </w:pPr>
      <w:r w:rsidRPr="00A6042C">
        <w:rPr>
          <w:rFonts w:ascii="Arial" w:hAnsi="Arial" w:cs="Arial"/>
          <w:sz w:val="22"/>
          <w:szCs w:val="22"/>
        </w:rPr>
        <w:t xml:space="preserve">Patient demographics and outcome measure data are routinely collected for each patient within IAPT </w:t>
      </w:r>
      <w:r w:rsidR="00E80F5D" w:rsidRPr="00A6042C">
        <w:rPr>
          <w:rFonts w:ascii="Arial" w:hAnsi="Arial" w:cs="Arial"/>
          <w:sz w:val="22"/>
          <w:szCs w:val="22"/>
        </w:rPr>
        <w:t xml:space="preserve">and are commonly used for data analysis and research purposes </w:t>
      </w:r>
      <w:r w:rsidRPr="00A6042C">
        <w:rPr>
          <w:rFonts w:ascii="Arial" w:hAnsi="Arial" w:cs="Arial"/>
          <w:sz w:val="22"/>
          <w:szCs w:val="22"/>
        </w:rPr>
        <w:t xml:space="preserve">(Layard and Clark, 2014). Patient variables were used in the </w:t>
      </w:r>
      <w:r w:rsidR="00E80F5D" w:rsidRPr="00A6042C">
        <w:rPr>
          <w:rFonts w:ascii="Arial" w:hAnsi="Arial" w:cs="Arial"/>
          <w:sz w:val="22"/>
          <w:szCs w:val="22"/>
        </w:rPr>
        <w:t xml:space="preserve">final statistical analysis, a </w:t>
      </w:r>
      <w:r w:rsidRPr="00A6042C">
        <w:rPr>
          <w:rFonts w:ascii="Arial" w:hAnsi="Arial" w:cs="Arial"/>
          <w:sz w:val="22"/>
          <w:szCs w:val="22"/>
        </w:rPr>
        <w:t>log-linear analysis</w:t>
      </w:r>
      <w:r w:rsidR="00E80F5D" w:rsidRPr="00A6042C">
        <w:rPr>
          <w:rFonts w:ascii="Arial" w:hAnsi="Arial" w:cs="Arial"/>
          <w:sz w:val="22"/>
          <w:szCs w:val="22"/>
        </w:rPr>
        <w:t xml:space="preserve"> in order to understand whether the predictor variables remained</w:t>
      </w:r>
      <w:r w:rsidR="00A6042C">
        <w:rPr>
          <w:rFonts w:ascii="Arial" w:hAnsi="Arial" w:cs="Arial"/>
          <w:sz w:val="22"/>
          <w:szCs w:val="22"/>
        </w:rPr>
        <w:t xml:space="preserve"> statistically significant.</w:t>
      </w:r>
      <w:r w:rsidRPr="00A6042C">
        <w:rPr>
          <w:rFonts w:ascii="Arial" w:hAnsi="Arial" w:cs="Arial"/>
          <w:sz w:val="22"/>
          <w:szCs w:val="22"/>
        </w:rPr>
        <w:t xml:space="preserve"> The patient variables which were used in </w:t>
      </w:r>
      <w:r w:rsidR="005D0117">
        <w:rPr>
          <w:rFonts w:ascii="Arial" w:hAnsi="Arial" w:cs="Arial"/>
          <w:sz w:val="22"/>
          <w:szCs w:val="22"/>
        </w:rPr>
        <w:t>the log-linear analysis</w:t>
      </w:r>
      <w:r w:rsidRPr="00A6042C">
        <w:rPr>
          <w:rFonts w:ascii="Arial" w:hAnsi="Arial" w:cs="Arial"/>
          <w:sz w:val="22"/>
          <w:szCs w:val="22"/>
        </w:rPr>
        <w:t xml:space="preserve"> were: age, gender</w:t>
      </w:r>
      <w:r w:rsidR="005D0117">
        <w:rPr>
          <w:rFonts w:ascii="Arial" w:hAnsi="Arial" w:cs="Arial"/>
          <w:sz w:val="22"/>
          <w:szCs w:val="22"/>
        </w:rPr>
        <w:t xml:space="preserve"> and </w:t>
      </w:r>
      <w:r w:rsidRPr="00A6042C">
        <w:rPr>
          <w:rFonts w:ascii="Arial" w:hAnsi="Arial" w:cs="Arial"/>
          <w:sz w:val="22"/>
          <w:szCs w:val="22"/>
        </w:rPr>
        <w:t>start and</w:t>
      </w:r>
      <w:r w:rsidRPr="004A751A">
        <w:rPr>
          <w:sz w:val="22"/>
          <w:szCs w:val="22"/>
        </w:rPr>
        <w:t xml:space="preserve"> </w:t>
      </w:r>
      <w:r w:rsidRPr="00A6042C">
        <w:rPr>
          <w:rFonts w:ascii="Arial" w:hAnsi="Arial" w:cs="Arial"/>
          <w:sz w:val="22"/>
          <w:szCs w:val="22"/>
        </w:rPr>
        <w:t>end PHQ-9 and GAD-7 scores</w:t>
      </w:r>
      <w:r w:rsidR="005D0117">
        <w:rPr>
          <w:rFonts w:ascii="Arial" w:hAnsi="Arial" w:cs="Arial"/>
          <w:sz w:val="22"/>
          <w:szCs w:val="22"/>
        </w:rPr>
        <w:t>.</w:t>
      </w:r>
    </w:p>
    <w:p w14:paraId="34D0331E" w14:textId="77777777" w:rsidR="006E31B7" w:rsidRPr="00A6042C" w:rsidRDefault="006E31B7" w:rsidP="007F596B">
      <w:pPr>
        <w:spacing w:line="480" w:lineRule="auto"/>
        <w:rPr>
          <w:rFonts w:ascii="Arial" w:hAnsi="Arial" w:cs="Arial"/>
          <w:sz w:val="22"/>
          <w:szCs w:val="22"/>
        </w:rPr>
      </w:pPr>
    </w:p>
    <w:p w14:paraId="78EEC5A3" w14:textId="30C2FD2E" w:rsidR="007F596B" w:rsidRDefault="00AB3CF6" w:rsidP="007F596B">
      <w:pPr>
        <w:pStyle w:val="Heading2"/>
        <w:rPr>
          <w:rFonts w:ascii="Arial" w:hAnsi="Arial" w:cs="Arial"/>
          <w:b w:val="0"/>
          <w:color w:val="000000" w:themeColor="text1"/>
          <w:sz w:val="22"/>
          <w:szCs w:val="22"/>
        </w:rPr>
      </w:pPr>
      <w:bookmarkStart w:id="310" w:name="_Toc46770807"/>
      <w:bookmarkStart w:id="311" w:name="_Toc79414218"/>
      <w:r>
        <w:rPr>
          <w:rFonts w:ascii="Arial" w:hAnsi="Arial" w:cs="Arial"/>
          <w:color w:val="000000" w:themeColor="text1"/>
          <w:sz w:val="22"/>
          <w:szCs w:val="22"/>
        </w:rPr>
        <w:t>4</w:t>
      </w:r>
      <w:r w:rsidR="007F596B" w:rsidRPr="00961DD9">
        <w:rPr>
          <w:rFonts w:ascii="Arial" w:hAnsi="Arial" w:cs="Arial"/>
          <w:color w:val="000000" w:themeColor="text1"/>
          <w:sz w:val="22"/>
          <w:szCs w:val="22"/>
        </w:rPr>
        <w:t>.</w:t>
      </w:r>
      <w:r w:rsidR="007F596B">
        <w:rPr>
          <w:rFonts w:ascii="Arial" w:hAnsi="Arial" w:cs="Arial"/>
          <w:color w:val="000000" w:themeColor="text1"/>
          <w:sz w:val="22"/>
          <w:szCs w:val="22"/>
        </w:rPr>
        <w:t>9</w:t>
      </w:r>
      <w:r w:rsidR="007F596B" w:rsidRPr="00961DD9">
        <w:rPr>
          <w:rFonts w:ascii="Arial" w:hAnsi="Arial" w:cs="Arial"/>
          <w:color w:val="000000" w:themeColor="text1"/>
          <w:sz w:val="22"/>
          <w:szCs w:val="22"/>
        </w:rPr>
        <w:t xml:space="preserve"> DATA COLLECTION AND HANDLING</w:t>
      </w:r>
      <w:bookmarkEnd w:id="310"/>
      <w:bookmarkEnd w:id="311"/>
    </w:p>
    <w:p w14:paraId="7B210382" w14:textId="77777777" w:rsidR="007F596B" w:rsidRPr="00961DD9" w:rsidRDefault="007F596B" w:rsidP="007F596B"/>
    <w:p w14:paraId="3C9097D3" w14:textId="4F12A6EB" w:rsidR="007F596B" w:rsidRDefault="007F596B" w:rsidP="007F596B">
      <w:pPr>
        <w:spacing w:line="480" w:lineRule="auto"/>
        <w:rPr>
          <w:rFonts w:ascii="Arial" w:hAnsi="Arial" w:cs="Arial"/>
          <w:sz w:val="22"/>
          <w:szCs w:val="22"/>
        </w:rPr>
      </w:pPr>
      <w:r w:rsidRPr="00961DD9">
        <w:rPr>
          <w:rFonts w:ascii="Arial" w:hAnsi="Arial" w:cs="Arial"/>
          <w:sz w:val="22"/>
          <w:szCs w:val="22"/>
        </w:rPr>
        <w:t>Data was collected and retained in accordance with the Data Protection Act (1998</w:t>
      </w:r>
      <w:r w:rsidR="00DD38EE">
        <w:rPr>
          <w:rFonts w:ascii="ZWAdobeF" w:hAnsi="ZWAdobeF" w:cs="ZWAdobeF"/>
          <w:sz w:val="2"/>
          <w:szCs w:val="2"/>
        </w:rPr>
        <w:t>5F</w:t>
      </w:r>
      <w:r w:rsidR="000D0D3D">
        <w:rPr>
          <w:rStyle w:val="FootnoteReference"/>
          <w:rFonts w:ascii="Arial" w:hAnsi="Arial" w:cs="Arial"/>
          <w:sz w:val="22"/>
          <w:szCs w:val="22"/>
        </w:rPr>
        <w:footnoteReference w:id="7"/>
      </w:r>
      <w:r w:rsidRPr="00961DD9">
        <w:rPr>
          <w:rFonts w:ascii="Arial" w:hAnsi="Arial" w:cs="Arial"/>
          <w:sz w:val="22"/>
          <w:szCs w:val="22"/>
        </w:rPr>
        <w:t xml:space="preserve">), GDPR, ISO27001 and NHS Data Security Toolkit. Study documents (both paper and electronic) </w:t>
      </w:r>
      <w:r w:rsidRPr="00961DD9">
        <w:rPr>
          <w:rFonts w:ascii="Arial" w:hAnsi="Arial" w:cs="Arial"/>
          <w:sz w:val="22"/>
          <w:szCs w:val="22"/>
        </w:rPr>
        <w:lastRenderedPageBreak/>
        <w:t>were retained in a secure location during and after the study was completed. All documents will be retained for a period of five years.</w:t>
      </w:r>
    </w:p>
    <w:p w14:paraId="5EEC66A8" w14:textId="77777777" w:rsidR="006E31B7" w:rsidRPr="00961DD9" w:rsidRDefault="006E31B7" w:rsidP="007F596B">
      <w:pPr>
        <w:spacing w:line="480" w:lineRule="auto"/>
        <w:rPr>
          <w:rFonts w:ascii="Arial" w:hAnsi="Arial" w:cs="Arial"/>
          <w:sz w:val="22"/>
          <w:szCs w:val="22"/>
        </w:rPr>
      </w:pPr>
    </w:p>
    <w:p w14:paraId="2BCD003D" w14:textId="60A89ACA" w:rsidR="007F596B" w:rsidRDefault="00AB3CF6" w:rsidP="007F596B">
      <w:pPr>
        <w:pStyle w:val="Heading2"/>
        <w:rPr>
          <w:rFonts w:ascii="Arial" w:hAnsi="Arial" w:cs="Arial"/>
          <w:b w:val="0"/>
          <w:color w:val="000000" w:themeColor="text1"/>
          <w:sz w:val="22"/>
          <w:szCs w:val="22"/>
        </w:rPr>
      </w:pPr>
      <w:bookmarkStart w:id="312" w:name="_Toc46770808"/>
      <w:bookmarkStart w:id="313" w:name="_Toc79414219"/>
      <w:r>
        <w:rPr>
          <w:rFonts w:ascii="Arial" w:hAnsi="Arial" w:cs="Arial"/>
          <w:color w:val="000000" w:themeColor="text1"/>
          <w:sz w:val="22"/>
          <w:szCs w:val="22"/>
        </w:rPr>
        <w:t>4</w:t>
      </w:r>
      <w:r w:rsidR="007F596B" w:rsidRPr="00961DD9">
        <w:rPr>
          <w:rFonts w:ascii="Arial" w:hAnsi="Arial" w:cs="Arial"/>
          <w:color w:val="000000" w:themeColor="text1"/>
          <w:sz w:val="22"/>
          <w:szCs w:val="22"/>
        </w:rPr>
        <w:t>.</w:t>
      </w:r>
      <w:r w:rsidR="007F596B">
        <w:rPr>
          <w:rFonts w:ascii="Arial" w:hAnsi="Arial" w:cs="Arial"/>
          <w:color w:val="000000" w:themeColor="text1"/>
          <w:sz w:val="22"/>
          <w:szCs w:val="22"/>
        </w:rPr>
        <w:t>10</w:t>
      </w:r>
      <w:r w:rsidR="007F596B" w:rsidRPr="00961DD9">
        <w:rPr>
          <w:rFonts w:ascii="Arial" w:hAnsi="Arial" w:cs="Arial"/>
          <w:color w:val="000000" w:themeColor="text1"/>
          <w:sz w:val="22"/>
          <w:szCs w:val="22"/>
        </w:rPr>
        <w:t xml:space="preserve"> STATISTICAL ANALYSES</w:t>
      </w:r>
      <w:bookmarkEnd w:id="312"/>
      <w:bookmarkEnd w:id="313"/>
    </w:p>
    <w:p w14:paraId="728EFF45" w14:textId="77777777" w:rsidR="007F596B" w:rsidRPr="00961DD9" w:rsidRDefault="007F596B" w:rsidP="007F596B"/>
    <w:p w14:paraId="418FF16E" w14:textId="7E6FE6F9" w:rsidR="00FA0C6C" w:rsidRDefault="007F596B" w:rsidP="007F596B">
      <w:pPr>
        <w:widowControl w:val="0"/>
        <w:autoSpaceDE w:val="0"/>
        <w:autoSpaceDN w:val="0"/>
        <w:adjustRightInd w:val="0"/>
        <w:spacing w:line="480" w:lineRule="auto"/>
        <w:rPr>
          <w:rFonts w:ascii="Arial" w:hAnsi="Arial" w:cs="Arial"/>
          <w:color w:val="000000"/>
          <w:sz w:val="22"/>
          <w:szCs w:val="22"/>
        </w:rPr>
      </w:pPr>
      <w:r w:rsidRPr="00961DD9">
        <w:rPr>
          <w:rFonts w:ascii="Arial" w:hAnsi="Arial" w:cs="Arial"/>
          <w:sz w:val="22"/>
          <w:szCs w:val="22"/>
          <w:lang w:val="en-US"/>
        </w:rPr>
        <w:t xml:space="preserve">Tables of descriptive statistics were compiled for all the available variables. For continuous variables various summary statistics </w:t>
      </w:r>
      <w:r w:rsidR="00077AF1">
        <w:rPr>
          <w:rFonts w:ascii="Arial" w:hAnsi="Arial" w:cs="Arial"/>
          <w:sz w:val="22"/>
          <w:szCs w:val="22"/>
          <w:lang w:val="en-US"/>
        </w:rPr>
        <w:t>were</w:t>
      </w:r>
      <w:r w:rsidRPr="00961DD9">
        <w:rPr>
          <w:rFonts w:ascii="Arial" w:hAnsi="Arial" w:cs="Arial"/>
          <w:sz w:val="22"/>
          <w:szCs w:val="22"/>
          <w:lang w:val="en-US"/>
        </w:rPr>
        <w:t xml:space="preserve"> tabulated as appropriate, including the mean, median, standard deviation, interquartile range, and range. For categorical variables counts and percentages </w:t>
      </w:r>
      <w:r w:rsidR="00077AF1">
        <w:rPr>
          <w:rFonts w:ascii="Arial" w:hAnsi="Arial" w:cs="Arial"/>
          <w:sz w:val="22"/>
          <w:szCs w:val="22"/>
          <w:lang w:val="en-US"/>
        </w:rPr>
        <w:t>were</w:t>
      </w:r>
      <w:r w:rsidRPr="00961DD9">
        <w:rPr>
          <w:rFonts w:ascii="Arial" w:hAnsi="Arial" w:cs="Arial"/>
          <w:sz w:val="22"/>
          <w:szCs w:val="22"/>
          <w:lang w:val="en-US"/>
        </w:rPr>
        <w:t xml:space="preserve"> tabulated. Bivariate analysis was conducted in order to investigate the strength of the relationship between the dependent variable (clinical outcome) and each of the independent variables. Pearson’s </w:t>
      </w:r>
      <w:r w:rsidR="008A2A79">
        <w:rPr>
          <w:rFonts w:ascii="Arial" w:hAnsi="Arial" w:cs="Arial"/>
          <w:sz w:val="22"/>
          <w:szCs w:val="22"/>
          <w:lang w:val="en-US"/>
        </w:rPr>
        <w:t>c</w:t>
      </w:r>
      <w:r w:rsidRPr="00961DD9">
        <w:rPr>
          <w:rFonts w:ascii="Arial" w:hAnsi="Arial" w:cs="Arial"/>
          <w:sz w:val="22"/>
          <w:szCs w:val="22"/>
          <w:lang w:val="en-US"/>
        </w:rPr>
        <w:t xml:space="preserve">orrelation was used for each of the continuous variables and </w:t>
      </w:r>
      <w:r w:rsidR="007356CE">
        <w:rPr>
          <w:rFonts w:ascii="Arial" w:hAnsi="Arial" w:cs="Arial"/>
          <w:sz w:val="22"/>
          <w:szCs w:val="22"/>
          <w:lang w:val="en-US"/>
        </w:rPr>
        <w:t>c</w:t>
      </w:r>
      <w:r w:rsidRPr="00961DD9">
        <w:rPr>
          <w:rFonts w:ascii="Arial" w:hAnsi="Arial" w:cs="Arial"/>
          <w:sz w:val="22"/>
          <w:szCs w:val="22"/>
          <w:lang w:val="en-US"/>
        </w:rPr>
        <w:t xml:space="preserve">hi </w:t>
      </w:r>
      <w:r w:rsidR="007356CE">
        <w:rPr>
          <w:rFonts w:ascii="Arial" w:hAnsi="Arial" w:cs="Arial"/>
          <w:sz w:val="22"/>
          <w:szCs w:val="22"/>
          <w:lang w:val="en-US"/>
        </w:rPr>
        <w:t>s</w:t>
      </w:r>
      <w:r w:rsidRPr="00961DD9">
        <w:rPr>
          <w:rFonts w:ascii="Arial" w:hAnsi="Arial" w:cs="Arial"/>
          <w:sz w:val="22"/>
          <w:szCs w:val="22"/>
          <w:lang w:val="en-US"/>
        </w:rPr>
        <w:t xml:space="preserve">quare for each of the categorical variables. </w:t>
      </w:r>
      <w:r w:rsidR="00C53EF7" w:rsidRPr="008815D7">
        <w:rPr>
          <w:rFonts w:ascii="Arial" w:hAnsi="Arial" w:cs="Arial"/>
          <w:sz w:val="22"/>
          <w:szCs w:val="22"/>
          <w:lang w:val="en-US"/>
        </w:rPr>
        <w:t>A linear regression model was used to understand how</w:t>
      </w:r>
      <w:r w:rsidR="00D177B2" w:rsidRPr="008815D7">
        <w:rPr>
          <w:rFonts w:ascii="Arial" w:hAnsi="Arial" w:cs="Arial"/>
          <w:sz w:val="22"/>
          <w:szCs w:val="22"/>
          <w:lang w:val="en-US"/>
        </w:rPr>
        <w:t xml:space="preserve"> adherence influences recovery</w:t>
      </w:r>
      <w:r w:rsidR="00D177B2" w:rsidRPr="00D177B2">
        <w:rPr>
          <w:rFonts w:ascii="Arial" w:hAnsi="Arial" w:cs="Arial"/>
          <w:sz w:val="22"/>
          <w:szCs w:val="22"/>
          <w:highlight w:val="yellow"/>
          <w:lang w:val="en-US"/>
        </w:rPr>
        <w:t>.</w:t>
      </w:r>
      <w:r w:rsidR="00D177B2">
        <w:rPr>
          <w:rFonts w:ascii="Arial" w:hAnsi="Arial" w:cs="Arial"/>
          <w:sz w:val="22"/>
          <w:szCs w:val="22"/>
          <w:lang w:val="en-US"/>
        </w:rPr>
        <w:t xml:space="preserve"> </w:t>
      </w:r>
      <w:r w:rsidRPr="00961DD9">
        <w:rPr>
          <w:rFonts w:ascii="Arial" w:hAnsi="Arial" w:cs="Arial"/>
          <w:sz w:val="22"/>
          <w:szCs w:val="22"/>
          <w:lang w:val="en-US"/>
        </w:rPr>
        <w:t xml:space="preserve"> In order to investigate the nature of the relationship between the dependent variable and the independent variables a multivariate analysis was used</w:t>
      </w:r>
      <w:r w:rsidR="00C05B17">
        <w:rPr>
          <w:rFonts w:ascii="Arial" w:hAnsi="Arial" w:cs="Arial"/>
          <w:sz w:val="22"/>
          <w:szCs w:val="22"/>
          <w:lang w:val="en-US"/>
        </w:rPr>
        <w:t>,</w:t>
      </w:r>
      <w:r w:rsidRPr="00961DD9">
        <w:rPr>
          <w:rFonts w:ascii="Arial" w:hAnsi="Arial" w:cs="Arial"/>
          <w:sz w:val="22"/>
          <w:szCs w:val="22"/>
          <w:lang w:val="en-US"/>
        </w:rPr>
        <w:t xml:space="preserve"> </w:t>
      </w:r>
      <w:r>
        <w:rPr>
          <w:rFonts w:ascii="Arial" w:hAnsi="Arial" w:cs="Arial"/>
          <w:sz w:val="22"/>
          <w:szCs w:val="22"/>
          <w:lang w:val="en-US"/>
        </w:rPr>
        <w:t xml:space="preserve">including a </w:t>
      </w:r>
      <w:r w:rsidRPr="00961DD9">
        <w:rPr>
          <w:rFonts w:ascii="Arial" w:hAnsi="Arial" w:cs="Arial"/>
          <w:sz w:val="22"/>
          <w:szCs w:val="22"/>
          <w:lang w:val="en-US"/>
        </w:rPr>
        <w:t>multiple regression model</w:t>
      </w:r>
      <w:r>
        <w:rPr>
          <w:rFonts w:ascii="Arial" w:hAnsi="Arial" w:cs="Arial"/>
          <w:sz w:val="22"/>
          <w:szCs w:val="22"/>
          <w:lang w:val="en-US"/>
        </w:rPr>
        <w:t xml:space="preserve"> and a </w:t>
      </w:r>
      <w:r w:rsidR="00133737" w:rsidRPr="008815D7">
        <w:rPr>
          <w:rFonts w:ascii="Arial" w:hAnsi="Arial" w:cs="Arial"/>
          <w:sz w:val="22"/>
          <w:szCs w:val="22"/>
          <w:lang w:val="en-US"/>
        </w:rPr>
        <w:t xml:space="preserve">hierarchical </w:t>
      </w:r>
      <w:r w:rsidRPr="008815D7">
        <w:rPr>
          <w:rFonts w:ascii="Arial" w:hAnsi="Arial" w:cs="Arial"/>
          <w:sz w:val="22"/>
          <w:szCs w:val="22"/>
          <w:lang w:val="en-US"/>
        </w:rPr>
        <w:t xml:space="preserve">log-linear analysis. </w:t>
      </w:r>
      <w:r w:rsidR="00141C66" w:rsidRPr="008815D7">
        <w:rPr>
          <w:rFonts w:ascii="Arial" w:hAnsi="Arial" w:cs="Arial"/>
          <w:color w:val="000000"/>
          <w:sz w:val="22"/>
          <w:szCs w:val="22"/>
        </w:rPr>
        <w:t>A hierarchical log-linear analysis was performed to determine a statistical model for the associations among categorical variables including therapist (</w:t>
      </w:r>
      <w:r w:rsidR="002320C7" w:rsidRPr="008815D7">
        <w:rPr>
          <w:rFonts w:ascii="Arial" w:hAnsi="Arial" w:cs="Arial"/>
          <w:color w:val="000000"/>
          <w:sz w:val="22"/>
          <w:szCs w:val="22"/>
        </w:rPr>
        <w:t xml:space="preserve">F </w:t>
      </w:r>
      <w:r w:rsidR="00141C66" w:rsidRPr="008815D7">
        <w:rPr>
          <w:rFonts w:ascii="Arial" w:hAnsi="Arial" w:cs="Arial"/>
          <w:color w:val="000000"/>
          <w:sz w:val="22"/>
          <w:szCs w:val="22"/>
        </w:rPr>
        <w:t xml:space="preserve">score and </w:t>
      </w:r>
      <w:r w:rsidR="002320C7" w:rsidRPr="008815D7">
        <w:rPr>
          <w:rFonts w:ascii="Arial" w:hAnsi="Arial" w:cs="Arial"/>
          <w:color w:val="000000"/>
          <w:sz w:val="22"/>
          <w:szCs w:val="22"/>
        </w:rPr>
        <w:t>A</w:t>
      </w:r>
      <w:r w:rsidR="00141C66" w:rsidRPr="008815D7">
        <w:rPr>
          <w:rFonts w:ascii="Arial" w:hAnsi="Arial" w:cs="Arial"/>
          <w:color w:val="000000"/>
          <w:sz w:val="22"/>
          <w:szCs w:val="22"/>
        </w:rPr>
        <w:t xml:space="preserve"> score), patient (age, gender</w:t>
      </w:r>
      <w:r w:rsidR="00545F64" w:rsidRPr="008815D7">
        <w:rPr>
          <w:rFonts w:ascii="Arial" w:hAnsi="Arial" w:cs="Arial"/>
          <w:color w:val="000000"/>
          <w:sz w:val="22"/>
          <w:szCs w:val="22"/>
        </w:rPr>
        <w:t xml:space="preserve">, severity </w:t>
      </w:r>
      <w:r w:rsidR="00141C66" w:rsidRPr="008815D7">
        <w:rPr>
          <w:rFonts w:ascii="Arial" w:hAnsi="Arial" w:cs="Arial"/>
          <w:color w:val="000000"/>
          <w:sz w:val="22"/>
          <w:szCs w:val="22"/>
        </w:rPr>
        <w:t>and clinical outcomes (reliable improvement</w:t>
      </w:r>
      <w:r w:rsidR="00545F64" w:rsidRPr="008815D7">
        <w:rPr>
          <w:rFonts w:ascii="Arial" w:hAnsi="Arial" w:cs="Arial"/>
          <w:color w:val="000000"/>
          <w:sz w:val="22"/>
          <w:szCs w:val="22"/>
        </w:rPr>
        <w:t xml:space="preserve"> and</w:t>
      </w:r>
      <w:r w:rsidR="00CC418A" w:rsidRPr="008815D7">
        <w:rPr>
          <w:rFonts w:ascii="Arial" w:hAnsi="Arial" w:cs="Arial"/>
          <w:color w:val="000000"/>
          <w:sz w:val="22"/>
          <w:szCs w:val="22"/>
        </w:rPr>
        <w:t xml:space="preserve"> </w:t>
      </w:r>
      <w:r w:rsidR="00141C66" w:rsidRPr="008815D7">
        <w:rPr>
          <w:rFonts w:ascii="Arial" w:hAnsi="Arial" w:cs="Arial"/>
          <w:color w:val="000000"/>
          <w:sz w:val="22"/>
          <w:szCs w:val="22"/>
        </w:rPr>
        <w:t>recovery).</w:t>
      </w:r>
      <w:r w:rsidR="00CC418A" w:rsidRPr="008815D7">
        <w:rPr>
          <w:rFonts w:ascii="Arial" w:hAnsi="Arial" w:cs="Arial"/>
          <w:color w:val="000000"/>
          <w:sz w:val="22"/>
          <w:szCs w:val="22"/>
        </w:rPr>
        <w:t xml:space="preserve"> </w:t>
      </w:r>
      <w:r w:rsidR="001C254F" w:rsidRPr="008815D7">
        <w:rPr>
          <w:rFonts w:ascii="Arial" w:hAnsi="Arial" w:cs="Arial"/>
          <w:color w:val="000000"/>
          <w:sz w:val="22"/>
          <w:szCs w:val="22"/>
        </w:rPr>
        <w:t xml:space="preserve">Whilst patient variables are not </w:t>
      </w:r>
      <w:r w:rsidR="00C8096C" w:rsidRPr="008815D7">
        <w:rPr>
          <w:rFonts w:ascii="Arial" w:hAnsi="Arial" w:cs="Arial"/>
          <w:color w:val="000000"/>
          <w:sz w:val="22"/>
          <w:szCs w:val="22"/>
        </w:rPr>
        <w:t>the primary focus of this study</w:t>
      </w:r>
      <w:r w:rsidR="00847E96" w:rsidRPr="008815D7">
        <w:rPr>
          <w:rFonts w:ascii="Arial" w:hAnsi="Arial" w:cs="Arial"/>
          <w:color w:val="000000"/>
          <w:sz w:val="22"/>
          <w:szCs w:val="22"/>
        </w:rPr>
        <w:t xml:space="preserve"> </w:t>
      </w:r>
      <w:r w:rsidR="00686245" w:rsidRPr="008815D7">
        <w:rPr>
          <w:rFonts w:ascii="Arial" w:hAnsi="Arial" w:cs="Arial"/>
          <w:color w:val="000000"/>
          <w:sz w:val="22"/>
          <w:szCs w:val="22"/>
        </w:rPr>
        <w:t xml:space="preserve">the function of adding them to this final analysis </w:t>
      </w:r>
      <w:r w:rsidR="00750465" w:rsidRPr="008815D7">
        <w:rPr>
          <w:rFonts w:ascii="Arial" w:hAnsi="Arial" w:cs="Arial"/>
          <w:color w:val="000000"/>
          <w:sz w:val="22"/>
          <w:szCs w:val="22"/>
        </w:rPr>
        <w:t>was</w:t>
      </w:r>
      <w:r w:rsidR="00FA0C6C" w:rsidRPr="008815D7">
        <w:rPr>
          <w:rFonts w:ascii="Arial" w:hAnsi="Arial" w:cs="Arial"/>
          <w:color w:val="000000"/>
          <w:sz w:val="22"/>
          <w:szCs w:val="22"/>
        </w:rPr>
        <w:t xml:space="preserve"> to further examine the therapist A and F score in the context of patient variables.</w:t>
      </w:r>
      <w:r w:rsidR="00B56A99" w:rsidRPr="008815D7">
        <w:rPr>
          <w:rFonts w:ascii="Arial" w:hAnsi="Arial" w:cs="Arial"/>
          <w:color w:val="000000"/>
          <w:sz w:val="22"/>
          <w:szCs w:val="22"/>
        </w:rPr>
        <w:t xml:space="preserve"> </w:t>
      </w:r>
      <w:r w:rsidR="004C53DA" w:rsidRPr="008815D7">
        <w:rPr>
          <w:rFonts w:ascii="Arial" w:hAnsi="Arial" w:cs="Arial"/>
          <w:color w:val="000000"/>
          <w:sz w:val="22"/>
          <w:szCs w:val="22"/>
        </w:rPr>
        <w:t>Additionally,</w:t>
      </w:r>
      <w:r w:rsidR="00B56A99" w:rsidRPr="008815D7">
        <w:rPr>
          <w:rFonts w:ascii="Arial" w:hAnsi="Arial" w:cs="Arial"/>
          <w:color w:val="000000"/>
          <w:sz w:val="22"/>
          <w:szCs w:val="22"/>
        </w:rPr>
        <w:t xml:space="preserve"> the hierarchical loglinear analysis </w:t>
      </w:r>
      <w:r w:rsidR="0075769A" w:rsidRPr="008815D7">
        <w:rPr>
          <w:rFonts w:ascii="Arial" w:hAnsi="Arial" w:cs="Arial"/>
          <w:color w:val="000000"/>
          <w:sz w:val="22"/>
          <w:szCs w:val="22"/>
        </w:rPr>
        <w:t>was included in order to explore the differing effects between the variables.</w:t>
      </w:r>
      <w:r w:rsidR="002343E4">
        <w:rPr>
          <w:rFonts w:ascii="Arial" w:hAnsi="Arial" w:cs="Arial"/>
          <w:color w:val="000000"/>
          <w:sz w:val="22"/>
          <w:szCs w:val="22"/>
        </w:rPr>
        <w:t xml:space="preserve"> </w:t>
      </w:r>
    </w:p>
    <w:p w14:paraId="5DB32086" w14:textId="77777777" w:rsidR="00FA0C6C" w:rsidRDefault="00FA0C6C" w:rsidP="007F596B">
      <w:pPr>
        <w:widowControl w:val="0"/>
        <w:autoSpaceDE w:val="0"/>
        <w:autoSpaceDN w:val="0"/>
        <w:adjustRightInd w:val="0"/>
        <w:spacing w:line="480" w:lineRule="auto"/>
        <w:rPr>
          <w:rFonts w:ascii="Arial" w:hAnsi="Arial" w:cs="Arial"/>
          <w:color w:val="000000"/>
          <w:sz w:val="22"/>
          <w:szCs w:val="22"/>
        </w:rPr>
      </w:pPr>
    </w:p>
    <w:p w14:paraId="72E3F578" w14:textId="4A2DE4E6" w:rsidR="007F596B" w:rsidRDefault="00030708" w:rsidP="007F596B">
      <w:pPr>
        <w:widowControl w:val="0"/>
        <w:autoSpaceDE w:val="0"/>
        <w:autoSpaceDN w:val="0"/>
        <w:adjustRightInd w:val="0"/>
        <w:spacing w:line="480" w:lineRule="auto"/>
        <w:rPr>
          <w:rFonts w:ascii="Arial" w:hAnsi="Arial" w:cs="Arial"/>
          <w:sz w:val="22"/>
          <w:szCs w:val="22"/>
          <w:lang w:val="en-US"/>
        </w:rPr>
      </w:pPr>
      <w:r w:rsidRPr="00961DD9">
        <w:rPr>
          <w:rFonts w:ascii="Arial" w:hAnsi="Arial" w:cs="Arial"/>
          <w:sz w:val="22"/>
          <w:szCs w:val="22"/>
          <w:lang w:val="en-US"/>
        </w:rPr>
        <w:t>The data was analysed using the software programmes SPSS</w:t>
      </w:r>
      <w:r>
        <w:rPr>
          <w:rFonts w:ascii="Arial" w:hAnsi="Arial" w:cs="Arial"/>
          <w:sz w:val="22"/>
          <w:szCs w:val="22"/>
          <w:lang w:val="en-US"/>
        </w:rPr>
        <w:t xml:space="preserve"> version 24.0 (IBM, 2016) </w:t>
      </w:r>
      <w:r w:rsidRPr="00961DD9">
        <w:rPr>
          <w:rFonts w:ascii="Arial" w:hAnsi="Arial" w:cs="Arial"/>
          <w:sz w:val="22"/>
          <w:szCs w:val="22"/>
          <w:lang w:val="en-US"/>
        </w:rPr>
        <w:t>and JASP</w:t>
      </w:r>
      <w:r>
        <w:rPr>
          <w:rFonts w:ascii="Arial" w:hAnsi="Arial" w:cs="Arial"/>
          <w:sz w:val="22"/>
          <w:szCs w:val="22"/>
          <w:lang w:val="en-US"/>
        </w:rPr>
        <w:t xml:space="preserve"> (JASP team, 2018).</w:t>
      </w:r>
    </w:p>
    <w:p w14:paraId="4E3B43BB" w14:textId="77777777" w:rsidR="007F596B" w:rsidRDefault="007F596B" w:rsidP="007F596B">
      <w:pPr>
        <w:spacing w:line="480" w:lineRule="auto"/>
        <w:rPr>
          <w:rFonts w:ascii="Arial" w:hAnsi="Arial" w:cs="Arial"/>
          <w:lang w:val="en-US"/>
        </w:rPr>
      </w:pPr>
    </w:p>
    <w:p w14:paraId="52A24682" w14:textId="26C82E39" w:rsidR="007F596B" w:rsidRDefault="00AB3CF6" w:rsidP="007F596B">
      <w:pPr>
        <w:pStyle w:val="Heading2"/>
        <w:rPr>
          <w:rFonts w:ascii="Arial" w:hAnsi="Arial" w:cs="Arial"/>
          <w:b w:val="0"/>
          <w:color w:val="000000" w:themeColor="text1"/>
          <w:sz w:val="22"/>
          <w:szCs w:val="22"/>
          <w:lang w:val="en-US"/>
        </w:rPr>
      </w:pPr>
      <w:bookmarkStart w:id="314" w:name="_Toc46770809"/>
      <w:bookmarkStart w:id="315" w:name="_Toc79414220"/>
      <w:r>
        <w:rPr>
          <w:rFonts w:ascii="Arial" w:hAnsi="Arial" w:cs="Arial"/>
          <w:color w:val="000000" w:themeColor="text1"/>
          <w:sz w:val="22"/>
          <w:szCs w:val="22"/>
          <w:lang w:val="en-US"/>
        </w:rPr>
        <w:t>4</w:t>
      </w:r>
      <w:r w:rsidR="007F596B" w:rsidRPr="004A751A">
        <w:rPr>
          <w:rFonts w:ascii="Arial" w:hAnsi="Arial" w:cs="Arial"/>
          <w:color w:val="000000" w:themeColor="text1"/>
          <w:sz w:val="22"/>
          <w:szCs w:val="22"/>
          <w:lang w:val="en-US"/>
        </w:rPr>
        <w:t>.11 CONCLUSION</w:t>
      </w:r>
      <w:bookmarkEnd w:id="314"/>
      <w:bookmarkEnd w:id="315"/>
    </w:p>
    <w:p w14:paraId="3677C072" w14:textId="77777777" w:rsidR="007F596B" w:rsidRPr="004A751A" w:rsidRDefault="007F596B" w:rsidP="007F596B">
      <w:pPr>
        <w:rPr>
          <w:lang w:val="en-US"/>
        </w:rPr>
      </w:pPr>
    </w:p>
    <w:p w14:paraId="2B1E9960" w14:textId="485CB01E" w:rsidR="007F596B" w:rsidRDefault="007F596B" w:rsidP="007F596B">
      <w:pPr>
        <w:spacing w:line="480" w:lineRule="auto"/>
        <w:rPr>
          <w:rFonts w:ascii="Arial" w:hAnsi="Arial" w:cs="Arial"/>
          <w:sz w:val="22"/>
          <w:szCs w:val="22"/>
          <w:lang w:val="en-US"/>
        </w:rPr>
      </w:pPr>
      <w:r w:rsidRPr="000315E4">
        <w:rPr>
          <w:rFonts w:ascii="Arial" w:hAnsi="Arial" w:cs="Arial"/>
          <w:sz w:val="22"/>
          <w:szCs w:val="22"/>
          <w:lang w:val="en-US"/>
        </w:rPr>
        <w:lastRenderedPageBreak/>
        <w:t>This chapter presented a rationale for the methodology used for this research</w:t>
      </w:r>
      <w:r>
        <w:rPr>
          <w:rFonts w:ascii="Arial" w:hAnsi="Arial" w:cs="Arial"/>
          <w:sz w:val="22"/>
          <w:szCs w:val="22"/>
          <w:lang w:val="en-US"/>
        </w:rPr>
        <w:t xml:space="preserve">, with a review of the theoretical frameworks relevant to the cognitive behavioural model. The chapter went on to outline the research design, methods and statistical analyses used in this research. Chapter </w:t>
      </w:r>
      <w:r w:rsidR="00FA39E2">
        <w:rPr>
          <w:rFonts w:ascii="Arial" w:hAnsi="Arial" w:cs="Arial"/>
          <w:sz w:val="22"/>
          <w:szCs w:val="22"/>
          <w:lang w:val="en-US"/>
        </w:rPr>
        <w:t>5</w:t>
      </w:r>
      <w:r>
        <w:rPr>
          <w:rFonts w:ascii="Arial" w:hAnsi="Arial" w:cs="Arial"/>
          <w:sz w:val="22"/>
          <w:szCs w:val="22"/>
          <w:lang w:val="en-US"/>
        </w:rPr>
        <w:t xml:space="preserve"> will report on the analysis and findings from each statistical procedure.</w:t>
      </w:r>
    </w:p>
    <w:p w14:paraId="1D8DA560" w14:textId="7BF84AF1" w:rsidR="00D238AD" w:rsidRDefault="00D238AD">
      <w:pPr>
        <w:rPr>
          <w:rFonts w:ascii="Arial" w:hAnsi="Arial" w:cs="Arial"/>
          <w:sz w:val="22"/>
          <w:szCs w:val="22"/>
          <w:lang w:val="en-US"/>
        </w:rPr>
      </w:pPr>
      <w:r>
        <w:rPr>
          <w:rFonts w:ascii="Arial" w:hAnsi="Arial" w:cs="Arial"/>
          <w:sz w:val="22"/>
          <w:szCs w:val="22"/>
          <w:lang w:val="en-US"/>
        </w:rPr>
        <w:br w:type="page"/>
      </w:r>
    </w:p>
    <w:p w14:paraId="1D81C8F2" w14:textId="15C1551C" w:rsidR="007F596B" w:rsidRPr="00587457" w:rsidRDefault="007F596B" w:rsidP="007F596B">
      <w:pPr>
        <w:pStyle w:val="Heading1"/>
        <w:rPr>
          <w:rFonts w:cs="Arial"/>
          <w:color w:val="000000" w:themeColor="text1"/>
          <w:szCs w:val="22"/>
        </w:rPr>
      </w:pPr>
      <w:bookmarkStart w:id="316" w:name="_Toc46770810"/>
      <w:bookmarkStart w:id="317" w:name="_Toc79414221"/>
      <w:r w:rsidRPr="0066128C">
        <w:rPr>
          <w:rFonts w:cs="Arial"/>
          <w:color w:val="000000" w:themeColor="text1"/>
          <w:szCs w:val="22"/>
        </w:rPr>
        <w:lastRenderedPageBreak/>
        <w:t xml:space="preserve">CHAPTER </w:t>
      </w:r>
      <w:r w:rsidR="00137EBD">
        <w:rPr>
          <w:rFonts w:cs="Arial"/>
          <w:color w:val="000000" w:themeColor="text1"/>
          <w:szCs w:val="22"/>
        </w:rPr>
        <w:t>FIVE</w:t>
      </w:r>
      <w:r w:rsidR="007C21EF">
        <w:rPr>
          <w:rFonts w:cs="Arial"/>
          <w:color w:val="000000" w:themeColor="text1"/>
          <w:szCs w:val="22"/>
        </w:rPr>
        <w:t>:</w:t>
      </w:r>
      <w:r w:rsidRPr="0066128C">
        <w:rPr>
          <w:rFonts w:cs="Arial"/>
          <w:color w:val="000000" w:themeColor="text1"/>
          <w:szCs w:val="22"/>
        </w:rPr>
        <w:t xml:space="preserve"> DATA ANALYSIS</w:t>
      </w:r>
      <w:bookmarkEnd w:id="316"/>
      <w:bookmarkEnd w:id="317"/>
    </w:p>
    <w:p w14:paraId="1706B7AB" w14:textId="77777777" w:rsidR="007F596B" w:rsidRDefault="007F596B" w:rsidP="007F596B"/>
    <w:p w14:paraId="77C0E718" w14:textId="7D377732" w:rsidR="007F596B" w:rsidRPr="005E6335" w:rsidRDefault="007F596B" w:rsidP="007F596B">
      <w:pPr>
        <w:spacing w:line="480" w:lineRule="auto"/>
        <w:rPr>
          <w:rFonts w:ascii="Arial" w:hAnsi="Arial" w:cs="Arial"/>
          <w:sz w:val="22"/>
          <w:szCs w:val="22"/>
        </w:rPr>
      </w:pPr>
      <w:r w:rsidRPr="005E6335">
        <w:rPr>
          <w:rFonts w:ascii="Arial" w:hAnsi="Arial" w:cs="Arial"/>
          <w:sz w:val="22"/>
          <w:szCs w:val="22"/>
        </w:rPr>
        <w:t xml:space="preserve">Chapter </w:t>
      </w:r>
      <w:r w:rsidR="00137EBD">
        <w:rPr>
          <w:rFonts w:ascii="Arial" w:hAnsi="Arial" w:cs="Arial"/>
          <w:sz w:val="22"/>
          <w:szCs w:val="22"/>
        </w:rPr>
        <w:t>4</w:t>
      </w:r>
      <w:r w:rsidRPr="005E6335">
        <w:rPr>
          <w:rFonts w:ascii="Arial" w:hAnsi="Arial" w:cs="Arial"/>
          <w:sz w:val="22"/>
          <w:szCs w:val="22"/>
        </w:rPr>
        <w:t xml:space="preserve"> of this thesis outlined the methodology for this research. The unique opportunity to use online therapy transcripts, derived from Internet Enabled CBT (IECBT), to assess therapist competence and therapist adherence was discussed. Chapter </w:t>
      </w:r>
      <w:r w:rsidR="00137EBD">
        <w:rPr>
          <w:rFonts w:ascii="Arial" w:hAnsi="Arial" w:cs="Arial"/>
          <w:sz w:val="22"/>
          <w:szCs w:val="22"/>
        </w:rPr>
        <w:t>5</w:t>
      </w:r>
      <w:r w:rsidRPr="005E6335">
        <w:rPr>
          <w:rFonts w:ascii="Arial" w:hAnsi="Arial" w:cs="Arial"/>
          <w:sz w:val="22"/>
          <w:szCs w:val="22"/>
        </w:rPr>
        <w:t xml:space="preserve"> will now outline the data analyses and findings from this research. This chapter will begin by defining the descriptive statistics relating to each of the variables. </w:t>
      </w:r>
      <w:r w:rsidRPr="00CF1079">
        <w:rPr>
          <w:rFonts w:ascii="Arial" w:hAnsi="Arial" w:cs="Arial"/>
          <w:sz w:val="22"/>
          <w:szCs w:val="22"/>
        </w:rPr>
        <w:t xml:space="preserve">This will be followed by; simple correlations between the predictor variables and the outcome variable and a multiple regression model.  Finally, the statistical analysis and findings from a </w:t>
      </w:r>
      <w:r w:rsidR="007A5F8F" w:rsidRPr="00CF1079">
        <w:rPr>
          <w:rFonts w:ascii="Arial" w:hAnsi="Arial" w:cs="Arial"/>
          <w:sz w:val="22"/>
          <w:szCs w:val="22"/>
        </w:rPr>
        <w:t xml:space="preserve">hierarchical </w:t>
      </w:r>
      <w:r w:rsidRPr="00CF1079">
        <w:rPr>
          <w:rFonts w:ascii="Arial" w:hAnsi="Arial" w:cs="Arial"/>
          <w:sz w:val="22"/>
          <w:szCs w:val="22"/>
        </w:rPr>
        <w:t>loglinear model will be presented.</w:t>
      </w:r>
    </w:p>
    <w:p w14:paraId="78F11EC3" w14:textId="77777777" w:rsidR="007F596B" w:rsidRDefault="007F596B" w:rsidP="007F596B"/>
    <w:p w14:paraId="55360C29" w14:textId="412055C6" w:rsidR="007F596B" w:rsidRPr="005E6335" w:rsidRDefault="008A1595" w:rsidP="007F596B">
      <w:pPr>
        <w:pStyle w:val="Heading2"/>
        <w:rPr>
          <w:rFonts w:ascii="Arial" w:hAnsi="Arial" w:cs="Arial"/>
          <w:b w:val="0"/>
          <w:color w:val="000000" w:themeColor="text1"/>
          <w:sz w:val="22"/>
          <w:szCs w:val="22"/>
        </w:rPr>
      </w:pPr>
      <w:bookmarkStart w:id="318" w:name="_Toc46770811"/>
      <w:bookmarkStart w:id="319" w:name="_Toc79414222"/>
      <w:r>
        <w:rPr>
          <w:rFonts w:ascii="Arial" w:hAnsi="Arial" w:cs="Arial"/>
          <w:color w:val="000000" w:themeColor="text1"/>
          <w:sz w:val="22"/>
          <w:szCs w:val="22"/>
        </w:rPr>
        <w:t>5</w:t>
      </w:r>
      <w:r w:rsidR="007F596B" w:rsidRPr="005E6335">
        <w:rPr>
          <w:rFonts w:ascii="Arial" w:hAnsi="Arial" w:cs="Arial"/>
          <w:color w:val="000000" w:themeColor="text1"/>
          <w:sz w:val="22"/>
          <w:szCs w:val="22"/>
        </w:rPr>
        <w:t>.1 INTRODUCTION</w:t>
      </w:r>
      <w:bookmarkEnd w:id="318"/>
      <w:bookmarkEnd w:id="319"/>
    </w:p>
    <w:p w14:paraId="157D5B56" w14:textId="77777777" w:rsidR="007F596B" w:rsidRPr="0066128C" w:rsidRDefault="007F596B" w:rsidP="007F596B"/>
    <w:p w14:paraId="11B4E59D" w14:textId="34EAC437" w:rsidR="007F596B" w:rsidRDefault="007F596B" w:rsidP="007F596B">
      <w:pPr>
        <w:spacing w:line="480" w:lineRule="auto"/>
        <w:rPr>
          <w:rFonts w:ascii="Arial" w:hAnsi="Arial" w:cs="Arial"/>
          <w:sz w:val="22"/>
          <w:szCs w:val="22"/>
        </w:rPr>
      </w:pPr>
      <w:r w:rsidRPr="005E6335">
        <w:rPr>
          <w:rFonts w:ascii="Arial" w:hAnsi="Arial" w:cs="Arial"/>
          <w:sz w:val="22"/>
          <w:szCs w:val="22"/>
        </w:rPr>
        <w:t xml:space="preserve">The purpose of this study was to understand the relationship between clinical outcome and therapist variables such as age, gender, core profession and type of training (IAPT or non IAPT training programme). It further examined the relationship between clinical outcome and a therapist’s ability to deliver cognitive behaviour therapy with fidelity to the model, as measured by the CTS-R, and the therapist’s ability to adhere to an evidence-based treatment protocol. This chapter will present the analysis of the collected data commencing with descriptive statistics of each of the variables and moving onto bivariate and multivariate analyses. This remainder of this chapter will report on a series of regression models concluding with </w:t>
      </w:r>
      <w:r w:rsidR="0080634F">
        <w:rPr>
          <w:rFonts w:ascii="Arial" w:hAnsi="Arial" w:cs="Arial"/>
          <w:sz w:val="22"/>
          <w:szCs w:val="22"/>
        </w:rPr>
        <w:t xml:space="preserve">a </w:t>
      </w:r>
      <w:r w:rsidRPr="005E6335">
        <w:rPr>
          <w:rFonts w:ascii="Arial" w:hAnsi="Arial" w:cs="Arial"/>
          <w:sz w:val="22"/>
          <w:szCs w:val="22"/>
        </w:rPr>
        <w:t>log linear analysis model which will consider the interaction between therapist variables, patient variables and clinical outcome.</w:t>
      </w:r>
    </w:p>
    <w:p w14:paraId="2D76342E" w14:textId="77777777" w:rsidR="007C21EF" w:rsidRPr="00CF7E4E" w:rsidRDefault="007C21EF" w:rsidP="007F596B">
      <w:pPr>
        <w:spacing w:line="480" w:lineRule="auto"/>
        <w:rPr>
          <w:rFonts w:ascii="Arial" w:hAnsi="Arial" w:cs="Arial"/>
          <w:sz w:val="22"/>
          <w:szCs w:val="22"/>
        </w:rPr>
      </w:pPr>
    </w:p>
    <w:p w14:paraId="63D962E4" w14:textId="26BB4884" w:rsidR="007F596B" w:rsidRDefault="008A1595" w:rsidP="007F596B">
      <w:pPr>
        <w:pStyle w:val="Heading2"/>
        <w:rPr>
          <w:rFonts w:ascii="Arial" w:hAnsi="Arial" w:cs="Arial"/>
          <w:color w:val="000000" w:themeColor="text1"/>
          <w:sz w:val="22"/>
          <w:szCs w:val="22"/>
        </w:rPr>
      </w:pPr>
      <w:bookmarkStart w:id="320" w:name="_Toc46770812"/>
      <w:bookmarkStart w:id="321" w:name="_Toc79414223"/>
      <w:r>
        <w:rPr>
          <w:rFonts w:ascii="Arial" w:hAnsi="Arial" w:cs="Arial"/>
          <w:color w:val="000000" w:themeColor="text1"/>
          <w:sz w:val="22"/>
          <w:szCs w:val="22"/>
        </w:rPr>
        <w:t>5</w:t>
      </w:r>
      <w:r w:rsidR="007F596B" w:rsidRPr="005E6335">
        <w:rPr>
          <w:rFonts w:ascii="Arial" w:hAnsi="Arial" w:cs="Arial"/>
          <w:color w:val="000000" w:themeColor="text1"/>
          <w:sz w:val="22"/>
          <w:szCs w:val="22"/>
        </w:rPr>
        <w:t>.2 DESCRIPTIVE STATISTICS</w:t>
      </w:r>
      <w:bookmarkEnd w:id="320"/>
      <w:bookmarkEnd w:id="321"/>
    </w:p>
    <w:p w14:paraId="79D9A97F" w14:textId="25ED9D0C" w:rsidR="00740643" w:rsidRDefault="00740643" w:rsidP="00740643"/>
    <w:p w14:paraId="27AE8C49" w14:textId="2A41EEBB" w:rsidR="00740643" w:rsidRDefault="00740643" w:rsidP="007716A0">
      <w:pPr>
        <w:spacing w:line="480" w:lineRule="auto"/>
        <w:rPr>
          <w:rFonts w:ascii="Arial" w:hAnsi="Arial" w:cs="Arial"/>
          <w:sz w:val="22"/>
          <w:szCs w:val="22"/>
        </w:rPr>
      </w:pPr>
      <w:r w:rsidRPr="00ED3A04">
        <w:rPr>
          <w:rFonts w:ascii="Arial" w:hAnsi="Arial" w:cs="Arial"/>
          <w:sz w:val="22"/>
          <w:szCs w:val="22"/>
        </w:rPr>
        <w:t xml:space="preserve">The following section </w:t>
      </w:r>
      <w:r w:rsidR="00671C86" w:rsidRPr="00ED3A04">
        <w:rPr>
          <w:rFonts w:ascii="Arial" w:hAnsi="Arial" w:cs="Arial"/>
          <w:sz w:val="22"/>
          <w:szCs w:val="22"/>
        </w:rPr>
        <w:t xml:space="preserve">will present a summary of </w:t>
      </w:r>
      <w:r w:rsidR="002D1099" w:rsidRPr="00ED3A04">
        <w:rPr>
          <w:rFonts w:ascii="Arial" w:hAnsi="Arial" w:cs="Arial"/>
          <w:sz w:val="22"/>
          <w:szCs w:val="22"/>
        </w:rPr>
        <w:t>the data set used in this research</w:t>
      </w:r>
      <w:r w:rsidR="005A6FEB" w:rsidRPr="00ED3A04">
        <w:rPr>
          <w:rFonts w:ascii="Arial" w:hAnsi="Arial" w:cs="Arial"/>
          <w:sz w:val="22"/>
          <w:szCs w:val="22"/>
        </w:rPr>
        <w:t xml:space="preserve"> beginning with summary descriptors of the </w:t>
      </w:r>
      <w:r w:rsidR="001538A3" w:rsidRPr="00ED3A04">
        <w:rPr>
          <w:rFonts w:ascii="Arial" w:hAnsi="Arial" w:cs="Arial"/>
          <w:sz w:val="22"/>
          <w:szCs w:val="22"/>
        </w:rPr>
        <w:t xml:space="preserve">therapist demographics and then proceeding to summarise the </w:t>
      </w:r>
      <w:r w:rsidR="00ED3A04" w:rsidRPr="00ED3A04">
        <w:rPr>
          <w:rFonts w:ascii="Arial" w:hAnsi="Arial" w:cs="Arial"/>
          <w:sz w:val="22"/>
          <w:szCs w:val="22"/>
        </w:rPr>
        <w:t>data relating to therapist fidelity to the CBT model (F score) and therapist</w:t>
      </w:r>
      <w:r w:rsidR="007716A0">
        <w:rPr>
          <w:rFonts w:ascii="Arial" w:hAnsi="Arial" w:cs="Arial"/>
          <w:sz w:val="22"/>
          <w:szCs w:val="22"/>
        </w:rPr>
        <w:t xml:space="preserve"> </w:t>
      </w:r>
      <w:r w:rsidR="00ED3A04" w:rsidRPr="00ED3A04">
        <w:rPr>
          <w:rFonts w:ascii="Arial" w:hAnsi="Arial" w:cs="Arial"/>
          <w:sz w:val="22"/>
          <w:szCs w:val="22"/>
        </w:rPr>
        <w:t xml:space="preserve">adherence to </w:t>
      </w:r>
      <w:r w:rsidR="00ED3A04" w:rsidRPr="00ED3A04">
        <w:rPr>
          <w:rFonts w:ascii="Arial" w:hAnsi="Arial" w:cs="Arial"/>
          <w:sz w:val="22"/>
          <w:szCs w:val="22"/>
        </w:rPr>
        <w:lastRenderedPageBreak/>
        <w:t>an evidence-based protocol (A score)</w:t>
      </w:r>
      <w:r w:rsidR="00556577">
        <w:rPr>
          <w:rFonts w:ascii="Arial" w:hAnsi="Arial" w:cs="Arial"/>
          <w:sz w:val="22"/>
          <w:szCs w:val="22"/>
        </w:rPr>
        <w:t xml:space="preserve"> and the outcome variables, recovery rate and reliable improvement rate.</w:t>
      </w:r>
    </w:p>
    <w:p w14:paraId="3E70463A" w14:textId="77777777" w:rsidR="007C21EF" w:rsidRDefault="007C21EF" w:rsidP="007716A0">
      <w:pPr>
        <w:spacing w:line="480" w:lineRule="auto"/>
        <w:rPr>
          <w:rFonts w:ascii="Arial" w:hAnsi="Arial" w:cs="Arial"/>
          <w:sz w:val="22"/>
          <w:szCs w:val="22"/>
        </w:rPr>
      </w:pPr>
    </w:p>
    <w:p w14:paraId="349747A3" w14:textId="257AAD32" w:rsidR="007716A0" w:rsidRPr="007716A0" w:rsidRDefault="007716A0" w:rsidP="007716A0">
      <w:pPr>
        <w:pStyle w:val="Heading3"/>
        <w:rPr>
          <w:rFonts w:cs="Arial"/>
          <w:color w:val="000000" w:themeColor="text1"/>
          <w:szCs w:val="22"/>
        </w:rPr>
      </w:pPr>
      <w:bookmarkStart w:id="322" w:name="_Toc46770813"/>
      <w:bookmarkStart w:id="323" w:name="_Toc79414224"/>
      <w:r w:rsidRPr="007716A0">
        <w:rPr>
          <w:rFonts w:cs="Arial"/>
          <w:color w:val="000000" w:themeColor="text1"/>
          <w:szCs w:val="22"/>
        </w:rPr>
        <w:t>5.2.1 Therapist Demographics</w:t>
      </w:r>
      <w:bookmarkEnd w:id="322"/>
      <w:bookmarkEnd w:id="323"/>
    </w:p>
    <w:p w14:paraId="25B3C123" w14:textId="77777777" w:rsidR="007F596B" w:rsidRPr="005E6335" w:rsidRDefault="007F596B" w:rsidP="007F596B"/>
    <w:p w14:paraId="6B1BA5D7" w14:textId="5E4F8C08" w:rsidR="007F596B" w:rsidRPr="005E6335" w:rsidRDefault="007F596B" w:rsidP="007F596B">
      <w:pPr>
        <w:spacing w:line="480" w:lineRule="auto"/>
        <w:rPr>
          <w:rFonts w:ascii="Arial" w:hAnsi="Arial" w:cs="Arial"/>
          <w:sz w:val="22"/>
          <w:szCs w:val="22"/>
        </w:rPr>
      </w:pPr>
      <w:r w:rsidRPr="005E6335">
        <w:rPr>
          <w:rFonts w:ascii="Arial" w:hAnsi="Arial" w:cs="Arial"/>
          <w:sz w:val="22"/>
          <w:szCs w:val="22"/>
        </w:rPr>
        <w:t>All 200 therapists in this sample provided information regarding their age, gender, years of experience, type of training and core profession.</w:t>
      </w:r>
      <w:r w:rsidR="007716A0">
        <w:rPr>
          <w:rFonts w:ascii="Arial" w:hAnsi="Arial" w:cs="Arial"/>
          <w:sz w:val="22"/>
          <w:szCs w:val="22"/>
        </w:rPr>
        <w:t xml:space="preserve"> </w:t>
      </w:r>
      <w:r w:rsidR="00B75D75" w:rsidRPr="00227FEB">
        <w:rPr>
          <w:rFonts w:ascii="Arial" w:hAnsi="Arial" w:cs="Arial"/>
          <w:sz w:val="22"/>
          <w:szCs w:val="22"/>
        </w:rPr>
        <w:t>Table 5.1 shows the demographic characteristics of the study sample</w:t>
      </w:r>
      <w:r w:rsidR="00B75D75">
        <w:rPr>
          <w:rFonts w:ascii="Arial" w:hAnsi="Arial" w:cs="Arial"/>
          <w:sz w:val="22"/>
          <w:szCs w:val="22"/>
        </w:rPr>
        <w:t xml:space="preserve">. </w:t>
      </w:r>
      <w:r w:rsidRPr="005E6335">
        <w:rPr>
          <w:rFonts w:ascii="Arial" w:hAnsi="Arial" w:cs="Arial"/>
          <w:sz w:val="22"/>
          <w:szCs w:val="22"/>
        </w:rPr>
        <w:t xml:space="preserve">Therapist age was captured using a categorical scale, with the majority of therapists aged between 36 and 45. The gender ratio was similar to that observed in general for IAPT services (81.5% female to 18.5% male in this sample vs 82.1% female to 17.9% male for the IAPT therapist workforce). A range of core professions was observed, with the majority of therapists reporting to have no core profession and becoming accredited via the KSA route (45%), followed by Registered Mental Nurses (RMN; 22.5%). In terms of training and experience, the majority of therapists in the sample had been trained on an IAPT training programme (73%), with an overall post-qualification experience ranging from 1 to 20 years (mean = 6.05 years, SD = 3.57 years). Most therapists in this sample had been qualified for between 2 and 10 years (see figure </w:t>
      </w:r>
      <w:r w:rsidR="00B75D75">
        <w:rPr>
          <w:rFonts w:ascii="Arial" w:hAnsi="Arial" w:cs="Arial"/>
          <w:sz w:val="22"/>
          <w:szCs w:val="22"/>
        </w:rPr>
        <w:t>5.1</w:t>
      </w:r>
      <w:r w:rsidRPr="005E6335">
        <w:rPr>
          <w:rFonts w:ascii="Arial" w:hAnsi="Arial" w:cs="Arial"/>
          <w:sz w:val="22"/>
          <w:szCs w:val="22"/>
        </w:rPr>
        <w:t>)</w:t>
      </w:r>
      <w:r w:rsidR="00B75D75">
        <w:rPr>
          <w:rFonts w:ascii="Arial" w:hAnsi="Arial" w:cs="Arial"/>
          <w:sz w:val="22"/>
          <w:szCs w:val="22"/>
        </w:rPr>
        <w:t>.</w:t>
      </w:r>
      <w:r w:rsidRPr="005E6335">
        <w:rPr>
          <w:rFonts w:ascii="Arial" w:hAnsi="Arial" w:cs="Arial"/>
          <w:sz w:val="22"/>
          <w:szCs w:val="22"/>
        </w:rPr>
        <w:t xml:space="preserve"> This may specifically relate to the development of IAPT in 2009 and the focus on training more CBT therapists since then.</w:t>
      </w:r>
    </w:p>
    <w:p w14:paraId="745ECFB8" w14:textId="320BF983" w:rsidR="00B93E14" w:rsidRDefault="00B93E14">
      <w:pPr>
        <w:rPr>
          <w:rFonts w:ascii="Arial" w:hAnsi="Arial"/>
          <w:b/>
          <w:iCs/>
          <w:sz w:val="22"/>
          <w:szCs w:val="18"/>
        </w:rPr>
      </w:pPr>
    </w:p>
    <w:p w14:paraId="52E6CB61" w14:textId="7453C4B2" w:rsidR="00B93E14" w:rsidRDefault="00D15E84" w:rsidP="00D15E84">
      <w:pPr>
        <w:pStyle w:val="Figures"/>
        <w:rPr>
          <w:b w:val="0"/>
        </w:rPr>
      </w:pPr>
      <w:bookmarkStart w:id="324" w:name="_Toc46770948"/>
      <w:r w:rsidRPr="001653D7">
        <w:t xml:space="preserve">Figure 5.1 </w:t>
      </w:r>
      <w:r w:rsidRPr="00D15E84">
        <w:rPr>
          <w:b w:val="0"/>
        </w:rPr>
        <w:t>Years of post-qualification experience</w:t>
      </w:r>
      <w:r w:rsidR="000A1F90">
        <w:rPr>
          <w:b w:val="0"/>
        </w:rPr>
        <w:t xml:space="preserve"> </w:t>
      </w:r>
      <w:r w:rsidR="000A1F90" w:rsidRPr="00CF1079">
        <w:rPr>
          <w:b w:val="0"/>
        </w:rPr>
        <w:t xml:space="preserve">showing that most therapist had been qualified for 11 years or </w:t>
      </w:r>
      <w:r w:rsidR="0004229C">
        <w:rPr>
          <w:b w:val="0"/>
        </w:rPr>
        <w:t>fewer</w:t>
      </w:r>
      <w:bookmarkEnd w:id="324"/>
    </w:p>
    <w:p w14:paraId="4CADCE6F" w14:textId="5237B607" w:rsidR="00B93E14" w:rsidRDefault="009A277D" w:rsidP="00B93E14">
      <w:r w:rsidRPr="0058395E">
        <w:rPr>
          <w:noProof/>
        </w:rPr>
        <w:drawing>
          <wp:inline distT="0" distB="0" distL="0" distR="0" wp14:anchorId="3E4F13D1" wp14:editId="4E0BA523">
            <wp:extent cx="4410710" cy="2590568"/>
            <wp:effectExtent l="0" t="0" r="0" b="0"/>
            <wp:docPr id="2" name="Picture 2" descr="P193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P1931#yIS1"/>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5509"/>
                    <a:stretch/>
                  </pic:blipFill>
                  <pic:spPr bwMode="auto">
                    <a:xfrm>
                      <a:off x="0" y="0"/>
                      <a:ext cx="4522969" cy="2656501"/>
                    </a:xfrm>
                    <a:prstGeom prst="rect">
                      <a:avLst/>
                    </a:prstGeom>
                    <a:ln>
                      <a:noFill/>
                    </a:ln>
                    <a:extLst>
                      <a:ext uri="{53640926-AAD7-44D8-BBD7-CCE9431645EC}">
                        <a14:shadowObscured xmlns:a14="http://schemas.microsoft.com/office/drawing/2010/main"/>
                      </a:ext>
                    </a:extLst>
                  </pic:spPr>
                </pic:pic>
              </a:graphicData>
            </a:graphic>
          </wp:inline>
        </w:drawing>
      </w:r>
    </w:p>
    <w:p w14:paraId="79BD5E60" w14:textId="4008D31C" w:rsidR="008715D6" w:rsidRDefault="008715D6" w:rsidP="008715D6">
      <w:pPr>
        <w:pStyle w:val="Tables"/>
        <w:rPr>
          <w:b w:val="0"/>
        </w:rPr>
      </w:pPr>
      <w:bookmarkStart w:id="325" w:name="_Toc28347780"/>
      <w:bookmarkStart w:id="326" w:name="_Toc46770981"/>
      <w:r w:rsidRPr="00E604B9">
        <w:lastRenderedPageBreak/>
        <w:t xml:space="preserve">Table 5.1 </w:t>
      </w:r>
      <w:r w:rsidRPr="008715D6">
        <w:rPr>
          <w:b w:val="0"/>
        </w:rPr>
        <w:t>Demographic characteristics of study sample</w:t>
      </w:r>
      <w:bookmarkEnd w:id="325"/>
      <w:bookmarkEnd w:id="326"/>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2252"/>
        <w:gridCol w:w="2252"/>
        <w:gridCol w:w="2253"/>
      </w:tblGrid>
      <w:tr w:rsidR="007F596B" w14:paraId="4FFBE0B8" w14:textId="77777777" w:rsidTr="007F596B">
        <w:tc>
          <w:tcPr>
            <w:tcW w:w="2252" w:type="dxa"/>
          </w:tcPr>
          <w:p w14:paraId="42562DD1" w14:textId="77777777" w:rsidR="007F596B" w:rsidRPr="00D73316" w:rsidRDefault="007F596B" w:rsidP="007F596B">
            <w:pPr>
              <w:spacing w:line="480" w:lineRule="auto"/>
              <w:rPr>
                <w:rFonts w:ascii="Arial" w:hAnsi="Arial" w:cs="Arial"/>
                <w:b/>
                <w:sz w:val="20"/>
                <w:szCs w:val="20"/>
              </w:rPr>
            </w:pPr>
            <w:r w:rsidRPr="00D73316">
              <w:rPr>
                <w:rFonts w:ascii="Arial" w:hAnsi="Arial" w:cs="Arial"/>
                <w:b/>
                <w:sz w:val="20"/>
                <w:szCs w:val="20"/>
              </w:rPr>
              <w:t>Independent variable</w:t>
            </w:r>
          </w:p>
        </w:tc>
        <w:tc>
          <w:tcPr>
            <w:tcW w:w="2252" w:type="dxa"/>
          </w:tcPr>
          <w:p w14:paraId="7F287314" w14:textId="77777777" w:rsidR="007F596B" w:rsidRPr="00D73316" w:rsidRDefault="007F596B" w:rsidP="007F596B">
            <w:pPr>
              <w:spacing w:line="480" w:lineRule="auto"/>
              <w:rPr>
                <w:rFonts w:ascii="Arial" w:hAnsi="Arial" w:cs="Arial"/>
                <w:b/>
                <w:sz w:val="20"/>
                <w:szCs w:val="20"/>
              </w:rPr>
            </w:pPr>
            <w:r w:rsidRPr="00D73316">
              <w:rPr>
                <w:rFonts w:ascii="Arial" w:hAnsi="Arial" w:cs="Arial"/>
                <w:b/>
                <w:sz w:val="20"/>
                <w:szCs w:val="20"/>
              </w:rPr>
              <w:t>N</w:t>
            </w:r>
          </w:p>
        </w:tc>
        <w:tc>
          <w:tcPr>
            <w:tcW w:w="2253" w:type="dxa"/>
          </w:tcPr>
          <w:p w14:paraId="4DD3C365" w14:textId="77777777" w:rsidR="007F596B" w:rsidRPr="00D73316" w:rsidRDefault="007F596B" w:rsidP="007F596B">
            <w:pPr>
              <w:spacing w:line="480" w:lineRule="auto"/>
              <w:rPr>
                <w:rFonts w:ascii="Arial" w:hAnsi="Arial" w:cs="Arial"/>
                <w:b/>
                <w:sz w:val="20"/>
                <w:szCs w:val="20"/>
              </w:rPr>
            </w:pPr>
            <w:r w:rsidRPr="00D73316">
              <w:rPr>
                <w:rFonts w:ascii="Arial" w:hAnsi="Arial" w:cs="Arial"/>
                <w:b/>
                <w:sz w:val="20"/>
                <w:szCs w:val="20"/>
              </w:rPr>
              <w:t>Percent</w:t>
            </w:r>
          </w:p>
        </w:tc>
      </w:tr>
      <w:tr w:rsidR="007F596B" w14:paraId="429BC9AC" w14:textId="77777777" w:rsidTr="007F596B">
        <w:tc>
          <w:tcPr>
            <w:tcW w:w="2252" w:type="dxa"/>
          </w:tcPr>
          <w:p w14:paraId="0CE8C352" w14:textId="77777777" w:rsidR="007F596B" w:rsidRPr="000771CE" w:rsidRDefault="007F596B" w:rsidP="007F596B">
            <w:pPr>
              <w:spacing w:line="480" w:lineRule="auto"/>
              <w:rPr>
                <w:rFonts w:ascii="Arial" w:hAnsi="Arial" w:cs="Arial"/>
                <w:b/>
                <w:sz w:val="20"/>
                <w:szCs w:val="20"/>
              </w:rPr>
            </w:pPr>
            <w:r w:rsidRPr="000771CE">
              <w:rPr>
                <w:rFonts w:ascii="Arial" w:hAnsi="Arial" w:cs="Arial"/>
                <w:b/>
                <w:sz w:val="20"/>
                <w:szCs w:val="20"/>
              </w:rPr>
              <w:t>Age</w:t>
            </w:r>
          </w:p>
        </w:tc>
        <w:tc>
          <w:tcPr>
            <w:tcW w:w="2252" w:type="dxa"/>
          </w:tcPr>
          <w:p w14:paraId="5899D769" w14:textId="77777777" w:rsidR="007F596B" w:rsidRPr="000771CE" w:rsidRDefault="007F596B" w:rsidP="007F596B">
            <w:pPr>
              <w:spacing w:line="480" w:lineRule="auto"/>
              <w:rPr>
                <w:rFonts w:ascii="Arial" w:hAnsi="Arial" w:cs="Arial"/>
                <w:sz w:val="20"/>
                <w:szCs w:val="20"/>
              </w:rPr>
            </w:pPr>
          </w:p>
        </w:tc>
        <w:tc>
          <w:tcPr>
            <w:tcW w:w="2253" w:type="dxa"/>
          </w:tcPr>
          <w:p w14:paraId="20E9C0F2" w14:textId="77777777" w:rsidR="007F596B" w:rsidRPr="000771CE" w:rsidRDefault="007F596B" w:rsidP="007F596B">
            <w:pPr>
              <w:spacing w:line="480" w:lineRule="auto"/>
              <w:rPr>
                <w:rFonts w:ascii="Arial" w:hAnsi="Arial" w:cs="Arial"/>
                <w:sz w:val="20"/>
                <w:szCs w:val="20"/>
              </w:rPr>
            </w:pPr>
          </w:p>
        </w:tc>
      </w:tr>
      <w:tr w:rsidR="007F596B" w14:paraId="780E6951" w14:textId="77777777" w:rsidTr="007F596B">
        <w:tc>
          <w:tcPr>
            <w:tcW w:w="2252" w:type="dxa"/>
          </w:tcPr>
          <w:p w14:paraId="6D94A971"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sym w:font="Symbol" w:char="F0A3"/>
            </w:r>
            <w:r w:rsidRPr="000771CE">
              <w:rPr>
                <w:rFonts w:ascii="Arial" w:hAnsi="Arial" w:cs="Arial"/>
                <w:sz w:val="20"/>
                <w:szCs w:val="20"/>
              </w:rPr>
              <w:t xml:space="preserve"> 25</w:t>
            </w:r>
          </w:p>
        </w:tc>
        <w:tc>
          <w:tcPr>
            <w:tcW w:w="2252" w:type="dxa"/>
          </w:tcPr>
          <w:p w14:paraId="7B354BB5"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2</w:t>
            </w:r>
          </w:p>
        </w:tc>
        <w:tc>
          <w:tcPr>
            <w:tcW w:w="2253" w:type="dxa"/>
          </w:tcPr>
          <w:p w14:paraId="46A6621A"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1</w:t>
            </w:r>
          </w:p>
        </w:tc>
      </w:tr>
      <w:tr w:rsidR="007F596B" w14:paraId="1A0B9B43" w14:textId="77777777" w:rsidTr="007F596B">
        <w:tc>
          <w:tcPr>
            <w:tcW w:w="2252" w:type="dxa"/>
          </w:tcPr>
          <w:p w14:paraId="5BEB3B84"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26- 35</w:t>
            </w:r>
          </w:p>
        </w:tc>
        <w:tc>
          <w:tcPr>
            <w:tcW w:w="2252" w:type="dxa"/>
          </w:tcPr>
          <w:p w14:paraId="6A5710CA"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62</w:t>
            </w:r>
          </w:p>
        </w:tc>
        <w:tc>
          <w:tcPr>
            <w:tcW w:w="2253" w:type="dxa"/>
          </w:tcPr>
          <w:p w14:paraId="292C0D6B"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31</w:t>
            </w:r>
          </w:p>
        </w:tc>
      </w:tr>
      <w:tr w:rsidR="007F596B" w14:paraId="496F9C12" w14:textId="77777777" w:rsidTr="007F596B">
        <w:tc>
          <w:tcPr>
            <w:tcW w:w="2252" w:type="dxa"/>
          </w:tcPr>
          <w:p w14:paraId="4A502791"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36 - 45</w:t>
            </w:r>
          </w:p>
        </w:tc>
        <w:tc>
          <w:tcPr>
            <w:tcW w:w="2252" w:type="dxa"/>
          </w:tcPr>
          <w:p w14:paraId="000AB16F"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76</w:t>
            </w:r>
          </w:p>
        </w:tc>
        <w:tc>
          <w:tcPr>
            <w:tcW w:w="2253" w:type="dxa"/>
          </w:tcPr>
          <w:p w14:paraId="354594F0"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38</w:t>
            </w:r>
          </w:p>
        </w:tc>
      </w:tr>
      <w:tr w:rsidR="007F596B" w14:paraId="0D12E401" w14:textId="77777777" w:rsidTr="007F596B">
        <w:tc>
          <w:tcPr>
            <w:tcW w:w="2252" w:type="dxa"/>
          </w:tcPr>
          <w:p w14:paraId="59C340B2"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46- 55</w:t>
            </w:r>
          </w:p>
        </w:tc>
        <w:tc>
          <w:tcPr>
            <w:tcW w:w="2252" w:type="dxa"/>
          </w:tcPr>
          <w:p w14:paraId="3295C48E"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38</w:t>
            </w:r>
          </w:p>
        </w:tc>
        <w:tc>
          <w:tcPr>
            <w:tcW w:w="2253" w:type="dxa"/>
          </w:tcPr>
          <w:p w14:paraId="36A257E6"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19</w:t>
            </w:r>
          </w:p>
        </w:tc>
      </w:tr>
      <w:tr w:rsidR="007F596B" w14:paraId="3AA5B6D4" w14:textId="77777777" w:rsidTr="007F596B">
        <w:tc>
          <w:tcPr>
            <w:tcW w:w="2252" w:type="dxa"/>
          </w:tcPr>
          <w:p w14:paraId="28C1BED9"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sym w:font="Symbol" w:char="F03E"/>
            </w:r>
            <w:r w:rsidRPr="000771CE">
              <w:rPr>
                <w:rFonts w:ascii="Arial" w:hAnsi="Arial" w:cs="Arial"/>
                <w:sz w:val="20"/>
                <w:szCs w:val="20"/>
              </w:rPr>
              <w:t xml:space="preserve"> 55</w:t>
            </w:r>
          </w:p>
        </w:tc>
        <w:tc>
          <w:tcPr>
            <w:tcW w:w="2252" w:type="dxa"/>
          </w:tcPr>
          <w:p w14:paraId="2BC3656C"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22</w:t>
            </w:r>
          </w:p>
        </w:tc>
        <w:tc>
          <w:tcPr>
            <w:tcW w:w="2253" w:type="dxa"/>
          </w:tcPr>
          <w:p w14:paraId="0216AADE"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11</w:t>
            </w:r>
          </w:p>
        </w:tc>
      </w:tr>
      <w:tr w:rsidR="007F596B" w14:paraId="1E503207" w14:textId="77777777" w:rsidTr="007F596B">
        <w:tc>
          <w:tcPr>
            <w:tcW w:w="2252" w:type="dxa"/>
          </w:tcPr>
          <w:p w14:paraId="0263B4FE" w14:textId="77777777" w:rsidR="007F596B" w:rsidRPr="000771CE" w:rsidRDefault="007F596B" w:rsidP="007F596B">
            <w:pPr>
              <w:spacing w:line="480" w:lineRule="auto"/>
              <w:rPr>
                <w:rFonts w:ascii="Arial" w:hAnsi="Arial" w:cs="Arial"/>
                <w:b/>
                <w:sz w:val="20"/>
                <w:szCs w:val="20"/>
              </w:rPr>
            </w:pPr>
            <w:r w:rsidRPr="000771CE">
              <w:rPr>
                <w:rFonts w:ascii="Arial" w:hAnsi="Arial" w:cs="Arial"/>
                <w:b/>
                <w:sz w:val="20"/>
                <w:szCs w:val="20"/>
              </w:rPr>
              <w:t>Gender</w:t>
            </w:r>
          </w:p>
        </w:tc>
        <w:tc>
          <w:tcPr>
            <w:tcW w:w="2252" w:type="dxa"/>
          </w:tcPr>
          <w:p w14:paraId="462333D0" w14:textId="77777777" w:rsidR="007F596B" w:rsidRPr="000771CE" w:rsidRDefault="007F596B" w:rsidP="007F596B">
            <w:pPr>
              <w:spacing w:line="480" w:lineRule="auto"/>
              <w:rPr>
                <w:rFonts w:ascii="Arial" w:hAnsi="Arial" w:cs="Arial"/>
                <w:sz w:val="20"/>
                <w:szCs w:val="20"/>
              </w:rPr>
            </w:pPr>
          </w:p>
        </w:tc>
        <w:tc>
          <w:tcPr>
            <w:tcW w:w="2253" w:type="dxa"/>
          </w:tcPr>
          <w:p w14:paraId="4F878D9A" w14:textId="77777777" w:rsidR="007F596B" w:rsidRPr="000771CE" w:rsidRDefault="007F596B" w:rsidP="007F596B">
            <w:pPr>
              <w:spacing w:line="480" w:lineRule="auto"/>
              <w:rPr>
                <w:rFonts w:ascii="Arial" w:hAnsi="Arial" w:cs="Arial"/>
                <w:sz w:val="20"/>
                <w:szCs w:val="20"/>
              </w:rPr>
            </w:pPr>
          </w:p>
        </w:tc>
      </w:tr>
      <w:tr w:rsidR="007F596B" w14:paraId="173D0926" w14:textId="77777777" w:rsidTr="007F596B">
        <w:tc>
          <w:tcPr>
            <w:tcW w:w="2252" w:type="dxa"/>
          </w:tcPr>
          <w:p w14:paraId="059BEB4C"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Male</w:t>
            </w:r>
          </w:p>
        </w:tc>
        <w:tc>
          <w:tcPr>
            <w:tcW w:w="2252" w:type="dxa"/>
          </w:tcPr>
          <w:p w14:paraId="499E714A"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37</w:t>
            </w:r>
          </w:p>
        </w:tc>
        <w:tc>
          <w:tcPr>
            <w:tcW w:w="2253" w:type="dxa"/>
          </w:tcPr>
          <w:p w14:paraId="5E6D03F0"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18.5</w:t>
            </w:r>
          </w:p>
        </w:tc>
      </w:tr>
      <w:tr w:rsidR="007F596B" w14:paraId="387C6682" w14:textId="77777777" w:rsidTr="007F596B">
        <w:tc>
          <w:tcPr>
            <w:tcW w:w="2252" w:type="dxa"/>
          </w:tcPr>
          <w:p w14:paraId="1B94AD0E"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Female</w:t>
            </w:r>
          </w:p>
        </w:tc>
        <w:tc>
          <w:tcPr>
            <w:tcW w:w="2252" w:type="dxa"/>
          </w:tcPr>
          <w:p w14:paraId="31BFB90B"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163</w:t>
            </w:r>
          </w:p>
        </w:tc>
        <w:tc>
          <w:tcPr>
            <w:tcW w:w="2253" w:type="dxa"/>
          </w:tcPr>
          <w:p w14:paraId="232AB55D"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81.5</w:t>
            </w:r>
          </w:p>
        </w:tc>
      </w:tr>
      <w:tr w:rsidR="007F596B" w14:paraId="02F25B79" w14:textId="77777777" w:rsidTr="007F596B">
        <w:tc>
          <w:tcPr>
            <w:tcW w:w="2252" w:type="dxa"/>
          </w:tcPr>
          <w:p w14:paraId="17756C22" w14:textId="77777777" w:rsidR="007F596B" w:rsidRPr="000771CE" w:rsidRDefault="007F596B" w:rsidP="007F596B">
            <w:pPr>
              <w:spacing w:line="480" w:lineRule="auto"/>
              <w:rPr>
                <w:rFonts w:ascii="Arial" w:hAnsi="Arial" w:cs="Arial"/>
                <w:b/>
                <w:sz w:val="20"/>
                <w:szCs w:val="20"/>
              </w:rPr>
            </w:pPr>
            <w:r w:rsidRPr="000771CE">
              <w:rPr>
                <w:rFonts w:ascii="Arial" w:hAnsi="Arial" w:cs="Arial"/>
                <w:b/>
                <w:sz w:val="20"/>
                <w:szCs w:val="20"/>
              </w:rPr>
              <w:t>Core Profession</w:t>
            </w:r>
          </w:p>
        </w:tc>
        <w:tc>
          <w:tcPr>
            <w:tcW w:w="2252" w:type="dxa"/>
          </w:tcPr>
          <w:p w14:paraId="0EC22534" w14:textId="77777777" w:rsidR="007F596B" w:rsidRPr="000771CE" w:rsidRDefault="007F596B" w:rsidP="007F596B">
            <w:pPr>
              <w:spacing w:line="480" w:lineRule="auto"/>
              <w:rPr>
                <w:rFonts w:ascii="Arial" w:hAnsi="Arial" w:cs="Arial"/>
                <w:sz w:val="20"/>
                <w:szCs w:val="20"/>
              </w:rPr>
            </w:pPr>
          </w:p>
        </w:tc>
        <w:tc>
          <w:tcPr>
            <w:tcW w:w="2253" w:type="dxa"/>
          </w:tcPr>
          <w:p w14:paraId="4919EEFE" w14:textId="77777777" w:rsidR="007F596B" w:rsidRPr="000771CE" w:rsidRDefault="007F596B" w:rsidP="007F596B">
            <w:pPr>
              <w:spacing w:line="480" w:lineRule="auto"/>
              <w:rPr>
                <w:rFonts w:ascii="Arial" w:hAnsi="Arial" w:cs="Arial"/>
                <w:sz w:val="20"/>
                <w:szCs w:val="20"/>
              </w:rPr>
            </w:pPr>
          </w:p>
        </w:tc>
      </w:tr>
      <w:tr w:rsidR="007F596B" w14:paraId="3F7EC0CB" w14:textId="77777777" w:rsidTr="007F596B">
        <w:tc>
          <w:tcPr>
            <w:tcW w:w="2252" w:type="dxa"/>
          </w:tcPr>
          <w:p w14:paraId="26ABD23A" w14:textId="16A5FE42" w:rsidR="007F596B" w:rsidRPr="000771CE" w:rsidRDefault="001E12BE" w:rsidP="007F596B">
            <w:pPr>
              <w:spacing w:line="480" w:lineRule="auto"/>
              <w:rPr>
                <w:rFonts w:ascii="Arial" w:hAnsi="Arial" w:cs="Arial"/>
                <w:sz w:val="20"/>
                <w:szCs w:val="20"/>
              </w:rPr>
            </w:pPr>
            <w:r>
              <w:rPr>
                <w:rFonts w:ascii="Arial" w:hAnsi="Arial" w:cs="Arial"/>
                <w:sz w:val="20"/>
                <w:szCs w:val="20"/>
              </w:rPr>
              <w:t>Nurse (RMN)</w:t>
            </w:r>
          </w:p>
        </w:tc>
        <w:tc>
          <w:tcPr>
            <w:tcW w:w="2252" w:type="dxa"/>
          </w:tcPr>
          <w:p w14:paraId="28ACC76D"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45</w:t>
            </w:r>
          </w:p>
        </w:tc>
        <w:tc>
          <w:tcPr>
            <w:tcW w:w="2253" w:type="dxa"/>
          </w:tcPr>
          <w:p w14:paraId="076B6E9A"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22.5</w:t>
            </w:r>
          </w:p>
        </w:tc>
      </w:tr>
      <w:tr w:rsidR="007F596B" w14:paraId="22CF0338" w14:textId="77777777" w:rsidTr="007F596B">
        <w:tc>
          <w:tcPr>
            <w:tcW w:w="2252" w:type="dxa"/>
          </w:tcPr>
          <w:p w14:paraId="7CB70415"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Social worker</w:t>
            </w:r>
          </w:p>
        </w:tc>
        <w:tc>
          <w:tcPr>
            <w:tcW w:w="2252" w:type="dxa"/>
          </w:tcPr>
          <w:p w14:paraId="14249FC1"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8</w:t>
            </w:r>
          </w:p>
        </w:tc>
        <w:tc>
          <w:tcPr>
            <w:tcW w:w="2253" w:type="dxa"/>
          </w:tcPr>
          <w:p w14:paraId="5C1167FC"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4</w:t>
            </w:r>
          </w:p>
        </w:tc>
      </w:tr>
      <w:tr w:rsidR="007F596B" w14:paraId="143FF024" w14:textId="77777777" w:rsidTr="007F596B">
        <w:tc>
          <w:tcPr>
            <w:tcW w:w="2252" w:type="dxa"/>
          </w:tcPr>
          <w:p w14:paraId="7ABB388F"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Clinical Psychology</w:t>
            </w:r>
          </w:p>
        </w:tc>
        <w:tc>
          <w:tcPr>
            <w:tcW w:w="2252" w:type="dxa"/>
          </w:tcPr>
          <w:p w14:paraId="7B75AF25"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6</w:t>
            </w:r>
          </w:p>
        </w:tc>
        <w:tc>
          <w:tcPr>
            <w:tcW w:w="2253" w:type="dxa"/>
          </w:tcPr>
          <w:p w14:paraId="6CCD1F8A"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3</w:t>
            </w:r>
          </w:p>
        </w:tc>
      </w:tr>
      <w:tr w:rsidR="007F596B" w14:paraId="61A689F2" w14:textId="77777777" w:rsidTr="007F596B">
        <w:tc>
          <w:tcPr>
            <w:tcW w:w="2252" w:type="dxa"/>
          </w:tcPr>
          <w:p w14:paraId="73EC440E"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Counselling psychology</w:t>
            </w:r>
          </w:p>
        </w:tc>
        <w:tc>
          <w:tcPr>
            <w:tcW w:w="2252" w:type="dxa"/>
          </w:tcPr>
          <w:p w14:paraId="49FBC904"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18</w:t>
            </w:r>
          </w:p>
        </w:tc>
        <w:tc>
          <w:tcPr>
            <w:tcW w:w="2253" w:type="dxa"/>
          </w:tcPr>
          <w:p w14:paraId="5B5B8913"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9</w:t>
            </w:r>
          </w:p>
        </w:tc>
      </w:tr>
      <w:tr w:rsidR="007F596B" w14:paraId="44D5F17B" w14:textId="77777777" w:rsidTr="007F596B">
        <w:tc>
          <w:tcPr>
            <w:tcW w:w="2252" w:type="dxa"/>
          </w:tcPr>
          <w:p w14:paraId="4D070645"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KSA</w:t>
            </w:r>
          </w:p>
        </w:tc>
        <w:tc>
          <w:tcPr>
            <w:tcW w:w="2252" w:type="dxa"/>
          </w:tcPr>
          <w:p w14:paraId="21885A7D"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90</w:t>
            </w:r>
          </w:p>
        </w:tc>
        <w:tc>
          <w:tcPr>
            <w:tcW w:w="2253" w:type="dxa"/>
          </w:tcPr>
          <w:p w14:paraId="07042396"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45</w:t>
            </w:r>
          </w:p>
        </w:tc>
      </w:tr>
      <w:tr w:rsidR="007F596B" w14:paraId="100083CB" w14:textId="77777777" w:rsidTr="007F596B">
        <w:tc>
          <w:tcPr>
            <w:tcW w:w="2252" w:type="dxa"/>
          </w:tcPr>
          <w:p w14:paraId="5E9DDA2B"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Health Psychology</w:t>
            </w:r>
          </w:p>
        </w:tc>
        <w:tc>
          <w:tcPr>
            <w:tcW w:w="2252" w:type="dxa"/>
          </w:tcPr>
          <w:p w14:paraId="68C77F55"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1</w:t>
            </w:r>
          </w:p>
        </w:tc>
        <w:tc>
          <w:tcPr>
            <w:tcW w:w="2253" w:type="dxa"/>
          </w:tcPr>
          <w:p w14:paraId="486CC64E"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0.5</w:t>
            </w:r>
          </w:p>
        </w:tc>
      </w:tr>
      <w:tr w:rsidR="007F596B" w14:paraId="3892ECA2" w14:textId="77777777" w:rsidTr="007F596B">
        <w:tc>
          <w:tcPr>
            <w:tcW w:w="2252" w:type="dxa"/>
          </w:tcPr>
          <w:p w14:paraId="7ECCB3F8" w14:textId="65E2C0B8"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 xml:space="preserve">Other </w:t>
            </w:r>
          </w:p>
        </w:tc>
        <w:tc>
          <w:tcPr>
            <w:tcW w:w="2252" w:type="dxa"/>
          </w:tcPr>
          <w:p w14:paraId="0E213E43"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32</w:t>
            </w:r>
          </w:p>
        </w:tc>
        <w:tc>
          <w:tcPr>
            <w:tcW w:w="2253" w:type="dxa"/>
          </w:tcPr>
          <w:p w14:paraId="2C5E4BE9"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16</w:t>
            </w:r>
          </w:p>
        </w:tc>
      </w:tr>
      <w:tr w:rsidR="007F596B" w14:paraId="5EA07376" w14:textId="77777777" w:rsidTr="007F596B">
        <w:tc>
          <w:tcPr>
            <w:tcW w:w="2252" w:type="dxa"/>
          </w:tcPr>
          <w:p w14:paraId="778CC529" w14:textId="77777777" w:rsidR="007F596B" w:rsidRPr="00FF5775" w:rsidRDefault="007F596B" w:rsidP="007F596B">
            <w:pPr>
              <w:spacing w:line="480" w:lineRule="auto"/>
              <w:rPr>
                <w:rFonts w:ascii="Arial" w:hAnsi="Arial" w:cs="Arial"/>
                <w:b/>
                <w:sz w:val="20"/>
                <w:szCs w:val="20"/>
              </w:rPr>
            </w:pPr>
            <w:r w:rsidRPr="00FF5775">
              <w:rPr>
                <w:rFonts w:ascii="Arial" w:hAnsi="Arial" w:cs="Arial"/>
                <w:b/>
                <w:sz w:val="20"/>
                <w:szCs w:val="20"/>
              </w:rPr>
              <w:t>Training</w:t>
            </w:r>
          </w:p>
        </w:tc>
        <w:tc>
          <w:tcPr>
            <w:tcW w:w="2252" w:type="dxa"/>
          </w:tcPr>
          <w:p w14:paraId="6E74AC94" w14:textId="77777777" w:rsidR="007F596B" w:rsidRPr="000771CE" w:rsidRDefault="007F596B" w:rsidP="007F596B">
            <w:pPr>
              <w:spacing w:line="480" w:lineRule="auto"/>
              <w:rPr>
                <w:rFonts w:ascii="Arial" w:hAnsi="Arial" w:cs="Arial"/>
                <w:sz w:val="20"/>
                <w:szCs w:val="20"/>
              </w:rPr>
            </w:pPr>
          </w:p>
        </w:tc>
        <w:tc>
          <w:tcPr>
            <w:tcW w:w="2253" w:type="dxa"/>
          </w:tcPr>
          <w:p w14:paraId="0D0D9F2F" w14:textId="77777777" w:rsidR="007F596B" w:rsidRPr="000771CE" w:rsidRDefault="007F596B" w:rsidP="007F596B">
            <w:pPr>
              <w:spacing w:line="480" w:lineRule="auto"/>
              <w:rPr>
                <w:rFonts w:ascii="Arial" w:hAnsi="Arial" w:cs="Arial"/>
                <w:sz w:val="20"/>
                <w:szCs w:val="20"/>
              </w:rPr>
            </w:pPr>
          </w:p>
        </w:tc>
      </w:tr>
      <w:tr w:rsidR="007F596B" w14:paraId="477FA471" w14:textId="77777777" w:rsidTr="007F596B">
        <w:tc>
          <w:tcPr>
            <w:tcW w:w="2252" w:type="dxa"/>
          </w:tcPr>
          <w:p w14:paraId="4C7A6835"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IAPT trained</w:t>
            </w:r>
          </w:p>
        </w:tc>
        <w:tc>
          <w:tcPr>
            <w:tcW w:w="2252" w:type="dxa"/>
          </w:tcPr>
          <w:p w14:paraId="0EFC9A24"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146</w:t>
            </w:r>
          </w:p>
        </w:tc>
        <w:tc>
          <w:tcPr>
            <w:tcW w:w="2253" w:type="dxa"/>
          </w:tcPr>
          <w:p w14:paraId="0BB2053D"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73</w:t>
            </w:r>
          </w:p>
        </w:tc>
      </w:tr>
      <w:tr w:rsidR="007F596B" w14:paraId="1717741C" w14:textId="77777777" w:rsidTr="007F596B">
        <w:tc>
          <w:tcPr>
            <w:tcW w:w="2252" w:type="dxa"/>
          </w:tcPr>
          <w:p w14:paraId="06D44E22"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Not IAPT trained</w:t>
            </w:r>
          </w:p>
        </w:tc>
        <w:tc>
          <w:tcPr>
            <w:tcW w:w="2252" w:type="dxa"/>
          </w:tcPr>
          <w:p w14:paraId="19C621FB"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54</w:t>
            </w:r>
          </w:p>
        </w:tc>
        <w:tc>
          <w:tcPr>
            <w:tcW w:w="2253" w:type="dxa"/>
          </w:tcPr>
          <w:p w14:paraId="6112536D" w14:textId="77777777" w:rsidR="007F596B" w:rsidRPr="000771CE" w:rsidRDefault="007F596B" w:rsidP="007F596B">
            <w:pPr>
              <w:spacing w:line="480" w:lineRule="auto"/>
              <w:rPr>
                <w:rFonts w:ascii="Arial" w:hAnsi="Arial" w:cs="Arial"/>
                <w:sz w:val="20"/>
                <w:szCs w:val="20"/>
              </w:rPr>
            </w:pPr>
            <w:r w:rsidRPr="000771CE">
              <w:rPr>
                <w:rFonts w:ascii="Arial" w:hAnsi="Arial" w:cs="Arial"/>
                <w:sz w:val="20"/>
                <w:szCs w:val="20"/>
              </w:rPr>
              <w:t>27</w:t>
            </w:r>
          </w:p>
        </w:tc>
      </w:tr>
    </w:tbl>
    <w:p w14:paraId="08D7208F" w14:textId="77777777" w:rsidR="00C365B0" w:rsidRDefault="00C365B0">
      <w:pPr>
        <w:rPr>
          <w:rFonts w:ascii="Arial" w:eastAsiaTheme="majorEastAsia" w:hAnsi="Arial" w:cs="Arial"/>
          <w:b/>
          <w:bCs/>
          <w:color w:val="000000" w:themeColor="text1"/>
          <w:sz w:val="22"/>
          <w:szCs w:val="22"/>
        </w:rPr>
      </w:pPr>
      <w:r>
        <w:rPr>
          <w:rFonts w:ascii="Arial" w:hAnsi="Arial" w:cs="Arial"/>
          <w:color w:val="000000" w:themeColor="text1"/>
          <w:sz w:val="22"/>
          <w:szCs w:val="22"/>
        </w:rPr>
        <w:br w:type="page"/>
      </w:r>
    </w:p>
    <w:p w14:paraId="61317071" w14:textId="6DD46943" w:rsidR="007F596B" w:rsidRDefault="008A1595" w:rsidP="007F596B">
      <w:pPr>
        <w:pStyle w:val="Heading3"/>
        <w:rPr>
          <w:rFonts w:cs="Arial"/>
          <w:b w:val="0"/>
          <w:color w:val="000000" w:themeColor="text1"/>
          <w:szCs w:val="22"/>
        </w:rPr>
      </w:pPr>
      <w:bookmarkStart w:id="327" w:name="_Toc46770814"/>
      <w:bookmarkStart w:id="328" w:name="_Toc79414225"/>
      <w:r>
        <w:rPr>
          <w:rFonts w:cs="Arial"/>
          <w:color w:val="000000" w:themeColor="text1"/>
          <w:szCs w:val="22"/>
        </w:rPr>
        <w:lastRenderedPageBreak/>
        <w:t>5</w:t>
      </w:r>
      <w:r w:rsidR="007F596B" w:rsidRPr="005E6335">
        <w:rPr>
          <w:rFonts w:cs="Arial"/>
          <w:color w:val="000000" w:themeColor="text1"/>
          <w:szCs w:val="22"/>
        </w:rPr>
        <w:t>.2.</w:t>
      </w:r>
      <w:r w:rsidR="007716A0">
        <w:rPr>
          <w:rFonts w:cs="Arial"/>
          <w:color w:val="000000" w:themeColor="text1"/>
          <w:szCs w:val="22"/>
        </w:rPr>
        <w:t>2</w:t>
      </w:r>
      <w:r w:rsidR="007F596B" w:rsidRPr="005E6335">
        <w:rPr>
          <w:rFonts w:cs="Arial"/>
          <w:color w:val="000000" w:themeColor="text1"/>
          <w:szCs w:val="22"/>
        </w:rPr>
        <w:t xml:space="preserve"> </w:t>
      </w:r>
      <w:r w:rsidR="00556577">
        <w:rPr>
          <w:rFonts w:cs="Arial"/>
          <w:color w:val="000000" w:themeColor="text1"/>
          <w:szCs w:val="22"/>
        </w:rPr>
        <w:t>‘F scores’: f</w:t>
      </w:r>
      <w:r w:rsidR="007F596B" w:rsidRPr="005E6335">
        <w:rPr>
          <w:rFonts w:cs="Arial"/>
          <w:color w:val="000000" w:themeColor="text1"/>
          <w:szCs w:val="22"/>
        </w:rPr>
        <w:t>idelity to the model</w:t>
      </w:r>
      <w:bookmarkEnd w:id="327"/>
      <w:bookmarkEnd w:id="328"/>
      <w:r w:rsidR="007716A0">
        <w:rPr>
          <w:rFonts w:cs="Arial"/>
          <w:color w:val="000000" w:themeColor="text1"/>
          <w:szCs w:val="22"/>
        </w:rPr>
        <w:t xml:space="preserve"> </w:t>
      </w:r>
    </w:p>
    <w:p w14:paraId="40B379CA" w14:textId="77777777" w:rsidR="007F596B" w:rsidRPr="005E6335" w:rsidRDefault="007F596B" w:rsidP="007F596B"/>
    <w:p w14:paraId="405412F3" w14:textId="2CBC0944" w:rsidR="007F596B" w:rsidRPr="005E6335" w:rsidRDefault="007F596B" w:rsidP="007F596B">
      <w:pPr>
        <w:spacing w:line="480" w:lineRule="auto"/>
        <w:rPr>
          <w:rFonts w:ascii="Arial" w:hAnsi="Arial" w:cs="Arial"/>
          <w:sz w:val="22"/>
          <w:szCs w:val="22"/>
        </w:rPr>
      </w:pPr>
      <w:r w:rsidRPr="005E6335">
        <w:rPr>
          <w:rFonts w:ascii="Arial" w:hAnsi="Arial" w:cs="Arial"/>
          <w:sz w:val="22"/>
          <w:szCs w:val="22"/>
        </w:rPr>
        <w:t xml:space="preserve">Therapist competency was measured using the mean of 3 CTS-R’s, this is reported as the F score. An F score, (defined as the mean of 3 CTS-Rs), was calculated for all 200 therapists. CTS-Rs were undertaken on randomly selected therapy sessions, excluding the first and last therapy session (see </w:t>
      </w:r>
      <w:r w:rsidR="00D85125">
        <w:rPr>
          <w:rFonts w:ascii="Arial" w:hAnsi="Arial" w:cs="Arial"/>
          <w:sz w:val="22"/>
          <w:szCs w:val="22"/>
        </w:rPr>
        <w:t>C</w:t>
      </w:r>
      <w:r w:rsidRPr="005E6335">
        <w:rPr>
          <w:rFonts w:ascii="Arial" w:hAnsi="Arial" w:cs="Arial"/>
          <w:sz w:val="22"/>
          <w:szCs w:val="22"/>
        </w:rPr>
        <w:t>hapter 3 for further details).</w:t>
      </w:r>
    </w:p>
    <w:p w14:paraId="7467C293" w14:textId="0CA875D9" w:rsidR="007F596B" w:rsidRPr="005E6335" w:rsidRDefault="007F596B" w:rsidP="007F596B">
      <w:pPr>
        <w:spacing w:line="480" w:lineRule="auto"/>
        <w:rPr>
          <w:rFonts w:ascii="Arial" w:hAnsi="Arial" w:cs="Arial"/>
          <w:sz w:val="22"/>
          <w:szCs w:val="22"/>
        </w:rPr>
      </w:pPr>
      <w:r w:rsidRPr="005E6335">
        <w:rPr>
          <w:rFonts w:ascii="Arial" w:hAnsi="Arial" w:cs="Arial"/>
          <w:sz w:val="22"/>
          <w:szCs w:val="22"/>
        </w:rPr>
        <w:t xml:space="preserve"> F scores were normally distributed across the sample (mean = 40, SD = 11.65, SE = 0.82, range = 6-75</w:t>
      </w:r>
      <w:r w:rsidR="00F45BE3">
        <w:rPr>
          <w:rFonts w:ascii="Arial" w:hAnsi="Arial" w:cs="Arial"/>
          <w:sz w:val="22"/>
          <w:szCs w:val="22"/>
        </w:rPr>
        <w:t>)</w:t>
      </w:r>
      <w:r w:rsidRPr="005E6335">
        <w:rPr>
          <w:rFonts w:ascii="Arial" w:hAnsi="Arial" w:cs="Arial"/>
          <w:sz w:val="22"/>
          <w:szCs w:val="22"/>
        </w:rPr>
        <w:t xml:space="preserve"> Figure </w:t>
      </w:r>
      <w:r w:rsidR="00F45BE3">
        <w:rPr>
          <w:rFonts w:ascii="Arial" w:hAnsi="Arial" w:cs="Arial"/>
          <w:sz w:val="22"/>
          <w:szCs w:val="22"/>
        </w:rPr>
        <w:t>5</w:t>
      </w:r>
      <w:r w:rsidRPr="005E6335">
        <w:rPr>
          <w:rFonts w:ascii="Arial" w:hAnsi="Arial" w:cs="Arial"/>
          <w:sz w:val="22"/>
          <w:szCs w:val="22"/>
        </w:rPr>
        <w:t>.2</w:t>
      </w:r>
      <w:r w:rsidR="00F45BE3">
        <w:rPr>
          <w:rFonts w:ascii="Arial" w:hAnsi="Arial" w:cs="Arial"/>
          <w:sz w:val="22"/>
          <w:szCs w:val="22"/>
        </w:rPr>
        <w:t xml:space="preserve"> shows the distribution plot for therapist’s F scores.</w:t>
      </w:r>
    </w:p>
    <w:p w14:paraId="26306679" w14:textId="77777777" w:rsidR="00556577" w:rsidRDefault="00556577" w:rsidP="007F596B">
      <w:pPr>
        <w:spacing w:line="480" w:lineRule="auto"/>
        <w:rPr>
          <w:rFonts w:ascii="Arial" w:hAnsi="Arial" w:cs="Arial"/>
          <w:b/>
          <w:sz w:val="22"/>
          <w:szCs w:val="22"/>
        </w:rPr>
      </w:pPr>
    </w:p>
    <w:p w14:paraId="4CFFC0E0" w14:textId="74394F49" w:rsidR="00C365B0" w:rsidRDefault="00C365B0" w:rsidP="00C365B0">
      <w:pPr>
        <w:pStyle w:val="Figures"/>
      </w:pPr>
      <w:bookmarkStart w:id="329" w:name="_Toc46770949"/>
      <w:r w:rsidRPr="00972E04">
        <w:t xml:space="preserve">Figure 5.2 </w:t>
      </w:r>
      <w:r w:rsidRPr="00C365B0">
        <w:rPr>
          <w:b w:val="0"/>
        </w:rPr>
        <w:t>Distribution plot for F scores</w:t>
      </w:r>
      <w:bookmarkEnd w:id="329"/>
    </w:p>
    <w:p w14:paraId="040D72F7" w14:textId="77777777" w:rsidR="007F596B" w:rsidRDefault="007F596B" w:rsidP="007F596B">
      <w:pPr>
        <w:spacing w:line="480" w:lineRule="auto"/>
        <w:rPr>
          <w:rFonts w:ascii="Arial" w:hAnsi="Arial" w:cs="Arial"/>
        </w:rPr>
      </w:pPr>
      <w:r w:rsidRPr="0058395E">
        <w:rPr>
          <w:rFonts w:ascii="Arial" w:hAnsi="Arial" w:cs="Arial"/>
        </w:rPr>
        <w:fldChar w:fldCharType="begin"/>
      </w:r>
      <w:r>
        <w:rPr>
          <w:rFonts w:ascii="Arial" w:hAnsi="Arial" w:cs="Arial"/>
        </w:rPr>
        <w:instrText xml:space="preserve"> INCLUDEPICTURE "C:\\Users\\sbateup\\.JASP\\temp\\clipboard\\resources\\5\\_8.png" \* MERGEFORMAT </w:instrText>
      </w:r>
      <w:r w:rsidRPr="0058395E">
        <w:rPr>
          <w:rFonts w:ascii="Arial" w:hAnsi="Arial" w:cs="Arial"/>
        </w:rPr>
        <w:fldChar w:fldCharType="separate"/>
      </w:r>
      <w:r w:rsidRPr="0058395E">
        <w:rPr>
          <w:rFonts w:ascii="Arial" w:hAnsi="Arial" w:cs="Arial"/>
          <w:noProof/>
        </w:rPr>
        <w:drawing>
          <wp:inline distT="0" distB="0" distL="0" distR="0" wp14:anchorId="2207948C" wp14:editId="53FB6DBC">
            <wp:extent cx="3930162" cy="3261360"/>
            <wp:effectExtent l="0" t="0" r="0" b="0"/>
            <wp:docPr id="10" name="Picture 10" descr="P20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P2024#yIS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949837" cy="3277687"/>
                    </a:xfrm>
                    <a:prstGeom prst="rect">
                      <a:avLst/>
                    </a:prstGeom>
                    <a:noFill/>
                    <a:ln>
                      <a:noFill/>
                    </a:ln>
                  </pic:spPr>
                </pic:pic>
              </a:graphicData>
            </a:graphic>
          </wp:inline>
        </w:drawing>
      </w:r>
      <w:r w:rsidRPr="0058395E">
        <w:rPr>
          <w:rFonts w:ascii="Arial" w:hAnsi="Arial" w:cs="Arial"/>
        </w:rPr>
        <w:fldChar w:fldCharType="end"/>
      </w:r>
    </w:p>
    <w:p w14:paraId="5BC8786D" w14:textId="1D27BC4B" w:rsidR="007F596B" w:rsidRPr="00746A76" w:rsidRDefault="008A1595" w:rsidP="007F596B">
      <w:pPr>
        <w:pStyle w:val="Heading3"/>
        <w:rPr>
          <w:rFonts w:cs="Arial"/>
          <w:b w:val="0"/>
          <w:color w:val="000000" w:themeColor="text1"/>
          <w:szCs w:val="22"/>
        </w:rPr>
      </w:pPr>
      <w:bookmarkStart w:id="330" w:name="_Toc46770815"/>
      <w:bookmarkStart w:id="331" w:name="_Toc79414226"/>
      <w:r w:rsidRPr="00746A76">
        <w:rPr>
          <w:rFonts w:cs="Arial"/>
          <w:color w:val="000000" w:themeColor="text1"/>
          <w:szCs w:val="22"/>
        </w:rPr>
        <w:t>5</w:t>
      </w:r>
      <w:r w:rsidR="007F596B" w:rsidRPr="00746A76">
        <w:rPr>
          <w:rFonts w:cs="Arial"/>
          <w:color w:val="000000" w:themeColor="text1"/>
          <w:szCs w:val="22"/>
        </w:rPr>
        <w:t>.2.</w:t>
      </w:r>
      <w:r w:rsidR="007716A0">
        <w:rPr>
          <w:rFonts w:cs="Arial"/>
          <w:color w:val="000000" w:themeColor="text1"/>
          <w:szCs w:val="22"/>
        </w:rPr>
        <w:t>3</w:t>
      </w:r>
      <w:r w:rsidR="007F596B" w:rsidRPr="00746A76">
        <w:rPr>
          <w:rFonts w:cs="Arial"/>
          <w:color w:val="000000" w:themeColor="text1"/>
          <w:szCs w:val="22"/>
        </w:rPr>
        <w:t xml:space="preserve"> </w:t>
      </w:r>
      <w:r w:rsidR="00CF7E4E">
        <w:rPr>
          <w:rFonts w:cs="Arial"/>
          <w:color w:val="000000" w:themeColor="text1"/>
          <w:szCs w:val="22"/>
        </w:rPr>
        <w:t>‘</w:t>
      </w:r>
      <w:r w:rsidR="007F596B" w:rsidRPr="00746A76">
        <w:rPr>
          <w:rFonts w:cs="Arial"/>
          <w:color w:val="000000" w:themeColor="text1"/>
          <w:szCs w:val="22"/>
        </w:rPr>
        <w:t>A scores</w:t>
      </w:r>
      <w:r w:rsidR="00CF7E4E">
        <w:rPr>
          <w:rFonts w:cs="Arial"/>
          <w:color w:val="000000" w:themeColor="text1"/>
          <w:szCs w:val="22"/>
        </w:rPr>
        <w:t>’</w:t>
      </w:r>
      <w:r w:rsidR="007F596B" w:rsidRPr="00746A76">
        <w:rPr>
          <w:rFonts w:cs="Arial"/>
          <w:color w:val="000000" w:themeColor="text1"/>
          <w:szCs w:val="22"/>
        </w:rPr>
        <w:t>: adherence to an evidence-based protocol</w:t>
      </w:r>
      <w:bookmarkEnd w:id="330"/>
      <w:bookmarkEnd w:id="331"/>
    </w:p>
    <w:p w14:paraId="34C0C81D" w14:textId="77777777" w:rsidR="007F596B" w:rsidRPr="005E6335" w:rsidRDefault="007F596B" w:rsidP="007F596B"/>
    <w:p w14:paraId="71788CD3" w14:textId="219E2BDE" w:rsidR="007F596B" w:rsidRPr="00D6587C" w:rsidRDefault="007F596B" w:rsidP="007F596B">
      <w:pPr>
        <w:spacing w:line="480" w:lineRule="auto"/>
        <w:rPr>
          <w:rFonts w:ascii="Arial" w:hAnsi="Arial" w:cs="Arial"/>
        </w:rPr>
      </w:pPr>
      <w:r w:rsidRPr="00746A76">
        <w:rPr>
          <w:rFonts w:ascii="Arial" w:hAnsi="Arial" w:cs="Arial"/>
          <w:sz w:val="22"/>
          <w:szCs w:val="22"/>
        </w:rPr>
        <w:t xml:space="preserve">Therapist adherence to an evidence-based protocol was undertaken by assessing all the therapy transcripts of three completed cases. Therapists’ were allocated a total score of between 1 and 4. Where the lowest score of 1 indicates the therapist was not using an evidenced based protocol in any of the cases and the highest score, of 4, indicates that an evidenced based protocol was being used in each case. An A score measuring adherence to an evidence-based protocol was calculated for each of the 200 therapists in the sample. </w:t>
      </w:r>
      <w:r w:rsidRPr="00746A76">
        <w:rPr>
          <w:rFonts w:ascii="Arial" w:hAnsi="Arial" w:cs="Arial"/>
          <w:sz w:val="22"/>
          <w:szCs w:val="22"/>
        </w:rPr>
        <w:lastRenderedPageBreak/>
        <w:t>An A score, ranging from 1 to 4, was assigned to each therapist, where 1 represents a therapist who demonstrated no evidence of a protocol in any of the completed cases assessed (20% of the sample), 2 represents a therapist who demonstrated evidence in one of the three completed cases assessed (26.5% of the sample), 3 represents a therapist who demonstrated evidence in two of the three completed cases assessed (29% of the sample) and 4 represents a  therapist who demonstrated adherence to an evidence based protocol in all of the three completed cases assessed</w:t>
      </w:r>
      <w:r w:rsidR="001C43DB">
        <w:rPr>
          <w:rFonts w:ascii="Arial" w:hAnsi="Arial" w:cs="Arial"/>
          <w:sz w:val="22"/>
          <w:szCs w:val="22"/>
        </w:rPr>
        <w:t xml:space="preserve"> (</w:t>
      </w:r>
      <w:r w:rsidRPr="00746A76">
        <w:rPr>
          <w:rFonts w:ascii="Arial" w:hAnsi="Arial" w:cs="Arial"/>
          <w:sz w:val="22"/>
          <w:szCs w:val="22"/>
        </w:rPr>
        <w:t>24.5% of the sample</w:t>
      </w:r>
      <w:r w:rsidR="001C43DB">
        <w:rPr>
          <w:rFonts w:ascii="Arial" w:hAnsi="Arial" w:cs="Arial"/>
          <w:sz w:val="22"/>
          <w:szCs w:val="22"/>
        </w:rPr>
        <w:t>)</w:t>
      </w:r>
      <w:r w:rsidR="005B3480">
        <w:rPr>
          <w:rFonts w:ascii="Arial" w:hAnsi="Arial" w:cs="Arial"/>
          <w:sz w:val="22"/>
          <w:szCs w:val="22"/>
        </w:rPr>
        <w:t xml:space="preserve">. </w:t>
      </w:r>
      <w:r w:rsidR="00AD0624" w:rsidRPr="00CF1079">
        <w:rPr>
          <w:rFonts w:ascii="Arial" w:hAnsi="Arial" w:cs="Arial"/>
          <w:sz w:val="22"/>
          <w:szCs w:val="22"/>
        </w:rPr>
        <w:t>A scores were normally distributed</w:t>
      </w:r>
      <w:r w:rsidR="00A95025" w:rsidRPr="00CF1079">
        <w:rPr>
          <w:rFonts w:ascii="Arial" w:hAnsi="Arial" w:cs="Arial"/>
          <w:sz w:val="22"/>
          <w:szCs w:val="22"/>
        </w:rPr>
        <w:t xml:space="preserve"> across the sample</w:t>
      </w:r>
      <w:r w:rsidR="00DB5AC5" w:rsidRPr="00CF1079">
        <w:rPr>
          <w:rFonts w:ascii="Arial" w:hAnsi="Arial" w:cs="Arial"/>
          <w:sz w:val="22"/>
          <w:szCs w:val="22"/>
        </w:rPr>
        <w:t xml:space="preserve"> </w:t>
      </w:r>
      <w:r w:rsidR="00A95025" w:rsidRPr="00CF1079">
        <w:rPr>
          <w:rFonts w:ascii="Arial" w:hAnsi="Arial" w:cs="Arial"/>
          <w:sz w:val="22"/>
          <w:szCs w:val="22"/>
        </w:rPr>
        <w:t>(mean 2.58, median, 3.00</w:t>
      </w:r>
      <w:r w:rsidR="00B74686" w:rsidRPr="00CF1079">
        <w:rPr>
          <w:rFonts w:ascii="Arial" w:hAnsi="Arial" w:cs="Arial"/>
          <w:sz w:val="22"/>
          <w:szCs w:val="22"/>
        </w:rPr>
        <w:t>, SD 1.06</w:t>
      </w:r>
      <w:r w:rsidR="00915455" w:rsidRPr="00CF1079">
        <w:rPr>
          <w:rFonts w:ascii="Arial" w:hAnsi="Arial" w:cs="Arial"/>
          <w:sz w:val="22"/>
          <w:szCs w:val="22"/>
        </w:rPr>
        <w:t>). Figure 5.3 shows the distribution plot for therapists A scores.</w:t>
      </w:r>
    </w:p>
    <w:p w14:paraId="38BF729D" w14:textId="20B1810B" w:rsidR="007F596B" w:rsidRDefault="007F596B" w:rsidP="007F596B">
      <w:pPr>
        <w:spacing w:line="480" w:lineRule="auto"/>
        <w:rPr>
          <w:rFonts w:ascii="Arial" w:hAnsi="Arial" w:cs="Arial"/>
        </w:rPr>
      </w:pPr>
    </w:p>
    <w:p w14:paraId="0D591FF3" w14:textId="2F2B67F3" w:rsidR="00B93E14" w:rsidRDefault="00D6587C" w:rsidP="0060042C">
      <w:pPr>
        <w:pStyle w:val="Figures"/>
        <w:rPr>
          <w:b w:val="0"/>
        </w:rPr>
      </w:pPr>
      <w:bookmarkStart w:id="332" w:name="_Toc46770950"/>
      <w:r w:rsidRPr="00CF1079">
        <w:t xml:space="preserve">Figure 5.3 </w:t>
      </w:r>
      <w:r w:rsidRPr="00CF1079">
        <w:rPr>
          <w:b w:val="0"/>
        </w:rPr>
        <w:t>Dis</w:t>
      </w:r>
      <w:r w:rsidR="00014F9A" w:rsidRPr="00CF1079">
        <w:rPr>
          <w:b w:val="0"/>
        </w:rPr>
        <w:t>t</w:t>
      </w:r>
      <w:r w:rsidRPr="00CF1079">
        <w:rPr>
          <w:b w:val="0"/>
        </w:rPr>
        <w:t xml:space="preserve">ribution </w:t>
      </w:r>
      <w:r w:rsidR="00112FCA" w:rsidRPr="00CF1079">
        <w:rPr>
          <w:b w:val="0"/>
        </w:rPr>
        <w:t xml:space="preserve">plot for </w:t>
      </w:r>
      <w:r w:rsidRPr="00CF1079">
        <w:rPr>
          <w:b w:val="0"/>
        </w:rPr>
        <w:t>A scores</w:t>
      </w:r>
      <w:bookmarkEnd w:id="332"/>
    </w:p>
    <w:p w14:paraId="2F3F915F" w14:textId="77777777" w:rsidR="00B93E14" w:rsidRDefault="00B93E14" w:rsidP="00B93E14"/>
    <w:bookmarkStart w:id="333" w:name="_MON_1654862639"/>
    <w:bookmarkEnd w:id="333"/>
    <w:p w14:paraId="15E4214C" w14:textId="570485F4" w:rsidR="00B75D75" w:rsidRPr="0060042C" w:rsidRDefault="007C4B7E" w:rsidP="00B93E14">
      <w:pPr>
        <w:rPr>
          <w:b/>
        </w:rPr>
      </w:pPr>
      <w:r>
        <w:rPr>
          <w:noProof/>
        </w:rPr>
        <w:object w:dxaOrig="8500" w:dyaOrig="5460" w14:anchorId="2A67FE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P2031#yIS1" style="width:425.55pt;height:273.7pt;mso-width-percent:0;mso-height-percent:0;mso-width-percent:0;mso-height-percent:0" o:ole="">
            <v:imagedata r:id="rId57" o:title=""/>
          </v:shape>
          <o:OLEObject Type="Embed" ProgID="Word.Document.12" ShapeID="_x0000_i1025" DrawAspect="Content" ObjectID="_1690028217" r:id="rId58">
            <o:FieldCodes>\s</o:FieldCodes>
          </o:OLEObject>
        </w:object>
      </w:r>
    </w:p>
    <w:p w14:paraId="49A44F75" w14:textId="77777777" w:rsidR="007C21EF" w:rsidRDefault="007C21EF">
      <w:pPr>
        <w:rPr>
          <w:rFonts w:ascii="Arial" w:eastAsiaTheme="majorEastAsia" w:hAnsi="Arial" w:cs="Arial"/>
          <w:b/>
          <w:bCs/>
          <w:color w:val="000000" w:themeColor="text1"/>
          <w:sz w:val="22"/>
          <w:szCs w:val="22"/>
        </w:rPr>
      </w:pPr>
      <w:r>
        <w:rPr>
          <w:rFonts w:cs="Arial"/>
          <w:color w:val="000000" w:themeColor="text1"/>
          <w:szCs w:val="22"/>
        </w:rPr>
        <w:br w:type="page"/>
      </w:r>
    </w:p>
    <w:p w14:paraId="500611B8" w14:textId="322B7E98" w:rsidR="007F596B" w:rsidRDefault="008A1595" w:rsidP="007F596B">
      <w:pPr>
        <w:pStyle w:val="Heading3"/>
        <w:rPr>
          <w:rFonts w:cs="Arial"/>
          <w:b w:val="0"/>
          <w:color w:val="000000" w:themeColor="text1"/>
          <w:szCs w:val="22"/>
        </w:rPr>
      </w:pPr>
      <w:bookmarkStart w:id="334" w:name="_Toc46770816"/>
      <w:bookmarkStart w:id="335" w:name="_Toc79414227"/>
      <w:r>
        <w:rPr>
          <w:rFonts w:cs="Arial"/>
          <w:color w:val="000000" w:themeColor="text1"/>
          <w:szCs w:val="22"/>
        </w:rPr>
        <w:lastRenderedPageBreak/>
        <w:t>5</w:t>
      </w:r>
      <w:r w:rsidR="007F596B" w:rsidRPr="005E6335">
        <w:rPr>
          <w:rFonts w:cs="Arial"/>
          <w:color w:val="000000" w:themeColor="text1"/>
          <w:szCs w:val="22"/>
        </w:rPr>
        <w:t>.2.</w:t>
      </w:r>
      <w:r w:rsidR="001D16B9">
        <w:rPr>
          <w:rFonts w:cs="Arial"/>
          <w:color w:val="000000" w:themeColor="text1"/>
          <w:szCs w:val="22"/>
        </w:rPr>
        <w:t>4</w:t>
      </w:r>
      <w:r w:rsidR="007F596B" w:rsidRPr="005E6335">
        <w:rPr>
          <w:rFonts w:cs="Arial"/>
          <w:color w:val="000000" w:themeColor="text1"/>
          <w:szCs w:val="22"/>
        </w:rPr>
        <w:t xml:space="preserve"> Patient outcomes </w:t>
      </w:r>
      <w:r w:rsidR="001E12BE">
        <w:rPr>
          <w:rFonts w:cs="Arial"/>
          <w:color w:val="000000" w:themeColor="text1"/>
          <w:szCs w:val="22"/>
        </w:rPr>
        <w:t>-</w:t>
      </w:r>
      <w:r w:rsidR="007F596B" w:rsidRPr="005E6335">
        <w:rPr>
          <w:rFonts w:cs="Arial"/>
          <w:color w:val="000000" w:themeColor="text1"/>
          <w:szCs w:val="22"/>
        </w:rPr>
        <w:t xml:space="preserve"> recovery rate</w:t>
      </w:r>
      <w:r w:rsidR="001E12BE">
        <w:rPr>
          <w:rFonts w:cs="Arial"/>
          <w:color w:val="000000" w:themeColor="text1"/>
          <w:szCs w:val="22"/>
        </w:rPr>
        <w:t xml:space="preserve"> and reliable improvement rate</w:t>
      </w:r>
      <w:bookmarkEnd w:id="334"/>
      <w:bookmarkEnd w:id="335"/>
    </w:p>
    <w:p w14:paraId="13E2AD78" w14:textId="77777777" w:rsidR="007F596B" w:rsidRPr="005E6335" w:rsidRDefault="007F596B" w:rsidP="007F596B"/>
    <w:p w14:paraId="7A257E1A" w14:textId="3D5C2798" w:rsidR="007F596B" w:rsidRPr="005E6335" w:rsidRDefault="00B75D75" w:rsidP="007F596B">
      <w:pPr>
        <w:spacing w:line="480" w:lineRule="auto"/>
        <w:rPr>
          <w:rFonts w:ascii="Arial" w:hAnsi="Arial" w:cs="Arial"/>
          <w:sz w:val="22"/>
          <w:szCs w:val="22"/>
        </w:rPr>
      </w:pPr>
      <w:r>
        <w:rPr>
          <w:rFonts w:ascii="Arial" w:hAnsi="Arial" w:cs="Arial"/>
          <w:sz w:val="22"/>
          <w:szCs w:val="22"/>
        </w:rPr>
        <w:t>Patient outcomes were recorded using standard IAPT calculations for recovery and reliable improvement (</w:t>
      </w:r>
      <w:r w:rsidR="00D85125">
        <w:rPr>
          <w:rFonts w:ascii="Arial" w:hAnsi="Arial" w:cs="Arial"/>
          <w:sz w:val="22"/>
          <w:szCs w:val="22"/>
        </w:rPr>
        <w:t>C</w:t>
      </w:r>
      <w:r>
        <w:rPr>
          <w:rFonts w:ascii="Arial" w:hAnsi="Arial" w:cs="Arial"/>
          <w:sz w:val="22"/>
          <w:szCs w:val="22"/>
        </w:rPr>
        <w:t xml:space="preserve">hapter 4, section 4.5 describes IAPT patient outcome calculations). </w:t>
      </w:r>
      <w:r w:rsidR="007F596B" w:rsidRPr="005E6335">
        <w:rPr>
          <w:rFonts w:ascii="Arial" w:hAnsi="Arial" w:cs="Arial"/>
          <w:sz w:val="22"/>
          <w:szCs w:val="22"/>
        </w:rPr>
        <w:t>Each of the therapists in the sample had treated a minimum of 10 patients. The mean recovery rate</w:t>
      </w:r>
      <w:r>
        <w:rPr>
          <w:rFonts w:ascii="Arial" w:hAnsi="Arial" w:cs="Arial"/>
          <w:sz w:val="22"/>
          <w:szCs w:val="22"/>
        </w:rPr>
        <w:t xml:space="preserve"> and reliable improvement rate </w:t>
      </w:r>
      <w:r w:rsidR="007F596B" w:rsidRPr="005E6335">
        <w:rPr>
          <w:rFonts w:ascii="Arial" w:hAnsi="Arial" w:cs="Arial"/>
          <w:sz w:val="22"/>
          <w:szCs w:val="22"/>
        </w:rPr>
        <w:t xml:space="preserve">for 199 of the 200 therapists was calculated. One therapist had missing data. Recovery rate was normally distributed (mean = 50.00%, SD = 19.016%, SE = 1.348%). </w:t>
      </w:r>
      <w:r w:rsidR="00C06718">
        <w:rPr>
          <w:rFonts w:ascii="Arial" w:hAnsi="Arial" w:cs="Arial"/>
          <w:sz w:val="22"/>
          <w:szCs w:val="22"/>
        </w:rPr>
        <w:t>Reliable improvement rate was normally distributed (mean = 62.98%, SD = 16.08%, SE = 1.14%).</w:t>
      </w:r>
      <w:r w:rsidR="00F45BE3">
        <w:rPr>
          <w:rFonts w:ascii="Arial" w:hAnsi="Arial" w:cs="Arial"/>
          <w:sz w:val="22"/>
          <w:szCs w:val="22"/>
        </w:rPr>
        <w:t xml:space="preserve"> Figure 5.4 shows the distribution plot for patient recovery rate and figure 5.5 shows the distribution </w:t>
      </w:r>
      <w:r w:rsidR="00D9057A">
        <w:rPr>
          <w:rFonts w:ascii="Arial" w:hAnsi="Arial" w:cs="Arial"/>
          <w:sz w:val="22"/>
          <w:szCs w:val="22"/>
        </w:rPr>
        <w:t xml:space="preserve">of </w:t>
      </w:r>
      <w:r w:rsidR="00F45BE3">
        <w:rPr>
          <w:rFonts w:ascii="Arial" w:hAnsi="Arial" w:cs="Arial"/>
          <w:sz w:val="22"/>
          <w:szCs w:val="22"/>
        </w:rPr>
        <w:t>patient reliable improvement.</w:t>
      </w:r>
    </w:p>
    <w:p w14:paraId="3D8BBAC0" w14:textId="77777777" w:rsidR="00C06718" w:rsidRDefault="00C06718" w:rsidP="007F596B">
      <w:pPr>
        <w:spacing w:line="480" w:lineRule="auto"/>
        <w:rPr>
          <w:rFonts w:ascii="Arial" w:hAnsi="Arial" w:cs="Arial"/>
          <w:b/>
          <w:sz w:val="22"/>
          <w:szCs w:val="22"/>
        </w:rPr>
      </w:pPr>
    </w:p>
    <w:p w14:paraId="37623D94" w14:textId="1036F62C" w:rsidR="0094107D" w:rsidRDefault="0094107D" w:rsidP="0094107D">
      <w:pPr>
        <w:pStyle w:val="Figures"/>
      </w:pPr>
      <w:bookmarkStart w:id="336" w:name="_Toc46770951"/>
      <w:r w:rsidRPr="00F7433A">
        <w:t>Fig</w:t>
      </w:r>
      <w:r>
        <w:t>ure</w:t>
      </w:r>
      <w:r w:rsidRPr="00F7433A">
        <w:t xml:space="preserve"> 5.4 </w:t>
      </w:r>
      <w:r w:rsidRPr="0094107D">
        <w:rPr>
          <w:b w:val="0"/>
        </w:rPr>
        <w:t>Distribution plot for patient recovery rate</w:t>
      </w:r>
      <w:bookmarkEnd w:id="336"/>
      <w:r w:rsidR="00C26638">
        <w:rPr>
          <w:noProof/>
        </w:rPr>
        <mc:AlternateContent>
          <mc:Choice Requires="wpg">
            <w:drawing>
              <wp:inline distT="0" distB="0" distL="0" distR="0" wp14:anchorId="278EBDB1" wp14:editId="44ADC573">
                <wp:extent cx="3893185" cy="2596515"/>
                <wp:effectExtent l="0" t="0" r="0" b="0"/>
                <wp:docPr id="55" name="Group 55" descr="P2037#y1"/>
                <wp:cNvGraphicFramePr/>
                <a:graphic xmlns:a="http://schemas.openxmlformats.org/drawingml/2006/main">
                  <a:graphicData uri="http://schemas.microsoft.com/office/word/2010/wordprocessingGroup">
                    <wpg:wgp>
                      <wpg:cNvGrpSpPr/>
                      <wpg:grpSpPr>
                        <a:xfrm>
                          <a:off x="0" y="0"/>
                          <a:ext cx="3893185" cy="2596515"/>
                          <a:chOff x="0" y="0"/>
                          <a:chExt cx="3893185" cy="2596515"/>
                        </a:xfrm>
                      </wpg:grpSpPr>
                      <pic:pic xmlns:pic="http://schemas.openxmlformats.org/drawingml/2006/picture">
                        <pic:nvPicPr>
                          <pic:cNvPr id="13" name="Picture 13" descr="/Users/sbateup/.JASP/temp/clipboard/resources/8/_11.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893185" cy="2596515"/>
                          </a:xfrm>
                          <a:prstGeom prst="rect">
                            <a:avLst/>
                          </a:prstGeom>
                          <a:noFill/>
                          <a:ln>
                            <a:noFill/>
                          </a:ln>
                        </pic:spPr>
                      </pic:pic>
                      <wps:wsp>
                        <wps:cNvPr id="51" name="Text Box 2"/>
                        <wps:cNvSpPr txBox="1">
                          <a:spLocks noChangeArrowheads="1"/>
                        </wps:cNvSpPr>
                        <wps:spPr bwMode="auto">
                          <a:xfrm>
                            <a:off x="657225" y="2286000"/>
                            <a:ext cx="2895600" cy="308610"/>
                          </a:xfrm>
                          <a:prstGeom prst="rect">
                            <a:avLst/>
                          </a:prstGeom>
                          <a:solidFill>
                            <a:schemeClr val="bg1"/>
                          </a:solidFill>
                          <a:ln w="9525">
                            <a:noFill/>
                            <a:miter lim="800000"/>
                            <a:headEnd/>
                            <a:tailEnd/>
                          </a:ln>
                        </wps:spPr>
                        <wps:txbx>
                          <w:txbxContent>
                            <w:p w14:paraId="2CAD5231" w14:textId="77777777" w:rsidR="00C26638" w:rsidRPr="0094107D" w:rsidRDefault="00C26638" w:rsidP="00C26638">
                              <w:pPr>
                                <w:jc w:val="center"/>
                                <w:rPr>
                                  <w:rFonts w:ascii="Arial" w:hAnsi="Arial" w:cs="Arial"/>
                                  <w:sz w:val="22"/>
                                  <w:szCs w:val="20"/>
                                </w:rPr>
                              </w:pPr>
                              <w:r>
                                <w:rPr>
                                  <w:rFonts w:ascii="Arial" w:hAnsi="Arial" w:cs="Arial"/>
                                  <w:sz w:val="22"/>
                                  <w:szCs w:val="20"/>
                                </w:rPr>
                                <w:t>Recovery Rate</w:t>
                              </w:r>
                            </w:p>
                          </w:txbxContent>
                        </wps:txbx>
                        <wps:bodyPr rot="0" vert="horz" wrap="square" lIns="91440" tIns="45720" rIns="91440" bIns="45720" anchor="t" anchorCtr="0">
                          <a:noAutofit/>
                        </wps:bodyPr>
                      </wps:wsp>
                    </wpg:wgp>
                  </a:graphicData>
                </a:graphic>
              </wp:inline>
            </w:drawing>
          </mc:Choice>
          <mc:Fallback>
            <w:pict>
              <v:group w14:anchorId="278EBDB1" id="Group 55" o:spid="_x0000_s1032" alt="P2037#y1" style="width:306.55pt;height:204.45pt;mso-position-horizontal-relative:char;mso-position-vertical-relative:line" coordsize="38931,259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">
                <v:shape id="Picture 13" o:spid="_x0000_s1033" type="#_x0000_t75" alt="/Users/sbateup/.JASP/temp/clipboard/resources/8/_11.png" style="position:absolute;width:38931;height:259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">
                  <v:imagedata r:id="rId60" o:title="_11"/>
                </v:shape>
                <v:shape id="Text Box 2" o:spid="_x0000_s1034" type="#_x0000_t202" style="position:absolute;left:6572;top:22860;width:28956;height:3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" fillcolor="white [3212]" stroked="f">
                  <v:textbox>
                    <w:txbxContent>
                      <w:p w14:paraId="2CAD5231" w14:textId="77777777" w:rsidR="00C26638" w:rsidRPr="0094107D" w:rsidRDefault="00C26638" w:rsidP="00C26638">
                        <w:pPr>
                          <w:jc w:val="center"/>
                          <w:rPr>
                            <w:rFonts w:ascii="Arial" w:hAnsi="Arial" w:cs="Arial"/>
                            <w:sz w:val="22"/>
                            <w:szCs w:val="20"/>
                          </w:rPr>
                        </w:pPr>
                        <w:r>
                          <w:rPr>
                            <w:rFonts w:ascii="Arial" w:hAnsi="Arial" w:cs="Arial"/>
                            <w:sz w:val="22"/>
                            <w:szCs w:val="20"/>
                          </w:rPr>
                          <w:t>Recovery Rate</w:t>
                        </w:r>
                      </w:p>
                    </w:txbxContent>
                  </v:textbox>
                </v:shape>
                <w10:anchorlock/>
              </v:group>
            </w:pict>
          </mc:Fallback>
        </mc:AlternateContent>
      </w:r>
    </w:p>
    <w:p w14:paraId="222C66BB" w14:textId="405F8034" w:rsidR="00B75D75" w:rsidRDefault="00C06718" w:rsidP="00B75D75">
      <w:pPr>
        <w:spacing w:line="480" w:lineRule="auto"/>
        <w:ind w:left="720"/>
        <w:rPr>
          <w:rFonts w:ascii="Arial" w:hAnsi="Arial" w:cs="Arial"/>
        </w:rPr>
      </w:pPr>
      <w:r w:rsidRPr="0058395E">
        <w:rPr>
          <w:rFonts w:ascii="Arial" w:hAnsi="Arial" w:cs="Arial"/>
        </w:rPr>
        <w:fldChar w:fldCharType="begin"/>
      </w:r>
      <w:r>
        <w:rPr>
          <w:rFonts w:ascii="Arial" w:hAnsi="Arial" w:cs="Arial"/>
        </w:rPr>
        <w:instrText xml:space="preserve"> INCLUDEPICTURE "C:\\Users\\sbateup\\.JASP\\temp\\clipboard\\resources\\8\\_11.png" \* MERGEFORMAT </w:instrText>
      </w:r>
      <w:r w:rsidRPr="0058395E">
        <w:rPr>
          <w:rFonts w:ascii="Arial" w:hAnsi="Arial" w:cs="Arial"/>
        </w:rPr>
        <w:fldChar w:fldCharType="end"/>
      </w:r>
    </w:p>
    <w:p w14:paraId="37D1DD08" w14:textId="77777777" w:rsidR="00B75D75" w:rsidRDefault="00B75D75" w:rsidP="00B75D75">
      <w:pPr>
        <w:spacing w:line="480" w:lineRule="auto"/>
        <w:ind w:left="720"/>
        <w:rPr>
          <w:rFonts w:ascii="Arial" w:hAnsi="Arial" w:cs="Arial"/>
        </w:rPr>
      </w:pPr>
    </w:p>
    <w:p w14:paraId="2C131219" w14:textId="77777777" w:rsidR="0094107D" w:rsidRDefault="0094107D" w:rsidP="00147830">
      <w:pPr>
        <w:spacing w:line="480" w:lineRule="auto"/>
        <w:rPr>
          <w:rFonts w:ascii="Arial" w:hAnsi="Arial" w:cs="Arial"/>
          <w:b/>
          <w:bCs/>
          <w:color w:val="000000" w:themeColor="text1"/>
          <w:sz w:val="22"/>
          <w:szCs w:val="22"/>
        </w:rPr>
      </w:pPr>
    </w:p>
    <w:p w14:paraId="00BD6F6F" w14:textId="77777777" w:rsidR="0094107D" w:rsidRDefault="0094107D" w:rsidP="00147830">
      <w:pPr>
        <w:spacing w:line="480" w:lineRule="auto"/>
        <w:rPr>
          <w:rFonts w:ascii="Arial" w:hAnsi="Arial" w:cs="Arial"/>
          <w:b/>
          <w:bCs/>
          <w:color w:val="000000" w:themeColor="text1"/>
          <w:sz w:val="22"/>
          <w:szCs w:val="22"/>
        </w:rPr>
      </w:pPr>
    </w:p>
    <w:p w14:paraId="0DA82E9A" w14:textId="77777777" w:rsidR="0094107D" w:rsidRDefault="0094107D" w:rsidP="00147830">
      <w:pPr>
        <w:spacing w:line="480" w:lineRule="auto"/>
        <w:rPr>
          <w:rFonts w:ascii="Arial" w:hAnsi="Arial" w:cs="Arial"/>
          <w:b/>
          <w:bCs/>
          <w:color w:val="000000" w:themeColor="text1"/>
          <w:sz w:val="22"/>
          <w:szCs w:val="22"/>
        </w:rPr>
      </w:pPr>
    </w:p>
    <w:p w14:paraId="7B356F13" w14:textId="77777777" w:rsidR="0094107D" w:rsidRDefault="0094107D" w:rsidP="00147830">
      <w:pPr>
        <w:spacing w:line="480" w:lineRule="auto"/>
        <w:rPr>
          <w:rFonts w:ascii="Arial" w:hAnsi="Arial" w:cs="Arial"/>
          <w:b/>
          <w:bCs/>
          <w:color w:val="000000" w:themeColor="text1"/>
          <w:sz w:val="22"/>
          <w:szCs w:val="22"/>
        </w:rPr>
      </w:pPr>
    </w:p>
    <w:p w14:paraId="4C9386AC" w14:textId="77777777" w:rsidR="0094107D" w:rsidRDefault="0094107D" w:rsidP="00147830">
      <w:pPr>
        <w:spacing w:line="480" w:lineRule="auto"/>
        <w:rPr>
          <w:rFonts w:ascii="Arial" w:hAnsi="Arial" w:cs="Arial"/>
          <w:b/>
          <w:bCs/>
          <w:color w:val="000000" w:themeColor="text1"/>
          <w:sz w:val="22"/>
          <w:szCs w:val="22"/>
        </w:rPr>
      </w:pPr>
    </w:p>
    <w:p w14:paraId="3A6F579F" w14:textId="32DA90E4" w:rsidR="0094107D" w:rsidRDefault="0094107D" w:rsidP="00147830">
      <w:pPr>
        <w:spacing w:line="480" w:lineRule="auto"/>
        <w:rPr>
          <w:rFonts w:ascii="Arial" w:hAnsi="Arial" w:cs="Arial"/>
          <w:b/>
          <w:bCs/>
          <w:color w:val="000000" w:themeColor="text1"/>
          <w:sz w:val="22"/>
          <w:szCs w:val="22"/>
        </w:rPr>
      </w:pPr>
    </w:p>
    <w:p w14:paraId="611CF201" w14:textId="77777777" w:rsidR="00DC401C" w:rsidRDefault="00DC401C" w:rsidP="001E12BE"/>
    <w:p w14:paraId="2503C97F" w14:textId="6C21A0A6" w:rsidR="001E12BE" w:rsidRDefault="00DC401C" w:rsidP="001E12BE">
      <w:r>
        <w:rPr>
          <w:noProof/>
        </w:rPr>
        <mc:AlternateContent>
          <mc:Choice Requires="wps">
            <w:drawing>
              <wp:inline distT="0" distB="0" distL="0" distR="0" wp14:anchorId="10D0B63D" wp14:editId="436B65AF">
                <wp:extent cx="4140835" cy="457200"/>
                <wp:effectExtent l="0" t="0" r="0" b="0"/>
                <wp:docPr id="62" name="Text Box 62" descr="P2047TB8#y1"/>
                <wp:cNvGraphicFramePr/>
                <a:graphic xmlns:a="http://schemas.openxmlformats.org/drawingml/2006/main">
                  <a:graphicData uri="http://schemas.microsoft.com/office/word/2010/wordprocessingShape">
                    <wps:wsp>
                      <wps:cNvSpPr txBox="1"/>
                      <wps:spPr>
                        <a:xfrm>
                          <a:off x="0" y="0"/>
                          <a:ext cx="4140835" cy="457200"/>
                        </a:xfrm>
                        <a:prstGeom prst="rect">
                          <a:avLst/>
                        </a:prstGeom>
                        <a:solidFill>
                          <a:prstClr val="white"/>
                        </a:solidFill>
                        <a:ln>
                          <a:noFill/>
                        </a:ln>
                      </wps:spPr>
                      <wps:txbx>
                        <w:txbxContent>
                          <w:p w14:paraId="65022381" w14:textId="0EFF358E" w:rsidR="008815D7" w:rsidRPr="00D7337B" w:rsidRDefault="008815D7" w:rsidP="0094107D">
                            <w:pPr>
                              <w:pStyle w:val="Figures"/>
                              <w:rPr>
                                <w:noProof/>
                                <w:sz w:val="24"/>
                                <w:szCs w:val="24"/>
                              </w:rPr>
                            </w:pPr>
                            <w:bookmarkStart w:id="337" w:name="_Toc46770952"/>
                            <w:r w:rsidRPr="00DF0CB5">
                              <w:t>Figure 5.5</w:t>
                            </w:r>
                            <w:r w:rsidRPr="0094107D">
                              <w:rPr>
                                <w:b w:val="0"/>
                              </w:rPr>
                              <w:t xml:space="preserve"> Distribution plot for patient reliable improvement rate</w:t>
                            </w:r>
                            <w:bookmarkEnd w:id="33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10D0B63D" id="Text Box 62" o:spid="_x0000_s1035" type="#_x0000_t202" alt="P2047TB8#y1" style="width:326.05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" stroked="f">
                <v:textbox inset="0,0,0,0">
                  <w:txbxContent>
                    <w:p w14:paraId="65022381" w14:textId="0EFF358E" w:rsidR="008815D7" w:rsidRPr="00D7337B" w:rsidRDefault="008815D7" w:rsidP="0094107D">
                      <w:pPr>
                        <w:pStyle w:val="Figures"/>
                        <w:rPr>
                          <w:noProof/>
                          <w:sz w:val="24"/>
                          <w:szCs w:val="24"/>
                        </w:rPr>
                      </w:pPr>
                      <w:bookmarkStart w:id="338" w:name="_Toc46770952"/>
                      <w:r w:rsidRPr="00DF0CB5">
                        <w:t>Figure 5.5</w:t>
                      </w:r>
                      <w:r w:rsidRPr="0094107D">
                        <w:rPr>
                          <w:b w:val="0"/>
                        </w:rPr>
                        <w:t xml:space="preserve"> Distribution plot for patient reliable improvement rate</w:t>
                      </w:r>
                      <w:bookmarkEnd w:id="338"/>
                    </w:p>
                  </w:txbxContent>
                </v:textbox>
                <w10:anchorlock/>
              </v:shape>
            </w:pict>
          </mc:Fallback>
        </mc:AlternateContent>
      </w:r>
    </w:p>
    <w:p w14:paraId="13FC97D7" w14:textId="23493390" w:rsidR="001916E6" w:rsidRDefault="001916E6" w:rsidP="001E12BE"/>
    <w:p w14:paraId="029E4844" w14:textId="3C4E409A" w:rsidR="001916E6" w:rsidRDefault="002516F2" w:rsidP="001E12BE">
      <w:r>
        <w:rPr>
          <w:noProof/>
        </w:rPr>
        <mc:AlternateContent>
          <mc:Choice Requires="wpg">
            <w:drawing>
              <wp:inline distT="0" distB="0" distL="0" distR="0" wp14:anchorId="3F65274D" wp14:editId="3A868D0B">
                <wp:extent cx="4140835" cy="2600325"/>
                <wp:effectExtent l="0" t="0" r="0" b="9525"/>
                <wp:docPr id="58" name="Group 58" descr="P2049#y1"/>
                <wp:cNvGraphicFramePr/>
                <a:graphic xmlns:a="http://schemas.openxmlformats.org/drawingml/2006/main">
                  <a:graphicData uri="http://schemas.microsoft.com/office/word/2010/wordprocessingGroup">
                    <wpg:wgp>
                      <wpg:cNvGrpSpPr/>
                      <wpg:grpSpPr>
                        <a:xfrm>
                          <a:off x="0" y="0"/>
                          <a:ext cx="4140835" cy="2600325"/>
                          <a:chOff x="0" y="0"/>
                          <a:chExt cx="4140835" cy="2600325"/>
                        </a:xfrm>
                      </wpg:grpSpPr>
                      <pic:pic xmlns:pic="http://schemas.openxmlformats.org/drawingml/2006/picture">
                        <pic:nvPicPr>
                          <pic:cNvPr id="32" name="Picture 32"/>
                          <pic:cNvPicPr>
                            <a:picLocks noChangeAspect="1"/>
                          </pic:cNvPicPr>
                        </pic:nvPicPr>
                        <pic:blipFill>
                          <a:blip r:embed="rId61"/>
                          <a:stretch>
                            <a:fillRect/>
                          </a:stretch>
                        </pic:blipFill>
                        <pic:spPr>
                          <a:xfrm>
                            <a:off x="0" y="0"/>
                            <a:ext cx="4140835" cy="2358390"/>
                          </a:xfrm>
                          <a:prstGeom prst="rect">
                            <a:avLst/>
                          </a:prstGeom>
                        </pic:spPr>
                      </pic:pic>
                      <wps:wsp>
                        <wps:cNvPr id="53" name="Text Box 2"/>
                        <wps:cNvSpPr txBox="1">
                          <a:spLocks noChangeArrowheads="1"/>
                        </wps:cNvSpPr>
                        <wps:spPr bwMode="auto">
                          <a:xfrm>
                            <a:off x="685800" y="2124075"/>
                            <a:ext cx="3095625" cy="476250"/>
                          </a:xfrm>
                          <a:prstGeom prst="rect">
                            <a:avLst/>
                          </a:prstGeom>
                          <a:solidFill>
                            <a:schemeClr val="bg1"/>
                          </a:solidFill>
                          <a:ln w="9525">
                            <a:noFill/>
                            <a:miter lim="800000"/>
                            <a:headEnd/>
                            <a:tailEnd/>
                          </a:ln>
                        </wps:spPr>
                        <wps:txbx>
                          <w:txbxContent>
                            <w:p w14:paraId="2413BE14" w14:textId="6C6A156A" w:rsidR="008815D7" w:rsidRPr="0094107D" w:rsidRDefault="008815D7" w:rsidP="0094107D">
                              <w:pPr>
                                <w:jc w:val="center"/>
                                <w:rPr>
                                  <w:rFonts w:ascii="Arial" w:hAnsi="Arial" w:cs="Arial"/>
                                  <w:sz w:val="22"/>
                                  <w:szCs w:val="20"/>
                                </w:rPr>
                              </w:pPr>
                              <w:r>
                                <w:rPr>
                                  <w:rFonts w:ascii="Arial" w:hAnsi="Arial" w:cs="Arial"/>
                                  <w:sz w:val="22"/>
                                  <w:szCs w:val="20"/>
                                </w:rPr>
                                <w:t>Reliable Improvement</w:t>
                              </w:r>
                            </w:p>
                          </w:txbxContent>
                        </wps:txbx>
                        <wps:bodyPr rot="0" vert="horz" wrap="square" lIns="91440" tIns="45720" rIns="91440" bIns="45720" anchor="t" anchorCtr="0">
                          <a:noAutofit/>
                        </wps:bodyPr>
                      </wps:wsp>
                    </wpg:wgp>
                  </a:graphicData>
                </a:graphic>
              </wp:inline>
            </w:drawing>
          </mc:Choice>
          <mc:Fallback>
            <w:pict>
              <v:group w14:anchorId="3F65274D" id="Group 58" o:spid="_x0000_s1036" alt="P2049#y1" style="width:326.05pt;height:204.75pt;mso-position-horizontal-relative:char;mso-position-vertical-relative:line" coordsize="41408,260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">
                <v:shape id="Picture 32" o:spid="_x0000_s1037" type="#_x0000_t75" style="position:absolute;width:41408;height:23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">
                  <v:imagedata r:id="rId62" o:title=""/>
                </v:shape>
                <v:shape id="Text Box 2" o:spid="_x0000_s1038" type="#_x0000_t202" style="position:absolute;left:6858;top:21240;width:30956;height:4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" fillcolor="white [3212]" stroked="f">
                  <v:textbox>
                    <w:txbxContent>
                      <w:p w14:paraId="2413BE14" w14:textId="6C6A156A" w:rsidR="008815D7" w:rsidRPr="0094107D" w:rsidRDefault="008815D7" w:rsidP="0094107D">
                        <w:pPr>
                          <w:jc w:val="center"/>
                          <w:rPr>
                            <w:rFonts w:ascii="Arial" w:hAnsi="Arial" w:cs="Arial"/>
                            <w:sz w:val="22"/>
                            <w:szCs w:val="20"/>
                          </w:rPr>
                        </w:pPr>
                        <w:r>
                          <w:rPr>
                            <w:rFonts w:ascii="Arial" w:hAnsi="Arial" w:cs="Arial"/>
                            <w:sz w:val="22"/>
                            <w:szCs w:val="20"/>
                          </w:rPr>
                          <w:t>Reliable Improvement</w:t>
                        </w:r>
                      </w:p>
                    </w:txbxContent>
                  </v:textbox>
                </v:shape>
                <w10:anchorlock/>
              </v:group>
            </w:pict>
          </mc:Fallback>
        </mc:AlternateContent>
      </w:r>
    </w:p>
    <w:p w14:paraId="7AED7641" w14:textId="257A3D37" w:rsidR="001916E6" w:rsidRDefault="001916E6" w:rsidP="001E12BE"/>
    <w:p w14:paraId="313790CF" w14:textId="09BCC0CE" w:rsidR="001916E6" w:rsidRDefault="001916E6" w:rsidP="001E12BE"/>
    <w:p w14:paraId="63BF66DF" w14:textId="0609AD69" w:rsidR="001E12BE" w:rsidRDefault="001E12BE" w:rsidP="001E12BE"/>
    <w:p w14:paraId="147DD1CA" w14:textId="2DA7F2D2" w:rsidR="001E12BE" w:rsidRDefault="001E12BE" w:rsidP="001E12BE"/>
    <w:p w14:paraId="3AE4B1F2" w14:textId="77777777" w:rsidR="007C21EF" w:rsidRDefault="007C21EF">
      <w:pPr>
        <w:rPr>
          <w:rFonts w:ascii="Arial" w:hAnsi="Arial" w:cs="Arial"/>
          <w:color w:val="000000" w:themeColor="text1"/>
          <w:sz w:val="22"/>
          <w:szCs w:val="22"/>
        </w:rPr>
      </w:pPr>
      <w:r>
        <w:rPr>
          <w:rFonts w:ascii="Arial" w:hAnsi="Arial" w:cs="Arial"/>
          <w:color w:val="000000" w:themeColor="text1"/>
          <w:sz w:val="22"/>
          <w:szCs w:val="22"/>
        </w:rPr>
        <w:br w:type="page"/>
      </w:r>
    </w:p>
    <w:p w14:paraId="2AAE2936" w14:textId="3108D51E" w:rsidR="007F596B" w:rsidRPr="007C21EF" w:rsidRDefault="008A1595" w:rsidP="007C21EF">
      <w:pPr>
        <w:pStyle w:val="Heading3"/>
      </w:pPr>
      <w:bookmarkStart w:id="339" w:name="_Toc46770817"/>
      <w:bookmarkStart w:id="340" w:name="_Toc79414228"/>
      <w:r>
        <w:lastRenderedPageBreak/>
        <w:t>5</w:t>
      </w:r>
      <w:r w:rsidR="007F596B" w:rsidRPr="005E6335">
        <w:t>.2.</w:t>
      </w:r>
      <w:r w:rsidR="007C21EF">
        <w:t>5</w:t>
      </w:r>
      <w:r w:rsidR="007F596B" w:rsidRPr="005E6335">
        <w:t xml:space="preserve"> Summary of descriptive statistics</w:t>
      </w:r>
      <w:bookmarkEnd w:id="339"/>
      <w:bookmarkEnd w:id="340"/>
    </w:p>
    <w:p w14:paraId="766FB350" w14:textId="77777777" w:rsidR="007F596B" w:rsidRPr="005E6335" w:rsidRDefault="007F596B" w:rsidP="007F596B"/>
    <w:p w14:paraId="363EF4D5" w14:textId="0513D264" w:rsidR="007F596B" w:rsidRPr="00294F16" w:rsidRDefault="007F596B" w:rsidP="007F596B">
      <w:pPr>
        <w:spacing w:line="480" w:lineRule="auto"/>
        <w:rPr>
          <w:rFonts w:ascii="Arial" w:hAnsi="Arial" w:cs="Arial"/>
          <w:sz w:val="22"/>
          <w:szCs w:val="22"/>
        </w:rPr>
      </w:pPr>
      <w:r w:rsidRPr="005E6335">
        <w:rPr>
          <w:rFonts w:ascii="Arial" w:hAnsi="Arial" w:cs="Arial"/>
          <w:sz w:val="22"/>
          <w:szCs w:val="22"/>
        </w:rPr>
        <w:t xml:space="preserve">This section reported the descriptive statistics for the dependent variable and each of the independent variables.  </w:t>
      </w:r>
      <w:r w:rsidRPr="00294F16">
        <w:rPr>
          <w:rFonts w:ascii="Arial" w:hAnsi="Arial" w:cs="Arial"/>
          <w:sz w:val="22"/>
          <w:szCs w:val="22"/>
        </w:rPr>
        <w:t xml:space="preserve">This chapter will now </w:t>
      </w:r>
      <w:r>
        <w:rPr>
          <w:rFonts w:ascii="Arial" w:hAnsi="Arial" w:cs="Arial"/>
          <w:sz w:val="22"/>
          <w:szCs w:val="22"/>
        </w:rPr>
        <w:t xml:space="preserve">report </w:t>
      </w:r>
      <w:r w:rsidRPr="00294F16">
        <w:rPr>
          <w:rFonts w:ascii="Arial" w:hAnsi="Arial" w:cs="Arial"/>
          <w:sz w:val="22"/>
          <w:szCs w:val="22"/>
        </w:rPr>
        <w:t xml:space="preserve">the </w:t>
      </w:r>
      <w:r>
        <w:rPr>
          <w:rFonts w:ascii="Arial" w:hAnsi="Arial" w:cs="Arial"/>
          <w:sz w:val="22"/>
          <w:szCs w:val="22"/>
        </w:rPr>
        <w:t>inter-rater reliability coefficient for the rating of therapist competence (F score) and therapist adherence to an evidence-based protocol (A score).</w:t>
      </w:r>
    </w:p>
    <w:p w14:paraId="28435118" w14:textId="77777777" w:rsidR="007F596B" w:rsidRDefault="007F596B" w:rsidP="007F596B">
      <w:pPr>
        <w:spacing w:line="480" w:lineRule="auto"/>
        <w:rPr>
          <w:rFonts w:ascii="Arial" w:hAnsi="Arial" w:cs="Arial"/>
          <w:b/>
          <w:sz w:val="22"/>
          <w:szCs w:val="22"/>
        </w:rPr>
      </w:pPr>
    </w:p>
    <w:p w14:paraId="398AC4A9" w14:textId="6893C04A" w:rsidR="007F596B" w:rsidRDefault="008A1595" w:rsidP="007F596B">
      <w:pPr>
        <w:pStyle w:val="Heading2"/>
        <w:rPr>
          <w:rFonts w:ascii="Arial" w:hAnsi="Arial" w:cs="Arial"/>
          <w:b w:val="0"/>
          <w:color w:val="000000" w:themeColor="text1"/>
          <w:sz w:val="22"/>
          <w:szCs w:val="22"/>
        </w:rPr>
      </w:pPr>
      <w:bookmarkStart w:id="341" w:name="_Toc46770818"/>
      <w:bookmarkStart w:id="342" w:name="_Toc79414229"/>
      <w:r>
        <w:rPr>
          <w:rFonts w:ascii="Arial" w:hAnsi="Arial" w:cs="Arial"/>
          <w:color w:val="000000" w:themeColor="text1"/>
          <w:sz w:val="22"/>
          <w:szCs w:val="22"/>
        </w:rPr>
        <w:t>5</w:t>
      </w:r>
      <w:r w:rsidR="007F596B" w:rsidRPr="00294F16">
        <w:rPr>
          <w:rFonts w:ascii="Arial" w:hAnsi="Arial" w:cs="Arial"/>
          <w:color w:val="000000" w:themeColor="text1"/>
          <w:sz w:val="22"/>
          <w:szCs w:val="22"/>
        </w:rPr>
        <w:t>.3 INTER-RATER RELIABILITY</w:t>
      </w:r>
      <w:bookmarkEnd w:id="341"/>
      <w:bookmarkEnd w:id="342"/>
      <w:r w:rsidR="007F596B" w:rsidRPr="00294F16">
        <w:rPr>
          <w:rFonts w:ascii="Arial" w:hAnsi="Arial" w:cs="Arial"/>
          <w:color w:val="000000" w:themeColor="text1"/>
          <w:sz w:val="22"/>
          <w:szCs w:val="22"/>
        </w:rPr>
        <w:t xml:space="preserve"> </w:t>
      </w:r>
    </w:p>
    <w:p w14:paraId="1BA7510D" w14:textId="77777777" w:rsidR="007F596B" w:rsidRPr="00294F16" w:rsidRDefault="007F596B" w:rsidP="007F596B"/>
    <w:p w14:paraId="758A34B0" w14:textId="7F5CC00E" w:rsidR="00B75D75" w:rsidRPr="00D238AD" w:rsidRDefault="007F596B" w:rsidP="00D238AD">
      <w:pPr>
        <w:spacing w:line="480" w:lineRule="auto"/>
        <w:rPr>
          <w:rFonts w:ascii="Arial" w:hAnsi="Arial" w:cs="Arial"/>
          <w:sz w:val="22"/>
          <w:szCs w:val="22"/>
        </w:rPr>
      </w:pPr>
      <w:r w:rsidRPr="00294F16">
        <w:rPr>
          <w:rFonts w:ascii="Arial" w:hAnsi="Arial" w:cs="Arial"/>
          <w:sz w:val="22"/>
          <w:szCs w:val="22"/>
        </w:rPr>
        <w:t>Interrater reliability reflects the variation between 2 or more raters who are measuring the same sample (Koo and Mae, 2016).  This study used 6 raters to rate therapist fidelity to the CBT model using the CTS-R and therapist adherence to the evidence base (see chapter four for further details). An Intraclass Correlation Coefficient (ICC) using the McGraw and Wong (1996) convention of two-way mixed effects, absolute agreement with multiple raters was undertaken for both CTS-R rating and rating therapist adherence to the evidence base.</w:t>
      </w:r>
      <w:r w:rsidR="00D238AD">
        <w:rPr>
          <w:rFonts w:ascii="Arial" w:hAnsi="Arial" w:cs="Arial"/>
          <w:sz w:val="22"/>
          <w:szCs w:val="22"/>
        </w:rPr>
        <w:br/>
      </w:r>
    </w:p>
    <w:p w14:paraId="5079560C" w14:textId="578DC9F9" w:rsidR="007F596B" w:rsidRDefault="008A1595" w:rsidP="007F596B">
      <w:pPr>
        <w:pStyle w:val="Heading3"/>
        <w:rPr>
          <w:rFonts w:cs="Arial"/>
          <w:b w:val="0"/>
          <w:color w:val="000000" w:themeColor="text1"/>
          <w:szCs w:val="22"/>
        </w:rPr>
      </w:pPr>
      <w:bookmarkStart w:id="343" w:name="_Toc46770819"/>
      <w:bookmarkStart w:id="344" w:name="_Toc79414230"/>
      <w:r>
        <w:rPr>
          <w:rFonts w:cs="Arial"/>
          <w:color w:val="000000" w:themeColor="text1"/>
          <w:szCs w:val="22"/>
        </w:rPr>
        <w:t>5</w:t>
      </w:r>
      <w:r w:rsidR="007F596B" w:rsidRPr="00294F16">
        <w:rPr>
          <w:rFonts w:cs="Arial"/>
          <w:color w:val="000000" w:themeColor="text1"/>
          <w:szCs w:val="22"/>
        </w:rPr>
        <w:t>.3.1 Interrater reliability for CTS-R rating</w:t>
      </w:r>
      <w:r w:rsidR="007F596B">
        <w:rPr>
          <w:rFonts w:cs="Arial"/>
          <w:color w:val="000000" w:themeColor="text1"/>
          <w:szCs w:val="22"/>
        </w:rPr>
        <w:t xml:space="preserve"> (F score)</w:t>
      </w:r>
      <w:bookmarkEnd w:id="343"/>
      <w:bookmarkEnd w:id="344"/>
    </w:p>
    <w:p w14:paraId="59E6FCD9" w14:textId="77777777" w:rsidR="007F596B" w:rsidRPr="00294F16" w:rsidRDefault="007F596B" w:rsidP="007F596B"/>
    <w:p w14:paraId="144FADA3" w14:textId="320C0B75" w:rsidR="00147830" w:rsidRPr="00D238AD" w:rsidRDefault="007F596B" w:rsidP="00D238AD">
      <w:pPr>
        <w:spacing w:line="480" w:lineRule="auto"/>
        <w:rPr>
          <w:rFonts w:ascii="Arial" w:hAnsi="Arial" w:cs="Arial"/>
          <w:sz w:val="22"/>
          <w:szCs w:val="22"/>
        </w:rPr>
      </w:pPr>
      <w:r w:rsidRPr="008C1776">
        <w:rPr>
          <w:rFonts w:ascii="Arial" w:hAnsi="Arial" w:cs="Arial"/>
          <w:sz w:val="22"/>
          <w:szCs w:val="22"/>
        </w:rPr>
        <w:t xml:space="preserve">The ICC was initially undertaken with 10 </w:t>
      </w:r>
      <w:r w:rsidRPr="00CF1079">
        <w:rPr>
          <w:rFonts w:ascii="Arial" w:hAnsi="Arial" w:cs="Arial"/>
          <w:sz w:val="22"/>
          <w:szCs w:val="22"/>
        </w:rPr>
        <w:t>raters where a 95% confiden</w:t>
      </w:r>
      <w:r w:rsidR="007A5F8F" w:rsidRPr="00CF1079">
        <w:rPr>
          <w:rFonts w:ascii="Arial" w:hAnsi="Arial" w:cs="Arial"/>
          <w:sz w:val="22"/>
          <w:szCs w:val="22"/>
        </w:rPr>
        <w:t>ce</w:t>
      </w:r>
      <w:r w:rsidRPr="00CF1079">
        <w:rPr>
          <w:rFonts w:ascii="Arial" w:hAnsi="Arial" w:cs="Arial"/>
          <w:sz w:val="22"/>
          <w:szCs w:val="22"/>
        </w:rPr>
        <w:t xml:space="preserve"> interval</w:t>
      </w:r>
      <w:r w:rsidRPr="008C1776">
        <w:rPr>
          <w:rFonts w:ascii="Arial" w:hAnsi="Arial" w:cs="Arial"/>
          <w:sz w:val="22"/>
          <w:szCs w:val="22"/>
        </w:rPr>
        <w:t xml:space="preserve"> of an ICC estimate of 0.716 was 0.359 – 0.944.  After further interrater reliability training 4 </w:t>
      </w:r>
      <w:r w:rsidR="00F52EFF">
        <w:rPr>
          <w:rFonts w:ascii="Arial" w:hAnsi="Arial" w:cs="Arial"/>
          <w:sz w:val="22"/>
          <w:szCs w:val="22"/>
        </w:rPr>
        <w:t xml:space="preserve">of the 10 </w:t>
      </w:r>
      <w:r w:rsidRPr="008C1776">
        <w:rPr>
          <w:rFonts w:ascii="Arial" w:hAnsi="Arial" w:cs="Arial"/>
          <w:sz w:val="22"/>
          <w:szCs w:val="22"/>
        </w:rPr>
        <w:t xml:space="preserve">raters were excluded from the study as they were consistent outliers. Using new </w:t>
      </w:r>
      <w:r w:rsidR="00F52EFF">
        <w:rPr>
          <w:rFonts w:ascii="Arial" w:hAnsi="Arial" w:cs="Arial"/>
          <w:sz w:val="22"/>
          <w:szCs w:val="22"/>
        </w:rPr>
        <w:t xml:space="preserve">clinical </w:t>
      </w:r>
      <w:r w:rsidRPr="008C1776">
        <w:rPr>
          <w:rFonts w:ascii="Arial" w:hAnsi="Arial" w:cs="Arial"/>
          <w:sz w:val="22"/>
          <w:szCs w:val="22"/>
        </w:rPr>
        <w:t>samples ICC correlation using 6 raters was undertaken where 95% confiden</w:t>
      </w:r>
      <w:r w:rsidR="007A5F8F">
        <w:rPr>
          <w:rFonts w:ascii="Arial" w:hAnsi="Arial" w:cs="Arial"/>
          <w:sz w:val="22"/>
          <w:szCs w:val="22"/>
        </w:rPr>
        <w:t>ce</w:t>
      </w:r>
      <w:r w:rsidRPr="008C1776">
        <w:rPr>
          <w:rFonts w:ascii="Arial" w:hAnsi="Arial" w:cs="Arial"/>
          <w:sz w:val="22"/>
          <w:szCs w:val="22"/>
        </w:rPr>
        <w:t xml:space="preserve"> interval of an ICC estimate of 0.983 was 0.946- 0.997.</w:t>
      </w:r>
      <w:r w:rsidR="00D238AD">
        <w:rPr>
          <w:rFonts w:ascii="Arial" w:hAnsi="Arial" w:cs="Arial"/>
          <w:sz w:val="22"/>
          <w:szCs w:val="22"/>
        </w:rPr>
        <w:br/>
      </w:r>
    </w:p>
    <w:p w14:paraId="31139B4F" w14:textId="16A6B3E2" w:rsidR="007F596B" w:rsidRDefault="008A1595" w:rsidP="007F596B">
      <w:pPr>
        <w:pStyle w:val="Heading3"/>
        <w:rPr>
          <w:rFonts w:cs="Arial"/>
          <w:b w:val="0"/>
          <w:color w:val="000000" w:themeColor="text1"/>
          <w:szCs w:val="22"/>
        </w:rPr>
      </w:pPr>
      <w:bookmarkStart w:id="345" w:name="_Toc46770820"/>
      <w:bookmarkStart w:id="346" w:name="_Toc79414231"/>
      <w:r>
        <w:rPr>
          <w:rFonts w:cs="Arial"/>
          <w:color w:val="000000" w:themeColor="text1"/>
          <w:szCs w:val="22"/>
        </w:rPr>
        <w:t>5</w:t>
      </w:r>
      <w:r w:rsidR="007F596B" w:rsidRPr="00294F16">
        <w:rPr>
          <w:rFonts w:cs="Arial"/>
          <w:color w:val="000000" w:themeColor="text1"/>
          <w:szCs w:val="22"/>
        </w:rPr>
        <w:t>.3.2 Inter</w:t>
      </w:r>
      <w:r w:rsidR="007F596B">
        <w:rPr>
          <w:rFonts w:cs="Arial"/>
          <w:color w:val="000000" w:themeColor="text1"/>
          <w:szCs w:val="22"/>
        </w:rPr>
        <w:t>-</w:t>
      </w:r>
      <w:r w:rsidR="007F596B" w:rsidRPr="00294F16">
        <w:rPr>
          <w:rFonts w:cs="Arial"/>
          <w:color w:val="000000" w:themeColor="text1"/>
          <w:szCs w:val="22"/>
        </w:rPr>
        <w:t>rater reliability for rating therapist adherence to the evidence base</w:t>
      </w:r>
      <w:r w:rsidR="007F596B">
        <w:rPr>
          <w:rFonts w:cs="Arial"/>
          <w:color w:val="000000" w:themeColor="text1"/>
          <w:szCs w:val="22"/>
        </w:rPr>
        <w:t xml:space="preserve"> (A score)</w:t>
      </w:r>
      <w:bookmarkEnd w:id="345"/>
      <w:bookmarkEnd w:id="346"/>
    </w:p>
    <w:p w14:paraId="5839E9BC" w14:textId="77777777" w:rsidR="007F596B" w:rsidRPr="00294F16" w:rsidRDefault="007F596B" w:rsidP="007F596B"/>
    <w:p w14:paraId="40C8A870" w14:textId="17568A34" w:rsidR="007F596B" w:rsidRDefault="007F596B" w:rsidP="007F596B">
      <w:pPr>
        <w:spacing w:line="480" w:lineRule="auto"/>
        <w:rPr>
          <w:rFonts w:ascii="Arial" w:hAnsi="Arial" w:cs="Arial"/>
          <w:sz w:val="22"/>
          <w:szCs w:val="22"/>
        </w:rPr>
      </w:pPr>
      <w:r w:rsidRPr="008C1776">
        <w:rPr>
          <w:rFonts w:ascii="Arial" w:hAnsi="Arial" w:cs="Arial"/>
          <w:sz w:val="22"/>
          <w:szCs w:val="22"/>
        </w:rPr>
        <w:t xml:space="preserve">Again, the ICC was initially undertaken with </w:t>
      </w:r>
      <w:r w:rsidRPr="00CF1079">
        <w:rPr>
          <w:rFonts w:ascii="Arial" w:hAnsi="Arial" w:cs="Arial"/>
          <w:sz w:val="22"/>
          <w:szCs w:val="22"/>
        </w:rPr>
        <w:t>10 raters where a 95% confiden</w:t>
      </w:r>
      <w:r w:rsidR="007A5F8F" w:rsidRPr="00CF1079">
        <w:rPr>
          <w:rFonts w:ascii="Arial" w:hAnsi="Arial" w:cs="Arial"/>
          <w:sz w:val="22"/>
          <w:szCs w:val="22"/>
        </w:rPr>
        <w:t>ce</w:t>
      </w:r>
      <w:r w:rsidRPr="00CF1079">
        <w:rPr>
          <w:rFonts w:ascii="Arial" w:hAnsi="Arial" w:cs="Arial"/>
          <w:sz w:val="22"/>
          <w:szCs w:val="22"/>
        </w:rPr>
        <w:t xml:space="preserve"> interval</w:t>
      </w:r>
      <w:r w:rsidRPr="008C1776">
        <w:rPr>
          <w:rFonts w:ascii="Arial" w:hAnsi="Arial" w:cs="Arial"/>
          <w:sz w:val="22"/>
          <w:szCs w:val="22"/>
        </w:rPr>
        <w:t xml:space="preserve"> of an ICC estimate of 0.46 was -0.246 – 0.901.  After further interrater reliability training</w:t>
      </w:r>
      <w:r w:rsidR="00F52EFF">
        <w:rPr>
          <w:rFonts w:ascii="Arial" w:hAnsi="Arial" w:cs="Arial"/>
          <w:sz w:val="22"/>
          <w:szCs w:val="22"/>
        </w:rPr>
        <w:t xml:space="preserve"> the same</w:t>
      </w:r>
      <w:r w:rsidRPr="008C1776">
        <w:rPr>
          <w:rFonts w:ascii="Arial" w:hAnsi="Arial" w:cs="Arial"/>
          <w:sz w:val="22"/>
          <w:szCs w:val="22"/>
        </w:rPr>
        <w:t xml:space="preserve"> 4 raters were excluded from the study as they were</w:t>
      </w:r>
      <w:r w:rsidR="00F52EFF">
        <w:rPr>
          <w:rFonts w:ascii="Arial" w:hAnsi="Arial" w:cs="Arial"/>
          <w:sz w:val="22"/>
          <w:szCs w:val="22"/>
        </w:rPr>
        <w:t>, again,</w:t>
      </w:r>
      <w:r w:rsidRPr="008C1776">
        <w:rPr>
          <w:rFonts w:ascii="Arial" w:hAnsi="Arial" w:cs="Arial"/>
          <w:sz w:val="22"/>
          <w:szCs w:val="22"/>
        </w:rPr>
        <w:t xml:space="preserve"> consistent outliers. Using new </w:t>
      </w:r>
      <w:r w:rsidR="00F52EFF">
        <w:rPr>
          <w:rFonts w:ascii="Arial" w:hAnsi="Arial" w:cs="Arial"/>
          <w:sz w:val="22"/>
          <w:szCs w:val="22"/>
        </w:rPr>
        <w:lastRenderedPageBreak/>
        <w:t xml:space="preserve">clinical </w:t>
      </w:r>
      <w:r w:rsidRPr="008C1776">
        <w:rPr>
          <w:rFonts w:ascii="Arial" w:hAnsi="Arial" w:cs="Arial"/>
          <w:sz w:val="22"/>
          <w:szCs w:val="22"/>
        </w:rPr>
        <w:t xml:space="preserve">samples ICC correlation </w:t>
      </w:r>
      <w:r w:rsidRPr="00CF1079">
        <w:rPr>
          <w:rFonts w:ascii="Arial" w:hAnsi="Arial" w:cs="Arial"/>
          <w:sz w:val="22"/>
          <w:szCs w:val="22"/>
        </w:rPr>
        <w:t>using 6 raters was undertaken where a 95% confiden</w:t>
      </w:r>
      <w:r w:rsidR="007A5F8F" w:rsidRPr="00CF1079">
        <w:rPr>
          <w:rFonts w:ascii="Arial" w:hAnsi="Arial" w:cs="Arial"/>
          <w:sz w:val="22"/>
          <w:szCs w:val="22"/>
        </w:rPr>
        <w:t>ce</w:t>
      </w:r>
      <w:r w:rsidRPr="00CF1079">
        <w:rPr>
          <w:rFonts w:ascii="Arial" w:hAnsi="Arial" w:cs="Arial"/>
          <w:sz w:val="22"/>
          <w:szCs w:val="22"/>
        </w:rPr>
        <w:t xml:space="preserve"> interval of</w:t>
      </w:r>
      <w:r w:rsidRPr="008C1776">
        <w:rPr>
          <w:rFonts w:ascii="Arial" w:hAnsi="Arial" w:cs="Arial"/>
          <w:sz w:val="22"/>
          <w:szCs w:val="22"/>
        </w:rPr>
        <w:t xml:space="preserve"> an ICC estimate of 0.953 was 0.857 – 0.992.</w:t>
      </w:r>
    </w:p>
    <w:p w14:paraId="35F1DE4B" w14:textId="77777777" w:rsidR="007F596B" w:rsidRPr="008C1776" w:rsidRDefault="007F596B" w:rsidP="007F596B">
      <w:pPr>
        <w:spacing w:line="480" w:lineRule="auto"/>
        <w:rPr>
          <w:rFonts w:ascii="Arial" w:hAnsi="Arial" w:cs="Arial"/>
          <w:sz w:val="22"/>
          <w:szCs w:val="22"/>
        </w:rPr>
      </w:pPr>
    </w:p>
    <w:p w14:paraId="15959C48" w14:textId="4FF3B54C" w:rsidR="00746A76" w:rsidRDefault="008A1595" w:rsidP="00746A76">
      <w:pPr>
        <w:pStyle w:val="Heading2"/>
        <w:rPr>
          <w:rFonts w:ascii="Arial" w:hAnsi="Arial" w:cs="Arial"/>
          <w:b w:val="0"/>
          <w:color w:val="000000" w:themeColor="text1"/>
          <w:sz w:val="22"/>
          <w:szCs w:val="22"/>
        </w:rPr>
      </w:pPr>
      <w:bookmarkStart w:id="347" w:name="_Toc46770821"/>
      <w:bookmarkStart w:id="348" w:name="_Toc79414232"/>
      <w:r>
        <w:rPr>
          <w:rFonts w:ascii="Arial" w:hAnsi="Arial" w:cs="Arial"/>
          <w:color w:val="000000" w:themeColor="text1"/>
          <w:sz w:val="22"/>
          <w:szCs w:val="22"/>
        </w:rPr>
        <w:t>5</w:t>
      </w:r>
      <w:r w:rsidR="007F596B" w:rsidRPr="00294F16">
        <w:rPr>
          <w:rFonts w:ascii="Arial" w:hAnsi="Arial" w:cs="Arial"/>
          <w:color w:val="000000" w:themeColor="text1"/>
          <w:sz w:val="22"/>
          <w:szCs w:val="22"/>
        </w:rPr>
        <w:t>.</w:t>
      </w:r>
      <w:r w:rsidR="007146C6">
        <w:rPr>
          <w:rFonts w:ascii="Arial" w:hAnsi="Arial" w:cs="Arial"/>
          <w:color w:val="000000" w:themeColor="text1"/>
          <w:sz w:val="22"/>
          <w:szCs w:val="22"/>
        </w:rPr>
        <w:t>4</w:t>
      </w:r>
      <w:r w:rsidR="007F596B" w:rsidRPr="00294F16">
        <w:rPr>
          <w:rFonts w:ascii="Arial" w:hAnsi="Arial" w:cs="Arial"/>
          <w:color w:val="000000" w:themeColor="text1"/>
          <w:sz w:val="22"/>
          <w:szCs w:val="22"/>
        </w:rPr>
        <w:t xml:space="preserve"> </w:t>
      </w:r>
      <w:r w:rsidR="00746A76" w:rsidRPr="00294F16">
        <w:rPr>
          <w:rFonts w:ascii="Arial" w:hAnsi="Arial" w:cs="Arial"/>
          <w:color w:val="000000" w:themeColor="text1"/>
          <w:sz w:val="22"/>
          <w:szCs w:val="22"/>
        </w:rPr>
        <w:t>CORRELATION BETWEEN THERAPIST DEMOGRAPHICS AND OUTCOME</w:t>
      </w:r>
      <w:bookmarkEnd w:id="347"/>
      <w:bookmarkEnd w:id="348"/>
    </w:p>
    <w:p w14:paraId="4957D37D" w14:textId="537EF1B6" w:rsidR="007F596B" w:rsidRPr="004D1CEF" w:rsidRDefault="00D238AD" w:rsidP="004D1CEF">
      <w:pPr>
        <w:spacing w:line="480" w:lineRule="auto"/>
        <w:rPr>
          <w:rFonts w:ascii="Arial" w:hAnsi="Arial" w:cs="Arial"/>
          <w:sz w:val="22"/>
          <w:szCs w:val="22"/>
        </w:rPr>
      </w:pPr>
      <w:r>
        <w:rPr>
          <w:rFonts w:ascii="Arial" w:hAnsi="Arial" w:cs="Arial"/>
          <w:sz w:val="22"/>
          <w:szCs w:val="22"/>
        </w:rPr>
        <w:br/>
      </w:r>
      <w:r w:rsidR="007F596B" w:rsidRPr="00294F16">
        <w:rPr>
          <w:rFonts w:ascii="Arial" w:hAnsi="Arial" w:cs="Arial"/>
          <w:sz w:val="22"/>
          <w:szCs w:val="22"/>
        </w:rPr>
        <w:t>This chapter started with descriptive statistics and inter-rater reliabili</w:t>
      </w:r>
      <w:r w:rsidR="005C0D2E">
        <w:rPr>
          <w:rFonts w:ascii="Arial" w:hAnsi="Arial" w:cs="Arial"/>
          <w:sz w:val="22"/>
          <w:szCs w:val="22"/>
        </w:rPr>
        <w:t>t</w:t>
      </w:r>
      <w:r w:rsidR="00902725">
        <w:rPr>
          <w:rFonts w:ascii="Arial" w:hAnsi="Arial" w:cs="Arial"/>
          <w:sz w:val="22"/>
          <w:szCs w:val="22"/>
        </w:rPr>
        <w:t>y</w:t>
      </w:r>
      <w:r w:rsidR="007F596B" w:rsidRPr="00294F16">
        <w:rPr>
          <w:rFonts w:ascii="Arial" w:hAnsi="Arial" w:cs="Arial"/>
          <w:sz w:val="22"/>
          <w:szCs w:val="22"/>
        </w:rPr>
        <w:t xml:space="preserve"> using the intra</w:t>
      </w:r>
      <w:r w:rsidR="00D85125">
        <w:rPr>
          <w:rFonts w:ascii="Arial" w:hAnsi="Arial" w:cs="Arial"/>
          <w:sz w:val="22"/>
          <w:szCs w:val="22"/>
        </w:rPr>
        <w:t>-</w:t>
      </w:r>
      <w:r w:rsidR="007F596B" w:rsidRPr="00294F16">
        <w:rPr>
          <w:rFonts w:ascii="Arial" w:hAnsi="Arial" w:cs="Arial"/>
          <w:sz w:val="22"/>
          <w:szCs w:val="22"/>
        </w:rPr>
        <w:t xml:space="preserve">class correlation coefficient. The following section will report on the findings </w:t>
      </w:r>
      <w:r w:rsidR="00746A76">
        <w:rPr>
          <w:rFonts w:ascii="Arial" w:hAnsi="Arial" w:cs="Arial"/>
          <w:sz w:val="22"/>
          <w:szCs w:val="22"/>
        </w:rPr>
        <w:t xml:space="preserve">from </w:t>
      </w:r>
      <w:r w:rsidR="007F596B" w:rsidRPr="004D1CEF">
        <w:rPr>
          <w:rFonts w:ascii="Arial" w:hAnsi="Arial" w:cs="Arial"/>
          <w:sz w:val="22"/>
          <w:szCs w:val="22"/>
        </w:rPr>
        <w:t>analysis of the data in order to understand whether any of the predictor variables (therapist demographics, F score and A score) are related to outcome, starting with therapist demographics.</w:t>
      </w:r>
    </w:p>
    <w:p w14:paraId="4959471D" w14:textId="77777777" w:rsidR="007F596B" w:rsidRPr="00294F16" w:rsidRDefault="007F596B" w:rsidP="007F596B">
      <w:pPr>
        <w:spacing w:line="480" w:lineRule="auto"/>
      </w:pPr>
    </w:p>
    <w:p w14:paraId="10B707FC" w14:textId="61E542C9" w:rsidR="00257D9B" w:rsidRDefault="007F596B" w:rsidP="007F596B">
      <w:pPr>
        <w:spacing w:line="480" w:lineRule="auto"/>
        <w:rPr>
          <w:rFonts w:ascii="Arial" w:hAnsi="Arial" w:cs="Arial"/>
          <w:sz w:val="22"/>
          <w:szCs w:val="22"/>
        </w:rPr>
      </w:pPr>
      <w:r w:rsidRPr="00294F16">
        <w:rPr>
          <w:rFonts w:ascii="Arial" w:hAnsi="Arial" w:cs="Arial"/>
          <w:sz w:val="22"/>
          <w:szCs w:val="22"/>
        </w:rPr>
        <w:t>Correlations between therapist variables (age, gender, core profession, experience and training) and recovery rate (dependent variable) were explored using Pearson’s correlation and chi-square</w:t>
      </w:r>
      <w:r w:rsidR="008A1E64">
        <w:rPr>
          <w:rFonts w:ascii="Arial" w:hAnsi="Arial" w:cs="Arial"/>
          <w:sz w:val="22"/>
          <w:szCs w:val="22"/>
        </w:rPr>
        <w:t xml:space="preserve"> goodness of fit</w:t>
      </w:r>
      <w:r w:rsidRPr="00294F16">
        <w:rPr>
          <w:rFonts w:ascii="Arial" w:hAnsi="Arial" w:cs="Arial"/>
          <w:sz w:val="22"/>
          <w:szCs w:val="22"/>
        </w:rPr>
        <w:t xml:space="preserve"> tests. </w:t>
      </w:r>
    </w:p>
    <w:p w14:paraId="7592D354" w14:textId="77777777" w:rsidR="00257D9B" w:rsidRDefault="00257D9B" w:rsidP="007F596B">
      <w:pPr>
        <w:spacing w:line="480" w:lineRule="auto"/>
        <w:rPr>
          <w:rFonts w:ascii="Arial" w:hAnsi="Arial" w:cs="Arial"/>
          <w:sz w:val="22"/>
          <w:szCs w:val="22"/>
        </w:rPr>
      </w:pPr>
    </w:p>
    <w:p w14:paraId="010A022C" w14:textId="7422F6E1" w:rsidR="007F596B" w:rsidRPr="00294F16" w:rsidRDefault="007F596B" w:rsidP="007F596B">
      <w:pPr>
        <w:spacing w:line="480" w:lineRule="auto"/>
        <w:rPr>
          <w:rFonts w:ascii="Arial" w:hAnsi="Arial" w:cs="Arial"/>
          <w:sz w:val="22"/>
          <w:szCs w:val="22"/>
        </w:rPr>
      </w:pPr>
      <w:r w:rsidRPr="00294F16">
        <w:rPr>
          <w:rFonts w:ascii="Arial" w:hAnsi="Arial" w:cs="Arial"/>
          <w:sz w:val="22"/>
          <w:szCs w:val="22"/>
        </w:rPr>
        <w:t>For categorical independent variables (age, gender, core profession and training) chi-square tests were performed</w:t>
      </w:r>
      <w:r w:rsidR="00257D9B">
        <w:rPr>
          <w:rFonts w:ascii="Arial" w:hAnsi="Arial" w:cs="Arial"/>
          <w:sz w:val="22"/>
          <w:szCs w:val="22"/>
        </w:rPr>
        <w:t xml:space="preserve">. </w:t>
      </w:r>
      <w:r w:rsidR="00E45B64" w:rsidRPr="00CF1079">
        <w:rPr>
          <w:rFonts w:ascii="Arial" w:hAnsi="Arial" w:cs="Arial"/>
          <w:sz w:val="22"/>
          <w:szCs w:val="22"/>
        </w:rPr>
        <w:t>The assumptions for</w:t>
      </w:r>
      <w:r w:rsidR="00FE17C7" w:rsidRPr="00CF1079">
        <w:rPr>
          <w:rFonts w:ascii="Arial" w:hAnsi="Arial" w:cs="Arial"/>
          <w:sz w:val="22"/>
          <w:szCs w:val="22"/>
        </w:rPr>
        <w:t xml:space="preserve"> a chi square test were met</w:t>
      </w:r>
      <w:r w:rsidR="00961285" w:rsidRPr="00CF1079">
        <w:rPr>
          <w:rFonts w:ascii="Arial" w:hAnsi="Arial" w:cs="Arial"/>
          <w:sz w:val="22"/>
          <w:szCs w:val="22"/>
        </w:rPr>
        <w:t>. T</w:t>
      </w:r>
      <w:r w:rsidR="00FE17C7" w:rsidRPr="00CF1079">
        <w:rPr>
          <w:rFonts w:ascii="Arial" w:hAnsi="Arial" w:cs="Arial"/>
          <w:sz w:val="22"/>
          <w:szCs w:val="22"/>
        </w:rPr>
        <w:t>he data was</w:t>
      </w:r>
      <w:r w:rsidR="00961285" w:rsidRPr="00CF1079">
        <w:rPr>
          <w:rFonts w:ascii="Arial" w:hAnsi="Arial" w:cs="Arial"/>
          <w:sz w:val="22"/>
          <w:szCs w:val="22"/>
        </w:rPr>
        <w:t xml:space="preserve"> categorical in nature, contained independence of observations</w:t>
      </w:r>
      <w:r w:rsidR="00FE5001" w:rsidRPr="00CF1079">
        <w:rPr>
          <w:rFonts w:ascii="Arial" w:hAnsi="Arial" w:cs="Arial"/>
          <w:sz w:val="22"/>
          <w:szCs w:val="22"/>
        </w:rPr>
        <w:t xml:space="preserve">, mutually exclusive and </w:t>
      </w:r>
      <w:r w:rsidR="00CE4143" w:rsidRPr="00CF1079">
        <w:rPr>
          <w:rFonts w:ascii="Arial" w:hAnsi="Arial" w:cs="Arial"/>
          <w:sz w:val="22"/>
          <w:szCs w:val="22"/>
        </w:rPr>
        <w:t xml:space="preserve">there were at least 5 frequencies in each group. </w:t>
      </w:r>
      <w:r w:rsidR="00A803BD" w:rsidRPr="00CF1079">
        <w:rPr>
          <w:rFonts w:ascii="Arial" w:hAnsi="Arial" w:cs="Arial"/>
          <w:sz w:val="22"/>
          <w:szCs w:val="22"/>
        </w:rPr>
        <w:t>The c</w:t>
      </w:r>
      <w:r w:rsidR="00CE4143" w:rsidRPr="00CF1079">
        <w:rPr>
          <w:rFonts w:ascii="Arial" w:hAnsi="Arial" w:cs="Arial"/>
          <w:sz w:val="22"/>
          <w:szCs w:val="22"/>
        </w:rPr>
        <w:t xml:space="preserve">hi </w:t>
      </w:r>
      <w:r w:rsidR="00A803BD" w:rsidRPr="00CF1079">
        <w:rPr>
          <w:rFonts w:ascii="Arial" w:hAnsi="Arial" w:cs="Arial"/>
          <w:sz w:val="22"/>
          <w:szCs w:val="22"/>
        </w:rPr>
        <w:t>s</w:t>
      </w:r>
      <w:r w:rsidR="00CE4143" w:rsidRPr="00CF1079">
        <w:rPr>
          <w:rFonts w:ascii="Arial" w:hAnsi="Arial" w:cs="Arial"/>
          <w:sz w:val="22"/>
          <w:szCs w:val="22"/>
        </w:rPr>
        <w:t>quare</w:t>
      </w:r>
      <w:r w:rsidR="00A803BD" w:rsidRPr="00CF1079">
        <w:rPr>
          <w:rFonts w:ascii="Arial" w:hAnsi="Arial" w:cs="Arial"/>
          <w:sz w:val="22"/>
          <w:szCs w:val="22"/>
        </w:rPr>
        <w:t xml:space="preserve"> goodness of fit test</w:t>
      </w:r>
      <w:r w:rsidRPr="00CF1079">
        <w:rPr>
          <w:rFonts w:ascii="Arial" w:hAnsi="Arial" w:cs="Arial"/>
          <w:sz w:val="22"/>
          <w:szCs w:val="22"/>
        </w:rPr>
        <w:t xml:space="preserve"> reveal</w:t>
      </w:r>
      <w:r w:rsidR="00A803BD" w:rsidRPr="00CF1079">
        <w:rPr>
          <w:rFonts w:ascii="Arial" w:hAnsi="Arial" w:cs="Arial"/>
          <w:sz w:val="22"/>
          <w:szCs w:val="22"/>
        </w:rPr>
        <w:t>ed</w:t>
      </w:r>
      <w:r w:rsidRPr="00294F16">
        <w:rPr>
          <w:rFonts w:ascii="Arial" w:hAnsi="Arial" w:cs="Arial"/>
          <w:sz w:val="22"/>
          <w:szCs w:val="22"/>
        </w:rPr>
        <w:t xml:space="preserve"> no significant associations between any of the variables and recovery rates (age: X</w:t>
      </w:r>
      <w:r w:rsidRPr="00294F16">
        <w:rPr>
          <w:rFonts w:ascii="Arial" w:hAnsi="Arial" w:cs="Arial"/>
          <w:sz w:val="22"/>
          <w:szCs w:val="22"/>
          <w:vertAlign w:val="superscript"/>
        </w:rPr>
        <w:t>2</w:t>
      </w:r>
      <w:r w:rsidRPr="00294F16">
        <w:rPr>
          <w:rFonts w:ascii="Arial" w:hAnsi="Arial" w:cs="Arial"/>
          <w:sz w:val="22"/>
          <w:szCs w:val="22"/>
        </w:rPr>
        <w:t xml:space="preserve"> = 1.833, p = 0.766, gender: X</w:t>
      </w:r>
      <w:r w:rsidRPr="00294F16">
        <w:rPr>
          <w:rFonts w:ascii="Arial" w:hAnsi="Arial" w:cs="Arial"/>
          <w:sz w:val="22"/>
          <w:szCs w:val="22"/>
          <w:vertAlign w:val="superscript"/>
        </w:rPr>
        <w:t>2</w:t>
      </w:r>
      <w:r w:rsidRPr="00294F16">
        <w:rPr>
          <w:rFonts w:ascii="Arial" w:hAnsi="Arial" w:cs="Arial"/>
          <w:sz w:val="22"/>
          <w:szCs w:val="22"/>
        </w:rPr>
        <w:t xml:space="preserve"> = 0.009, p = 0.923, core profession: X</w:t>
      </w:r>
      <w:r w:rsidRPr="00294F16">
        <w:rPr>
          <w:rFonts w:ascii="Arial" w:hAnsi="Arial" w:cs="Arial"/>
          <w:sz w:val="22"/>
          <w:szCs w:val="22"/>
          <w:vertAlign w:val="superscript"/>
        </w:rPr>
        <w:t>2</w:t>
      </w:r>
      <w:r w:rsidRPr="00294F16">
        <w:rPr>
          <w:rFonts w:ascii="Arial" w:hAnsi="Arial" w:cs="Arial"/>
          <w:sz w:val="22"/>
          <w:szCs w:val="22"/>
        </w:rPr>
        <w:t xml:space="preserve"> = 11.521, p = 0.074, training: X</w:t>
      </w:r>
      <w:r w:rsidRPr="00294F16">
        <w:rPr>
          <w:rFonts w:ascii="Arial" w:hAnsi="Arial" w:cs="Arial"/>
          <w:sz w:val="22"/>
          <w:szCs w:val="22"/>
          <w:vertAlign w:val="superscript"/>
        </w:rPr>
        <w:t>2</w:t>
      </w:r>
      <w:r w:rsidRPr="00294F16">
        <w:rPr>
          <w:rFonts w:ascii="Arial" w:hAnsi="Arial" w:cs="Arial"/>
          <w:sz w:val="22"/>
          <w:szCs w:val="22"/>
        </w:rPr>
        <w:t xml:space="preserve"> = 96.650  p = 0.576 ).  </w:t>
      </w:r>
      <w:r w:rsidR="0076332A" w:rsidRPr="00CF1079">
        <w:rPr>
          <w:rFonts w:ascii="Arial" w:hAnsi="Arial" w:cs="Arial"/>
          <w:sz w:val="22"/>
          <w:szCs w:val="22"/>
        </w:rPr>
        <w:t xml:space="preserve">For the continuous variable </w:t>
      </w:r>
      <w:r w:rsidR="0046558E" w:rsidRPr="00CF1079">
        <w:rPr>
          <w:rFonts w:ascii="Arial" w:hAnsi="Arial" w:cs="Arial"/>
          <w:sz w:val="22"/>
          <w:szCs w:val="22"/>
        </w:rPr>
        <w:t>(years of experience) a Pearson’s correlation was conducted. The assumption</w:t>
      </w:r>
      <w:r w:rsidR="009C7221" w:rsidRPr="00CF1079">
        <w:rPr>
          <w:rFonts w:ascii="Arial" w:hAnsi="Arial" w:cs="Arial"/>
          <w:sz w:val="22"/>
          <w:szCs w:val="22"/>
        </w:rPr>
        <w:t>s</w:t>
      </w:r>
      <w:r w:rsidR="0046558E" w:rsidRPr="00CF1079">
        <w:rPr>
          <w:rFonts w:ascii="Arial" w:hAnsi="Arial" w:cs="Arial"/>
          <w:sz w:val="22"/>
          <w:szCs w:val="22"/>
        </w:rPr>
        <w:t xml:space="preserve"> for the test </w:t>
      </w:r>
      <w:r w:rsidR="009C7221" w:rsidRPr="00CF1079">
        <w:rPr>
          <w:rFonts w:ascii="Arial" w:hAnsi="Arial" w:cs="Arial"/>
          <w:sz w:val="22"/>
          <w:szCs w:val="22"/>
        </w:rPr>
        <w:t>were met.</w:t>
      </w:r>
      <w:r w:rsidR="0046558E" w:rsidRPr="00CF1079">
        <w:rPr>
          <w:rFonts w:ascii="Arial" w:hAnsi="Arial" w:cs="Arial"/>
          <w:sz w:val="22"/>
          <w:szCs w:val="22"/>
        </w:rPr>
        <w:t xml:space="preserve"> </w:t>
      </w:r>
      <w:r w:rsidR="00AA641F" w:rsidRPr="00CF1079">
        <w:rPr>
          <w:rFonts w:ascii="Arial" w:hAnsi="Arial" w:cs="Arial"/>
          <w:sz w:val="22"/>
          <w:szCs w:val="22"/>
        </w:rPr>
        <w:t>The data was approximately normally distributed</w:t>
      </w:r>
      <w:r w:rsidR="003F587F" w:rsidRPr="00CF1079">
        <w:rPr>
          <w:rFonts w:ascii="Arial" w:hAnsi="Arial" w:cs="Arial"/>
          <w:sz w:val="22"/>
          <w:szCs w:val="22"/>
        </w:rPr>
        <w:t xml:space="preserve">. </w:t>
      </w:r>
      <w:r w:rsidR="007B3DA2" w:rsidRPr="00CF1079">
        <w:rPr>
          <w:rFonts w:ascii="Arial" w:hAnsi="Arial" w:cs="Arial"/>
          <w:sz w:val="22"/>
          <w:szCs w:val="22"/>
        </w:rPr>
        <w:t>Figure 5.6 shows a sca</w:t>
      </w:r>
      <w:r w:rsidR="00480BC2" w:rsidRPr="00CF1079">
        <w:rPr>
          <w:rFonts w:ascii="Arial" w:hAnsi="Arial" w:cs="Arial"/>
          <w:sz w:val="22"/>
          <w:szCs w:val="22"/>
        </w:rPr>
        <w:t xml:space="preserve">tter plot from a </w:t>
      </w:r>
      <w:r w:rsidRPr="00CF1079">
        <w:rPr>
          <w:rFonts w:ascii="Arial" w:hAnsi="Arial" w:cs="Arial"/>
          <w:sz w:val="22"/>
          <w:szCs w:val="22"/>
        </w:rPr>
        <w:t>Pearson’s correlation between years of experience and recovery rate</w:t>
      </w:r>
      <w:r w:rsidR="00480BC2" w:rsidRPr="00CF1079">
        <w:rPr>
          <w:rFonts w:ascii="Arial" w:hAnsi="Arial" w:cs="Arial"/>
          <w:sz w:val="22"/>
          <w:szCs w:val="22"/>
        </w:rPr>
        <w:t xml:space="preserve">. The </w:t>
      </w:r>
      <w:r w:rsidR="0069596D" w:rsidRPr="00CF1079">
        <w:rPr>
          <w:rFonts w:ascii="Arial" w:hAnsi="Arial" w:cs="Arial"/>
          <w:sz w:val="22"/>
          <w:szCs w:val="22"/>
        </w:rPr>
        <w:t xml:space="preserve">scatter plot illustrates that </w:t>
      </w:r>
      <w:r w:rsidR="00BB7714" w:rsidRPr="00CF1079">
        <w:rPr>
          <w:rFonts w:ascii="Arial" w:hAnsi="Arial" w:cs="Arial"/>
          <w:sz w:val="22"/>
          <w:szCs w:val="22"/>
        </w:rPr>
        <w:t>there</w:t>
      </w:r>
      <w:r w:rsidR="0069596D" w:rsidRPr="00CF1079">
        <w:rPr>
          <w:rFonts w:ascii="Arial" w:hAnsi="Arial" w:cs="Arial"/>
          <w:sz w:val="22"/>
          <w:szCs w:val="22"/>
        </w:rPr>
        <w:t xml:space="preserve"> was</w:t>
      </w:r>
      <w:r w:rsidRPr="00CF1079">
        <w:rPr>
          <w:rFonts w:ascii="Arial" w:hAnsi="Arial" w:cs="Arial"/>
          <w:sz w:val="22"/>
          <w:szCs w:val="22"/>
        </w:rPr>
        <w:t xml:space="preserve"> no significant association between </w:t>
      </w:r>
      <w:r w:rsidR="00BB7714" w:rsidRPr="00CF1079">
        <w:rPr>
          <w:rFonts w:ascii="Arial" w:hAnsi="Arial" w:cs="Arial"/>
          <w:sz w:val="22"/>
          <w:szCs w:val="22"/>
        </w:rPr>
        <w:t>years of experience and recovery rate</w:t>
      </w:r>
      <w:r w:rsidRPr="00CF1079">
        <w:rPr>
          <w:rFonts w:ascii="Arial" w:hAnsi="Arial" w:cs="Arial"/>
          <w:sz w:val="22"/>
          <w:szCs w:val="22"/>
        </w:rPr>
        <w:t xml:space="preserve"> (years of experience r = 0.037, p = 0.602).</w:t>
      </w:r>
      <w:r w:rsidRPr="00294F16">
        <w:rPr>
          <w:rFonts w:ascii="Arial" w:hAnsi="Arial" w:cs="Arial"/>
          <w:sz w:val="22"/>
          <w:szCs w:val="22"/>
        </w:rPr>
        <w:t xml:space="preserve"> </w:t>
      </w:r>
    </w:p>
    <w:p w14:paraId="78021544" w14:textId="77777777" w:rsidR="007F596B" w:rsidRPr="00294F16" w:rsidRDefault="007F596B" w:rsidP="007F596B">
      <w:pPr>
        <w:rPr>
          <w:rFonts w:ascii="Arial" w:hAnsi="Arial" w:cs="Arial"/>
          <w:sz w:val="21"/>
          <w:szCs w:val="21"/>
        </w:rPr>
      </w:pPr>
    </w:p>
    <w:p w14:paraId="0B9827B8" w14:textId="77777777" w:rsidR="005C0D2E" w:rsidRDefault="005C0D2E" w:rsidP="007F596B">
      <w:pPr>
        <w:spacing w:line="480" w:lineRule="auto"/>
        <w:rPr>
          <w:rFonts w:ascii="Arial" w:hAnsi="Arial" w:cs="Arial"/>
          <w:b/>
          <w:sz w:val="22"/>
          <w:szCs w:val="22"/>
        </w:rPr>
      </w:pPr>
    </w:p>
    <w:p w14:paraId="72421169" w14:textId="19394861" w:rsidR="000D0B1D" w:rsidRPr="00AA6ADD" w:rsidRDefault="000D0B1D" w:rsidP="00BD5555">
      <w:pPr>
        <w:pStyle w:val="Figures"/>
      </w:pPr>
      <w:r>
        <w:br w:type="page"/>
      </w:r>
      <w:bookmarkStart w:id="349" w:name="_Toc46770953"/>
      <w:r w:rsidRPr="00AA6ADD">
        <w:rPr>
          <w:bCs/>
        </w:rPr>
        <w:lastRenderedPageBreak/>
        <w:t>Figure 5.6</w:t>
      </w:r>
      <w:r w:rsidRPr="00AA6ADD">
        <w:t xml:space="preserve"> </w:t>
      </w:r>
      <w:r w:rsidRPr="00BD5555">
        <w:rPr>
          <w:b w:val="0"/>
          <w:bCs/>
        </w:rPr>
        <w:t>Scatter plot of years qualified and recovery rate</w:t>
      </w:r>
      <w:bookmarkEnd w:id="349"/>
    </w:p>
    <w:p w14:paraId="67DABDDD" w14:textId="6E68B17E" w:rsidR="005C0D2E" w:rsidRPr="00D238AD" w:rsidRDefault="007F596B" w:rsidP="00D238AD">
      <w:pPr>
        <w:rPr>
          <w:rFonts w:ascii="Arial" w:hAnsi="Arial" w:cs="Arial"/>
        </w:rPr>
      </w:pPr>
      <w:r w:rsidRPr="0058395E">
        <w:rPr>
          <w:rFonts w:ascii="Arial" w:hAnsi="Arial" w:cs="Arial"/>
        </w:rPr>
        <w:fldChar w:fldCharType="begin"/>
      </w:r>
      <w:r>
        <w:rPr>
          <w:rFonts w:ascii="Arial" w:hAnsi="Arial" w:cs="Arial"/>
        </w:rPr>
        <w:instrText xml:space="preserve"> INCLUDEPICTURE "C:\\Users\\sbateup\\.JASP\\temp\\clipboard\\resources\\1\\_0.png" \* MERGEFORMAT </w:instrText>
      </w:r>
      <w:r w:rsidRPr="0058395E">
        <w:rPr>
          <w:rFonts w:ascii="Arial" w:hAnsi="Arial" w:cs="Arial"/>
        </w:rPr>
        <w:fldChar w:fldCharType="separate"/>
      </w:r>
      <w:r w:rsidRPr="0058395E">
        <w:rPr>
          <w:rFonts w:ascii="Arial" w:hAnsi="Arial" w:cs="Arial"/>
          <w:noProof/>
        </w:rPr>
        <w:drawing>
          <wp:inline distT="0" distB="0" distL="0" distR="0" wp14:anchorId="29EAAF3B" wp14:editId="0DF9335D">
            <wp:extent cx="3579541" cy="2775880"/>
            <wp:effectExtent l="0" t="0" r="0" b="0"/>
            <wp:docPr id="14" name="Picture 14" descr="P207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P2078#yIS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597092" cy="2789490"/>
                    </a:xfrm>
                    <a:prstGeom prst="rect">
                      <a:avLst/>
                    </a:prstGeom>
                    <a:noFill/>
                    <a:ln>
                      <a:noFill/>
                    </a:ln>
                  </pic:spPr>
                </pic:pic>
              </a:graphicData>
            </a:graphic>
          </wp:inline>
        </w:drawing>
      </w:r>
      <w:r w:rsidRPr="0058395E">
        <w:rPr>
          <w:rFonts w:ascii="Arial" w:hAnsi="Arial" w:cs="Arial"/>
        </w:rPr>
        <w:fldChar w:fldCharType="end"/>
      </w:r>
      <w:r w:rsidR="00D238AD">
        <w:rPr>
          <w:rFonts w:ascii="Arial" w:hAnsi="Arial" w:cs="Arial"/>
        </w:rPr>
        <w:br/>
      </w:r>
      <w:r w:rsidR="00D238AD">
        <w:rPr>
          <w:rFonts w:ascii="Arial" w:hAnsi="Arial" w:cs="Arial"/>
        </w:rPr>
        <w:br/>
      </w:r>
    </w:p>
    <w:p w14:paraId="1AB133FD" w14:textId="66D5C553" w:rsidR="007F596B" w:rsidRDefault="008A1595" w:rsidP="007F596B">
      <w:pPr>
        <w:pStyle w:val="Heading3"/>
        <w:rPr>
          <w:rFonts w:cs="Arial"/>
          <w:b w:val="0"/>
          <w:color w:val="000000" w:themeColor="text1"/>
          <w:szCs w:val="22"/>
        </w:rPr>
      </w:pPr>
      <w:bookmarkStart w:id="350" w:name="_Toc46770822"/>
      <w:bookmarkStart w:id="351" w:name="_Toc79414233"/>
      <w:r>
        <w:rPr>
          <w:rFonts w:cs="Arial"/>
          <w:color w:val="000000" w:themeColor="text1"/>
          <w:szCs w:val="22"/>
        </w:rPr>
        <w:t>5</w:t>
      </w:r>
      <w:r w:rsidR="007F596B" w:rsidRPr="008C0D25">
        <w:rPr>
          <w:rFonts w:cs="Arial"/>
          <w:color w:val="000000" w:themeColor="text1"/>
          <w:szCs w:val="22"/>
        </w:rPr>
        <w:t>.</w:t>
      </w:r>
      <w:r w:rsidR="007146C6">
        <w:rPr>
          <w:rFonts w:cs="Arial"/>
          <w:color w:val="000000" w:themeColor="text1"/>
          <w:szCs w:val="22"/>
        </w:rPr>
        <w:t>4</w:t>
      </w:r>
      <w:r w:rsidR="007F596B" w:rsidRPr="008C0D25">
        <w:rPr>
          <w:rFonts w:cs="Arial"/>
          <w:color w:val="000000" w:themeColor="text1"/>
          <w:szCs w:val="22"/>
        </w:rPr>
        <w:t xml:space="preserve">.1 </w:t>
      </w:r>
      <w:r w:rsidR="007F596B">
        <w:rPr>
          <w:rFonts w:cs="Arial"/>
          <w:color w:val="000000" w:themeColor="text1"/>
          <w:szCs w:val="22"/>
        </w:rPr>
        <w:t>Summary</w:t>
      </w:r>
      <w:bookmarkEnd w:id="350"/>
      <w:bookmarkEnd w:id="351"/>
    </w:p>
    <w:p w14:paraId="1B24419C" w14:textId="77777777" w:rsidR="007F596B" w:rsidRPr="008C0D25" w:rsidRDefault="007F596B" w:rsidP="007F596B"/>
    <w:p w14:paraId="18810079" w14:textId="2012BEF8" w:rsidR="00553379" w:rsidRDefault="00071934" w:rsidP="007F596B">
      <w:pPr>
        <w:spacing w:line="480" w:lineRule="auto"/>
        <w:rPr>
          <w:rFonts w:ascii="Arial" w:hAnsi="Arial" w:cs="Arial"/>
          <w:sz w:val="22"/>
          <w:szCs w:val="22"/>
        </w:rPr>
      </w:pPr>
      <w:r>
        <w:rPr>
          <w:rFonts w:ascii="Arial" w:hAnsi="Arial" w:cs="Arial"/>
          <w:sz w:val="22"/>
          <w:szCs w:val="22"/>
        </w:rPr>
        <w:t>The first question in this thesis queried whether there is a relationship between therapist demographics (age, gender, years of experience</w:t>
      </w:r>
      <w:r w:rsidR="00605F8A">
        <w:rPr>
          <w:rFonts w:ascii="Arial" w:hAnsi="Arial" w:cs="Arial"/>
          <w:sz w:val="22"/>
          <w:szCs w:val="22"/>
        </w:rPr>
        <w:t xml:space="preserve"> and core profession) and recovery rate. </w:t>
      </w:r>
      <w:r>
        <w:rPr>
          <w:rFonts w:ascii="Arial" w:hAnsi="Arial" w:cs="Arial"/>
          <w:sz w:val="22"/>
          <w:szCs w:val="22"/>
        </w:rPr>
        <w:t xml:space="preserve"> </w:t>
      </w:r>
      <w:r w:rsidR="007F596B" w:rsidRPr="008C0D25">
        <w:rPr>
          <w:rFonts w:ascii="Arial" w:hAnsi="Arial" w:cs="Arial"/>
          <w:sz w:val="22"/>
          <w:szCs w:val="22"/>
        </w:rPr>
        <w:t>This data analysis</w:t>
      </w:r>
      <w:r w:rsidR="007F596B">
        <w:rPr>
          <w:rFonts w:ascii="Arial" w:hAnsi="Arial" w:cs="Arial"/>
          <w:sz w:val="22"/>
          <w:szCs w:val="22"/>
        </w:rPr>
        <w:t>,</w:t>
      </w:r>
      <w:r w:rsidR="007F596B" w:rsidRPr="008C0D25">
        <w:rPr>
          <w:rFonts w:ascii="Arial" w:hAnsi="Arial" w:cs="Arial"/>
          <w:sz w:val="22"/>
          <w:szCs w:val="22"/>
        </w:rPr>
        <w:t xml:space="preserve"> using </w:t>
      </w:r>
      <w:r w:rsidR="00E11A59">
        <w:rPr>
          <w:rFonts w:ascii="Arial" w:hAnsi="Arial" w:cs="Arial"/>
          <w:sz w:val="22"/>
          <w:szCs w:val="22"/>
        </w:rPr>
        <w:t xml:space="preserve">a </w:t>
      </w:r>
      <w:r w:rsidR="001B2EAA">
        <w:rPr>
          <w:rFonts w:ascii="Arial" w:hAnsi="Arial" w:cs="Arial"/>
          <w:sz w:val="22"/>
          <w:szCs w:val="22"/>
        </w:rPr>
        <w:t>Pearson</w:t>
      </w:r>
      <w:r w:rsidR="00E11A59">
        <w:rPr>
          <w:rFonts w:ascii="Arial" w:hAnsi="Arial" w:cs="Arial"/>
          <w:sz w:val="22"/>
          <w:szCs w:val="22"/>
        </w:rPr>
        <w:t>’</w:t>
      </w:r>
      <w:r w:rsidR="001B2EAA">
        <w:rPr>
          <w:rFonts w:ascii="Arial" w:hAnsi="Arial" w:cs="Arial"/>
          <w:sz w:val="22"/>
          <w:szCs w:val="22"/>
        </w:rPr>
        <w:t>s</w:t>
      </w:r>
      <w:r w:rsidR="007F596B" w:rsidRPr="008C0D25">
        <w:rPr>
          <w:rFonts w:ascii="Arial" w:hAnsi="Arial" w:cs="Arial"/>
          <w:sz w:val="22"/>
          <w:szCs w:val="22"/>
        </w:rPr>
        <w:t xml:space="preserve"> correlation</w:t>
      </w:r>
      <w:r w:rsidR="007F596B">
        <w:rPr>
          <w:rFonts w:ascii="Arial" w:hAnsi="Arial" w:cs="Arial"/>
          <w:sz w:val="22"/>
          <w:szCs w:val="22"/>
        </w:rPr>
        <w:t xml:space="preserve"> to</w:t>
      </w:r>
      <w:r w:rsidR="002F001F">
        <w:rPr>
          <w:rFonts w:ascii="Arial" w:hAnsi="Arial" w:cs="Arial"/>
          <w:sz w:val="22"/>
          <w:szCs w:val="22"/>
        </w:rPr>
        <w:t xml:space="preserve"> test</w:t>
      </w:r>
      <w:r w:rsidR="007F596B">
        <w:rPr>
          <w:rFonts w:ascii="Arial" w:hAnsi="Arial" w:cs="Arial"/>
          <w:sz w:val="22"/>
          <w:szCs w:val="22"/>
        </w:rPr>
        <w:t xml:space="preserve"> </w:t>
      </w:r>
      <w:r w:rsidR="002F001F">
        <w:rPr>
          <w:rFonts w:ascii="Arial" w:hAnsi="Arial" w:cs="Arial"/>
          <w:sz w:val="22"/>
          <w:szCs w:val="22"/>
        </w:rPr>
        <w:t>the association</w:t>
      </w:r>
      <w:r w:rsidR="007F596B">
        <w:rPr>
          <w:rFonts w:ascii="Arial" w:hAnsi="Arial" w:cs="Arial"/>
          <w:sz w:val="22"/>
          <w:szCs w:val="22"/>
        </w:rPr>
        <w:t xml:space="preserve"> between</w:t>
      </w:r>
      <w:r w:rsidR="007B0749">
        <w:rPr>
          <w:rFonts w:ascii="Arial" w:hAnsi="Arial" w:cs="Arial"/>
          <w:sz w:val="22"/>
          <w:szCs w:val="22"/>
        </w:rPr>
        <w:t xml:space="preserve"> </w:t>
      </w:r>
      <w:r w:rsidR="003173B2">
        <w:rPr>
          <w:rFonts w:ascii="Arial" w:hAnsi="Arial" w:cs="Arial"/>
          <w:sz w:val="22"/>
          <w:szCs w:val="22"/>
        </w:rPr>
        <w:t xml:space="preserve">therapist </w:t>
      </w:r>
      <w:r w:rsidR="007B0749">
        <w:rPr>
          <w:rFonts w:ascii="Arial" w:hAnsi="Arial" w:cs="Arial"/>
          <w:sz w:val="22"/>
          <w:szCs w:val="22"/>
        </w:rPr>
        <w:t>years of experience</w:t>
      </w:r>
      <w:r w:rsidR="0042282A">
        <w:rPr>
          <w:rFonts w:ascii="Arial" w:hAnsi="Arial" w:cs="Arial"/>
          <w:sz w:val="22"/>
          <w:szCs w:val="22"/>
        </w:rPr>
        <w:t xml:space="preserve"> and recovery rate</w:t>
      </w:r>
      <w:r w:rsidR="007B0749">
        <w:rPr>
          <w:rFonts w:ascii="Arial" w:hAnsi="Arial" w:cs="Arial"/>
          <w:sz w:val="22"/>
          <w:szCs w:val="22"/>
        </w:rPr>
        <w:t xml:space="preserve"> </w:t>
      </w:r>
      <w:r w:rsidR="007F596B">
        <w:rPr>
          <w:rFonts w:ascii="Arial" w:hAnsi="Arial" w:cs="Arial"/>
          <w:sz w:val="22"/>
          <w:szCs w:val="22"/>
        </w:rPr>
        <w:t xml:space="preserve">found that there was no statistically significant relationship between </w:t>
      </w:r>
      <w:r w:rsidR="0042282A">
        <w:rPr>
          <w:rFonts w:ascii="Arial" w:hAnsi="Arial" w:cs="Arial"/>
          <w:sz w:val="22"/>
          <w:szCs w:val="22"/>
        </w:rPr>
        <w:t>the two variables.</w:t>
      </w:r>
      <w:r w:rsidR="003908A7">
        <w:rPr>
          <w:rFonts w:ascii="Arial" w:hAnsi="Arial" w:cs="Arial"/>
          <w:sz w:val="22"/>
          <w:szCs w:val="22"/>
        </w:rPr>
        <w:t xml:space="preserve"> Similarly, Chi Square test</w:t>
      </w:r>
      <w:r w:rsidR="0042282A">
        <w:rPr>
          <w:rFonts w:ascii="Arial" w:hAnsi="Arial" w:cs="Arial"/>
          <w:sz w:val="22"/>
          <w:szCs w:val="22"/>
        </w:rPr>
        <w:t xml:space="preserve">s were conducted to test the association between </w:t>
      </w:r>
      <w:r w:rsidR="002332DB">
        <w:rPr>
          <w:rFonts w:ascii="Arial" w:hAnsi="Arial" w:cs="Arial"/>
          <w:sz w:val="22"/>
          <w:szCs w:val="22"/>
        </w:rPr>
        <w:t xml:space="preserve">therapist age, </w:t>
      </w:r>
      <w:r w:rsidR="00487735">
        <w:rPr>
          <w:rFonts w:ascii="Arial" w:hAnsi="Arial" w:cs="Arial"/>
          <w:sz w:val="22"/>
          <w:szCs w:val="22"/>
        </w:rPr>
        <w:t xml:space="preserve">therapist </w:t>
      </w:r>
      <w:r w:rsidR="002332DB">
        <w:rPr>
          <w:rFonts w:ascii="Arial" w:hAnsi="Arial" w:cs="Arial"/>
          <w:sz w:val="22"/>
          <w:szCs w:val="22"/>
        </w:rPr>
        <w:t>gender,</w:t>
      </w:r>
      <w:r w:rsidR="00487735">
        <w:rPr>
          <w:rFonts w:ascii="Arial" w:hAnsi="Arial" w:cs="Arial"/>
          <w:sz w:val="22"/>
          <w:szCs w:val="22"/>
        </w:rPr>
        <w:t xml:space="preserve"> </w:t>
      </w:r>
      <w:r w:rsidR="002332DB">
        <w:rPr>
          <w:rFonts w:ascii="Arial" w:hAnsi="Arial" w:cs="Arial"/>
          <w:sz w:val="22"/>
          <w:szCs w:val="22"/>
        </w:rPr>
        <w:t>core profession</w:t>
      </w:r>
      <w:r w:rsidR="006240E7">
        <w:rPr>
          <w:rFonts w:ascii="Arial" w:hAnsi="Arial" w:cs="Arial"/>
          <w:sz w:val="22"/>
          <w:szCs w:val="22"/>
        </w:rPr>
        <w:t xml:space="preserve"> and recovery rate</w:t>
      </w:r>
      <w:r w:rsidR="00487735">
        <w:rPr>
          <w:rFonts w:ascii="Arial" w:hAnsi="Arial" w:cs="Arial"/>
          <w:sz w:val="22"/>
          <w:szCs w:val="22"/>
        </w:rPr>
        <w:t>,</w:t>
      </w:r>
      <w:r w:rsidR="006240E7">
        <w:rPr>
          <w:rFonts w:ascii="Arial" w:hAnsi="Arial" w:cs="Arial"/>
          <w:sz w:val="22"/>
          <w:szCs w:val="22"/>
        </w:rPr>
        <w:t xml:space="preserve"> found that there was no statistically significant relationship between</w:t>
      </w:r>
      <w:r w:rsidR="008E60C3">
        <w:rPr>
          <w:rFonts w:ascii="Arial" w:hAnsi="Arial" w:cs="Arial"/>
          <w:sz w:val="22"/>
          <w:szCs w:val="22"/>
        </w:rPr>
        <w:t xml:space="preserve"> these therapist demographics and recovery rate. </w:t>
      </w:r>
      <w:r w:rsidR="00B62249">
        <w:rPr>
          <w:rFonts w:ascii="Arial" w:hAnsi="Arial" w:cs="Arial"/>
          <w:sz w:val="22"/>
          <w:szCs w:val="22"/>
        </w:rPr>
        <w:t xml:space="preserve">It would appear that therapist demographics </w:t>
      </w:r>
      <w:r w:rsidR="005F5814">
        <w:rPr>
          <w:rFonts w:ascii="Arial" w:hAnsi="Arial" w:cs="Arial"/>
          <w:sz w:val="22"/>
          <w:szCs w:val="22"/>
        </w:rPr>
        <w:t>are not related to recovery rate in this sample.</w:t>
      </w:r>
      <w:r w:rsidR="0018284B">
        <w:rPr>
          <w:rFonts w:ascii="Arial" w:hAnsi="Arial" w:cs="Arial"/>
          <w:sz w:val="22"/>
          <w:szCs w:val="22"/>
        </w:rPr>
        <w:t xml:space="preserve"> </w:t>
      </w:r>
    </w:p>
    <w:p w14:paraId="0A3502BE" w14:textId="77777777" w:rsidR="00F44393" w:rsidRDefault="00F44393" w:rsidP="007F596B">
      <w:pPr>
        <w:spacing w:line="480" w:lineRule="auto"/>
        <w:rPr>
          <w:rFonts w:ascii="Arial" w:hAnsi="Arial" w:cs="Arial"/>
          <w:sz w:val="22"/>
          <w:szCs w:val="22"/>
        </w:rPr>
      </w:pPr>
    </w:p>
    <w:p w14:paraId="20710614" w14:textId="245564FA" w:rsidR="004251B3" w:rsidRPr="00D238AD" w:rsidRDefault="00553379" w:rsidP="00D238AD">
      <w:pPr>
        <w:spacing w:line="480" w:lineRule="auto"/>
        <w:rPr>
          <w:rFonts w:ascii="Arial" w:hAnsi="Arial" w:cs="Arial"/>
          <w:sz w:val="22"/>
          <w:szCs w:val="22"/>
        </w:rPr>
      </w:pPr>
      <w:r>
        <w:rPr>
          <w:rFonts w:ascii="Arial" w:hAnsi="Arial" w:cs="Arial"/>
          <w:sz w:val="22"/>
          <w:szCs w:val="22"/>
        </w:rPr>
        <w:t>The second research question in this thesis asked whether there was an association between</w:t>
      </w:r>
      <w:r w:rsidR="00487735">
        <w:rPr>
          <w:rFonts w:ascii="Arial" w:hAnsi="Arial" w:cs="Arial"/>
          <w:sz w:val="22"/>
          <w:szCs w:val="22"/>
        </w:rPr>
        <w:t xml:space="preserve"> whether a therapist had completed the</w:t>
      </w:r>
      <w:r w:rsidR="00410878">
        <w:rPr>
          <w:rFonts w:ascii="Arial" w:hAnsi="Arial" w:cs="Arial"/>
          <w:sz w:val="22"/>
          <w:szCs w:val="22"/>
        </w:rPr>
        <w:t>ir CBT training via an</w:t>
      </w:r>
      <w:r w:rsidR="00487735">
        <w:rPr>
          <w:rFonts w:ascii="Arial" w:hAnsi="Arial" w:cs="Arial"/>
          <w:sz w:val="22"/>
          <w:szCs w:val="22"/>
        </w:rPr>
        <w:t xml:space="preserve"> IAPT training programme</w:t>
      </w:r>
      <w:r>
        <w:rPr>
          <w:rFonts w:ascii="Arial" w:hAnsi="Arial" w:cs="Arial"/>
          <w:sz w:val="22"/>
          <w:szCs w:val="22"/>
        </w:rPr>
        <w:t xml:space="preserve"> </w:t>
      </w:r>
      <w:r w:rsidR="00410878">
        <w:rPr>
          <w:rFonts w:ascii="Arial" w:hAnsi="Arial" w:cs="Arial"/>
          <w:sz w:val="22"/>
          <w:szCs w:val="22"/>
        </w:rPr>
        <w:t xml:space="preserve">and recovery. </w:t>
      </w:r>
      <w:r w:rsidR="00C009A1">
        <w:rPr>
          <w:rFonts w:ascii="Arial" w:hAnsi="Arial" w:cs="Arial"/>
          <w:sz w:val="22"/>
          <w:szCs w:val="22"/>
        </w:rPr>
        <w:t xml:space="preserve">A Chi Square test </w:t>
      </w:r>
      <w:r w:rsidR="00F866FD">
        <w:rPr>
          <w:rFonts w:ascii="Arial" w:hAnsi="Arial" w:cs="Arial"/>
          <w:sz w:val="22"/>
          <w:szCs w:val="22"/>
        </w:rPr>
        <w:t>was used to test for an association between the method of training and recovery. No significant relationship was found. It would appear</w:t>
      </w:r>
      <w:r w:rsidR="00410878">
        <w:rPr>
          <w:rFonts w:ascii="Arial" w:hAnsi="Arial" w:cs="Arial"/>
          <w:sz w:val="22"/>
          <w:szCs w:val="22"/>
        </w:rPr>
        <w:t xml:space="preserve"> </w:t>
      </w:r>
      <w:r w:rsidR="00F866FD">
        <w:rPr>
          <w:rFonts w:ascii="Arial" w:hAnsi="Arial" w:cs="Arial"/>
          <w:sz w:val="22"/>
          <w:szCs w:val="22"/>
        </w:rPr>
        <w:t xml:space="preserve">that </w:t>
      </w:r>
      <w:r w:rsidR="004251B3">
        <w:rPr>
          <w:rFonts w:ascii="Arial" w:hAnsi="Arial" w:cs="Arial"/>
          <w:sz w:val="22"/>
          <w:szCs w:val="22"/>
        </w:rPr>
        <w:t xml:space="preserve">the method of training (IAPT training programme or other) are not associated with recovery </w:t>
      </w:r>
      <w:r w:rsidR="004251B3">
        <w:rPr>
          <w:rFonts w:ascii="Arial" w:hAnsi="Arial" w:cs="Arial"/>
          <w:sz w:val="22"/>
          <w:szCs w:val="22"/>
        </w:rPr>
        <w:lastRenderedPageBreak/>
        <w:t xml:space="preserve">in this sample. </w:t>
      </w:r>
      <w:r w:rsidR="0018284B">
        <w:rPr>
          <w:rFonts w:ascii="Arial" w:hAnsi="Arial" w:cs="Arial"/>
          <w:sz w:val="22"/>
          <w:szCs w:val="22"/>
        </w:rPr>
        <w:t>Th</w:t>
      </w:r>
      <w:r>
        <w:rPr>
          <w:rFonts w:ascii="Arial" w:hAnsi="Arial" w:cs="Arial"/>
          <w:sz w:val="22"/>
          <w:szCs w:val="22"/>
        </w:rPr>
        <w:t>e</w:t>
      </w:r>
      <w:r w:rsidR="0018284B">
        <w:rPr>
          <w:rFonts w:ascii="Arial" w:hAnsi="Arial" w:cs="Arial"/>
          <w:sz w:val="22"/>
          <w:szCs w:val="22"/>
        </w:rPr>
        <w:t>s</w:t>
      </w:r>
      <w:r>
        <w:rPr>
          <w:rFonts w:ascii="Arial" w:hAnsi="Arial" w:cs="Arial"/>
          <w:sz w:val="22"/>
          <w:szCs w:val="22"/>
        </w:rPr>
        <w:t>e</w:t>
      </w:r>
      <w:r w:rsidR="0018284B">
        <w:rPr>
          <w:rFonts w:ascii="Arial" w:hAnsi="Arial" w:cs="Arial"/>
          <w:sz w:val="22"/>
          <w:szCs w:val="22"/>
        </w:rPr>
        <w:t xml:space="preserve"> finding</w:t>
      </w:r>
      <w:r>
        <w:rPr>
          <w:rFonts w:ascii="Arial" w:hAnsi="Arial" w:cs="Arial"/>
          <w:sz w:val="22"/>
          <w:szCs w:val="22"/>
        </w:rPr>
        <w:t>s</w:t>
      </w:r>
      <w:r w:rsidR="0018284B">
        <w:rPr>
          <w:rFonts w:ascii="Arial" w:hAnsi="Arial" w:cs="Arial"/>
          <w:sz w:val="22"/>
          <w:szCs w:val="22"/>
        </w:rPr>
        <w:t xml:space="preserve"> will be discussed more fully in </w:t>
      </w:r>
      <w:r w:rsidR="00D85125">
        <w:rPr>
          <w:rFonts w:ascii="Arial" w:hAnsi="Arial" w:cs="Arial"/>
          <w:sz w:val="22"/>
          <w:szCs w:val="22"/>
        </w:rPr>
        <w:t>C</w:t>
      </w:r>
      <w:r w:rsidR="0018284B">
        <w:rPr>
          <w:rFonts w:ascii="Arial" w:hAnsi="Arial" w:cs="Arial"/>
          <w:sz w:val="22"/>
          <w:szCs w:val="22"/>
        </w:rPr>
        <w:t>hapter 6 of this thesis.</w:t>
      </w:r>
      <w:r w:rsidR="00D238AD">
        <w:rPr>
          <w:rFonts w:ascii="Arial" w:hAnsi="Arial" w:cs="Arial"/>
          <w:sz w:val="22"/>
          <w:szCs w:val="22"/>
        </w:rPr>
        <w:br/>
      </w:r>
    </w:p>
    <w:p w14:paraId="422A789D" w14:textId="01BDB6B5" w:rsidR="007F596B" w:rsidRPr="00931294" w:rsidRDefault="008A1595" w:rsidP="007F596B">
      <w:pPr>
        <w:pStyle w:val="Heading2"/>
        <w:spacing w:line="480" w:lineRule="auto"/>
        <w:rPr>
          <w:rFonts w:ascii="Arial" w:hAnsi="Arial" w:cs="Arial"/>
          <w:b w:val="0"/>
          <w:color w:val="000000" w:themeColor="text1"/>
          <w:sz w:val="22"/>
          <w:szCs w:val="22"/>
        </w:rPr>
      </w:pPr>
      <w:bookmarkStart w:id="352" w:name="_Toc46770823"/>
      <w:bookmarkStart w:id="353" w:name="_Toc79414234"/>
      <w:r>
        <w:rPr>
          <w:rFonts w:ascii="Arial" w:hAnsi="Arial" w:cs="Arial"/>
          <w:color w:val="000000" w:themeColor="text1"/>
          <w:sz w:val="22"/>
          <w:szCs w:val="22"/>
        </w:rPr>
        <w:t>5</w:t>
      </w:r>
      <w:r w:rsidR="007F596B" w:rsidRPr="00931294">
        <w:rPr>
          <w:rFonts w:ascii="Arial" w:hAnsi="Arial" w:cs="Arial"/>
          <w:color w:val="000000" w:themeColor="text1"/>
          <w:sz w:val="22"/>
          <w:szCs w:val="22"/>
        </w:rPr>
        <w:t>.</w:t>
      </w:r>
      <w:r w:rsidR="007146C6">
        <w:rPr>
          <w:rFonts w:ascii="Arial" w:hAnsi="Arial" w:cs="Arial"/>
          <w:color w:val="000000" w:themeColor="text1"/>
          <w:sz w:val="22"/>
          <w:szCs w:val="22"/>
        </w:rPr>
        <w:t>5</w:t>
      </w:r>
      <w:r w:rsidR="007F596B" w:rsidRPr="00931294">
        <w:rPr>
          <w:rFonts w:ascii="Arial" w:hAnsi="Arial" w:cs="Arial"/>
          <w:color w:val="000000" w:themeColor="text1"/>
          <w:sz w:val="22"/>
          <w:szCs w:val="22"/>
        </w:rPr>
        <w:t xml:space="preserve"> </w:t>
      </w:r>
      <w:r w:rsidR="00F25262" w:rsidRPr="00CF1079">
        <w:rPr>
          <w:rFonts w:ascii="Arial" w:hAnsi="Arial" w:cs="Arial"/>
          <w:color w:val="000000" w:themeColor="text1"/>
          <w:sz w:val="22"/>
          <w:szCs w:val="22"/>
        </w:rPr>
        <w:t>ASSOCIATIONS</w:t>
      </w:r>
      <w:r w:rsidR="007F596B" w:rsidRPr="00931294">
        <w:rPr>
          <w:rFonts w:ascii="Arial" w:hAnsi="Arial" w:cs="Arial"/>
          <w:color w:val="000000" w:themeColor="text1"/>
          <w:sz w:val="22"/>
          <w:szCs w:val="22"/>
        </w:rPr>
        <w:t xml:space="preserve"> BETWEEN THERAPIST ADHERENCE (A SCORE)</w:t>
      </w:r>
      <w:r w:rsidR="00D905C9">
        <w:rPr>
          <w:rFonts w:ascii="Arial" w:hAnsi="Arial" w:cs="Arial"/>
          <w:color w:val="000000" w:themeColor="text1"/>
          <w:sz w:val="22"/>
          <w:szCs w:val="22"/>
        </w:rPr>
        <w:t>,</w:t>
      </w:r>
      <w:r w:rsidR="007F596B" w:rsidRPr="00931294">
        <w:rPr>
          <w:rFonts w:ascii="Arial" w:hAnsi="Arial" w:cs="Arial"/>
          <w:color w:val="000000" w:themeColor="text1"/>
          <w:sz w:val="22"/>
          <w:szCs w:val="22"/>
        </w:rPr>
        <w:t xml:space="preserve"> THERAPIST COMPETENCE (F SCORE)</w:t>
      </w:r>
      <w:r w:rsidR="00D905C9">
        <w:rPr>
          <w:rFonts w:ascii="Arial" w:hAnsi="Arial" w:cs="Arial"/>
          <w:color w:val="000000" w:themeColor="text1"/>
          <w:sz w:val="22"/>
          <w:szCs w:val="22"/>
        </w:rPr>
        <w:t xml:space="preserve"> AND CLINICAL OUTCOME</w:t>
      </w:r>
      <w:bookmarkEnd w:id="352"/>
      <w:bookmarkEnd w:id="353"/>
    </w:p>
    <w:p w14:paraId="4B1FDDFE" w14:textId="2D2EC29E" w:rsidR="0074256C" w:rsidRPr="00D238AD" w:rsidRDefault="00CE2D98" w:rsidP="00D238AD">
      <w:pPr>
        <w:spacing w:line="480" w:lineRule="auto"/>
        <w:rPr>
          <w:rFonts w:ascii="Arial" w:hAnsi="Arial" w:cs="Arial"/>
          <w:b/>
          <w:sz w:val="22"/>
          <w:szCs w:val="22"/>
        </w:rPr>
      </w:pPr>
      <w:r>
        <w:rPr>
          <w:rFonts w:ascii="Arial" w:hAnsi="Arial" w:cs="Arial"/>
          <w:sz w:val="22"/>
          <w:szCs w:val="22"/>
        </w:rPr>
        <w:t>Section 5.3 reported on the finding</w:t>
      </w:r>
      <w:r w:rsidR="0018284B">
        <w:rPr>
          <w:rFonts w:ascii="Arial" w:hAnsi="Arial" w:cs="Arial"/>
          <w:sz w:val="22"/>
          <w:szCs w:val="22"/>
        </w:rPr>
        <w:t>s</w:t>
      </w:r>
      <w:r>
        <w:rPr>
          <w:rFonts w:ascii="Arial" w:hAnsi="Arial" w:cs="Arial"/>
          <w:sz w:val="22"/>
          <w:szCs w:val="22"/>
        </w:rPr>
        <w:t xml:space="preserve"> from </w:t>
      </w:r>
      <w:r w:rsidR="0018284B">
        <w:rPr>
          <w:rFonts w:ascii="Arial" w:hAnsi="Arial" w:cs="Arial"/>
          <w:sz w:val="22"/>
          <w:szCs w:val="22"/>
        </w:rPr>
        <w:t>a Pearson</w:t>
      </w:r>
      <w:r w:rsidR="00D016AE">
        <w:rPr>
          <w:rFonts w:ascii="Arial" w:hAnsi="Arial" w:cs="Arial"/>
          <w:sz w:val="22"/>
          <w:szCs w:val="22"/>
        </w:rPr>
        <w:t xml:space="preserve">’s </w:t>
      </w:r>
      <w:r>
        <w:rPr>
          <w:rFonts w:ascii="Arial" w:hAnsi="Arial" w:cs="Arial"/>
          <w:sz w:val="22"/>
          <w:szCs w:val="22"/>
        </w:rPr>
        <w:t>correlation</w:t>
      </w:r>
      <w:r w:rsidR="00D016AE">
        <w:rPr>
          <w:rFonts w:ascii="Arial" w:hAnsi="Arial" w:cs="Arial"/>
          <w:sz w:val="22"/>
          <w:szCs w:val="22"/>
        </w:rPr>
        <w:t xml:space="preserve"> and </w:t>
      </w:r>
      <w:r w:rsidR="00927BA0">
        <w:rPr>
          <w:rFonts w:ascii="Arial" w:hAnsi="Arial" w:cs="Arial"/>
          <w:sz w:val="22"/>
          <w:szCs w:val="22"/>
        </w:rPr>
        <w:t>c</w:t>
      </w:r>
      <w:r w:rsidR="00D016AE">
        <w:rPr>
          <w:rFonts w:ascii="Arial" w:hAnsi="Arial" w:cs="Arial"/>
          <w:sz w:val="22"/>
          <w:szCs w:val="22"/>
        </w:rPr>
        <w:t xml:space="preserve">hi </w:t>
      </w:r>
      <w:r w:rsidR="00927BA0">
        <w:rPr>
          <w:rFonts w:ascii="Arial" w:hAnsi="Arial" w:cs="Arial"/>
          <w:sz w:val="22"/>
          <w:szCs w:val="22"/>
        </w:rPr>
        <w:t>s</w:t>
      </w:r>
      <w:r w:rsidR="00D016AE">
        <w:rPr>
          <w:rFonts w:ascii="Arial" w:hAnsi="Arial" w:cs="Arial"/>
          <w:sz w:val="22"/>
          <w:szCs w:val="22"/>
        </w:rPr>
        <w:t>quare tests of association</w:t>
      </w:r>
      <w:r w:rsidR="004774D9">
        <w:rPr>
          <w:rFonts w:ascii="Arial" w:hAnsi="Arial" w:cs="Arial"/>
          <w:sz w:val="22"/>
          <w:szCs w:val="22"/>
        </w:rPr>
        <w:t xml:space="preserve"> to test the association</w:t>
      </w:r>
      <w:r>
        <w:rPr>
          <w:rFonts w:ascii="Arial" w:hAnsi="Arial" w:cs="Arial"/>
          <w:sz w:val="22"/>
          <w:szCs w:val="22"/>
        </w:rPr>
        <w:t xml:space="preserve"> between therapist demographics </w:t>
      </w:r>
      <w:r w:rsidRPr="008C0D25">
        <w:rPr>
          <w:rFonts w:ascii="Arial" w:hAnsi="Arial" w:cs="Arial"/>
          <w:sz w:val="22"/>
          <w:szCs w:val="22"/>
        </w:rPr>
        <w:t xml:space="preserve">(therapist age, gender, core profession, experience, training) </w:t>
      </w:r>
      <w:r>
        <w:rPr>
          <w:rFonts w:ascii="Arial" w:hAnsi="Arial" w:cs="Arial"/>
          <w:sz w:val="22"/>
          <w:szCs w:val="22"/>
        </w:rPr>
        <w:t>and clinical outcome.</w:t>
      </w:r>
      <w:r w:rsidR="007F596B" w:rsidRPr="008C0D25">
        <w:rPr>
          <w:rFonts w:ascii="Arial" w:hAnsi="Arial" w:cs="Arial"/>
          <w:sz w:val="22"/>
          <w:szCs w:val="22"/>
        </w:rPr>
        <w:t xml:space="preserve"> </w:t>
      </w:r>
      <w:r>
        <w:rPr>
          <w:rFonts w:ascii="Arial" w:hAnsi="Arial" w:cs="Arial"/>
          <w:sz w:val="22"/>
          <w:szCs w:val="22"/>
        </w:rPr>
        <w:t xml:space="preserve">No </w:t>
      </w:r>
      <w:r w:rsidR="007F596B" w:rsidRPr="008C0D25">
        <w:rPr>
          <w:rFonts w:ascii="Arial" w:hAnsi="Arial" w:cs="Arial"/>
          <w:sz w:val="22"/>
          <w:szCs w:val="22"/>
        </w:rPr>
        <w:t xml:space="preserve">statistically significant relationship </w:t>
      </w:r>
      <w:r>
        <w:rPr>
          <w:rFonts w:ascii="Arial" w:hAnsi="Arial" w:cs="Arial"/>
          <w:sz w:val="22"/>
          <w:szCs w:val="22"/>
        </w:rPr>
        <w:t>was found</w:t>
      </w:r>
      <w:r w:rsidR="007F596B">
        <w:rPr>
          <w:rFonts w:ascii="Arial" w:hAnsi="Arial" w:cs="Arial"/>
          <w:sz w:val="22"/>
          <w:szCs w:val="22"/>
        </w:rPr>
        <w:t>. This chapter will now report on the correlation between therapist adherence (A scores), therapist competence (F scores) and clinical outcome</w:t>
      </w:r>
      <w:r w:rsidR="00D238AD">
        <w:rPr>
          <w:rFonts w:ascii="Arial" w:hAnsi="Arial" w:cs="Arial"/>
          <w:sz w:val="22"/>
          <w:szCs w:val="22"/>
        </w:rPr>
        <w:t>.</w:t>
      </w:r>
      <w:r w:rsidR="00D238AD">
        <w:rPr>
          <w:rFonts w:ascii="Arial" w:hAnsi="Arial" w:cs="Arial"/>
          <w:sz w:val="22"/>
          <w:szCs w:val="22"/>
        </w:rPr>
        <w:br/>
      </w:r>
    </w:p>
    <w:p w14:paraId="7CF6C226" w14:textId="1BFD9770" w:rsidR="007F596B" w:rsidRPr="00931294" w:rsidRDefault="008A1595" w:rsidP="00B31E2E">
      <w:pPr>
        <w:pStyle w:val="Heading3"/>
        <w:spacing w:line="480" w:lineRule="auto"/>
        <w:rPr>
          <w:rFonts w:cs="Arial"/>
          <w:b w:val="0"/>
          <w:color w:val="000000" w:themeColor="text1"/>
          <w:szCs w:val="22"/>
        </w:rPr>
      </w:pPr>
      <w:bookmarkStart w:id="354" w:name="_Toc46770824"/>
      <w:bookmarkStart w:id="355" w:name="_Toc79414235"/>
      <w:r>
        <w:rPr>
          <w:rFonts w:cs="Arial"/>
          <w:color w:val="000000" w:themeColor="text1"/>
          <w:szCs w:val="22"/>
        </w:rPr>
        <w:t>5</w:t>
      </w:r>
      <w:r w:rsidR="007F596B" w:rsidRPr="00931294">
        <w:rPr>
          <w:rFonts w:cs="Arial"/>
          <w:color w:val="000000" w:themeColor="text1"/>
          <w:szCs w:val="22"/>
        </w:rPr>
        <w:t>.</w:t>
      </w:r>
      <w:r w:rsidR="007146C6">
        <w:rPr>
          <w:rFonts w:cs="Arial"/>
          <w:color w:val="000000" w:themeColor="text1"/>
          <w:szCs w:val="22"/>
        </w:rPr>
        <w:t>5</w:t>
      </w:r>
      <w:r w:rsidR="007F596B" w:rsidRPr="00931294">
        <w:rPr>
          <w:rFonts w:cs="Arial"/>
          <w:color w:val="000000" w:themeColor="text1"/>
          <w:szCs w:val="22"/>
        </w:rPr>
        <w:t xml:space="preserve">.1 </w:t>
      </w:r>
      <w:r w:rsidR="00F25262" w:rsidRPr="00CF1079">
        <w:rPr>
          <w:rFonts w:cs="Arial"/>
          <w:color w:val="000000" w:themeColor="text1"/>
          <w:szCs w:val="22"/>
        </w:rPr>
        <w:t>Association</w:t>
      </w:r>
      <w:r w:rsidR="007F596B" w:rsidRPr="00931294">
        <w:rPr>
          <w:rFonts w:cs="Arial"/>
          <w:color w:val="000000" w:themeColor="text1"/>
          <w:szCs w:val="22"/>
        </w:rPr>
        <w:t xml:space="preserve"> between therapist adherence (A scores) and clinical outcome</w:t>
      </w:r>
      <w:bookmarkEnd w:id="354"/>
      <w:bookmarkEnd w:id="355"/>
      <w:r w:rsidR="00B31E2E">
        <w:rPr>
          <w:rFonts w:cs="Arial"/>
          <w:color w:val="000000" w:themeColor="text1"/>
          <w:szCs w:val="22"/>
        </w:rPr>
        <w:t xml:space="preserve"> </w:t>
      </w:r>
    </w:p>
    <w:p w14:paraId="0062AA31" w14:textId="77777777" w:rsidR="001B54EE" w:rsidRDefault="0059546F" w:rsidP="001B54EE">
      <w:pPr>
        <w:autoSpaceDE w:val="0"/>
        <w:autoSpaceDN w:val="0"/>
        <w:adjustRightInd w:val="0"/>
        <w:spacing w:line="480" w:lineRule="auto"/>
        <w:ind w:right="60"/>
        <w:rPr>
          <w:rFonts w:ascii="Arial" w:hAnsi="Arial" w:cs="Arial"/>
          <w:color w:val="010205"/>
          <w:sz w:val="22"/>
          <w:szCs w:val="22"/>
          <w:lang w:val="en-US"/>
        </w:rPr>
      </w:pPr>
      <w:r>
        <w:rPr>
          <w:rFonts w:ascii="Arial" w:hAnsi="Arial" w:cs="Arial"/>
          <w:sz w:val="22"/>
          <w:szCs w:val="22"/>
        </w:rPr>
        <w:t xml:space="preserve">The third </w:t>
      </w:r>
      <w:r w:rsidR="00C51255">
        <w:rPr>
          <w:rFonts w:ascii="Arial" w:hAnsi="Arial" w:cs="Arial"/>
          <w:sz w:val="22"/>
          <w:szCs w:val="22"/>
        </w:rPr>
        <w:t xml:space="preserve">and fourth </w:t>
      </w:r>
      <w:r>
        <w:rPr>
          <w:rFonts w:ascii="Arial" w:hAnsi="Arial" w:cs="Arial"/>
          <w:sz w:val="22"/>
          <w:szCs w:val="22"/>
        </w:rPr>
        <w:t>research question</w:t>
      </w:r>
      <w:r w:rsidR="00D40126">
        <w:rPr>
          <w:rFonts w:ascii="Arial" w:hAnsi="Arial" w:cs="Arial"/>
          <w:sz w:val="22"/>
          <w:szCs w:val="22"/>
        </w:rPr>
        <w:t>s</w:t>
      </w:r>
      <w:r>
        <w:rPr>
          <w:rFonts w:ascii="Arial" w:hAnsi="Arial" w:cs="Arial"/>
          <w:sz w:val="22"/>
          <w:szCs w:val="22"/>
        </w:rPr>
        <w:t xml:space="preserve"> in this thesis </w:t>
      </w:r>
      <w:r w:rsidR="00D40126">
        <w:rPr>
          <w:rFonts w:ascii="Arial" w:hAnsi="Arial" w:cs="Arial"/>
          <w:sz w:val="22"/>
          <w:szCs w:val="22"/>
        </w:rPr>
        <w:t>query</w:t>
      </w:r>
      <w:r w:rsidR="00C51255">
        <w:rPr>
          <w:rFonts w:ascii="Arial" w:hAnsi="Arial" w:cs="Arial"/>
          <w:sz w:val="22"/>
          <w:szCs w:val="22"/>
        </w:rPr>
        <w:t xml:space="preserve"> whether there is an association between therapist fidelity </w:t>
      </w:r>
      <w:r w:rsidR="008323C1">
        <w:rPr>
          <w:rFonts w:ascii="Arial" w:hAnsi="Arial" w:cs="Arial"/>
          <w:sz w:val="22"/>
          <w:szCs w:val="22"/>
        </w:rPr>
        <w:t xml:space="preserve">to </w:t>
      </w:r>
      <w:r w:rsidR="000E5D92">
        <w:rPr>
          <w:rFonts w:ascii="Arial" w:hAnsi="Arial" w:cs="Arial"/>
          <w:sz w:val="22"/>
          <w:szCs w:val="22"/>
        </w:rPr>
        <w:t xml:space="preserve">the </w:t>
      </w:r>
      <w:r w:rsidR="008323C1">
        <w:rPr>
          <w:rFonts w:ascii="Arial" w:hAnsi="Arial" w:cs="Arial"/>
          <w:sz w:val="22"/>
          <w:szCs w:val="22"/>
        </w:rPr>
        <w:t>CBT model and therapist adherence to an evidence-based protocol. In order to answer the fourth question relating to therapist adherence</w:t>
      </w:r>
      <w:r w:rsidR="008323C1" w:rsidRPr="00CF1079">
        <w:rPr>
          <w:rFonts w:ascii="Arial" w:hAnsi="Arial" w:cs="Arial"/>
          <w:sz w:val="22"/>
          <w:szCs w:val="22"/>
        </w:rPr>
        <w:t>, a</w:t>
      </w:r>
      <w:r w:rsidR="007F596B" w:rsidRPr="00CF1079">
        <w:rPr>
          <w:rFonts w:ascii="Arial" w:hAnsi="Arial" w:cs="Arial"/>
          <w:sz w:val="22"/>
          <w:szCs w:val="22"/>
        </w:rPr>
        <w:t xml:space="preserve"> </w:t>
      </w:r>
      <w:r w:rsidR="00F81982" w:rsidRPr="00CF1079">
        <w:rPr>
          <w:rFonts w:ascii="Arial" w:hAnsi="Arial" w:cs="Arial"/>
          <w:sz w:val="22"/>
          <w:szCs w:val="22"/>
        </w:rPr>
        <w:t>linear regression model</w:t>
      </w:r>
      <w:r w:rsidR="007F596B" w:rsidRPr="00CF1079">
        <w:rPr>
          <w:rFonts w:ascii="Arial" w:hAnsi="Arial" w:cs="Arial"/>
          <w:sz w:val="22"/>
          <w:szCs w:val="22"/>
        </w:rPr>
        <w:t xml:space="preserve"> was </w:t>
      </w:r>
      <w:r w:rsidR="00F81982" w:rsidRPr="00CF1079">
        <w:rPr>
          <w:rFonts w:ascii="Arial" w:hAnsi="Arial" w:cs="Arial"/>
          <w:sz w:val="22"/>
          <w:szCs w:val="22"/>
        </w:rPr>
        <w:t>used</w:t>
      </w:r>
      <w:r w:rsidR="00C3749E" w:rsidRPr="00CF1079">
        <w:rPr>
          <w:rFonts w:ascii="Arial" w:hAnsi="Arial" w:cs="Arial"/>
          <w:sz w:val="22"/>
          <w:szCs w:val="22"/>
        </w:rPr>
        <w:t xml:space="preserve"> in order</w:t>
      </w:r>
      <w:r w:rsidR="00F81982" w:rsidRPr="00CF1079">
        <w:rPr>
          <w:rFonts w:ascii="Arial" w:hAnsi="Arial" w:cs="Arial"/>
          <w:sz w:val="22"/>
          <w:szCs w:val="22"/>
        </w:rPr>
        <w:t xml:space="preserve"> to understand </w:t>
      </w:r>
      <w:r w:rsidR="00C3749E" w:rsidRPr="00CF1079">
        <w:rPr>
          <w:rFonts w:ascii="Arial" w:hAnsi="Arial" w:cs="Arial"/>
          <w:sz w:val="22"/>
          <w:szCs w:val="22"/>
        </w:rPr>
        <w:t>how</w:t>
      </w:r>
      <w:r w:rsidR="007F596B" w:rsidRPr="00CF1079">
        <w:rPr>
          <w:rFonts w:ascii="Arial" w:hAnsi="Arial" w:cs="Arial"/>
          <w:sz w:val="22"/>
          <w:szCs w:val="22"/>
        </w:rPr>
        <w:t xml:space="preserve"> the</w:t>
      </w:r>
      <w:r w:rsidR="00F20615" w:rsidRPr="00CF1079">
        <w:rPr>
          <w:rFonts w:ascii="Arial" w:hAnsi="Arial" w:cs="Arial"/>
          <w:sz w:val="22"/>
          <w:szCs w:val="22"/>
        </w:rPr>
        <w:t>rapist adherence to an evidence-based protocol (</w:t>
      </w:r>
      <w:r w:rsidR="007F596B" w:rsidRPr="00CF1079">
        <w:rPr>
          <w:rFonts w:ascii="Arial" w:hAnsi="Arial" w:cs="Arial"/>
          <w:sz w:val="22"/>
          <w:szCs w:val="22"/>
        </w:rPr>
        <w:t>A score</w:t>
      </w:r>
      <w:r w:rsidR="00F20615" w:rsidRPr="00CF1079">
        <w:rPr>
          <w:rFonts w:ascii="Arial" w:hAnsi="Arial" w:cs="Arial"/>
          <w:sz w:val="22"/>
          <w:szCs w:val="22"/>
        </w:rPr>
        <w:t>)</w:t>
      </w:r>
      <w:r w:rsidR="007F596B" w:rsidRPr="00CF1079">
        <w:rPr>
          <w:rFonts w:ascii="Arial" w:hAnsi="Arial" w:cs="Arial"/>
          <w:sz w:val="22"/>
          <w:szCs w:val="22"/>
        </w:rPr>
        <w:t xml:space="preserve"> </w:t>
      </w:r>
      <w:r w:rsidR="000077CA" w:rsidRPr="00CF1079">
        <w:rPr>
          <w:rFonts w:ascii="Arial" w:hAnsi="Arial" w:cs="Arial"/>
          <w:sz w:val="22"/>
          <w:szCs w:val="22"/>
        </w:rPr>
        <w:t>influences</w:t>
      </w:r>
      <w:r w:rsidR="007F596B" w:rsidRPr="00CF1079">
        <w:rPr>
          <w:rFonts w:ascii="Arial" w:hAnsi="Arial" w:cs="Arial"/>
          <w:sz w:val="22"/>
          <w:szCs w:val="22"/>
        </w:rPr>
        <w:t xml:space="preserve"> recovery rate. </w:t>
      </w:r>
      <w:r w:rsidR="00D51E40" w:rsidRPr="00CF1079">
        <w:rPr>
          <w:rFonts w:ascii="Arial" w:hAnsi="Arial" w:cs="Arial"/>
          <w:sz w:val="22"/>
          <w:szCs w:val="22"/>
        </w:rPr>
        <w:t>The assumptions for a linear regression were met</w:t>
      </w:r>
      <w:r w:rsidR="00D12EBD" w:rsidRPr="00CF1079">
        <w:rPr>
          <w:rFonts w:ascii="Arial" w:hAnsi="Arial" w:cs="Arial"/>
          <w:sz w:val="22"/>
          <w:szCs w:val="22"/>
        </w:rPr>
        <w:t>.</w:t>
      </w:r>
      <w:r w:rsidR="00D51E40" w:rsidRPr="00CF1079">
        <w:rPr>
          <w:rFonts w:ascii="Arial" w:hAnsi="Arial" w:cs="Arial"/>
          <w:sz w:val="22"/>
          <w:szCs w:val="22"/>
        </w:rPr>
        <w:t xml:space="preserve"> </w:t>
      </w:r>
      <w:r w:rsidR="00D12EBD" w:rsidRPr="00CF1079">
        <w:rPr>
          <w:rFonts w:ascii="Arial" w:hAnsi="Arial" w:cs="Arial"/>
          <w:sz w:val="22"/>
          <w:szCs w:val="22"/>
        </w:rPr>
        <w:t>The</w:t>
      </w:r>
      <w:r w:rsidR="00D51E40" w:rsidRPr="00CF1079">
        <w:rPr>
          <w:rFonts w:ascii="Arial" w:hAnsi="Arial" w:cs="Arial"/>
          <w:sz w:val="22"/>
          <w:szCs w:val="22"/>
        </w:rPr>
        <w:t xml:space="preserve"> rule of thumb</w:t>
      </w:r>
      <w:r w:rsidR="00D12EBD" w:rsidRPr="00CF1079">
        <w:rPr>
          <w:rFonts w:ascii="Arial" w:hAnsi="Arial" w:cs="Arial"/>
          <w:sz w:val="22"/>
          <w:szCs w:val="22"/>
        </w:rPr>
        <w:t xml:space="preserve"> for sample size (</w:t>
      </w:r>
      <w:r w:rsidR="00A448C2" w:rsidRPr="00CF1079">
        <w:rPr>
          <w:rFonts w:ascii="Arial" w:hAnsi="Arial" w:cs="Arial"/>
          <w:sz w:val="22"/>
          <w:szCs w:val="22"/>
        </w:rPr>
        <w:t>at least 20 cases per independent variable was met.</w:t>
      </w:r>
      <w:r w:rsidR="00F14310" w:rsidRPr="00CF1079">
        <w:rPr>
          <w:rFonts w:ascii="Arial" w:hAnsi="Arial" w:cs="Arial"/>
          <w:sz w:val="22"/>
          <w:szCs w:val="22"/>
        </w:rPr>
        <w:t xml:space="preserve"> A Durbin</w:t>
      </w:r>
      <w:r w:rsidR="007063A0" w:rsidRPr="00CF1079">
        <w:rPr>
          <w:rFonts w:ascii="Arial" w:hAnsi="Arial" w:cs="Arial"/>
          <w:sz w:val="22"/>
          <w:szCs w:val="22"/>
        </w:rPr>
        <w:t>-</w:t>
      </w:r>
      <w:r w:rsidR="00F14310" w:rsidRPr="00CF1079">
        <w:rPr>
          <w:rFonts w:ascii="Arial" w:hAnsi="Arial" w:cs="Arial"/>
          <w:sz w:val="22"/>
          <w:szCs w:val="22"/>
        </w:rPr>
        <w:t>Watson</w:t>
      </w:r>
      <w:r w:rsidR="00A448C2" w:rsidRPr="00CF1079">
        <w:rPr>
          <w:rFonts w:ascii="Arial" w:hAnsi="Arial" w:cs="Arial"/>
          <w:sz w:val="22"/>
          <w:szCs w:val="22"/>
        </w:rPr>
        <w:t xml:space="preserve"> </w:t>
      </w:r>
      <w:r w:rsidR="007063A0" w:rsidRPr="00CF1079">
        <w:rPr>
          <w:rFonts w:ascii="Arial" w:hAnsi="Arial" w:cs="Arial"/>
          <w:sz w:val="22"/>
          <w:szCs w:val="22"/>
        </w:rPr>
        <w:t>statistic</w:t>
      </w:r>
      <w:r w:rsidR="00430511" w:rsidRPr="00CF1079">
        <w:rPr>
          <w:rFonts w:ascii="Arial" w:hAnsi="Arial" w:cs="Arial"/>
          <w:sz w:val="22"/>
          <w:szCs w:val="22"/>
        </w:rPr>
        <w:t>,</w:t>
      </w:r>
      <w:r w:rsidR="007063A0" w:rsidRPr="00CF1079">
        <w:rPr>
          <w:rFonts w:ascii="Arial" w:hAnsi="Arial" w:cs="Arial"/>
          <w:sz w:val="22"/>
          <w:szCs w:val="22"/>
        </w:rPr>
        <w:t xml:space="preserve"> that assesses independence of residuals</w:t>
      </w:r>
      <w:r w:rsidR="00430511" w:rsidRPr="00CF1079">
        <w:rPr>
          <w:rFonts w:ascii="Arial" w:hAnsi="Arial" w:cs="Arial"/>
          <w:sz w:val="22"/>
          <w:szCs w:val="22"/>
        </w:rPr>
        <w:t xml:space="preserve">, was conducted revealing a Durbin-Watson statistic of </w:t>
      </w:r>
      <w:r w:rsidR="00616F87" w:rsidRPr="00CF1079">
        <w:rPr>
          <w:rFonts w:ascii="Arial" w:hAnsi="Arial" w:cs="Arial"/>
          <w:sz w:val="22"/>
          <w:szCs w:val="22"/>
        </w:rPr>
        <w:t>1.840. Visual inspection revealed that the standardised residuals were approximately normally distributed</w:t>
      </w:r>
      <w:r w:rsidR="00B521A0" w:rsidRPr="00CF1079">
        <w:rPr>
          <w:rFonts w:ascii="Arial" w:hAnsi="Arial" w:cs="Arial"/>
          <w:sz w:val="22"/>
          <w:szCs w:val="22"/>
        </w:rPr>
        <w:t xml:space="preserve">. There was homoscedasticity </w:t>
      </w:r>
      <w:r w:rsidR="00C03822" w:rsidRPr="00CF1079">
        <w:rPr>
          <w:rFonts w:ascii="Arial" w:hAnsi="Arial" w:cs="Arial"/>
          <w:sz w:val="22"/>
          <w:szCs w:val="22"/>
        </w:rPr>
        <w:t>as assessed by a visual inspection of scatter plot of standardised residuals versus standardised predicted values</w:t>
      </w:r>
      <w:r w:rsidR="0007552E" w:rsidRPr="00CF1079">
        <w:rPr>
          <w:rFonts w:ascii="Arial" w:hAnsi="Arial" w:cs="Arial"/>
          <w:sz w:val="22"/>
          <w:szCs w:val="22"/>
        </w:rPr>
        <w:t>. The residuals were normally distributed</w:t>
      </w:r>
      <w:r w:rsidR="008278B0" w:rsidRPr="00CF1079">
        <w:rPr>
          <w:rFonts w:ascii="Arial" w:hAnsi="Arial" w:cs="Arial"/>
          <w:sz w:val="22"/>
          <w:szCs w:val="22"/>
        </w:rPr>
        <w:t xml:space="preserve">. </w:t>
      </w:r>
      <w:r w:rsidR="001B54EE" w:rsidRPr="00CF1079">
        <w:rPr>
          <w:rFonts w:ascii="Arial" w:hAnsi="Arial" w:cs="Arial"/>
          <w:color w:val="010205"/>
          <w:sz w:val="22"/>
          <w:szCs w:val="22"/>
          <w:lang w:val="en-US"/>
        </w:rPr>
        <w:t>The descriptive statistics for this model are shown in figures 5.2 (F scores), 5.3 (A scores and 5.4 (recovery) and in sections 5.2.2 (F scores), 5.2.3 (A scores) and 5.2.4 (recovery).</w:t>
      </w:r>
      <w:r w:rsidR="001B54EE">
        <w:rPr>
          <w:rFonts w:ascii="Arial" w:hAnsi="Arial" w:cs="Arial"/>
          <w:color w:val="010205"/>
          <w:sz w:val="22"/>
          <w:szCs w:val="22"/>
          <w:lang w:val="en-US"/>
        </w:rPr>
        <w:t xml:space="preserve"> </w:t>
      </w:r>
    </w:p>
    <w:p w14:paraId="1759CF2C" w14:textId="6427DA63" w:rsidR="00C11EA8" w:rsidRDefault="00C11EA8" w:rsidP="007F596B">
      <w:pPr>
        <w:spacing w:line="480" w:lineRule="auto"/>
        <w:rPr>
          <w:rFonts w:ascii="Arial" w:hAnsi="Arial" w:cs="Arial"/>
          <w:sz w:val="22"/>
          <w:szCs w:val="22"/>
        </w:rPr>
      </w:pPr>
    </w:p>
    <w:p w14:paraId="3F6A43FD" w14:textId="00A38AF8" w:rsidR="007F596B" w:rsidRDefault="007F596B" w:rsidP="007F596B">
      <w:pPr>
        <w:spacing w:line="480" w:lineRule="auto"/>
        <w:rPr>
          <w:rFonts w:ascii="Arial" w:hAnsi="Arial" w:cs="Arial"/>
          <w:sz w:val="22"/>
          <w:szCs w:val="22"/>
        </w:rPr>
      </w:pPr>
      <w:r w:rsidRPr="00AE5B9C">
        <w:rPr>
          <w:rFonts w:ascii="Arial" w:hAnsi="Arial" w:cs="Arial"/>
          <w:sz w:val="22"/>
          <w:szCs w:val="22"/>
        </w:rPr>
        <w:t xml:space="preserve">There was a statistically significant relationship between therapist adherence (A scores) and clinical outcome, </w:t>
      </w:r>
      <w:r w:rsidR="00A266B6">
        <w:rPr>
          <w:rFonts w:ascii="Arial" w:hAnsi="Arial" w:cs="Arial"/>
          <w:sz w:val="22"/>
          <w:szCs w:val="22"/>
        </w:rPr>
        <w:t>r</w:t>
      </w:r>
      <w:r w:rsidRPr="00AE5B9C">
        <w:rPr>
          <w:rFonts w:ascii="Arial" w:hAnsi="Arial" w:cs="Arial"/>
          <w:sz w:val="22"/>
          <w:szCs w:val="22"/>
        </w:rPr>
        <w:t xml:space="preserve"> = </w:t>
      </w:r>
      <w:r w:rsidR="00B31E2E">
        <w:rPr>
          <w:rFonts w:ascii="Arial" w:hAnsi="Arial" w:cs="Arial"/>
          <w:sz w:val="22"/>
          <w:szCs w:val="22"/>
        </w:rPr>
        <w:t>0.</w:t>
      </w:r>
      <w:r w:rsidR="00A266B6">
        <w:rPr>
          <w:rFonts w:ascii="Arial" w:hAnsi="Arial" w:cs="Arial"/>
          <w:sz w:val="22"/>
          <w:szCs w:val="22"/>
        </w:rPr>
        <w:t>165</w:t>
      </w:r>
      <w:r w:rsidRPr="00AE5B9C">
        <w:rPr>
          <w:rFonts w:ascii="Arial" w:hAnsi="Arial" w:cs="Arial"/>
          <w:sz w:val="22"/>
          <w:szCs w:val="22"/>
        </w:rPr>
        <w:t>, p = 0.0</w:t>
      </w:r>
      <w:r w:rsidR="00B31E2E">
        <w:rPr>
          <w:rFonts w:ascii="Arial" w:hAnsi="Arial" w:cs="Arial"/>
          <w:sz w:val="22"/>
          <w:szCs w:val="22"/>
        </w:rPr>
        <w:t>20</w:t>
      </w:r>
      <w:r w:rsidRPr="00AE5B9C">
        <w:rPr>
          <w:rFonts w:ascii="Arial" w:hAnsi="Arial" w:cs="Arial"/>
          <w:sz w:val="22"/>
          <w:szCs w:val="22"/>
        </w:rPr>
        <w:t xml:space="preserve">. </w:t>
      </w:r>
      <w:r w:rsidR="00D40126">
        <w:rPr>
          <w:rFonts w:ascii="Arial" w:hAnsi="Arial" w:cs="Arial"/>
          <w:sz w:val="22"/>
          <w:szCs w:val="22"/>
        </w:rPr>
        <w:t xml:space="preserve">This would suggest that </w:t>
      </w:r>
      <w:r w:rsidR="00071934">
        <w:rPr>
          <w:rFonts w:ascii="Arial" w:hAnsi="Arial" w:cs="Arial"/>
          <w:sz w:val="22"/>
          <w:szCs w:val="22"/>
        </w:rPr>
        <w:t xml:space="preserve">there is a significant </w:t>
      </w:r>
      <w:r w:rsidR="00071934">
        <w:rPr>
          <w:rFonts w:ascii="Arial" w:hAnsi="Arial" w:cs="Arial"/>
          <w:sz w:val="22"/>
          <w:szCs w:val="22"/>
        </w:rPr>
        <w:lastRenderedPageBreak/>
        <w:t xml:space="preserve">relationship between therapist adherence and recovery. </w:t>
      </w:r>
      <w:r w:rsidRPr="00AE5B9C">
        <w:rPr>
          <w:rFonts w:ascii="Arial" w:hAnsi="Arial" w:cs="Arial"/>
          <w:sz w:val="22"/>
          <w:szCs w:val="22"/>
        </w:rPr>
        <w:t xml:space="preserve">Table </w:t>
      </w:r>
      <w:r w:rsidR="00F81982">
        <w:rPr>
          <w:rFonts w:ascii="Arial" w:hAnsi="Arial" w:cs="Arial"/>
          <w:sz w:val="22"/>
          <w:szCs w:val="22"/>
        </w:rPr>
        <w:t>5</w:t>
      </w:r>
      <w:r w:rsidRPr="00AE5B9C">
        <w:rPr>
          <w:rFonts w:ascii="Arial" w:hAnsi="Arial" w:cs="Arial"/>
          <w:sz w:val="22"/>
          <w:szCs w:val="22"/>
        </w:rPr>
        <w:t>.</w:t>
      </w:r>
      <w:r w:rsidR="0074256C">
        <w:rPr>
          <w:rFonts w:ascii="Arial" w:hAnsi="Arial" w:cs="Arial"/>
          <w:sz w:val="22"/>
          <w:szCs w:val="22"/>
        </w:rPr>
        <w:t xml:space="preserve">2 </w:t>
      </w:r>
      <w:r w:rsidRPr="00AE5B9C">
        <w:rPr>
          <w:rFonts w:ascii="Arial" w:hAnsi="Arial" w:cs="Arial"/>
          <w:sz w:val="22"/>
          <w:szCs w:val="22"/>
        </w:rPr>
        <w:t>shows</w:t>
      </w:r>
      <w:r w:rsidR="0074256C">
        <w:rPr>
          <w:rFonts w:ascii="Arial" w:hAnsi="Arial" w:cs="Arial"/>
          <w:sz w:val="22"/>
          <w:szCs w:val="22"/>
        </w:rPr>
        <w:t xml:space="preserve"> the</w:t>
      </w:r>
      <w:r w:rsidRPr="00AE5B9C">
        <w:rPr>
          <w:rFonts w:ascii="Arial" w:hAnsi="Arial" w:cs="Arial"/>
          <w:sz w:val="22"/>
          <w:szCs w:val="22"/>
        </w:rPr>
        <w:t xml:space="preserve"> </w:t>
      </w:r>
      <w:r w:rsidR="00F81982">
        <w:rPr>
          <w:rFonts w:ascii="Arial" w:hAnsi="Arial" w:cs="Arial"/>
          <w:sz w:val="22"/>
          <w:szCs w:val="22"/>
        </w:rPr>
        <w:t>model</w:t>
      </w:r>
      <w:r w:rsidR="00687C44">
        <w:rPr>
          <w:rFonts w:ascii="Arial" w:hAnsi="Arial" w:cs="Arial"/>
          <w:sz w:val="22"/>
          <w:szCs w:val="22"/>
        </w:rPr>
        <w:t xml:space="preserve"> </w:t>
      </w:r>
      <w:r w:rsidR="007F5E97">
        <w:rPr>
          <w:rFonts w:ascii="Arial" w:hAnsi="Arial" w:cs="Arial"/>
          <w:sz w:val="22"/>
          <w:szCs w:val="22"/>
        </w:rPr>
        <w:t xml:space="preserve">summary </w:t>
      </w:r>
      <w:r w:rsidR="00687C44">
        <w:rPr>
          <w:rFonts w:ascii="Arial" w:hAnsi="Arial" w:cs="Arial"/>
          <w:sz w:val="22"/>
          <w:szCs w:val="22"/>
        </w:rPr>
        <w:t>and</w:t>
      </w:r>
      <w:r w:rsidR="00F81982">
        <w:rPr>
          <w:rFonts w:ascii="Arial" w:hAnsi="Arial" w:cs="Arial"/>
          <w:sz w:val="22"/>
          <w:szCs w:val="22"/>
        </w:rPr>
        <w:t xml:space="preserve"> </w:t>
      </w:r>
      <w:r w:rsidR="00687C44">
        <w:rPr>
          <w:rFonts w:ascii="Arial" w:hAnsi="Arial" w:cs="Arial"/>
          <w:sz w:val="22"/>
          <w:szCs w:val="22"/>
        </w:rPr>
        <w:t>f</w:t>
      </w:r>
      <w:r w:rsidR="00F81982">
        <w:rPr>
          <w:rFonts w:ascii="Arial" w:hAnsi="Arial" w:cs="Arial"/>
          <w:sz w:val="22"/>
          <w:szCs w:val="22"/>
        </w:rPr>
        <w:t xml:space="preserve">igure 5.7 shows a dot plot and </w:t>
      </w:r>
      <w:r w:rsidR="0074256C">
        <w:rPr>
          <w:rFonts w:ascii="Arial" w:hAnsi="Arial" w:cs="Arial"/>
          <w:sz w:val="22"/>
          <w:szCs w:val="22"/>
        </w:rPr>
        <w:t>positive regression line</w:t>
      </w:r>
      <w:r w:rsidR="00687C44">
        <w:rPr>
          <w:rFonts w:ascii="Arial" w:hAnsi="Arial" w:cs="Arial"/>
          <w:sz w:val="22"/>
          <w:szCs w:val="22"/>
        </w:rPr>
        <w:t xml:space="preserve"> for recovery rate.</w:t>
      </w:r>
      <w:r w:rsidR="00043816">
        <w:rPr>
          <w:rFonts w:ascii="Arial" w:hAnsi="Arial" w:cs="Arial"/>
          <w:sz w:val="22"/>
          <w:szCs w:val="22"/>
        </w:rPr>
        <w:t xml:space="preserve"> </w:t>
      </w:r>
      <w:r w:rsidR="00DF2B8D" w:rsidRPr="00CF1079">
        <w:rPr>
          <w:rFonts w:ascii="Arial" w:hAnsi="Arial" w:cs="Arial"/>
          <w:sz w:val="22"/>
          <w:szCs w:val="22"/>
        </w:rPr>
        <w:t xml:space="preserve">Table 5.2 and </w:t>
      </w:r>
      <w:r w:rsidR="00043816" w:rsidRPr="00CF1079">
        <w:rPr>
          <w:rFonts w:ascii="Arial" w:hAnsi="Arial" w:cs="Arial"/>
          <w:sz w:val="22"/>
          <w:szCs w:val="22"/>
        </w:rPr>
        <w:t>Figure</w:t>
      </w:r>
      <w:r w:rsidR="00DE261A" w:rsidRPr="00CF1079">
        <w:rPr>
          <w:rFonts w:ascii="Arial" w:hAnsi="Arial" w:cs="Arial"/>
          <w:sz w:val="22"/>
          <w:szCs w:val="22"/>
        </w:rPr>
        <w:t xml:space="preserve"> 5.7 show that for each increment of the A score</w:t>
      </w:r>
      <w:r w:rsidR="00F53846" w:rsidRPr="00CF1079">
        <w:rPr>
          <w:rFonts w:ascii="Arial" w:hAnsi="Arial" w:cs="Arial"/>
          <w:sz w:val="22"/>
          <w:szCs w:val="22"/>
        </w:rPr>
        <w:t xml:space="preserve"> recovery increases by 2.9%.</w:t>
      </w:r>
      <w:r w:rsidR="00B716A1">
        <w:rPr>
          <w:rFonts w:ascii="Arial" w:hAnsi="Arial" w:cs="Arial"/>
          <w:sz w:val="22"/>
          <w:szCs w:val="22"/>
        </w:rPr>
        <w:t xml:space="preserve"> </w:t>
      </w:r>
      <w:r w:rsidR="00B31E2E">
        <w:rPr>
          <w:rFonts w:ascii="Arial" w:hAnsi="Arial" w:cs="Arial"/>
          <w:sz w:val="22"/>
          <w:szCs w:val="22"/>
        </w:rPr>
        <w:t xml:space="preserve"> A linear regression model was </w:t>
      </w:r>
      <w:r w:rsidR="00A266B6">
        <w:rPr>
          <w:rFonts w:ascii="Arial" w:hAnsi="Arial" w:cs="Arial"/>
          <w:sz w:val="22"/>
          <w:szCs w:val="22"/>
        </w:rPr>
        <w:t xml:space="preserve">also </w:t>
      </w:r>
      <w:r w:rsidR="00B31E2E">
        <w:rPr>
          <w:rFonts w:ascii="Arial" w:hAnsi="Arial" w:cs="Arial"/>
          <w:sz w:val="22"/>
          <w:szCs w:val="22"/>
        </w:rPr>
        <w:t>used</w:t>
      </w:r>
      <w:r w:rsidR="00A266B6">
        <w:rPr>
          <w:rFonts w:ascii="Arial" w:hAnsi="Arial" w:cs="Arial"/>
          <w:sz w:val="22"/>
          <w:szCs w:val="22"/>
        </w:rPr>
        <w:t xml:space="preserve"> to establish whether a similar relationship could be established between </w:t>
      </w:r>
      <w:r w:rsidR="00227FEB">
        <w:rPr>
          <w:rFonts w:ascii="Arial" w:hAnsi="Arial" w:cs="Arial"/>
          <w:sz w:val="22"/>
          <w:szCs w:val="22"/>
        </w:rPr>
        <w:t xml:space="preserve">the </w:t>
      </w:r>
      <w:r w:rsidR="00A266B6">
        <w:rPr>
          <w:rFonts w:ascii="Arial" w:hAnsi="Arial" w:cs="Arial"/>
          <w:sz w:val="22"/>
          <w:szCs w:val="22"/>
        </w:rPr>
        <w:t xml:space="preserve">A score and reliable improvement rates. Again, there </w:t>
      </w:r>
      <w:r w:rsidR="00691E57">
        <w:rPr>
          <w:rFonts w:ascii="Arial" w:hAnsi="Arial" w:cs="Arial"/>
          <w:sz w:val="22"/>
          <w:szCs w:val="22"/>
        </w:rPr>
        <w:t>i</w:t>
      </w:r>
      <w:r w:rsidR="00A266B6">
        <w:rPr>
          <w:rFonts w:ascii="Arial" w:hAnsi="Arial" w:cs="Arial"/>
          <w:sz w:val="22"/>
          <w:szCs w:val="22"/>
        </w:rPr>
        <w:t xml:space="preserve">s </w:t>
      </w:r>
      <w:r w:rsidR="00691E57">
        <w:rPr>
          <w:rFonts w:ascii="Arial" w:hAnsi="Arial" w:cs="Arial"/>
          <w:sz w:val="22"/>
          <w:szCs w:val="22"/>
        </w:rPr>
        <w:t xml:space="preserve">a </w:t>
      </w:r>
      <w:r w:rsidR="00A266B6">
        <w:rPr>
          <w:rFonts w:ascii="Arial" w:hAnsi="Arial" w:cs="Arial"/>
          <w:sz w:val="22"/>
          <w:szCs w:val="22"/>
        </w:rPr>
        <w:t xml:space="preserve">statistically significant relationship between </w:t>
      </w:r>
      <w:r w:rsidR="00227FEB">
        <w:rPr>
          <w:rFonts w:ascii="Arial" w:hAnsi="Arial" w:cs="Arial"/>
          <w:sz w:val="22"/>
          <w:szCs w:val="22"/>
        </w:rPr>
        <w:t xml:space="preserve">the </w:t>
      </w:r>
      <w:r w:rsidR="00A266B6">
        <w:rPr>
          <w:rFonts w:ascii="Arial" w:hAnsi="Arial" w:cs="Arial"/>
          <w:sz w:val="22"/>
          <w:szCs w:val="22"/>
        </w:rPr>
        <w:t>A score and reliable improvement rate r</w:t>
      </w:r>
      <w:r w:rsidR="00A266B6">
        <w:rPr>
          <w:rFonts w:ascii="Arial" w:hAnsi="Arial" w:cs="Arial"/>
          <w:sz w:val="22"/>
          <w:szCs w:val="22"/>
          <w:vertAlign w:val="superscript"/>
        </w:rPr>
        <w:t xml:space="preserve"> </w:t>
      </w:r>
      <w:r w:rsidR="00A266B6" w:rsidRPr="00A266B6">
        <w:rPr>
          <w:rFonts w:ascii="Arial" w:hAnsi="Arial" w:cs="Arial"/>
          <w:sz w:val="22"/>
          <w:szCs w:val="22"/>
        </w:rPr>
        <w:t>=</w:t>
      </w:r>
      <w:r w:rsidR="00A266B6">
        <w:rPr>
          <w:rFonts w:ascii="Arial" w:hAnsi="Arial" w:cs="Arial"/>
          <w:sz w:val="22"/>
          <w:szCs w:val="22"/>
        </w:rPr>
        <w:t xml:space="preserve"> 0.182, p = 0.010.  Table 5.</w:t>
      </w:r>
      <w:r w:rsidR="00687C44">
        <w:rPr>
          <w:rFonts w:ascii="Arial" w:hAnsi="Arial" w:cs="Arial"/>
          <w:sz w:val="22"/>
          <w:szCs w:val="22"/>
        </w:rPr>
        <w:t>3</w:t>
      </w:r>
      <w:r w:rsidR="00A266B6">
        <w:rPr>
          <w:rFonts w:ascii="Arial" w:hAnsi="Arial" w:cs="Arial"/>
          <w:sz w:val="22"/>
          <w:szCs w:val="22"/>
        </w:rPr>
        <w:t xml:space="preserve"> shows the </w:t>
      </w:r>
      <w:r w:rsidR="00687C44">
        <w:rPr>
          <w:rFonts w:ascii="Arial" w:hAnsi="Arial" w:cs="Arial"/>
          <w:sz w:val="22"/>
          <w:szCs w:val="22"/>
        </w:rPr>
        <w:t xml:space="preserve">summary </w:t>
      </w:r>
      <w:r w:rsidR="00A266B6">
        <w:rPr>
          <w:rFonts w:ascii="Arial" w:hAnsi="Arial" w:cs="Arial"/>
          <w:sz w:val="22"/>
          <w:szCs w:val="22"/>
        </w:rPr>
        <w:t>model and Figure 5.</w:t>
      </w:r>
      <w:r w:rsidR="00687C44">
        <w:rPr>
          <w:rFonts w:ascii="Arial" w:hAnsi="Arial" w:cs="Arial"/>
          <w:sz w:val="22"/>
          <w:szCs w:val="22"/>
        </w:rPr>
        <w:t>8</w:t>
      </w:r>
      <w:r w:rsidR="00A266B6">
        <w:rPr>
          <w:rFonts w:ascii="Arial" w:hAnsi="Arial" w:cs="Arial"/>
          <w:sz w:val="22"/>
          <w:szCs w:val="22"/>
        </w:rPr>
        <w:t xml:space="preserve"> shows a dot plot and positive regression line</w:t>
      </w:r>
      <w:r w:rsidR="00687C44">
        <w:rPr>
          <w:rFonts w:ascii="Arial" w:hAnsi="Arial" w:cs="Arial"/>
          <w:sz w:val="22"/>
          <w:szCs w:val="22"/>
        </w:rPr>
        <w:t xml:space="preserve"> for reliable improvement rate.</w:t>
      </w:r>
      <w:r w:rsidR="00B716A1">
        <w:rPr>
          <w:rFonts w:ascii="Arial" w:hAnsi="Arial" w:cs="Arial"/>
          <w:sz w:val="22"/>
          <w:szCs w:val="22"/>
        </w:rPr>
        <w:t xml:space="preserve"> </w:t>
      </w:r>
      <w:r w:rsidR="00B716A1" w:rsidRPr="00CF1079">
        <w:rPr>
          <w:rFonts w:ascii="Arial" w:hAnsi="Arial" w:cs="Arial"/>
          <w:sz w:val="22"/>
          <w:szCs w:val="22"/>
        </w:rPr>
        <w:t>Table</w:t>
      </w:r>
      <w:r w:rsidR="005F5E05" w:rsidRPr="00CF1079">
        <w:rPr>
          <w:rFonts w:ascii="Arial" w:hAnsi="Arial" w:cs="Arial"/>
          <w:sz w:val="22"/>
          <w:szCs w:val="22"/>
        </w:rPr>
        <w:t xml:space="preserve"> 5.3 and figure 5.8 show that for each increment of the A score reliable improvement increased</w:t>
      </w:r>
      <w:r w:rsidR="000D026E" w:rsidRPr="00CF1079">
        <w:rPr>
          <w:rFonts w:ascii="Arial" w:hAnsi="Arial" w:cs="Arial"/>
          <w:sz w:val="22"/>
          <w:szCs w:val="22"/>
        </w:rPr>
        <w:t xml:space="preserve"> by 2.7%.</w:t>
      </w:r>
    </w:p>
    <w:p w14:paraId="1D16F6BB" w14:textId="77777777" w:rsidR="000D026E" w:rsidRPr="00A266B6" w:rsidRDefault="000D026E" w:rsidP="007F596B">
      <w:pPr>
        <w:spacing w:line="480" w:lineRule="auto"/>
        <w:rPr>
          <w:rFonts w:ascii="Arial" w:hAnsi="Arial" w:cs="Arial"/>
          <w:sz w:val="22"/>
          <w:szCs w:val="22"/>
        </w:rPr>
      </w:pPr>
    </w:p>
    <w:p w14:paraId="28DB5E57" w14:textId="7A83275E" w:rsidR="009C34A1" w:rsidRDefault="009C34A1" w:rsidP="009C34A1">
      <w:pPr>
        <w:pStyle w:val="Tables"/>
        <w:rPr>
          <w:b w:val="0"/>
        </w:rPr>
      </w:pPr>
      <w:bookmarkStart w:id="356" w:name="_Toc28347781"/>
      <w:bookmarkStart w:id="357" w:name="_Toc46770982"/>
      <w:r w:rsidRPr="008D24C6">
        <w:t xml:space="preserve">Table 5.2 </w:t>
      </w:r>
      <w:r w:rsidR="00271D11" w:rsidRPr="00CF1079">
        <w:rPr>
          <w:b w:val="0"/>
          <w:bCs/>
        </w:rPr>
        <w:t>Model summary for the</w:t>
      </w:r>
      <w:r w:rsidR="00271D11">
        <w:t xml:space="preserve"> </w:t>
      </w:r>
      <w:r w:rsidR="00271D11" w:rsidRPr="00271D11">
        <w:rPr>
          <w:b w:val="0"/>
        </w:rPr>
        <w:t>l</w:t>
      </w:r>
      <w:r w:rsidRPr="009C34A1">
        <w:rPr>
          <w:b w:val="0"/>
        </w:rPr>
        <w:t>inear regression model for A score and recovery rate</w:t>
      </w:r>
      <w:bookmarkEnd w:id="356"/>
      <w:bookmarkEnd w:id="357"/>
    </w:p>
    <w:p w14:paraId="1CAF46DF" w14:textId="77777777" w:rsidR="009C34A1" w:rsidRDefault="009C34A1" w:rsidP="009C34A1">
      <w:pPr>
        <w:pStyle w:val="Tables"/>
      </w:pPr>
    </w:p>
    <w:tbl>
      <w:tblPr>
        <w:tblW w:w="0" w:type="auto"/>
        <w:tblCellMar>
          <w:top w:w="15" w:type="dxa"/>
          <w:left w:w="15" w:type="dxa"/>
          <w:bottom w:w="15" w:type="dxa"/>
          <w:right w:w="15" w:type="dxa"/>
        </w:tblCellMar>
        <w:tblLook w:val="04A0" w:firstRow="1" w:lastRow="0" w:firstColumn="1" w:lastColumn="0" w:noHBand="0" w:noVBand="1"/>
      </w:tblPr>
      <w:tblGrid>
        <w:gridCol w:w="539"/>
        <w:gridCol w:w="127"/>
        <w:gridCol w:w="1076"/>
        <w:gridCol w:w="67"/>
        <w:gridCol w:w="581"/>
        <w:gridCol w:w="45"/>
        <w:gridCol w:w="1494"/>
        <w:gridCol w:w="93"/>
        <w:gridCol w:w="73"/>
        <w:gridCol w:w="645"/>
        <w:gridCol w:w="51"/>
        <w:gridCol w:w="1349"/>
        <w:gridCol w:w="51"/>
        <w:gridCol w:w="581"/>
        <w:gridCol w:w="36"/>
        <w:gridCol w:w="581"/>
        <w:gridCol w:w="36"/>
      </w:tblGrid>
      <w:tr w:rsidR="00F602CC" w:rsidRPr="00F602CC" w14:paraId="39A0B06F" w14:textId="77777777" w:rsidTr="008843BF">
        <w:trPr>
          <w:gridAfter w:val="6"/>
          <w:tblHeader/>
        </w:trPr>
        <w:tc>
          <w:tcPr>
            <w:tcW w:w="0" w:type="auto"/>
            <w:gridSpan w:val="11"/>
            <w:tcBorders>
              <w:top w:val="nil"/>
              <w:left w:val="nil"/>
              <w:bottom w:val="single" w:sz="6" w:space="0" w:color="000000"/>
              <w:right w:val="nil"/>
            </w:tcBorders>
            <w:vAlign w:val="center"/>
            <w:hideMark/>
          </w:tcPr>
          <w:p w14:paraId="30EAC552" w14:textId="77777777" w:rsidR="00F602CC" w:rsidRPr="00F602CC" w:rsidRDefault="00F602CC" w:rsidP="008843BF">
            <w:pPr>
              <w:rPr>
                <w:rFonts w:ascii="Arial" w:hAnsi="Arial" w:cs="Arial"/>
                <w:b/>
                <w:bCs/>
                <w:sz w:val="22"/>
                <w:szCs w:val="22"/>
              </w:rPr>
            </w:pPr>
            <w:r w:rsidRPr="00F602CC">
              <w:rPr>
                <w:rFonts w:ascii="Arial" w:hAnsi="Arial" w:cs="Arial"/>
                <w:b/>
                <w:bCs/>
                <w:sz w:val="22"/>
                <w:szCs w:val="22"/>
              </w:rPr>
              <w:t xml:space="preserve">Model Summary </w:t>
            </w:r>
          </w:p>
        </w:tc>
      </w:tr>
      <w:tr w:rsidR="00F602CC" w:rsidRPr="00F602CC" w14:paraId="16627352" w14:textId="77777777" w:rsidTr="008843BF">
        <w:trPr>
          <w:gridAfter w:val="6"/>
          <w:tblHeader/>
        </w:trPr>
        <w:tc>
          <w:tcPr>
            <w:tcW w:w="0" w:type="auto"/>
            <w:gridSpan w:val="2"/>
            <w:tcBorders>
              <w:top w:val="nil"/>
              <w:left w:val="nil"/>
              <w:bottom w:val="single" w:sz="6" w:space="0" w:color="000000"/>
              <w:right w:val="nil"/>
            </w:tcBorders>
            <w:vAlign w:val="center"/>
            <w:hideMark/>
          </w:tcPr>
          <w:p w14:paraId="649D5D67" w14:textId="77777777" w:rsidR="00F602CC" w:rsidRPr="00F602CC" w:rsidRDefault="00F602CC" w:rsidP="008843BF">
            <w:pPr>
              <w:jc w:val="center"/>
              <w:rPr>
                <w:rFonts w:ascii="Arial" w:hAnsi="Arial" w:cs="Arial"/>
                <w:b/>
                <w:bCs/>
                <w:sz w:val="22"/>
                <w:szCs w:val="22"/>
              </w:rPr>
            </w:pPr>
            <w:r w:rsidRPr="00F602CC">
              <w:rPr>
                <w:rFonts w:ascii="Arial" w:hAnsi="Arial" w:cs="Arial"/>
                <w:b/>
                <w:bCs/>
                <w:sz w:val="22"/>
                <w:szCs w:val="22"/>
              </w:rPr>
              <w:t xml:space="preserve">Model </w:t>
            </w:r>
          </w:p>
        </w:tc>
        <w:tc>
          <w:tcPr>
            <w:tcW w:w="0" w:type="auto"/>
            <w:gridSpan w:val="2"/>
            <w:tcBorders>
              <w:top w:val="nil"/>
              <w:left w:val="nil"/>
              <w:bottom w:val="single" w:sz="6" w:space="0" w:color="000000"/>
              <w:right w:val="nil"/>
            </w:tcBorders>
            <w:vAlign w:val="center"/>
            <w:hideMark/>
          </w:tcPr>
          <w:p w14:paraId="04151269" w14:textId="77777777" w:rsidR="00F602CC" w:rsidRPr="00F602CC" w:rsidRDefault="00F602CC" w:rsidP="008843BF">
            <w:pPr>
              <w:jc w:val="center"/>
              <w:rPr>
                <w:rFonts w:ascii="Arial" w:hAnsi="Arial" w:cs="Arial"/>
                <w:b/>
                <w:bCs/>
                <w:sz w:val="22"/>
                <w:szCs w:val="22"/>
              </w:rPr>
            </w:pPr>
            <w:r w:rsidRPr="00F602CC">
              <w:rPr>
                <w:rFonts w:ascii="Arial" w:hAnsi="Arial" w:cs="Arial"/>
                <w:b/>
                <w:bCs/>
                <w:sz w:val="22"/>
                <w:szCs w:val="22"/>
              </w:rPr>
              <w:t xml:space="preserve">R </w:t>
            </w:r>
          </w:p>
        </w:tc>
        <w:tc>
          <w:tcPr>
            <w:tcW w:w="0" w:type="auto"/>
            <w:gridSpan w:val="2"/>
            <w:tcBorders>
              <w:top w:val="nil"/>
              <w:left w:val="nil"/>
              <w:bottom w:val="single" w:sz="6" w:space="0" w:color="000000"/>
              <w:right w:val="nil"/>
            </w:tcBorders>
            <w:vAlign w:val="center"/>
            <w:hideMark/>
          </w:tcPr>
          <w:p w14:paraId="376FFF64" w14:textId="77777777" w:rsidR="00F602CC" w:rsidRPr="00F602CC" w:rsidRDefault="00F602CC" w:rsidP="008843BF">
            <w:pPr>
              <w:jc w:val="center"/>
              <w:rPr>
                <w:rFonts w:ascii="Arial" w:hAnsi="Arial" w:cs="Arial"/>
                <w:b/>
                <w:bCs/>
                <w:sz w:val="22"/>
                <w:szCs w:val="22"/>
              </w:rPr>
            </w:pPr>
            <w:r w:rsidRPr="00F602CC">
              <w:rPr>
                <w:rFonts w:ascii="Arial" w:hAnsi="Arial" w:cs="Arial"/>
                <w:b/>
                <w:bCs/>
                <w:sz w:val="22"/>
                <w:szCs w:val="22"/>
              </w:rPr>
              <w:t xml:space="preserve">R² </w:t>
            </w:r>
          </w:p>
        </w:tc>
        <w:tc>
          <w:tcPr>
            <w:tcW w:w="0" w:type="auto"/>
            <w:gridSpan w:val="2"/>
            <w:tcBorders>
              <w:top w:val="nil"/>
              <w:left w:val="nil"/>
              <w:bottom w:val="single" w:sz="6" w:space="0" w:color="000000"/>
              <w:right w:val="nil"/>
            </w:tcBorders>
            <w:vAlign w:val="center"/>
            <w:hideMark/>
          </w:tcPr>
          <w:p w14:paraId="5EA57079" w14:textId="77777777" w:rsidR="00F602CC" w:rsidRPr="00F602CC" w:rsidRDefault="00F602CC" w:rsidP="008843BF">
            <w:pPr>
              <w:jc w:val="center"/>
              <w:rPr>
                <w:rFonts w:ascii="Arial" w:hAnsi="Arial" w:cs="Arial"/>
                <w:b/>
                <w:bCs/>
                <w:sz w:val="22"/>
                <w:szCs w:val="22"/>
              </w:rPr>
            </w:pPr>
            <w:r w:rsidRPr="00F602CC">
              <w:rPr>
                <w:rFonts w:ascii="Arial" w:hAnsi="Arial" w:cs="Arial"/>
                <w:b/>
                <w:bCs/>
                <w:sz w:val="22"/>
                <w:szCs w:val="22"/>
              </w:rPr>
              <w:t xml:space="preserve">Adjusted R² </w:t>
            </w:r>
          </w:p>
        </w:tc>
        <w:tc>
          <w:tcPr>
            <w:tcW w:w="0" w:type="auto"/>
            <w:gridSpan w:val="3"/>
            <w:tcBorders>
              <w:top w:val="nil"/>
              <w:left w:val="nil"/>
              <w:bottom w:val="single" w:sz="6" w:space="0" w:color="000000"/>
              <w:right w:val="nil"/>
            </w:tcBorders>
            <w:vAlign w:val="center"/>
            <w:hideMark/>
          </w:tcPr>
          <w:p w14:paraId="0BD8C74C" w14:textId="77777777" w:rsidR="00F602CC" w:rsidRPr="00F602CC" w:rsidRDefault="00F602CC" w:rsidP="008843BF">
            <w:pPr>
              <w:jc w:val="center"/>
              <w:rPr>
                <w:rFonts w:ascii="Arial" w:hAnsi="Arial" w:cs="Arial"/>
                <w:b/>
                <w:bCs/>
                <w:sz w:val="22"/>
                <w:szCs w:val="22"/>
              </w:rPr>
            </w:pPr>
            <w:r w:rsidRPr="00F602CC">
              <w:rPr>
                <w:rFonts w:ascii="Arial" w:hAnsi="Arial" w:cs="Arial"/>
                <w:b/>
                <w:bCs/>
                <w:sz w:val="22"/>
                <w:szCs w:val="22"/>
              </w:rPr>
              <w:t xml:space="preserve">RMSE </w:t>
            </w:r>
          </w:p>
        </w:tc>
      </w:tr>
      <w:tr w:rsidR="00F602CC" w:rsidRPr="00F602CC" w14:paraId="20D76597" w14:textId="77777777" w:rsidTr="008843BF">
        <w:trPr>
          <w:gridAfter w:val="6"/>
        </w:trPr>
        <w:tc>
          <w:tcPr>
            <w:tcW w:w="0" w:type="auto"/>
            <w:tcBorders>
              <w:top w:val="nil"/>
              <w:left w:val="nil"/>
              <w:bottom w:val="nil"/>
              <w:right w:val="nil"/>
            </w:tcBorders>
            <w:vAlign w:val="center"/>
            <w:hideMark/>
          </w:tcPr>
          <w:p w14:paraId="59EED9EB"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1 </w:t>
            </w:r>
          </w:p>
        </w:tc>
        <w:tc>
          <w:tcPr>
            <w:tcW w:w="0" w:type="auto"/>
            <w:tcBorders>
              <w:top w:val="nil"/>
              <w:left w:val="nil"/>
              <w:bottom w:val="nil"/>
              <w:right w:val="nil"/>
            </w:tcBorders>
            <w:vAlign w:val="center"/>
            <w:hideMark/>
          </w:tcPr>
          <w:p w14:paraId="3B2AF100"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796C64AA"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0.165 </w:t>
            </w:r>
          </w:p>
        </w:tc>
        <w:tc>
          <w:tcPr>
            <w:tcW w:w="0" w:type="auto"/>
            <w:tcBorders>
              <w:top w:val="nil"/>
              <w:left w:val="nil"/>
              <w:bottom w:val="nil"/>
              <w:right w:val="nil"/>
            </w:tcBorders>
            <w:vAlign w:val="center"/>
            <w:hideMark/>
          </w:tcPr>
          <w:p w14:paraId="4E5EBB87"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234D07EE"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0.027 </w:t>
            </w:r>
          </w:p>
        </w:tc>
        <w:tc>
          <w:tcPr>
            <w:tcW w:w="0" w:type="auto"/>
            <w:tcBorders>
              <w:top w:val="nil"/>
              <w:left w:val="nil"/>
              <w:bottom w:val="nil"/>
              <w:right w:val="nil"/>
            </w:tcBorders>
            <w:vAlign w:val="center"/>
            <w:hideMark/>
          </w:tcPr>
          <w:p w14:paraId="5D35FFCA"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7BA2C969"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0.022 </w:t>
            </w:r>
          </w:p>
        </w:tc>
        <w:tc>
          <w:tcPr>
            <w:tcW w:w="0" w:type="auto"/>
            <w:tcBorders>
              <w:top w:val="nil"/>
              <w:left w:val="nil"/>
              <w:bottom w:val="nil"/>
              <w:right w:val="nil"/>
            </w:tcBorders>
            <w:vAlign w:val="center"/>
            <w:hideMark/>
          </w:tcPr>
          <w:p w14:paraId="2F15C9F7" w14:textId="77777777" w:rsidR="00F602CC" w:rsidRPr="00F602CC" w:rsidRDefault="00F602CC" w:rsidP="008843BF">
            <w:pPr>
              <w:jc w:val="right"/>
              <w:rPr>
                <w:rFonts w:ascii="Arial" w:hAnsi="Arial" w:cs="Arial"/>
                <w:sz w:val="22"/>
                <w:szCs w:val="22"/>
              </w:rPr>
            </w:pPr>
          </w:p>
        </w:tc>
        <w:tc>
          <w:tcPr>
            <w:tcW w:w="0" w:type="auto"/>
            <w:gridSpan w:val="2"/>
            <w:tcBorders>
              <w:top w:val="nil"/>
              <w:left w:val="nil"/>
              <w:bottom w:val="nil"/>
              <w:right w:val="nil"/>
            </w:tcBorders>
            <w:vAlign w:val="center"/>
            <w:hideMark/>
          </w:tcPr>
          <w:p w14:paraId="71F1D647"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18.803 </w:t>
            </w:r>
          </w:p>
        </w:tc>
        <w:tc>
          <w:tcPr>
            <w:tcW w:w="0" w:type="auto"/>
            <w:tcBorders>
              <w:top w:val="nil"/>
              <w:left w:val="nil"/>
              <w:bottom w:val="nil"/>
              <w:right w:val="nil"/>
            </w:tcBorders>
            <w:vAlign w:val="center"/>
            <w:hideMark/>
          </w:tcPr>
          <w:p w14:paraId="65B661EB" w14:textId="77777777" w:rsidR="00F602CC" w:rsidRPr="00F602CC" w:rsidRDefault="00F602CC" w:rsidP="008843BF">
            <w:pPr>
              <w:jc w:val="right"/>
              <w:rPr>
                <w:rFonts w:ascii="Arial" w:hAnsi="Arial" w:cs="Arial"/>
                <w:sz w:val="22"/>
                <w:szCs w:val="22"/>
              </w:rPr>
            </w:pPr>
          </w:p>
        </w:tc>
      </w:tr>
      <w:tr w:rsidR="00F602CC" w:rsidRPr="00F602CC" w14:paraId="61B9E128" w14:textId="77777777" w:rsidTr="008843BF">
        <w:trPr>
          <w:gridAfter w:val="6"/>
        </w:trPr>
        <w:tc>
          <w:tcPr>
            <w:tcW w:w="0" w:type="auto"/>
            <w:gridSpan w:val="11"/>
            <w:tcBorders>
              <w:top w:val="nil"/>
              <w:left w:val="nil"/>
              <w:bottom w:val="single" w:sz="12" w:space="0" w:color="000000"/>
              <w:right w:val="nil"/>
            </w:tcBorders>
            <w:vAlign w:val="center"/>
            <w:hideMark/>
          </w:tcPr>
          <w:p w14:paraId="026116F2" w14:textId="77777777" w:rsidR="00F602CC" w:rsidRPr="00F602CC" w:rsidRDefault="00F602CC" w:rsidP="008843BF">
            <w:pPr>
              <w:rPr>
                <w:rFonts w:ascii="Arial" w:hAnsi="Arial" w:cs="Arial"/>
                <w:sz w:val="22"/>
                <w:szCs w:val="22"/>
              </w:rPr>
            </w:pPr>
          </w:p>
        </w:tc>
      </w:tr>
      <w:tr w:rsidR="00F602CC" w:rsidRPr="00F602CC" w14:paraId="165974EB" w14:textId="77777777" w:rsidTr="008843BF">
        <w:trPr>
          <w:tblHeader/>
        </w:trPr>
        <w:tc>
          <w:tcPr>
            <w:tcW w:w="0" w:type="auto"/>
            <w:gridSpan w:val="17"/>
            <w:tcBorders>
              <w:top w:val="nil"/>
              <w:left w:val="nil"/>
              <w:bottom w:val="single" w:sz="6" w:space="0" w:color="000000"/>
              <w:right w:val="nil"/>
            </w:tcBorders>
            <w:vAlign w:val="center"/>
            <w:hideMark/>
          </w:tcPr>
          <w:p w14:paraId="32FFB1EC" w14:textId="77777777" w:rsidR="00F602CC" w:rsidRPr="00F602CC" w:rsidRDefault="00F602CC" w:rsidP="008843BF">
            <w:pPr>
              <w:rPr>
                <w:rFonts w:ascii="Arial" w:hAnsi="Arial" w:cs="Arial"/>
                <w:b/>
                <w:bCs/>
                <w:sz w:val="22"/>
                <w:szCs w:val="22"/>
              </w:rPr>
            </w:pPr>
            <w:r w:rsidRPr="00F602CC">
              <w:rPr>
                <w:rFonts w:ascii="Arial" w:hAnsi="Arial" w:cs="Arial"/>
                <w:b/>
                <w:bCs/>
                <w:sz w:val="22"/>
                <w:szCs w:val="22"/>
              </w:rPr>
              <w:t xml:space="preserve">ANOVA </w:t>
            </w:r>
          </w:p>
        </w:tc>
      </w:tr>
      <w:tr w:rsidR="00F602CC" w:rsidRPr="00F602CC" w14:paraId="7A974895" w14:textId="77777777" w:rsidTr="008843BF">
        <w:trPr>
          <w:tblHeader/>
        </w:trPr>
        <w:tc>
          <w:tcPr>
            <w:tcW w:w="0" w:type="auto"/>
            <w:gridSpan w:val="2"/>
            <w:tcBorders>
              <w:top w:val="nil"/>
              <w:left w:val="nil"/>
              <w:bottom w:val="single" w:sz="6" w:space="0" w:color="000000"/>
              <w:right w:val="nil"/>
            </w:tcBorders>
            <w:vAlign w:val="center"/>
            <w:hideMark/>
          </w:tcPr>
          <w:p w14:paraId="00E7081C" w14:textId="77777777" w:rsidR="00F602CC" w:rsidRPr="00F602CC" w:rsidRDefault="00F602CC" w:rsidP="008843BF">
            <w:pPr>
              <w:jc w:val="center"/>
              <w:rPr>
                <w:rFonts w:ascii="Arial" w:hAnsi="Arial" w:cs="Arial"/>
                <w:b/>
                <w:bCs/>
                <w:sz w:val="22"/>
                <w:szCs w:val="22"/>
              </w:rPr>
            </w:pPr>
            <w:r w:rsidRPr="00F602CC">
              <w:rPr>
                <w:rFonts w:ascii="Arial" w:hAnsi="Arial" w:cs="Arial"/>
                <w:b/>
                <w:bCs/>
                <w:sz w:val="22"/>
                <w:szCs w:val="22"/>
              </w:rPr>
              <w:t xml:space="preserve">Model </w:t>
            </w:r>
          </w:p>
        </w:tc>
        <w:tc>
          <w:tcPr>
            <w:tcW w:w="0" w:type="auto"/>
            <w:gridSpan w:val="3"/>
            <w:tcBorders>
              <w:top w:val="nil"/>
              <w:left w:val="nil"/>
              <w:bottom w:val="single" w:sz="6" w:space="0" w:color="000000"/>
              <w:right w:val="nil"/>
            </w:tcBorders>
            <w:vAlign w:val="center"/>
            <w:hideMark/>
          </w:tcPr>
          <w:p w14:paraId="3A2EB825" w14:textId="77777777" w:rsidR="00F602CC" w:rsidRPr="00F602CC" w:rsidRDefault="00F602CC" w:rsidP="008843BF">
            <w:pPr>
              <w:jc w:val="center"/>
              <w:rPr>
                <w:rFonts w:ascii="Arial" w:hAnsi="Arial" w:cs="Arial"/>
                <w:b/>
                <w:bCs/>
                <w:sz w:val="22"/>
                <w:szCs w:val="22"/>
              </w:rPr>
            </w:pPr>
          </w:p>
        </w:tc>
        <w:tc>
          <w:tcPr>
            <w:tcW w:w="0" w:type="auto"/>
            <w:gridSpan w:val="4"/>
            <w:tcBorders>
              <w:top w:val="nil"/>
              <w:left w:val="nil"/>
              <w:bottom w:val="single" w:sz="6" w:space="0" w:color="000000"/>
              <w:right w:val="nil"/>
            </w:tcBorders>
            <w:vAlign w:val="center"/>
            <w:hideMark/>
          </w:tcPr>
          <w:p w14:paraId="2D5B3018" w14:textId="77777777" w:rsidR="00F602CC" w:rsidRPr="00F602CC" w:rsidRDefault="00F602CC" w:rsidP="008843BF">
            <w:pPr>
              <w:jc w:val="center"/>
              <w:rPr>
                <w:rFonts w:ascii="Arial" w:hAnsi="Arial" w:cs="Arial"/>
                <w:b/>
                <w:bCs/>
                <w:sz w:val="22"/>
                <w:szCs w:val="22"/>
              </w:rPr>
            </w:pPr>
            <w:r w:rsidRPr="00F602CC">
              <w:rPr>
                <w:rFonts w:ascii="Arial" w:hAnsi="Arial" w:cs="Arial"/>
                <w:b/>
                <w:bCs/>
                <w:sz w:val="22"/>
                <w:szCs w:val="22"/>
              </w:rPr>
              <w:t xml:space="preserve">Sum of Squares </w:t>
            </w:r>
          </w:p>
        </w:tc>
        <w:tc>
          <w:tcPr>
            <w:tcW w:w="0" w:type="auto"/>
            <w:gridSpan w:val="2"/>
            <w:tcBorders>
              <w:top w:val="nil"/>
              <w:left w:val="nil"/>
              <w:bottom w:val="single" w:sz="6" w:space="0" w:color="000000"/>
              <w:right w:val="nil"/>
            </w:tcBorders>
            <w:vAlign w:val="center"/>
            <w:hideMark/>
          </w:tcPr>
          <w:p w14:paraId="1E50E70E" w14:textId="77777777" w:rsidR="00F602CC" w:rsidRPr="00F602CC" w:rsidRDefault="00F602CC" w:rsidP="008843BF">
            <w:pPr>
              <w:jc w:val="center"/>
              <w:rPr>
                <w:rFonts w:ascii="Arial" w:hAnsi="Arial" w:cs="Arial"/>
                <w:b/>
                <w:bCs/>
                <w:sz w:val="22"/>
                <w:szCs w:val="22"/>
              </w:rPr>
            </w:pPr>
            <w:r w:rsidRPr="00F602CC">
              <w:rPr>
                <w:rFonts w:ascii="Arial" w:hAnsi="Arial" w:cs="Arial"/>
                <w:b/>
                <w:bCs/>
                <w:sz w:val="22"/>
                <w:szCs w:val="22"/>
              </w:rPr>
              <w:t xml:space="preserve">df </w:t>
            </w:r>
          </w:p>
        </w:tc>
        <w:tc>
          <w:tcPr>
            <w:tcW w:w="0" w:type="auto"/>
            <w:gridSpan w:val="2"/>
            <w:tcBorders>
              <w:top w:val="nil"/>
              <w:left w:val="nil"/>
              <w:bottom w:val="single" w:sz="6" w:space="0" w:color="000000"/>
              <w:right w:val="nil"/>
            </w:tcBorders>
            <w:vAlign w:val="center"/>
            <w:hideMark/>
          </w:tcPr>
          <w:p w14:paraId="20BCD1DD" w14:textId="77777777" w:rsidR="00F602CC" w:rsidRPr="00F602CC" w:rsidRDefault="00F602CC" w:rsidP="008843BF">
            <w:pPr>
              <w:jc w:val="center"/>
              <w:rPr>
                <w:rFonts w:ascii="Arial" w:hAnsi="Arial" w:cs="Arial"/>
                <w:b/>
                <w:bCs/>
                <w:sz w:val="22"/>
                <w:szCs w:val="22"/>
              </w:rPr>
            </w:pPr>
            <w:r w:rsidRPr="00F602CC">
              <w:rPr>
                <w:rFonts w:ascii="Arial" w:hAnsi="Arial" w:cs="Arial"/>
                <w:b/>
                <w:bCs/>
                <w:sz w:val="22"/>
                <w:szCs w:val="22"/>
              </w:rPr>
              <w:t xml:space="preserve">Mean Square </w:t>
            </w:r>
          </w:p>
        </w:tc>
        <w:tc>
          <w:tcPr>
            <w:tcW w:w="0" w:type="auto"/>
            <w:gridSpan w:val="2"/>
            <w:tcBorders>
              <w:top w:val="nil"/>
              <w:left w:val="nil"/>
              <w:bottom w:val="single" w:sz="6" w:space="0" w:color="000000"/>
              <w:right w:val="nil"/>
            </w:tcBorders>
            <w:vAlign w:val="center"/>
            <w:hideMark/>
          </w:tcPr>
          <w:p w14:paraId="06CBD398" w14:textId="77777777" w:rsidR="00F602CC" w:rsidRPr="00F602CC" w:rsidRDefault="00F602CC" w:rsidP="008843BF">
            <w:pPr>
              <w:jc w:val="center"/>
              <w:rPr>
                <w:rFonts w:ascii="Arial" w:hAnsi="Arial" w:cs="Arial"/>
                <w:b/>
                <w:bCs/>
                <w:sz w:val="22"/>
                <w:szCs w:val="22"/>
              </w:rPr>
            </w:pPr>
            <w:r w:rsidRPr="00F602CC">
              <w:rPr>
                <w:rFonts w:ascii="Arial" w:hAnsi="Arial" w:cs="Arial"/>
                <w:b/>
                <w:bCs/>
                <w:sz w:val="22"/>
                <w:szCs w:val="22"/>
              </w:rPr>
              <w:t xml:space="preserve">F </w:t>
            </w:r>
          </w:p>
        </w:tc>
        <w:tc>
          <w:tcPr>
            <w:tcW w:w="0" w:type="auto"/>
            <w:gridSpan w:val="2"/>
            <w:tcBorders>
              <w:top w:val="nil"/>
              <w:left w:val="nil"/>
              <w:bottom w:val="single" w:sz="6" w:space="0" w:color="000000"/>
              <w:right w:val="nil"/>
            </w:tcBorders>
            <w:vAlign w:val="center"/>
            <w:hideMark/>
          </w:tcPr>
          <w:p w14:paraId="54812C8F" w14:textId="77777777" w:rsidR="00F602CC" w:rsidRPr="00F602CC" w:rsidRDefault="00F602CC" w:rsidP="008843BF">
            <w:pPr>
              <w:jc w:val="center"/>
              <w:rPr>
                <w:rFonts w:ascii="Arial" w:hAnsi="Arial" w:cs="Arial"/>
                <w:b/>
                <w:bCs/>
                <w:sz w:val="22"/>
                <w:szCs w:val="22"/>
              </w:rPr>
            </w:pPr>
            <w:r w:rsidRPr="00F602CC">
              <w:rPr>
                <w:rFonts w:ascii="Arial" w:hAnsi="Arial" w:cs="Arial"/>
                <w:b/>
                <w:bCs/>
                <w:sz w:val="22"/>
                <w:szCs w:val="22"/>
              </w:rPr>
              <w:t xml:space="preserve">p </w:t>
            </w:r>
          </w:p>
        </w:tc>
      </w:tr>
      <w:tr w:rsidR="00F602CC" w:rsidRPr="00F602CC" w14:paraId="69F306FF" w14:textId="77777777" w:rsidTr="008843BF">
        <w:tc>
          <w:tcPr>
            <w:tcW w:w="0" w:type="auto"/>
            <w:tcBorders>
              <w:top w:val="nil"/>
              <w:left w:val="nil"/>
              <w:bottom w:val="nil"/>
              <w:right w:val="nil"/>
            </w:tcBorders>
            <w:vAlign w:val="center"/>
            <w:hideMark/>
          </w:tcPr>
          <w:p w14:paraId="18C865C8"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1 </w:t>
            </w:r>
          </w:p>
        </w:tc>
        <w:tc>
          <w:tcPr>
            <w:tcW w:w="0" w:type="auto"/>
            <w:tcBorders>
              <w:top w:val="nil"/>
              <w:left w:val="nil"/>
              <w:bottom w:val="nil"/>
              <w:right w:val="nil"/>
            </w:tcBorders>
            <w:vAlign w:val="center"/>
            <w:hideMark/>
          </w:tcPr>
          <w:p w14:paraId="5AF561A0" w14:textId="77777777" w:rsidR="00F602CC" w:rsidRPr="00F602CC" w:rsidRDefault="00F602CC" w:rsidP="008843BF">
            <w:pPr>
              <w:jc w:val="right"/>
              <w:rPr>
                <w:rFonts w:ascii="Arial" w:hAnsi="Arial" w:cs="Arial"/>
                <w:sz w:val="22"/>
                <w:szCs w:val="22"/>
              </w:rPr>
            </w:pPr>
          </w:p>
        </w:tc>
        <w:tc>
          <w:tcPr>
            <w:tcW w:w="0" w:type="auto"/>
            <w:gridSpan w:val="2"/>
            <w:tcBorders>
              <w:top w:val="nil"/>
              <w:left w:val="nil"/>
              <w:bottom w:val="nil"/>
              <w:right w:val="nil"/>
            </w:tcBorders>
            <w:vAlign w:val="center"/>
            <w:hideMark/>
          </w:tcPr>
          <w:p w14:paraId="12AF2B44" w14:textId="77777777" w:rsidR="00F602CC" w:rsidRPr="00F602CC" w:rsidRDefault="00F602CC" w:rsidP="008843BF">
            <w:pPr>
              <w:rPr>
                <w:rFonts w:ascii="Arial" w:hAnsi="Arial" w:cs="Arial"/>
                <w:sz w:val="22"/>
                <w:szCs w:val="22"/>
              </w:rPr>
            </w:pPr>
            <w:r w:rsidRPr="00F602CC">
              <w:rPr>
                <w:rFonts w:ascii="Arial" w:hAnsi="Arial" w:cs="Arial"/>
                <w:sz w:val="22"/>
                <w:szCs w:val="22"/>
              </w:rPr>
              <w:t xml:space="preserve">Regression </w:t>
            </w:r>
          </w:p>
        </w:tc>
        <w:tc>
          <w:tcPr>
            <w:tcW w:w="0" w:type="auto"/>
            <w:tcBorders>
              <w:top w:val="nil"/>
              <w:left w:val="nil"/>
              <w:bottom w:val="nil"/>
              <w:right w:val="nil"/>
            </w:tcBorders>
            <w:vAlign w:val="center"/>
            <w:hideMark/>
          </w:tcPr>
          <w:p w14:paraId="651B9802" w14:textId="77777777" w:rsidR="00F602CC" w:rsidRPr="00F602CC" w:rsidRDefault="00F602CC" w:rsidP="008843BF">
            <w:pPr>
              <w:rPr>
                <w:rFonts w:ascii="Arial" w:hAnsi="Arial" w:cs="Arial"/>
                <w:sz w:val="22"/>
                <w:szCs w:val="22"/>
              </w:rPr>
            </w:pPr>
          </w:p>
        </w:tc>
        <w:tc>
          <w:tcPr>
            <w:tcW w:w="0" w:type="auto"/>
            <w:gridSpan w:val="3"/>
            <w:tcBorders>
              <w:top w:val="nil"/>
              <w:left w:val="nil"/>
              <w:bottom w:val="nil"/>
              <w:right w:val="nil"/>
            </w:tcBorders>
            <w:vAlign w:val="center"/>
            <w:hideMark/>
          </w:tcPr>
          <w:p w14:paraId="6EA3696D"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1944.958 </w:t>
            </w:r>
          </w:p>
        </w:tc>
        <w:tc>
          <w:tcPr>
            <w:tcW w:w="0" w:type="auto"/>
            <w:tcBorders>
              <w:top w:val="nil"/>
              <w:left w:val="nil"/>
              <w:bottom w:val="nil"/>
              <w:right w:val="nil"/>
            </w:tcBorders>
            <w:vAlign w:val="center"/>
            <w:hideMark/>
          </w:tcPr>
          <w:p w14:paraId="0E107F99"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29FBD3F2"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1 </w:t>
            </w:r>
          </w:p>
        </w:tc>
        <w:tc>
          <w:tcPr>
            <w:tcW w:w="0" w:type="auto"/>
            <w:tcBorders>
              <w:top w:val="nil"/>
              <w:left w:val="nil"/>
              <w:bottom w:val="nil"/>
              <w:right w:val="nil"/>
            </w:tcBorders>
            <w:vAlign w:val="center"/>
            <w:hideMark/>
          </w:tcPr>
          <w:p w14:paraId="3CFEA9B4"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10C1407A"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1944.958 </w:t>
            </w:r>
          </w:p>
        </w:tc>
        <w:tc>
          <w:tcPr>
            <w:tcW w:w="0" w:type="auto"/>
            <w:tcBorders>
              <w:top w:val="nil"/>
              <w:left w:val="nil"/>
              <w:bottom w:val="nil"/>
              <w:right w:val="nil"/>
            </w:tcBorders>
            <w:vAlign w:val="center"/>
            <w:hideMark/>
          </w:tcPr>
          <w:p w14:paraId="60D332E1"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2153C22C"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5.501 </w:t>
            </w:r>
          </w:p>
        </w:tc>
        <w:tc>
          <w:tcPr>
            <w:tcW w:w="0" w:type="auto"/>
            <w:tcBorders>
              <w:top w:val="nil"/>
              <w:left w:val="nil"/>
              <w:bottom w:val="nil"/>
              <w:right w:val="nil"/>
            </w:tcBorders>
            <w:vAlign w:val="center"/>
            <w:hideMark/>
          </w:tcPr>
          <w:p w14:paraId="254CE30F"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11AF7E75"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0.020 </w:t>
            </w:r>
          </w:p>
        </w:tc>
        <w:tc>
          <w:tcPr>
            <w:tcW w:w="0" w:type="auto"/>
            <w:tcBorders>
              <w:top w:val="nil"/>
              <w:left w:val="nil"/>
              <w:bottom w:val="nil"/>
              <w:right w:val="nil"/>
            </w:tcBorders>
            <w:vAlign w:val="center"/>
            <w:hideMark/>
          </w:tcPr>
          <w:p w14:paraId="14931756" w14:textId="77777777" w:rsidR="00F602CC" w:rsidRPr="00F602CC" w:rsidRDefault="00F602CC" w:rsidP="008843BF">
            <w:pPr>
              <w:jc w:val="right"/>
              <w:rPr>
                <w:rFonts w:ascii="Arial" w:hAnsi="Arial" w:cs="Arial"/>
                <w:sz w:val="22"/>
                <w:szCs w:val="22"/>
              </w:rPr>
            </w:pPr>
          </w:p>
        </w:tc>
      </w:tr>
      <w:tr w:rsidR="00F602CC" w:rsidRPr="00F602CC" w14:paraId="722BF2A3" w14:textId="77777777" w:rsidTr="008843BF">
        <w:tc>
          <w:tcPr>
            <w:tcW w:w="0" w:type="auto"/>
            <w:tcBorders>
              <w:top w:val="nil"/>
              <w:left w:val="nil"/>
              <w:bottom w:val="nil"/>
              <w:right w:val="nil"/>
            </w:tcBorders>
            <w:vAlign w:val="center"/>
            <w:hideMark/>
          </w:tcPr>
          <w:p w14:paraId="2B604CCA" w14:textId="77777777" w:rsidR="00F602CC" w:rsidRPr="00F602CC" w:rsidRDefault="00F602CC" w:rsidP="008843BF">
            <w:pPr>
              <w:rPr>
                <w:rFonts w:ascii="Arial" w:hAnsi="Arial" w:cs="Arial"/>
                <w:sz w:val="22"/>
                <w:szCs w:val="22"/>
              </w:rPr>
            </w:pPr>
          </w:p>
        </w:tc>
        <w:tc>
          <w:tcPr>
            <w:tcW w:w="0" w:type="auto"/>
            <w:tcBorders>
              <w:top w:val="nil"/>
              <w:left w:val="nil"/>
              <w:bottom w:val="nil"/>
              <w:right w:val="nil"/>
            </w:tcBorders>
            <w:vAlign w:val="center"/>
            <w:hideMark/>
          </w:tcPr>
          <w:p w14:paraId="286EA74B" w14:textId="77777777" w:rsidR="00F602CC" w:rsidRPr="00F602CC" w:rsidRDefault="00F602CC" w:rsidP="008843BF">
            <w:pPr>
              <w:jc w:val="right"/>
              <w:rPr>
                <w:rFonts w:ascii="Arial" w:hAnsi="Arial" w:cs="Arial"/>
                <w:sz w:val="22"/>
                <w:szCs w:val="22"/>
              </w:rPr>
            </w:pPr>
          </w:p>
        </w:tc>
        <w:tc>
          <w:tcPr>
            <w:tcW w:w="0" w:type="auto"/>
            <w:gridSpan w:val="2"/>
            <w:tcBorders>
              <w:top w:val="nil"/>
              <w:left w:val="nil"/>
              <w:bottom w:val="nil"/>
              <w:right w:val="nil"/>
            </w:tcBorders>
            <w:vAlign w:val="center"/>
            <w:hideMark/>
          </w:tcPr>
          <w:p w14:paraId="3814ADC8" w14:textId="77777777" w:rsidR="00F602CC" w:rsidRPr="00F602CC" w:rsidRDefault="00F602CC" w:rsidP="008843BF">
            <w:pPr>
              <w:rPr>
                <w:rFonts w:ascii="Arial" w:hAnsi="Arial" w:cs="Arial"/>
                <w:sz w:val="22"/>
                <w:szCs w:val="22"/>
              </w:rPr>
            </w:pPr>
            <w:r w:rsidRPr="00F602CC">
              <w:rPr>
                <w:rFonts w:ascii="Arial" w:hAnsi="Arial" w:cs="Arial"/>
                <w:sz w:val="22"/>
                <w:szCs w:val="22"/>
              </w:rPr>
              <w:t xml:space="preserve">Residual </w:t>
            </w:r>
          </w:p>
        </w:tc>
        <w:tc>
          <w:tcPr>
            <w:tcW w:w="0" w:type="auto"/>
            <w:tcBorders>
              <w:top w:val="nil"/>
              <w:left w:val="nil"/>
              <w:bottom w:val="nil"/>
              <w:right w:val="nil"/>
            </w:tcBorders>
            <w:vAlign w:val="center"/>
            <w:hideMark/>
          </w:tcPr>
          <w:p w14:paraId="0C5B9AB7" w14:textId="77777777" w:rsidR="00F602CC" w:rsidRPr="00F602CC" w:rsidRDefault="00F602CC" w:rsidP="008843BF">
            <w:pPr>
              <w:rPr>
                <w:rFonts w:ascii="Arial" w:hAnsi="Arial" w:cs="Arial"/>
                <w:sz w:val="22"/>
                <w:szCs w:val="22"/>
              </w:rPr>
            </w:pPr>
          </w:p>
        </w:tc>
        <w:tc>
          <w:tcPr>
            <w:tcW w:w="0" w:type="auto"/>
            <w:gridSpan w:val="3"/>
            <w:tcBorders>
              <w:top w:val="nil"/>
              <w:left w:val="nil"/>
              <w:bottom w:val="nil"/>
              <w:right w:val="nil"/>
            </w:tcBorders>
            <w:vAlign w:val="center"/>
            <w:hideMark/>
          </w:tcPr>
          <w:p w14:paraId="314B15C7"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69652.834 </w:t>
            </w:r>
          </w:p>
        </w:tc>
        <w:tc>
          <w:tcPr>
            <w:tcW w:w="0" w:type="auto"/>
            <w:tcBorders>
              <w:top w:val="nil"/>
              <w:left w:val="nil"/>
              <w:bottom w:val="nil"/>
              <w:right w:val="nil"/>
            </w:tcBorders>
            <w:vAlign w:val="center"/>
            <w:hideMark/>
          </w:tcPr>
          <w:p w14:paraId="288F4F15"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1CD99FAA"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197 </w:t>
            </w:r>
          </w:p>
        </w:tc>
        <w:tc>
          <w:tcPr>
            <w:tcW w:w="0" w:type="auto"/>
            <w:tcBorders>
              <w:top w:val="nil"/>
              <w:left w:val="nil"/>
              <w:bottom w:val="nil"/>
              <w:right w:val="nil"/>
            </w:tcBorders>
            <w:vAlign w:val="center"/>
            <w:hideMark/>
          </w:tcPr>
          <w:p w14:paraId="63CEF7B9"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1602728A"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353.568 </w:t>
            </w:r>
          </w:p>
        </w:tc>
        <w:tc>
          <w:tcPr>
            <w:tcW w:w="0" w:type="auto"/>
            <w:tcBorders>
              <w:top w:val="nil"/>
              <w:left w:val="nil"/>
              <w:bottom w:val="nil"/>
              <w:right w:val="nil"/>
            </w:tcBorders>
            <w:vAlign w:val="center"/>
            <w:hideMark/>
          </w:tcPr>
          <w:p w14:paraId="76F0D50C"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102A210D" w14:textId="77777777" w:rsidR="00F602CC" w:rsidRPr="00F602CC" w:rsidRDefault="00F602CC" w:rsidP="008843BF">
            <w:pPr>
              <w:rPr>
                <w:rFonts w:ascii="Arial" w:hAnsi="Arial" w:cs="Arial"/>
                <w:sz w:val="22"/>
                <w:szCs w:val="22"/>
              </w:rPr>
            </w:pPr>
          </w:p>
        </w:tc>
        <w:tc>
          <w:tcPr>
            <w:tcW w:w="0" w:type="auto"/>
            <w:tcBorders>
              <w:top w:val="nil"/>
              <w:left w:val="nil"/>
              <w:bottom w:val="nil"/>
              <w:right w:val="nil"/>
            </w:tcBorders>
            <w:vAlign w:val="center"/>
            <w:hideMark/>
          </w:tcPr>
          <w:p w14:paraId="3B42B495"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09168F33"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  </w:t>
            </w:r>
          </w:p>
        </w:tc>
        <w:tc>
          <w:tcPr>
            <w:tcW w:w="0" w:type="auto"/>
            <w:tcBorders>
              <w:top w:val="nil"/>
              <w:left w:val="nil"/>
              <w:bottom w:val="nil"/>
              <w:right w:val="nil"/>
            </w:tcBorders>
            <w:vAlign w:val="center"/>
            <w:hideMark/>
          </w:tcPr>
          <w:p w14:paraId="41804D8D" w14:textId="77777777" w:rsidR="00F602CC" w:rsidRPr="00F602CC" w:rsidRDefault="00F602CC" w:rsidP="008843BF">
            <w:pPr>
              <w:jc w:val="right"/>
              <w:rPr>
                <w:rFonts w:ascii="Arial" w:hAnsi="Arial" w:cs="Arial"/>
                <w:sz w:val="22"/>
                <w:szCs w:val="22"/>
              </w:rPr>
            </w:pPr>
          </w:p>
        </w:tc>
      </w:tr>
      <w:tr w:rsidR="00F602CC" w:rsidRPr="00F602CC" w14:paraId="60B4FCFB" w14:textId="77777777" w:rsidTr="008843BF">
        <w:tc>
          <w:tcPr>
            <w:tcW w:w="0" w:type="auto"/>
            <w:tcBorders>
              <w:top w:val="nil"/>
              <w:left w:val="nil"/>
              <w:bottom w:val="nil"/>
              <w:right w:val="nil"/>
            </w:tcBorders>
            <w:vAlign w:val="center"/>
            <w:hideMark/>
          </w:tcPr>
          <w:p w14:paraId="1B083DF2" w14:textId="77777777" w:rsidR="00F602CC" w:rsidRPr="00F602CC" w:rsidRDefault="00F602CC" w:rsidP="008843BF">
            <w:pPr>
              <w:rPr>
                <w:rFonts w:ascii="Arial" w:hAnsi="Arial" w:cs="Arial"/>
                <w:sz w:val="22"/>
                <w:szCs w:val="22"/>
              </w:rPr>
            </w:pPr>
          </w:p>
        </w:tc>
        <w:tc>
          <w:tcPr>
            <w:tcW w:w="0" w:type="auto"/>
            <w:tcBorders>
              <w:top w:val="nil"/>
              <w:left w:val="nil"/>
              <w:bottom w:val="nil"/>
              <w:right w:val="nil"/>
            </w:tcBorders>
            <w:vAlign w:val="center"/>
            <w:hideMark/>
          </w:tcPr>
          <w:p w14:paraId="263D2197" w14:textId="77777777" w:rsidR="00F602CC" w:rsidRPr="00F602CC" w:rsidRDefault="00F602CC" w:rsidP="008843BF">
            <w:pPr>
              <w:jc w:val="right"/>
              <w:rPr>
                <w:rFonts w:ascii="Arial" w:hAnsi="Arial" w:cs="Arial"/>
                <w:sz w:val="22"/>
                <w:szCs w:val="22"/>
              </w:rPr>
            </w:pPr>
          </w:p>
        </w:tc>
        <w:tc>
          <w:tcPr>
            <w:tcW w:w="0" w:type="auto"/>
            <w:gridSpan w:val="2"/>
            <w:tcBorders>
              <w:top w:val="nil"/>
              <w:left w:val="nil"/>
              <w:bottom w:val="nil"/>
              <w:right w:val="nil"/>
            </w:tcBorders>
            <w:vAlign w:val="center"/>
            <w:hideMark/>
          </w:tcPr>
          <w:p w14:paraId="123E6BEF" w14:textId="77777777" w:rsidR="00F602CC" w:rsidRPr="00F602CC" w:rsidRDefault="00F602CC" w:rsidP="008843BF">
            <w:pPr>
              <w:rPr>
                <w:rFonts w:ascii="Arial" w:hAnsi="Arial" w:cs="Arial"/>
                <w:sz w:val="22"/>
                <w:szCs w:val="22"/>
              </w:rPr>
            </w:pPr>
            <w:r w:rsidRPr="00F602CC">
              <w:rPr>
                <w:rFonts w:ascii="Arial" w:hAnsi="Arial" w:cs="Arial"/>
                <w:sz w:val="22"/>
                <w:szCs w:val="22"/>
              </w:rPr>
              <w:t xml:space="preserve">Total </w:t>
            </w:r>
          </w:p>
        </w:tc>
        <w:tc>
          <w:tcPr>
            <w:tcW w:w="0" w:type="auto"/>
            <w:tcBorders>
              <w:top w:val="nil"/>
              <w:left w:val="nil"/>
              <w:bottom w:val="nil"/>
              <w:right w:val="nil"/>
            </w:tcBorders>
            <w:vAlign w:val="center"/>
            <w:hideMark/>
          </w:tcPr>
          <w:p w14:paraId="7FBF6DA3" w14:textId="77777777" w:rsidR="00F602CC" w:rsidRPr="00F602CC" w:rsidRDefault="00F602CC" w:rsidP="008843BF">
            <w:pPr>
              <w:rPr>
                <w:rFonts w:ascii="Arial" w:hAnsi="Arial" w:cs="Arial"/>
                <w:sz w:val="22"/>
                <w:szCs w:val="22"/>
              </w:rPr>
            </w:pPr>
          </w:p>
        </w:tc>
        <w:tc>
          <w:tcPr>
            <w:tcW w:w="0" w:type="auto"/>
            <w:gridSpan w:val="3"/>
            <w:tcBorders>
              <w:top w:val="nil"/>
              <w:left w:val="nil"/>
              <w:bottom w:val="nil"/>
              <w:right w:val="nil"/>
            </w:tcBorders>
            <w:vAlign w:val="center"/>
            <w:hideMark/>
          </w:tcPr>
          <w:p w14:paraId="6DDE00CC"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71597.792 </w:t>
            </w:r>
          </w:p>
        </w:tc>
        <w:tc>
          <w:tcPr>
            <w:tcW w:w="0" w:type="auto"/>
            <w:tcBorders>
              <w:top w:val="nil"/>
              <w:left w:val="nil"/>
              <w:bottom w:val="nil"/>
              <w:right w:val="nil"/>
            </w:tcBorders>
            <w:vAlign w:val="center"/>
            <w:hideMark/>
          </w:tcPr>
          <w:p w14:paraId="78D1723D"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1618902A"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198 </w:t>
            </w:r>
          </w:p>
        </w:tc>
        <w:tc>
          <w:tcPr>
            <w:tcW w:w="0" w:type="auto"/>
            <w:tcBorders>
              <w:top w:val="nil"/>
              <w:left w:val="nil"/>
              <w:bottom w:val="nil"/>
              <w:right w:val="nil"/>
            </w:tcBorders>
            <w:vAlign w:val="center"/>
            <w:hideMark/>
          </w:tcPr>
          <w:p w14:paraId="475F546E"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2F36CA24" w14:textId="77777777" w:rsidR="00F602CC" w:rsidRPr="00F602CC" w:rsidRDefault="00F602CC" w:rsidP="008843BF">
            <w:pPr>
              <w:rPr>
                <w:rFonts w:ascii="Arial" w:hAnsi="Arial" w:cs="Arial"/>
                <w:sz w:val="22"/>
                <w:szCs w:val="22"/>
              </w:rPr>
            </w:pPr>
          </w:p>
        </w:tc>
        <w:tc>
          <w:tcPr>
            <w:tcW w:w="0" w:type="auto"/>
            <w:tcBorders>
              <w:top w:val="nil"/>
              <w:left w:val="nil"/>
              <w:bottom w:val="nil"/>
              <w:right w:val="nil"/>
            </w:tcBorders>
            <w:vAlign w:val="center"/>
            <w:hideMark/>
          </w:tcPr>
          <w:p w14:paraId="63F59A2C"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602874AE" w14:textId="77777777" w:rsidR="00F602CC" w:rsidRPr="00F602CC" w:rsidRDefault="00F602CC" w:rsidP="008843BF">
            <w:pPr>
              <w:rPr>
                <w:rFonts w:ascii="Arial" w:hAnsi="Arial" w:cs="Arial"/>
                <w:sz w:val="22"/>
                <w:szCs w:val="22"/>
              </w:rPr>
            </w:pPr>
          </w:p>
        </w:tc>
        <w:tc>
          <w:tcPr>
            <w:tcW w:w="0" w:type="auto"/>
            <w:tcBorders>
              <w:top w:val="nil"/>
              <w:left w:val="nil"/>
              <w:bottom w:val="nil"/>
              <w:right w:val="nil"/>
            </w:tcBorders>
            <w:vAlign w:val="center"/>
            <w:hideMark/>
          </w:tcPr>
          <w:p w14:paraId="0B112A3B"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2C8DC5F1"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  </w:t>
            </w:r>
          </w:p>
        </w:tc>
        <w:tc>
          <w:tcPr>
            <w:tcW w:w="0" w:type="auto"/>
            <w:tcBorders>
              <w:top w:val="nil"/>
              <w:left w:val="nil"/>
              <w:bottom w:val="nil"/>
              <w:right w:val="nil"/>
            </w:tcBorders>
            <w:vAlign w:val="center"/>
            <w:hideMark/>
          </w:tcPr>
          <w:p w14:paraId="55EF8458" w14:textId="77777777" w:rsidR="00F602CC" w:rsidRPr="00F602CC" w:rsidRDefault="00F602CC" w:rsidP="008843BF">
            <w:pPr>
              <w:jc w:val="right"/>
              <w:rPr>
                <w:rFonts w:ascii="Arial" w:hAnsi="Arial" w:cs="Arial"/>
                <w:sz w:val="22"/>
                <w:szCs w:val="22"/>
              </w:rPr>
            </w:pPr>
          </w:p>
        </w:tc>
      </w:tr>
      <w:tr w:rsidR="00F602CC" w:rsidRPr="00F602CC" w14:paraId="0EBC1A9B" w14:textId="77777777" w:rsidTr="008843BF">
        <w:tc>
          <w:tcPr>
            <w:tcW w:w="0" w:type="auto"/>
            <w:gridSpan w:val="17"/>
            <w:tcBorders>
              <w:top w:val="nil"/>
              <w:left w:val="nil"/>
              <w:bottom w:val="single" w:sz="12" w:space="0" w:color="000000"/>
              <w:right w:val="nil"/>
            </w:tcBorders>
            <w:vAlign w:val="center"/>
            <w:hideMark/>
          </w:tcPr>
          <w:p w14:paraId="1A5A214C" w14:textId="77777777" w:rsidR="00F602CC" w:rsidRPr="00F602CC" w:rsidRDefault="00F602CC" w:rsidP="008843BF">
            <w:pPr>
              <w:rPr>
                <w:rFonts w:ascii="Arial" w:hAnsi="Arial" w:cs="Arial"/>
                <w:sz w:val="22"/>
                <w:szCs w:val="22"/>
              </w:rPr>
            </w:pPr>
          </w:p>
        </w:tc>
      </w:tr>
    </w:tbl>
    <w:p w14:paraId="61557669" w14:textId="77777777" w:rsidR="00F602CC" w:rsidRPr="00F602CC" w:rsidRDefault="00F602CC" w:rsidP="00F602CC">
      <w:pPr>
        <w:rPr>
          <w:rFonts w:ascii="Arial" w:hAnsi="Arial" w:cs="Arial"/>
          <w:vanish/>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539"/>
        <w:gridCol w:w="127"/>
        <w:gridCol w:w="1033"/>
        <w:gridCol w:w="36"/>
        <w:gridCol w:w="1599"/>
        <w:gridCol w:w="82"/>
        <w:gridCol w:w="1491"/>
        <w:gridCol w:w="92"/>
        <w:gridCol w:w="1330"/>
        <w:gridCol w:w="82"/>
        <w:gridCol w:w="703"/>
        <w:gridCol w:w="36"/>
        <w:gridCol w:w="648"/>
        <w:gridCol w:w="36"/>
      </w:tblGrid>
      <w:tr w:rsidR="00F602CC" w:rsidRPr="00F602CC" w14:paraId="449C11AC" w14:textId="77777777" w:rsidTr="008843BF">
        <w:trPr>
          <w:tblHeader/>
        </w:trPr>
        <w:tc>
          <w:tcPr>
            <w:tcW w:w="0" w:type="auto"/>
            <w:gridSpan w:val="14"/>
            <w:tcBorders>
              <w:top w:val="nil"/>
              <w:left w:val="nil"/>
              <w:bottom w:val="single" w:sz="6" w:space="0" w:color="000000"/>
              <w:right w:val="nil"/>
            </w:tcBorders>
            <w:vAlign w:val="center"/>
            <w:hideMark/>
          </w:tcPr>
          <w:p w14:paraId="26AC8CA3" w14:textId="77777777" w:rsidR="00F602CC" w:rsidRPr="00F602CC" w:rsidRDefault="00F602CC" w:rsidP="008843BF">
            <w:pPr>
              <w:rPr>
                <w:rFonts w:ascii="Arial" w:hAnsi="Arial" w:cs="Arial"/>
                <w:b/>
                <w:bCs/>
                <w:sz w:val="22"/>
                <w:szCs w:val="22"/>
              </w:rPr>
            </w:pPr>
            <w:r w:rsidRPr="00F602CC">
              <w:rPr>
                <w:rFonts w:ascii="Arial" w:hAnsi="Arial" w:cs="Arial"/>
                <w:b/>
                <w:bCs/>
                <w:sz w:val="22"/>
                <w:szCs w:val="22"/>
              </w:rPr>
              <w:t xml:space="preserve">Coefficients </w:t>
            </w:r>
          </w:p>
        </w:tc>
      </w:tr>
      <w:tr w:rsidR="00F602CC" w:rsidRPr="00F602CC" w14:paraId="1F7E5F23" w14:textId="77777777" w:rsidTr="008843BF">
        <w:trPr>
          <w:tblHeader/>
        </w:trPr>
        <w:tc>
          <w:tcPr>
            <w:tcW w:w="0" w:type="auto"/>
            <w:gridSpan w:val="2"/>
            <w:tcBorders>
              <w:top w:val="nil"/>
              <w:left w:val="nil"/>
              <w:bottom w:val="single" w:sz="6" w:space="0" w:color="000000"/>
              <w:right w:val="nil"/>
            </w:tcBorders>
            <w:vAlign w:val="center"/>
            <w:hideMark/>
          </w:tcPr>
          <w:p w14:paraId="325EBFC3" w14:textId="77777777" w:rsidR="00F602CC" w:rsidRPr="00F602CC" w:rsidRDefault="00F602CC" w:rsidP="008843BF">
            <w:pPr>
              <w:jc w:val="center"/>
              <w:rPr>
                <w:rFonts w:ascii="Arial" w:hAnsi="Arial" w:cs="Arial"/>
                <w:b/>
                <w:bCs/>
                <w:sz w:val="22"/>
                <w:szCs w:val="22"/>
              </w:rPr>
            </w:pPr>
            <w:r w:rsidRPr="00F602CC">
              <w:rPr>
                <w:rFonts w:ascii="Arial" w:hAnsi="Arial" w:cs="Arial"/>
                <w:b/>
                <w:bCs/>
                <w:sz w:val="22"/>
                <w:szCs w:val="22"/>
              </w:rPr>
              <w:t xml:space="preserve">Model </w:t>
            </w:r>
          </w:p>
        </w:tc>
        <w:tc>
          <w:tcPr>
            <w:tcW w:w="0" w:type="auto"/>
            <w:gridSpan w:val="2"/>
            <w:tcBorders>
              <w:top w:val="nil"/>
              <w:left w:val="nil"/>
              <w:bottom w:val="single" w:sz="6" w:space="0" w:color="000000"/>
              <w:right w:val="nil"/>
            </w:tcBorders>
            <w:vAlign w:val="center"/>
            <w:hideMark/>
          </w:tcPr>
          <w:p w14:paraId="77EF723B" w14:textId="77777777" w:rsidR="00F602CC" w:rsidRPr="00F602CC" w:rsidRDefault="00F602CC" w:rsidP="008843BF">
            <w:pPr>
              <w:jc w:val="center"/>
              <w:rPr>
                <w:rFonts w:ascii="Arial" w:hAnsi="Arial" w:cs="Arial"/>
                <w:b/>
                <w:bCs/>
                <w:sz w:val="22"/>
                <w:szCs w:val="22"/>
              </w:rPr>
            </w:pPr>
          </w:p>
        </w:tc>
        <w:tc>
          <w:tcPr>
            <w:tcW w:w="0" w:type="auto"/>
            <w:gridSpan w:val="2"/>
            <w:tcBorders>
              <w:top w:val="nil"/>
              <w:left w:val="nil"/>
              <w:bottom w:val="single" w:sz="6" w:space="0" w:color="000000"/>
              <w:right w:val="nil"/>
            </w:tcBorders>
            <w:vAlign w:val="center"/>
            <w:hideMark/>
          </w:tcPr>
          <w:p w14:paraId="37FE2BD5" w14:textId="77777777" w:rsidR="00F602CC" w:rsidRPr="00F602CC" w:rsidRDefault="00F602CC" w:rsidP="008843BF">
            <w:pPr>
              <w:jc w:val="center"/>
              <w:rPr>
                <w:rFonts w:ascii="Arial" w:hAnsi="Arial" w:cs="Arial"/>
                <w:b/>
                <w:bCs/>
                <w:sz w:val="22"/>
                <w:szCs w:val="22"/>
              </w:rPr>
            </w:pPr>
            <w:r w:rsidRPr="00F602CC">
              <w:rPr>
                <w:rFonts w:ascii="Arial" w:hAnsi="Arial" w:cs="Arial"/>
                <w:b/>
                <w:bCs/>
                <w:sz w:val="22"/>
                <w:szCs w:val="22"/>
              </w:rPr>
              <w:t xml:space="preserve">Unstandardized </w:t>
            </w:r>
          </w:p>
        </w:tc>
        <w:tc>
          <w:tcPr>
            <w:tcW w:w="0" w:type="auto"/>
            <w:gridSpan w:val="2"/>
            <w:tcBorders>
              <w:top w:val="nil"/>
              <w:left w:val="nil"/>
              <w:bottom w:val="single" w:sz="6" w:space="0" w:color="000000"/>
              <w:right w:val="nil"/>
            </w:tcBorders>
            <w:vAlign w:val="center"/>
            <w:hideMark/>
          </w:tcPr>
          <w:p w14:paraId="2CE46186" w14:textId="77777777" w:rsidR="00F602CC" w:rsidRPr="00F602CC" w:rsidRDefault="00F602CC" w:rsidP="008843BF">
            <w:pPr>
              <w:jc w:val="center"/>
              <w:rPr>
                <w:rFonts w:ascii="Arial" w:hAnsi="Arial" w:cs="Arial"/>
                <w:b/>
                <w:bCs/>
                <w:sz w:val="22"/>
                <w:szCs w:val="22"/>
              </w:rPr>
            </w:pPr>
            <w:r w:rsidRPr="00F602CC">
              <w:rPr>
                <w:rFonts w:ascii="Arial" w:hAnsi="Arial" w:cs="Arial"/>
                <w:b/>
                <w:bCs/>
                <w:sz w:val="22"/>
                <w:szCs w:val="22"/>
              </w:rPr>
              <w:t xml:space="preserve">Standard Error </w:t>
            </w:r>
          </w:p>
        </w:tc>
        <w:tc>
          <w:tcPr>
            <w:tcW w:w="0" w:type="auto"/>
            <w:gridSpan w:val="2"/>
            <w:tcBorders>
              <w:top w:val="nil"/>
              <w:left w:val="nil"/>
              <w:bottom w:val="single" w:sz="6" w:space="0" w:color="000000"/>
              <w:right w:val="nil"/>
            </w:tcBorders>
            <w:vAlign w:val="center"/>
            <w:hideMark/>
          </w:tcPr>
          <w:p w14:paraId="507E0EAC" w14:textId="77777777" w:rsidR="00F602CC" w:rsidRPr="00F602CC" w:rsidRDefault="00F602CC" w:rsidP="008843BF">
            <w:pPr>
              <w:jc w:val="center"/>
              <w:rPr>
                <w:rFonts w:ascii="Arial" w:hAnsi="Arial" w:cs="Arial"/>
                <w:b/>
                <w:bCs/>
                <w:sz w:val="22"/>
                <w:szCs w:val="22"/>
              </w:rPr>
            </w:pPr>
            <w:r w:rsidRPr="00F602CC">
              <w:rPr>
                <w:rFonts w:ascii="Arial" w:hAnsi="Arial" w:cs="Arial"/>
                <w:b/>
                <w:bCs/>
                <w:sz w:val="22"/>
                <w:szCs w:val="22"/>
              </w:rPr>
              <w:t xml:space="preserve">Standardized </w:t>
            </w:r>
          </w:p>
        </w:tc>
        <w:tc>
          <w:tcPr>
            <w:tcW w:w="0" w:type="auto"/>
            <w:gridSpan w:val="2"/>
            <w:tcBorders>
              <w:top w:val="nil"/>
              <w:left w:val="nil"/>
              <w:bottom w:val="single" w:sz="6" w:space="0" w:color="000000"/>
              <w:right w:val="nil"/>
            </w:tcBorders>
            <w:vAlign w:val="center"/>
            <w:hideMark/>
          </w:tcPr>
          <w:p w14:paraId="0F05B0C8" w14:textId="77777777" w:rsidR="00F602CC" w:rsidRPr="00F602CC" w:rsidRDefault="00F602CC" w:rsidP="008843BF">
            <w:pPr>
              <w:jc w:val="center"/>
              <w:rPr>
                <w:rFonts w:ascii="Arial" w:hAnsi="Arial" w:cs="Arial"/>
                <w:b/>
                <w:bCs/>
                <w:sz w:val="22"/>
                <w:szCs w:val="22"/>
              </w:rPr>
            </w:pPr>
            <w:r w:rsidRPr="00F602CC">
              <w:rPr>
                <w:rFonts w:ascii="Arial" w:hAnsi="Arial" w:cs="Arial"/>
                <w:b/>
                <w:bCs/>
                <w:sz w:val="22"/>
                <w:szCs w:val="22"/>
              </w:rPr>
              <w:t xml:space="preserve">t </w:t>
            </w:r>
          </w:p>
        </w:tc>
        <w:tc>
          <w:tcPr>
            <w:tcW w:w="0" w:type="auto"/>
            <w:gridSpan w:val="2"/>
            <w:tcBorders>
              <w:top w:val="nil"/>
              <w:left w:val="nil"/>
              <w:bottom w:val="single" w:sz="6" w:space="0" w:color="000000"/>
              <w:right w:val="nil"/>
            </w:tcBorders>
            <w:vAlign w:val="center"/>
            <w:hideMark/>
          </w:tcPr>
          <w:p w14:paraId="685BA964" w14:textId="77777777" w:rsidR="00F602CC" w:rsidRPr="00F602CC" w:rsidRDefault="00F602CC" w:rsidP="008843BF">
            <w:pPr>
              <w:jc w:val="center"/>
              <w:rPr>
                <w:rFonts w:ascii="Arial" w:hAnsi="Arial" w:cs="Arial"/>
                <w:b/>
                <w:bCs/>
                <w:sz w:val="22"/>
                <w:szCs w:val="22"/>
              </w:rPr>
            </w:pPr>
            <w:r w:rsidRPr="00F602CC">
              <w:rPr>
                <w:rFonts w:ascii="Arial" w:hAnsi="Arial" w:cs="Arial"/>
                <w:b/>
                <w:bCs/>
                <w:sz w:val="22"/>
                <w:szCs w:val="22"/>
              </w:rPr>
              <w:t xml:space="preserve">p </w:t>
            </w:r>
          </w:p>
        </w:tc>
      </w:tr>
      <w:tr w:rsidR="00F602CC" w:rsidRPr="00F602CC" w14:paraId="33BC9749" w14:textId="77777777" w:rsidTr="008843BF">
        <w:tc>
          <w:tcPr>
            <w:tcW w:w="0" w:type="auto"/>
            <w:tcBorders>
              <w:top w:val="nil"/>
              <w:left w:val="nil"/>
              <w:bottom w:val="nil"/>
              <w:right w:val="nil"/>
            </w:tcBorders>
            <w:vAlign w:val="center"/>
            <w:hideMark/>
          </w:tcPr>
          <w:p w14:paraId="4E147437"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1 </w:t>
            </w:r>
          </w:p>
        </w:tc>
        <w:tc>
          <w:tcPr>
            <w:tcW w:w="0" w:type="auto"/>
            <w:tcBorders>
              <w:top w:val="nil"/>
              <w:left w:val="nil"/>
              <w:bottom w:val="nil"/>
              <w:right w:val="nil"/>
            </w:tcBorders>
            <w:vAlign w:val="center"/>
            <w:hideMark/>
          </w:tcPr>
          <w:p w14:paraId="01BB4C28"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09655CC6" w14:textId="77777777" w:rsidR="00F602CC" w:rsidRPr="00F602CC" w:rsidRDefault="00F602CC" w:rsidP="008843BF">
            <w:pPr>
              <w:rPr>
                <w:rFonts w:ascii="Arial" w:hAnsi="Arial" w:cs="Arial"/>
                <w:sz w:val="22"/>
                <w:szCs w:val="22"/>
              </w:rPr>
            </w:pPr>
            <w:r w:rsidRPr="00F602CC">
              <w:rPr>
                <w:rFonts w:ascii="Arial" w:hAnsi="Arial" w:cs="Arial"/>
                <w:sz w:val="22"/>
                <w:szCs w:val="22"/>
              </w:rPr>
              <w:t xml:space="preserve">(Intercept) </w:t>
            </w:r>
          </w:p>
        </w:tc>
        <w:tc>
          <w:tcPr>
            <w:tcW w:w="0" w:type="auto"/>
            <w:tcBorders>
              <w:top w:val="nil"/>
              <w:left w:val="nil"/>
              <w:bottom w:val="nil"/>
              <w:right w:val="nil"/>
            </w:tcBorders>
            <w:vAlign w:val="center"/>
            <w:hideMark/>
          </w:tcPr>
          <w:p w14:paraId="10A4BAED" w14:textId="77777777" w:rsidR="00F602CC" w:rsidRPr="00F602CC" w:rsidRDefault="00F602CC" w:rsidP="008843BF">
            <w:pPr>
              <w:rPr>
                <w:rFonts w:ascii="Arial" w:hAnsi="Arial" w:cs="Arial"/>
                <w:sz w:val="22"/>
                <w:szCs w:val="22"/>
              </w:rPr>
            </w:pPr>
          </w:p>
        </w:tc>
        <w:tc>
          <w:tcPr>
            <w:tcW w:w="0" w:type="auto"/>
            <w:tcBorders>
              <w:top w:val="nil"/>
              <w:left w:val="nil"/>
              <w:bottom w:val="nil"/>
              <w:right w:val="nil"/>
            </w:tcBorders>
            <w:vAlign w:val="center"/>
            <w:hideMark/>
          </w:tcPr>
          <w:p w14:paraId="1AA3D9E7"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43.348 </w:t>
            </w:r>
          </w:p>
        </w:tc>
        <w:tc>
          <w:tcPr>
            <w:tcW w:w="0" w:type="auto"/>
            <w:tcBorders>
              <w:top w:val="nil"/>
              <w:left w:val="nil"/>
              <w:bottom w:val="nil"/>
              <w:right w:val="nil"/>
            </w:tcBorders>
            <w:vAlign w:val="center"/>
            <w:hideMark/>
          </w:tcPr>
          <w:p w14:paraId="1AEB25E9"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4A1A1334"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3.492 </w:t>
            </w:r>
          </w:p>
        </w:tc>
        <w:tc>
          <w:tcPr>
            <w:tcW w:w="0" w:type="auto"/>
            <w:tcBorders>
              <w:top w:val="nil"/>
              <w:left w:val="nil"/>
              <w:bottom w:val="nil"/>
              <w:right w:val="nil"/>
            </w:tcBorders>
            <w:vAlign w:val="center"/>
            <w:hideMark/>
          </w:tcPr>
          <w:p w14:paraId="655F92E2"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1E92DA4B" w14:textId="77777777" w:rsidR="00F602CC" w:rsidRPr="00F602CC" w:rsidRDefault="00F602CC" w:rsidP="008843BF">
            <w:pPr>
              <w:rPr>
                <w:rFonts w:ascii="Arial" w:hAnsi="Arial" w:cs="Arial"/>
                <w:sz w:val="22"/>
                <w:szCs w:val="22"/>
              </w:rPr>
            </w:pPr>
          </w:p>
        </w:tc>
        <w:tc>
          <w:tcPr>
            <w:tcW w:w="0" w:type="auto"/>
            <w:tcBorders>
              <w:top w:val="nil"/>
              <w:left w:val="nil"/>
              <w:bottom w:val="nil"/>
              <w:right w:val="nil"/>
            </w:tcBorders>
            <w:vAlign w:val="center"/>
            <w:hideMark/>
          </w:tcPr>
          <w:p w14:paraId="02CD4232"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17712E91"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12.412 </w:t>
            </w:r>
          </w:p>
        </w:tc>
        <w:tc>
          <w:tcPr>
            <w:tcW w:w="0" w:type="auto"/>
            <w:tcBorders>
              <w:top w:val="nil"/>
              <w:left w:val="nil"/>
              <w:bottom w:val="nil"/>
              <w:right w:val="nil"/>
            </w:tcBorders>
            <w:vAlign w:val="center"/>
            <w:hideMark/>
          </w:tcPr>
          <w:p w14:paraId="6C141F35"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5AFE1D61"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&lt; .001 </w:t>
            </w:r>
          </w:p>
        </w:tc>
        <w:tc>
          <w:tcPr>
            <w:tcW w:w="0" w:type="auto"/>
            <w:tcBorders>
              <w:top w:val="nil"/>
              <w:left w:val="nil"/>
              <w:bottom w:val="nil"/>
              <w:right w:val="nil"/>
            </w:tcBorders>
            <w:vAlign w:val="center"/>
            <w:hideMark/>
          </w:tcPr>
          <w:p w14:paraId="61B9E615" w14:textId="77777777" w:rsidR="00F602CC" w:rsidRPr="00F602CC" w:rsidRDefault="00F602CC" w:rsidP="008843BF">
            <w:pPr>
              <w:jc w:val="right"/>
              <w:rPr>
                <w:rFonts w:ascii="Arial" w:hAnsi="Arial" w:cs="Arial"/>
                <w:sz w:val="22"/>
                <w:szCs w:val="22"/>
              </w:rPr>
            </w:pPr>
          </w:p>
        </w:tc>
      </w:tr>
      <w:tr w:rsidR="00F602CC" w:rsidRPr="00F602CC" w14:paraId="76005AB8" w14:textId="77777777" w:rsidTr="008843BF">
        <w:tc>
          <w:tcPr>
            <w:tcW w:w="0" w:type="auto"/>
            <w:tcBorders>
              <w:top w:val="nil"/>
              <w:left w:val="nil"/>
              <w:bottom w:val="nil"/>
              <w:right w:val="nil"/>
            </w:tcBorders>
            <w:vAlign w:val="center"/>
            <w:hideMark/>
          </w:tcPr>
          <w:p w14:paraId="65049552" w14:textId="77777777" w:rsidR="00F602CC" w:rsidRPr="00F602CC" w:rsidRDefault="00F602CC" w:rsidP="008843BF">
            <w:pPr>
              <w:rPr>
                <w:rFonts w:ascii="Arial" w:hAnsi="Arial" w:cs="Arial"/>
                <w:sz w:val="22"/>
                <w:szCs w:val="22"/>
              </w:rPr>
            </w:pPr>
          </w:p>
        </w:tc>
        <w:tc>
          <w:tcPr>
            <w:tcW w:w="0" w:type="auto"/>
            <w:tcBorders>
              <w:top w:val="nil"/>
              <w:left w:val="nil"/>
              <w:bottom w:val="nil"/>
              <w:right w:val="nil"/>
            </w:tcBorders>
            <w:vAlign w:val="center"/>
            <w:hideMark/>
          </w:tcPr>
          <w:p w14:paraId="7BE167C4"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1156C982" w14:textId="77777777" w:rsidR="00F602CC" w:rsidRPr="00F602CC" w:rsidRDefault="00F602CC" w:rsidP="008843BF">
            <w:pPr>
              <w:rPr>
                <w:rFonts w:ascii="Arial" w:hAnsi="Arial" w:cs="Arial"/>
                <w:sz w:val="22"/>
                <w:szCs w:val="22"/>
              </w:rPr>
            </w:pPr>
            <w:r w:rsidRPr="00F602CC">
              <w:rPr>
                <w:rFonts w:ascii="Arial" w:hAnsi="Arial" w:cs="Arial"/>
                <w:sz w:val="22"/>
                <w:szCs w:val="22"/>
              </w:rPr>
              <w:t xml:space="preserve">A </w:t>
            </w:r>
          </w:p>
        </w:tc>
        <w:tc>
          <w:tcPr>
            <w:tcW w:w="0" w:type="auto"/>
            <w:tcBorders>
              <w:top w:val="nil"/>
              <w:left w:val="nil"/>
              <w:bottom w:val="nil"/>
              <w:right w:val="nil"/>
            </w:tcBorders>
            <w:vAlign w:val="center"/>
            <w:hideMark/>
          </w:tcPr>
          <w:p w14:paraId="497D4B14" w14:textId="77777777" w:rsidR="00F602CC" w:rsidRPr="00F602CC" w:rsidRDefault="00F602CC" w:rsidP="008843BF">
            <w:pPr>
              <w:rPr>
                <w:rFonts w:ascii="Arial" w:hAnsi="Arial" w:cs="Arial"/>
                <w:sz w:val="22"/>
                <w:szCs w:val="22"/>
              </w:rPr>
            </w:pPr>
          </w:p>
        </w:tc>
        <w:tc>
          <w:tcPr>
            <w:tcW w:w="0" w:type="auto"/>
            <w:tcBorders>
              <w:top w:val="nil"/>
              <w:left w:val="nil"/>
              <w:bottom w:val="nil"/>
              <w:right w:val="nil"/>
            </w:tcBorders>
            <w:vAlign w:val="center"/>
            <w:hideMark/>
          </w:tcPr>
          <w:p w14:paraId="66B629B6"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2.931 </w:t>
            </w:r>
          </w:p>
        </w:tc>
        <w:tc>
          <w:tcPr>
            <w:tcW w:w="0" w:type="auto"/>
            <w:tcBorders>
              <w:top w:val="nil"/>
              <w:left w:val="nil"/>
              <w:bottom w:val="nil"/>
              <w:right w:val="nil"/>
            </w:tcBorders>
            <w:vAlign w:val="center"/>
            <w:hideMark/>
          </w:tcPr>
          <w:p w14:paraId="756B1716"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28619D61"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1.250 </w:t>
            </w:r>
          </w:p>
        </w:tc>
        <w:tc>
          <w:tcPr>
            <w:tcW w:w="0" w:type="auto"/>
            <w:tcBorders>
              <w:top w:val="nil"/>
              <w:left w:val="nil"/>
              <w:bottom w:val="nil"/>
              <w:right w:val="nil"/>
            </w:tcBorders>
            <w:vAlign w:val="center"/>
            <w:hideMark/>
          </w:tcPr>
          <w:p w14:paraId="43DF6BC7"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6D368D74"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0.165 </w:t>
            </w:r>
          </w:p>
        </w:tc>
        <w:tc>
          <w:tcPr>
            <w:tcW w:w="0" w:type="auto"/>
            <w:tcBorders>
              <w:top w:val="nil"/>
              <w:left w:val="nil"/>
              <w:bottom w:val="nil"/>
              <w:right w:val="nil"/>
            </w:tcBorders>
            <w:vAlign w:val="center"/>
            <w:hideMark/>
          </w:tcPr>
          <w:p w14:paraId="60DD8503"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2D44B742"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2.345 </w:t>
            </w:r>
          </w:p>
        </w:tc>
        <w:tc>
          <w:tcPr>
            <w:tcW w:w="0" w:type="auto"/>
            <w:tcBorders>
              <w:top w:val="nil"/>
              <w:left w:val="nil"/>
              <w:bottom w:val="nil"/>
              <w:right w:val="nil"/>
            </w:tcBorders>
            <w:vAlign w:val="center"/>
            <w:hideMark/>
          </w:tcPr>
          <w:p w14:paraId="4037196C" w14:textId="77777777" w:rsidR="00F602CC" w:rsidRPr="00F602CC" w:rsidRDefault="00F602CC" w:rsidP="008843BF">
            <w:pPr>
              <w:jc w:val="right"/>
              <w:rPr>
                <w:rFonts w:ascii="Arial" w:hAnsi="Arial" w:cs="Arial"/>
                <w:sz w:val="22"/>
                <w:szCs w:val="22"/>
              </w:rPr>
            </w:pPr>
          </w:p>
        </w:tc>
        <w:tc>
          <w:tcPr>
            <w:tcW w:w="0" w:type="auto"/>
            <w:tcBorders>
              <w:top w:val="nil"/>
              <w:left w:val="nil"/>
              <w:bottom w:val="nil"/>
              <w:right w:val="nil"/>
            </w:tcBorders>
            <w:vAlign w:val="center"/>
            <w:hideMark/>
          </w:tcPr>
          <w:p w14:paraId="1CD711CA" w14:textId="77777777" w:rsidR="00F602CC" w:rsidRPr="00F602CC" w:rsidRDefault="00F602CC" w:rsidP="008843BF">
            <w:pPr>
              <w:jc w:val="right"/>
              <w:rPr>
                <w:rFonts w:ascii="Arial" w:hAnsi="Arial" w:cs="Arial"/>
                <w:sz w:val="22"/>
                <w:szCs w:val="22"/>
              </w:rPr>
            </w:pPr>
            <w:r w:rsidRPr="00F602CC">
              <w:rPr>
                <w:rFonts w:ascii="Arial" w:hAnsi="Arial" w:cs="Arial"/>
                <w:sz w:val="22"/>
                <w:szCs w:val="22"/>
              </w:rPr>
              <w:t xml:space="preserve">0.020 </w:t>
            </w:r>
          </w:p>
        </w:tc>
        <w:tc>
          <w:tcPr>
            <w:tcW w:w="0" w:type="auto"/>
            <w:tcBorders>
              <w:top w:val="nil"/>
              <w:left w:val="nil"/>
              <w:bottom w:val="nil"/>
              <w:right w:val="nil"/>
            </w:tcBorders>
            <w:vAlign w:val="center"/>
            <w:hideMark/>
          </w:tcPr>
          <w:p w14:paraId="01D225CA" w14:textId="77777777" w:rsidR="00F602CC" w:rsidRPr="00F602CC" w:rsidRDefault="00F602CC" w:rsidP="008843BF">
            <w:pPr>
              <w:jc w:val="right"/>
              <w:rPr>
                <w:rFonts w:ascii="Arial" w:hAnsi="Arial" w:cs="Arial"/>
                <w:sz w:val="22"/>
                <w:szCs w:val="22"/>
              </w:rPr>
            </w:pPr>
          </w:p>
        </w:tc>
      </w:tr>
      <w:tr w:rsidR="00F602CC" w:rsidRPr="00F602CC" w14:paraId="0DE39FC7" w14:textId="77777777" w:rsidTr="008843BF">
        <w:tc>
          <w:tcPr>
            <w:tcW w:w="0" w:type="auto"/>
            <w:gridSpan w:val="14"/>
            <w:tcBorders>
              <w:top w:val="nil"/>
              <w:left w:val="nil"/>
              <w:bottom w:val="single" w:sz="12" w:space="0" w:color="000000"/>
              <w:right w:val="nil"/>
            </w:tcBorders>
            <w:vAlign w:val="center"/>
            <w:hideMark/>
          </w:tcPr>
          <w:p w14:paraId="06A548B9" w14:textId="77777777" w:rsidR="00F602CC" w:rsidRPr="00F602CC" w:rsidRDefault="00F602CC" w:rsidP="008843BF">
            <w:pPr>
              <w:rPr>
                <w:rFonts w:ascii="Arial" w:hAnsi="Arial" w:cs="Arial"/>
                <w:sz w:val="22"/>
                <w:szCs w:val="22"/>
              </w:rPr>
            </w:pPr>
          </w:p>
        </w:tc>
      </w:tr>
    </w:tbl>
    <w:p w14:paraId="70753C1A" w14:textId="77777777" w:rsidR="00F602CC" w:rsidRPr="00F602CC" w:rsidRDefault="00F602CC" w:rsidP="00F602CC">
      <w:pPr>
        <w:rPr>
          <w:rFonts w:ascii="Arial" w:hAnsi="Arial" w:cs="Arial"/>
          <w:sz w:val="22"/>
          <w:szCs w:val="22"/>
        </w:rPr>
      </w:pPr>
    </w:p>
    <w:p w14:paraId="1B625B15" w14:textId="77777777" w:rsidR="00853FFE" w:rsidRDefault="00853FFE" w:rsidP="007F596B">
      <w:pPr>
        <w:rPr>
          <w:rFonts w:ascii="Arial" w:hAnsi="Arial" w:cs="Arial"/>
          <w:b/>
          <w:bCs/>
          <w:sz w:val="22"/>
          <w:szCs w:val="22"/>
        </w:rPr>
      </w:pPr>
    </w:p>
    <w:p w14:paraId="315AE606" w14:textId="77777777" w:rsidR="007C4B7E" w:rsidRDefault="007C4B7E">
      <w:pPr>
        <w:rPr>
          <w:rFonts w:ascii="Arial" w:hAnsi="Arial"/>
          <w:b/>
          <w:iCs/>
          <w:sz w:val="22"/>
          <w:szCs w:val="18"/>
        </w:rPr>
      </w:pPr>
      <w:bookmarkStart w:id="358" w:name="_Toc46770954"/>
      <w:r>
        <w:br w:type="page"/>
      </w:r>
    </w:p>
    <w:p w14:paraId="2CF68CAC" w14:textId="314EA69F" w:rsidR="009C34A1" w:rsidRPr="009C34A1" w:rsidRDefault="009C34A1" w:rsidP="009C34A1">
      <w:pPr>
        <w:pStyle w:val="Figures"/>
        <w:rPr>
          <w:b w:val="0"/>
        </w:rPr>
      </w:pPr>
      <w:r w:rsidRPr="00A07B4C">
        <w:t xml:space="preserve">Figure 5.7 </w:t>
      </w:r>
      <w:r w:rsidRPr="009C34A1">
        <w:rPr>
          <w:b w:val="0"/>
        </w:rPr>
        <w:t>Scatter plot showing positive regression line for recovery rate</w:t>
      </w:r>
      <w:bookmarkEnd w:id="358"/>
    </w:p>
    <w:p w14:paraId="49E2C261" w14:textId="5F15C5ED" w:rsidR="00F81982" w:rsidRDefault="00B33CC2" w:rsidP="007F596B">
      <w:pPr>
        <w:rPr>
          <w:rFonts w:ascii="Arial" w:hAnsi="Arial" w:cs="Arial"/>
          <w:sz w:val="22"/>
          <w:szCs w:val="22"/>
        </w:rPr>
      </w:pPr>
      <w:r>
        <w:rPr>
          <w:rFonts w:ascii="Arial" w:hAnsi="Arial" w:cs="Arial"/>
          <w:noProof/>
        </w:rPr>
        <w:lastRenderedPageBreak/>
        <mc:AlternateContent>
          <mc:Choice Requires="wps">
            <w:drawing>
              <wp:anchor distT="0" distB="0" distL="114300" distR="114300" simplePos="0" relativeHeight="251658247" behindDoc="0" locked="0" layoutInCell="1" allowOverlap="1" wp14:anchorId="33250E49" wp14:editId="4E661522">
                <wp:simplePos x="0" y="0"/>
                <wp:positionH relativeFrom="column">
                  <wp:posOffset>4937125</wp:posOffset>
                </wp:positionH>
                <wp:positionV relativeFrom="paragraph">
                  <wp:posOffset>320675</wp:posOffset>
                </wp:positionV>
                <wp:extent cx="1283677" cy="1011115"/>
                <wp:effectExtent l="50800" t="25400" r="62865" b="81280"/>
                <wp:wrapNone/>
                <wp:docPr id="39" name="Rectangle 39" descr="P2217TB14#y1"/>
                <wp:cNvGraphicFramePr/>
                <a:graphic xmlns:a="http://schemas.openxmlformats.org/drawingml/2006/main">
                  <a:graphicData uri="http://schemas.microsoft.com/office/word/2010/wordprocessingShape">
                    <wps:wsp>
                      <wps:cNvSpPr/>
                      <wps:spPr>
                        <a:xfrm>
                          <a:off x="0" y="0"/>
                          <a:ext cx="1283677" cy="1011115"/>
                        </a:xfrm>
                        <a:prstGeom prst="rect">
                          <a:avLst/>
                        </a:prstGeom>
                        <a:noFill/>
                      </wps:spPr>
                      <wps:style>
                        <a:lnRef idx="1">
                          <a:schemeClr val="accent1"/>
                        </a:lnRef>
                        <a:fillRef idx="3">
                          <a:schemeClr val="accent1"/>
                        </a:fillRef>
                        <a:effectRef idx="2">
                          <a:schemeClr val="accent1"/>
                        </a:effectRef>
                        <a:fontRef idx="minor">
                          <a:schemeClr val="lt1"/>
                        </a:fontRef>
                      </wps:style>
                      <wps:txbx>
                        <w:txbxContent>
                          <w:p w14:paraId="782348B9" w14:textId="7D13B959" w:rsidR="008815D7" w:rsidRPr="00A266B6" w:rsidRDefault="008815D7" w:rsidP="00A266B6">
                            <w:pPr>
                              <w:jc w:val="center"/>
                              <w:rPr>
                                <w:rFonts w:ascii="Arial" w:hAnsi="Arial" w:cs="Arial"/>
                                <w:color w:val="000000" w:themeColor="text1"/>
                                <w:sz w:val="22"/>
                                <w:szCs w:val="22"/>
                              </w:rPr>
                            </w:pPr>
                            <w:r w:rsidRPr="00A266B6">
                              <w:rPr>
                                <w:rFonts w:ascii="Arial" w:hAnsi="Arial" w:cs="Arial"/>
                                <w:color w:val="000000" w:themeColor="text1"/>
                                <w:sz w:val="22"/>
                                <w:szCs w:val="22"/>
                              </w:rPr>
                              <w:t>r</w:t>
                            </w:r>
                            <w:r>
                              <w:rPr>
                                <w:rFonts w:ascii="Arial" w:hAnsi="Arial" w:cs="Arial"/>
                                <w:color w:val="000000" w:themeColor="text1"/>
                                <w:sz w:val="22"/>
                                <w:szCs w:val="22"/>
                              </w:rPr>
                              <w:t xml:space="preserve"> </w:t>
                            </w:r>
                            <w:r w:rsidRPr="00A266B6">
                              <w:rPr>
                                <w:rFonts w:ascii="Arial" w:hAnsi="Arial" w:cs="Arial"/>
                                <w:color w:val="000000" w:themeColor="text1"/>
                                <w:sz w:val="22"/>
                                <w:szCs w:val="22"/>
                              </w:rPr>
                              <w:t>= 0.165</w:t>
                            </w:r>
                          </w:p>
                          <w:p w14:paraId="762F095A" w14:textId="0586BBD5" w:rsidR="008815D7" w:rsidRPr="00A266B6" w:rsidRDefault="008815D7" w:rsidP="00A266B6">
                            <w:pPr>
                              <w:jc w:val="center"/>
                              <w:rPr>
                                <w:rFonts w:ascii="Arial" w:hAnsi="Arial" w:cs="Arial"/>
                                <w:color w:val="000000" w:themeColor="text1"/>
                                <w:sz w:val="22"/>
                                <w:szCs w:val="22"/>
                              </w:rPr>
                            </w:pPr>
                          </w:p>
                          <w:p w14:paraId="1CE090DB" w14:textId="293CC4DC" w:rsidR="008815D7" w:rsidRPr="00A266B6" w:rsidRDefault="008815D7" w:rsidP="00A266B6">
                            <w:pPr>
                              <w:jc w:val="center"/>
                              <w:rPr>
                                <w:rFonts w:ascii="Arial" w:hAnsi="Arial" w:cs="Arial"/>
                                <w:color w:val="000000" w:themeColor="text1"/>
                                <w:sz w:val="22"/>
                                <w:szCs w:val="22"/>
                              </w:rPr>
                            </w:pPr>
                            <w:r>
                              <w:rPr>
                                <w:rFonts w:ascii="Arial" w:hAnsi="Arial" w:cs="Arial"/>
                                <w:color w:val="000000" w:themeColor="text1"/>
                                <w:sz w:val="22"/>
                                <w:szCs w:val="22"/>
                              </w:rPr>
                              <w:t>p</w:t>
                            </w:r>
                            <w:r w:rsidRPr="00A266B6">
                              <w:rPr>
                                <w:rFonts w:ascii="Arial" w:hAnsi="Arial" w:cs="Arial"/>
                                <w:color w:val="000000" w:themeColor="text1"/>
                                <w:sz w:val="22"/>
                                <w:szCs w:val="22"/>
                              </w:rPr>
                              <w:t xml:space="preserve"> = 0.020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250E49" id="Rectangle 39" o:spid="_x0000_s1039" alt="P2217TB14#y1" style="position:absolute;margin-left:388.75pt;margin-top:25.25pt;width:101.1pt;height:79.6pt;z-index:25165824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" filled="f" strokecolor="#4579b8 [3044]">
                <v:shadow on="t" color="black" opacity="22937f" origin=",.5" offset="0,.63889mm"/>
                <v:textbox>
                  <w:txbxContent>
                    <w:p w14:paraId="782348B9" w14:textId="7D13B959" w:rsidR="008815D7" w:rsidRPr="00A266B6" w:rsidRDefault="008815D7" w:rsidP="00A266B6">
                      <w:pPr>
                        <w:jc w:val="center"/>
                        <w:rPr>
                          <w:rFonts w:ascii="Arial" w:hAnsi="Arial" w:cs="Arial"/>
                          <w:color w:val="000000" w:themeColor="text1"/>
                          <w:sz w:val="22"/>
                          <w:szCs w:val="22"/>
                        </w:rPr>
                      </w:pPr>
                      <w:r w:rsidRPr="00A266B6">
                        <w:rPr>
                          <w:rFonts w:ascii="Arial" w:hAnsi="Arial" w:cs="Arial"/>
                          <w:color w:val="000000" w:themeColor="text1"/>
                          <w:sz w:val="22"/>
                          <w:szCs w:val="22"/>
                        </w:rPr>
                        <w:t>r</w:t>
                      </w:r>
                      <w:r>
                        <w:rPr>
                          <w:rFonts w:ascii="Arial" w:hAnsi="Arial" w:cs="Arial"/>
                          <w:color w:val="000000" w:themeColor="text1"/>
                          <w:sz w:val="22"/>
                          <w:szCs w:val="22"/>
                        </w:rPr>
                        <w:t xml:space="preserve"> </w:t>
                      </w:r>
                      <w:r w:rsidRPr="00A266B6">
                        <w:rPr>
                          <w:rFonts w:ascii="Arial" w:hAnsi="Arial" w:cs="Arial"/>
                          <w:color w:val="000000" w:themeColor="text1"/>
                          <w:sz w:val="22"/>
                          <w:szCs w:val="22"/>
                        </w:rPr>
                        <w:t>= 0.165</w:t>
                      </w:r>
                    </w:p>
                    <w:p w14:paraId="762F095A" w14:textId="0586BBD5" w:rsidR="008815D7" w:rsidRPr="00A266B6" w:rsidRDefault="008815D7" w:rsidP="00A266B6">
                      <w:pPr>
                        <w:jc w:val="center"/>
                        <w:rPr>
                          <w:rFonts w:ascii="Arial" w:hAnsi="Arial" w:cs="Arial"/>
                          <w:color w:val="000000" w:themeColor="text1"/>
                          <w:sz w:val="22"/>
                          <w:szCs w:val="22"/>
                        </w:rPr>
                      </w:pPr>
                    </w:p>
                    <w:p w14:paraId="1CE090DB" w14:textId="293CC4DC" w:rsidR="008815D7" w:rsidRPr="00A266B6" w:rsidRDefault="008815D7" w:rsidP="00A266B6">
                      <w:pPr>
                        <w:jc w:val="center"/>
                        <w:rPr>
                          <w:rFonts w:ascii="Arial" w:hAnsi="Arial" w:cs="Arial"/>
                          <w:color w:val="000000" w:themeColor="text1"/>
                          <w:sz w:val="22"/>
                          <w:szCs w:val="22"/>
                        </w:rPr>
                      </w:pPr>
                      <w:r>
                        <w:rPr>
                          <w:rFonts w:ascii="Arial" w:hAnsi="Arial" w:cs="Arial"/>
                          <w:color w:val="000000" w:themeColor="text1"/>
                          <w:sz w:val="22"/>
                          <w:szCs w:val="22"/>
                        </w:rPr>
                        <w:t>p</w:t>
                      </w:r>
                      <w:r w:rsidRPr="00A266B6">
                        <w:rPr>
                          <w:rFonts w:ascii="Arial" w:hAnsi="Arial" w:cs="Arial"/>
                          <w:color w:val="000000" w:themeColor="text1"/>
                          <w:sz w:val="22"/>
                          <w:szCs w:val="22"/>
                        </w:rPr>
                        <w:t xml:space="preserve"> = 0.020</w:t>
                      </w:r>
                    </w:p>
                  </w:txbxContent>
                </v:textbox>
              </v:rect>
            </w:pict>
          </mc:Fallback>
        </mc:AlternateContent>
      </w:r>
      <w:r w:rsidR="00F81982" w:rsidRPr="0058395E">
        <w:rPr>
          <w:rFonts w:ascii="Arial" w:hAnsi="Arial" w:cs="Arial"/>
        </w:rPr>
        <w:fldChar w:fldCharType="begin"/>
      </w:r>
      <w:r w:rsidR="00D168F9">
        <w:rPr>
          <w:rFonts w:ascii="Arial" w:hAnsi="Arial" w:cs="Arial"/>
        </w:rPr>
        <w:instrText xml:space="preserve"> INCLUDEPICTURE "C:\\Users\\sbateup\\.JASP\\temp\\clipboard\\resources\\2\\_1.png" \* MERGEFORMAT </w:instrText>
      </w:r>
      <w:r w:rsidR="00F81982" w:rsidRPr="0058395E">
        <w:rPr>
          <w:rFonts w:ascii="Arial" w:hAnsi="Arial" w:cs="Arial"/>
        </w:rPr>
        <w:fldChar w:fldCharType="separate"/>
      </w:r>
      <w:r w:rsidR="00F81982" w:rsidRPr="0058395E">
        <w:rPr>
          <w:rFonts w:ascii="Arial" w:hAnsi="Arial" w:cs="Arial"/>
          <w:noProof/>
          <w:lang w:eastAsia="zh-CN"/>
        </w:rPr>
        <w:drawing>
          <wp:inline distT="0" distB="0" distL="0" distR="0" wp14:anchorId="28BED9F0" wp14:editId="67322A6D">
            <wp:extent cx="4415883" cy="3177540"/>
            <wp:effectExtent l="0" t="0" r="0" b="0"/>
            <wp:docPr id="24" name="Picture 24" descr="P221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P2217#yIS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429731" cy="3187505"/>
                    </a:xfrm>
                    <a:prstGeom prst="rect">
                      <a:avLst/>
                    </a:prstGeom>
                    <a:noFill/>
                    <a:ln>
                      <a:noFill/>
                    </a:ln>
                  </pic:spPr>
                </pic:pic>
              </a:graphicData>
            </a:graphic>
          </wp:inline>
        </w:drawing>
      </w:r>
      <w:r w:rsidR="00F81982" w:rsidRPr="0058395E">
        <w:rPr>
          <w:rFonts w:ascii="Arial" w:hAnsi="Arial" w:cs="Arial"/>
        </w:rPr>
        <w:fldChar w:fldCharType="end"/>
      </w:r>
    </w:p>
    <w:p w14:paraId="4E6F6750" w14:textId="0E96DAE1" w:rsidR="00F81982" w:rsidRDefault="00F81982" w:rsidP="007F596B">
      <w:pPr>
        <w:rPr>
          <w:rFonts w:ascii="Arial" w:hAnsi="Arial" w:cs="Arial"/>
          <w:sz w:val="22"/>
          <w:szCs w:val="22"/>
        </w:rPr>
      </w:pPr>
    </w:p>
    <w:p w14:paraId="4C579233" w14:textId="0A3937DF" w:rsidR="00F81982" w:rsidRDefault="00F81982" w:rsidP="007F596B">
      <w:pPr>
        <w:rPr>
          <w:rFonts w:ascii="Arial" w:hAnsi="Arial" w:cs="Arial"/>
          <w:sz w:val="22"/>
          <w:szCs w:val="22"/>
        </w:rPr>
      </w:pPr>
    </w:p>
    <w:p w14:paraId="50211E5C" w14:textId="6F93978D" w:rsidR="00F81982" w:rsidRDefault="00F81982" w:rsidP="007F596B">
      <w:pPr>
        <w:rPr>
          <w:rFonts w:ascii="Arial" w:hAnsi="Arial" w:cs="Arial"/>
          <w:sz w:val="22"/>
          <w:szCs w:val="22"/>
        </w:rPr>
      </w:pPr>
    </w:p>
    <w:p w14:paraId="0C29E414" w14:textId="3E1F7D73" w:rsidR="00B31E2E" w:rsidRDefault="00B31E2E" w:rsidP="007F596B">
      <w:pPr>
        <w:rPr>
          <w:rFonts w:ascii="Arial" w:hAnsi="Arial" w:cs="Arial"/>
          <w:sz w:val="22"/>
          <w:szCs w:val="22"/>
        </w:rPr>
      </w:pPr>
    </w:p>
    <w:p w14:paraId="77CB6E9E" w14:textId="4749129C" w:rsidR="00815973" w:rsidRPr="00F06748" w:rsidRDefault="00815973" w:rsidP="007C21EF">
      <w:pPr>
        <w:pStyle w:val="Tables"/>
        <w:rPr>
          <w:bCs/>
        </w:rPr>
      </w:pPr>
      <w:bookmarkStart w:id="359" w:name="_Toc28347782"/>
      <w:bookmarkStart w:id="360" w:name="_Toc46770983"/>
      <w:r w:rsidRPr="00F06748">
        <w:rPr>
          <w:bCs/>
        </w:rPr>
        <w:t>Table 5.3</w:t>
      </w:r>
      <w:r w:rsidRPr="00F06748">
        <w:t xml:space="preserve"> </w:t>
      </w:r>
      <w:r w:rsidR="000933FA" w:rsidRPr="007C21EF">
        <w:rPr>
          <w:b w:val="0"/>
        </w:rPr>
        <w:t>Model summary for the l</w:t>
      </w:r>
      <w:r w:rsidRPr="007C21EF">
        <w:rPr>
          <w:b w:val="0"/>
        </w:rPr>
        <w:t>inear regression model for A scores and reliable improvement rate</w:t>
      </w:r>
      <w:bookmarkEnd w:id="359"/>
      <w:bookmarkEnd w:id="360"/>
    </w:p>
    <w:p w14:paraId="115FE3DF" w14:textId="77777777" w:rsidR="00E13720" w:rsidRDefault="00E13720" w:rsidP="00815973">
      <w:pPr>
        <w:pStyle w:val="Tables"/>
      </w:pPr>
    </w:p>
    <w:tbl>
      <w:tblPr>
        <w:tblW w:w="0" w:type="auto"/>
        <w:tblCellMar>
          <w:top w:w="15" w:type="dxa"/>
          <w:left w:w="15" w:type="dxa"/>
          <w:bottom w:w="15" w:type="dxa"/>
          <w:right w:w="15" w:type="dxa"/>
        </w:tblCellMar>
        <w:tblLook w:val="04A0" w:firstRow="1" w:lastRow="0" w:firstColumn="1" w:lastColumn="0" w:noHBand="0" w:noVBand="1"/>
      </w:tblPr>
      <w:tblGrid>
        <w:gridCol w:w="539"/>
        <w:gridCol w:w="127"/>
        <w:gridCol w:w="1076"/>
        <w:gridCol w:w="67"/>
        <w:gridCol w:w="581"/>
        <w:gridCol w:w="45"/>
        <w:gridCol w:w="1494"/>
        <w:gridCol w:w="93"/>
        <w:gridCol w:w="73"/>
        <w:gridCol w:w="645"/>
        <w:gridCol w:w="51"/>
        <w:gridCol w:w="1349"/>
        <w:gridCol w:w="51"/>
        <w:gridCol w:w="581"/>
        <w:gridCol w:w="36"/>
        <w:gridCol w:w="581"/>
        <w:gridCol w:w="36"/>
      </w:tblGrid>
      <w:tr w:rsidR="00B31E2E" w:rsidRPr="00B31E2E" w14:paraId="16C573EE" w14:textId="77777777" w:rsidTr="00B31E2E">
        <w:trPr>
          <w:gridAfter w:val="6"/>
          <w:tblHeader/>
        </w:trPr>
        <w:tc>
          <w:tcPr>
            <w:tcW w:w="0" w:type="auto"/>
            <w:gridSpan w:val="11"/>
            <w:tcBorders>
              <w:top w:val="nil"/>
              <w:left w:val="nil"/>
              <w:bottom w:val="single" w:sz="6" w:space="0" w:color="000000"/>
              <w:right w:val="nil"/>
            </w:tcBorders>
            <w:vAlign w:val="center"/>
            <w:hideMark/>
          </w:tcPr>
          <w:p w14:paraId="47475645" w14:textId="77777777" w:rsidR="00B31E2E" w:rsidRPr="00B31E2E" w:rsidRDefault="00B31E2E">
            <w:pPr>
              <w:divId w:val="1547832905"/>
              <w:rPr>
                <w:rFonts w:ascii="Arial" w:hAnsi="Arial" w:cs="Arial"/>
                <w:b/>
                <w:bCs/>
                <w:sz w:val="22"/>
                <w:szCs w:val="22"/>
              </w:rPr>
            </w:pPr>
            <w:r w:rsidRPr="00B31E2E">
              <w:rPr>
                <w:rFonts w:ascii="Arial" w:hAnsi="Arial" w:cs="Arial"/>
                <w:b/>
                <w:bCs/>
                <w:sz w:val="22"/>
                <w:szCs w:val="22"/>
              </w:rPr>
              <w:t xml:space="preserve">Model Summary </w:t>
            </w:r>
          </w:p>
        </w:tc>
      </w:tr>
      <w:tr w:rsidR="00B31E2E" w:rsidRPr="00B31E2E" w14:paraId="042DA754" w14:textId="77777777" w:rsidTr="00B31E2E">
        <w:trPr>
          <w:gridAfter w:val="6"/>
          <w:tblHeader/>
        </w:trPr>
        <w:tc>
          <w:tcPr>
            <w:tcW w:w="0" w:type="auto"/>
            <w:gridSpan w:val="2"/>
            <w:tcBorders>
              <w:top w:val="nil"/>
              <w:left w:val="nil"/>
              <w:bottom w:val="single" w:sz="6" w:space="0" w:color="000000"/>
              <w:right w:val="nil"/>
            </w:tcBorders>
            <w:vAlign w:val="center"/>
            <w:hideMark/>
          </w:tcPr>
          <w:p w14:paraId="2FFD234A" w14:textId="77777777" w:rsidR="00B31E2E" w:rsidRPr="00B31E2E" w:rsidRDefault="00B31E2E">
            <w:pPr>
              <w:jc w:val="center"/>
              <w:rPr>
                <w:rFonts w:ascii="Arial" w:hAnsi="Arial" w:cs="Arial"/>
                <w:b/>
                <w:bCs/>
                <w:sz w:val="22"/>
                <w:szCs w:val="22"/>
              </w:rPr>
            </w:pPr>
            <w:r w:rsidRPr="00B31E2E">
              <w:rPr>
                <w:rFonts w:ascii="Arial" w:hAnsi="Arial" w:cs="Arial"/>
                <w:b/>
                <w:bCs/>
                <w:sz w:val="22"/>
                <w:szCs w:val="22"/>
              </w:rPr>
              <w:t xml:space="preserve">Model </w:t>
            </w:r>
          </w:p>
        </w:tc>
        <w:tc>
          <w:tcPr>
            <w:tcW w:w="0" w:type="auto"/>
            <w:gridSpan w:val="2"/>
            <w:tcBorders>
              <w:top w:val="nil"/>
              <w:left w:val="nil"/>
              <w:bottom w:val="single" w:sz="6" w:space="0" w:color="000000"/>
              <w:right w:val="nil"/>
            </w:tcBorders>
            <w:vAlign w:val="center"/>
            <w:hideMark/>
          </w:tcPr>
          <w:p w14:paraId="1D3F9FB5" w14:textId="77777777" w:rsidR="00B31E2E" w:rsidRPr="00B31E2E" w:rsidRDefault="00B31E2E">
            <w:pPr>
              <w:jc w:val="center"/>
              <w:rPr>
                <w:rFonts w:ascii="Arial" w:hAnsi="Arial" w:cs="Arial"/>
                <w:b/>
                <w:bCs/>
                <w:sz w:val="22"/>
                <w:szCs w:val="22"/>
              </w:rPr>
            </w:pPr>
            <w:r w:rsidRPr="00B31E2E">
              <w:rPr>
                <w:rFonts w:ascii="Arial" w:hAnsi="Arial" w:cs="Arial"/>
                <w:b/>
                <w:bCs/>
                <w:sz w:val="22"/>
                <w:szCs w:val="22"/>
              </w:rPr>
              <w:t xml:space="preserve">R </w:t>
            </w:r>
          </w:p>
        </w:tc>
        <w:tc>
          <w:tcPr>
            <w:tcW w:w="0" w:type="auto"/>
            <w:gridSpan w:val="2"/>
            <w:tcBorders>
              <w:top w:val="nil"/>
              <w:left w:val="nil"/>
              <w:bottom w:val="single" w:sz="6" w:space="0" w:color="000000"/>
              <w:right w:val="nil"/>
            </w:tcBorders>
            <w:vAlign w:val="center"/>
            <w:hideMark/>
          </w:tcPr>
          <w:p w14:paraId="2CDEA3B8" w14:textId="77777777" w:rsidR="00B31E2E" w:rsidRPr="00B31E2E" w:rsidRDefault="00B31E2E">
            <w:pPr>
              <w:jc w:val="center"/>
              <w:rPr>
                <w:rFonts w:ascii="Arial" w:hAnsi="Arial" w:cs="Arial"/>
                <w:b/>
                <w:bCs/>
                <w:sz w:val="22"/>
                <w:szCs w:val="22"/>
              </w:rPr>
            </w:pPr>
            <w:r w:rsidRPr="00B31E2E">
              <w:rPr>
                <w:rFonts w:ascii="Arial" w:hAnsi="Arial" w:cs="Arial"/>
                <w:b/>
                <w:bCs/>
                <w:sz w:val="22"/>
                <w:szCs w:val="22"/>
              </w:rPr>
              <w:t xml:space="preserve">R² </w:t>
            </w:r>
          </w:p>
        </w:tc>
        <w:tc>
          <w:tcPr>
            <w:tcW w:w="0" w:type="auto"/>
            <w:gridSpan w:val="2"/>
            <w:tcBorders>
              <w:top w:val="nil"/>
              <w:left w:val="nil"/>
              <w:bottom w:val="single" w:sz="6" w:space="0" w:color="000000"/>
              <w:right w:val="nil"/>
            </w:tcBorders>
            <w:vAlign w:val="center"/>
            <w:hideMark/>
          </w:tcPr>
          <w:p w14:paraId="743B8FD3" w14:textId="77777777" w:rsidR="00B31E2E" w:rsidRPr="00B31E2E" w:rsidRDefault="00B31E2E">
            <w:pPr>
              <w:jc w:val="center"/>
              <w:rPr>
                <w:rFonts w:ascii="Arial" w:hAnsi="Arial" w:cs="Arial"/>
                <w:b/>
                <w:bCs/>
                <w:sz w:val="22"/>
                <w:szCs w:val="22"/>
              </w:rPr>
            </w:pPr>
            <w:r w:rsidRPr="00B31E2E">
              <w:rPr>
                <w:rFonts w:ascii="Arial" w:hAnsi="Arial" w:cs="Arial"/>
                <w:b/>
                <w:bCs/>
                <w:sz w:val="22"/>
                <w:szCs w:val="22"/>
              </w:rPr>
              <w:t xml:space="preserve">Adjusted R² </w:t>
            </w:r>
          </w:p>
        </w:tc>
        <w:tc>
          <w:tcPr>
            <w:tcW w:w="0" w:type="auto"/>
            <w:gridSpan w:val="3"/>
            <w:tcBorders>
              <w:top w:val="nil"/>
              <w:left w:val="nil"/>
              <w:bottom w:val="single" w:sz="6" w:space="0" w:color="000000"/>
              <w:right w:val="nil"/>
            </w:tcBorders>
            <w:vAlign w:val="center"/>
            <w:hideMark/>
          </w:tcPr>
          <w:p w14:paraId="2C098485" w14:textId="77777777" w:rsidR="00B31E2E" w:rsidRPr="00B31E2E" w:rsidRDefault="00B31E2E">
            <w:pPr>
              <w:jc w:val="center"/>
              <w:rPr>
                <w:rFonts w:ascii="Arial" w:hAnsi="Arial" w:cs="Arial"/>
                <w:b/>
                <w:bCs/>
                <w:sz w:val="22"/>
                <w:szCs w:val="22"/>
              </w:rPr>
            </w:pPr>
            <w:r w:rsidRPr="00B31E2E">
              <w:rPr>
                <w:rFonts w:ascii="Arial" w:hAnsi="Arial" w:cs="Arial"/>
                <w:b/>
                <w:bCs/>
                <w:sz w:val="22"/>
                <w:szCs w:val="22"/>
              </w:rPr>
              <w:t xml:space="preserve">RMSE </w:t>
            </w:r>
          </w:p>
        </w:tc>
      </w:tr>
      <w:tr w:rsidR="00B31E2E" w:rsidRPr="00B31E2E" w14:paraId="0E7FAEEF" w14:textId="77777777" w:rsidTr="00B31E2E">
        <w:trPr>
          <w:gridAfter w:val="6"/>
        </w:trPr>
        <w:tc>
          <w:tcPr>
            <w:tcW w:w="0" w:type="auto"/>
            <w:tcBorders>
              <w:top w:val="nil"/>
              <w:left w:val="nil"/>
              <w:bottom w:val="nil"/>
              <w:right w:val="nil"/>
            </w:tcBorders>
            <w:vAlign w:val="center"/>
            <w:hideMark/>
          </w:tcPr>
          <w:p w14:paraId="66790027"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1 </w:t>
            </w:r>
          </w:p>
        </w:tc>
        <w:tc>
          <w:tcPr>
            <w:tcW w:w="0" w:type="auto"/>
            <w:tcBorders>
              <w:top w:val="nil"/>
              <w:left w:val="nil"/>
              <w:bottom w:val="nil"/>
              <w:right w:val="nil"/>
            </w:tcBorders>
            <w:vAlign w:val="center"/>
            <w:hideMark/>
          </w:tcPr>
          <w:p w14:paraId="4B07D2AD"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062A1004"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0.182 </w:t>
            </w:r>
          </w:p>
        </w:tc>
        <w:tc>
          <w:tcPr>
            <w:tcW w:w="0" w:type="auto"/>
            <w:tcBorders>
              <w:top w:val="nil"/>
              <w:left w:val="nil"/>
              <w:bottom w:val="nil"/>
              <w:right w:val="nil"/>
            </w:tcBorders>
            <w:vAlign w:val="center"/>
            <w:hideMark/>
          </w:tcPr>
          <w:p w14:paraId="16B522C7"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3E03DE0C"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0.033 </w:t>
            </w:r>
          </w:p>
        </w:tc>
        <w:tc>
          <w:tcPr>
            <w:tcW w:w="0" w:type="auto"/>
            <w:tcBorders>
              <w:top w:val="nil"/>
              <w:left w:val="nil"/>
              <w:bottom w:val="nil"/>
              <w:right w:val="nil"/>
            </w:tcBorders>
            <w:vAlign w:val="center"/>
            <w:hideMark/>
          </w:tcPr>
          <w:p w14:paraId="356A3D37"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47BB2C10"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0.028 </w:t>
            </w:r>
          </w:p>
        </w:tc>
        <w:tc>
          <w:tcPr>
            <w:tcW w:w="0" w:type="auto"/>
            <w:tcBorders>
              <w:top w:val="nil"/>
              <w:left w:val="nil"/>
              <w:bottom w:val="nil"/>
              <w:right w:val="nil"/>
            </w:tcBorders>
            <w:vAlign w:val="center"/>
            <w:hideMark/>
          </w:tcPr>
          <w:p w14:paraId="72964DC8" w14:textId="77777777" w:rsidR="00B31E2E" w:rsidRPr="00B31E2E" w:rsidRDefault="00B31E2E">
            <w:pPr>
              <w:jc w:val="right"/>
              <w:rPr>
                <w:rFonts w:ascii="Arial" w:hAnsi="Arial" w:cs="Arial"/>
                <w:sz w:val="22"/>
                <w:szCs w:val="22"/>
              </w:rPr>
            </w:pPr>
          </w:p>
        </w:tc>
        <w:tc>
          <w:tcPr>
            <w:tcW w:w="0" w:type="auto"/>
            <w:gridSpan w:val="2"/>
            <w:tcBorders>
              <w:top w:val="nil"/>
              <w:left w:val="nil"/>
              <w:bottom w:val="nil"/>
              <w:right w:val="nil"/>
            </w:tcBorders>
            <w:vAlign w:val="center"/>
            <w:hideMark/>
          </w:tcPr>
          <w:p w14:paraId="0B32E80C"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15.855 </w:t>
            </w:r>
          </w:p>
        </w:tc>
        <w:tc>
          <w:tcPr>
            <w:tcW w:w="0" w:type="auto"/>
            <w:tcBorders>
              <w:top w:val="nil"/>
              <w:left w:val="nil"/>
              <w:bottom w:val="nil"/>
              <w:right w:val="nil"/>
            </w:tcBorders>
            <w:vAlign w:val="center"/>
            <w:hideMark/>
          </w:tcPr>
          <w:p w14:paraId="3AFCC789" w14:textId="77777777" w:rsidR="00B31E2E" w:rsidRPr="00B31E2E" w:rsidRDefault="00B31E2E">
            <w:pPr>
              <w:jc w:val="right"/>
              <w:rPr>
                <w:rFonts w:ascii="Arial" w:hAnsi="Arial" w:cs="Arial"/>
                <w:sz w:val="22"/>
                <w:szCs w:val="22"/>
              </w:rPr>
            </w:pPr>
          </w:p>
        </w:tc>
      </w:tr>
      <w:tr w:rsidR="00B31E2E" w:rsidRPr="00B31E2E" w14:paraId="296D11F8" w14:textId="77777777" w:rsidTr="00B31E2E">
        <w:trPr>
          <w:gridAfter w:val="6"/>
        </w:trPr>
        <w:tc>
          <w:tcPr>
            <w:tcW w:w="0" w:type="auto"/>
            <w:gridSpan w:val="11"/>
            <w:tcBorders>
              <w:top w:val="nil"/>
              <w:left w:val="nil"/>
              <w:bottom w:val="single" w:sz="12" w:space="0" w:color="000000"/>
              <w:right w:val="nil"/>
            </w:tcBorders>
            <w:vAlign w:val="center"/>
            <w:hideMark/>
          </w:tcPr>
          <w:p w14:paraId="5366CA55" w14:textId="77777777" w:rsidR="00B31E2E" w:rsidRPr="00B31E2E" w:rsidRDefault="00B31E2E">
            <w:pPr>
              <w:rPr>
                <w:rFonts w:ascii="Arial" w:hAnsi="Arial" w:cs="Arial"/>
                <w:sz w:val="22"/>
                <w:szCs w:val="22"/>
              </w:rPr>
            </w:pPr>
          </w:p>
        </w:tc>
      </w:tr>
      <w:tr w:rsidR="00B31E2E" w:rsidRPr="00B31E2E" w14:paraId="23FD1280" w14:textId="77777777" w:rsidTr="00B31E2E">
        <w:trPr>
          <w:tblHeader/>
        </w:trPr>
        <w:tc>
          <w:tcPr>
            <w:tcW w:w="0" w:type="auto"/>
            <w:gridSpan w:val="17"/>
            <w:tcBorders>
              <w:top w:val="nil"/>
              <w:left w:val="nil"/>
              <w:bottom w:val="single" w:sz="6" w:space="0" w:color="000000"/>
              <w:right w:val="nil"/>
            </w:tcBorders>
            <w:vAlign w:val="center"/>
            <w:hideMark/>
          </w:tcPr>
          <w:p w14:paraId="585730EE" w14:textId="77777777" w:rsidR="00B31E2E" w:rsidRPr="00B31E2E" w:rsidRDefault="00B31E2E" w:rsidP="00B31E2E">
            <w:pPr>
              <w:rPr>
                <w:rFonts w:ascii="Arial" w:hAnsi="Arial" w:cs="Arial"/>
                <w:b/>
                <w:bCs/>
                <w:sz w:val="22"/>
                <w:szCs w:val="22"/>
              </w:rPr>
            </w:pPr>
            <w:r w:rsidRPr="00B31E2E">
              <w:rPr>
                <w:rFonts w:ascii="Arial" w:hAnsi="Arial" w:cs="Arial"/>
                <w:b/>
                <w:bCs/>
                <w:sz w:val="22"/>
                <w:szCs w:val="22"/>
              </w:rPr>
              <w:t xml:space="preserve">ANOVA </w:t>
            </w:r>
          </w:p>
        </w:tc>
      </w:tr>
      <w:tr w:rsidR="00B31E2E" w:rsidRPr="00B31E2E" w14:paraId="1A442161" w14:textId="77777777" w:rsidTr="00B31E2E">
        <w:trPr>
          <w:tblHeader/>
        </w:trPr>
        <w:tc>
          <w:tcPr>
            <w:tcW w:w="0" w:type="auto"/>
            <w:gridSpan w:val="2"/>
            <w:tcBorders>
              <w:top w:val="nil"/>
              <w:left w:val="nil"/>
              <w:bottom w:val="single" w:sz="6" w:space="0" w:color="000000"/>
              <w:right w:val="nil"/>
            </w:tcBorders>
            <w:vAlign w:val="center"/>
            <w:hideMark/>
          </w:tcPr>
          <w:p w14:paraId="3EBB6B87" w14:textId="77777777" w:rsidR="00B31E2E" w:rsidRPr="00B31E2E" w:rsidRDefault="00B31E2E">
            <w:pPr>
              <w:jc w:val="center"/>
              <w:rPr>
                <w:rFonts w:ascii="Arial" w:hAnsi="Arial" w:cs="Arial"/>
                <w:b/>
                <w:bCs/>
                <w:sz w:val="22"/>
                <w:szCs w:val="22"/>
              </w:rPr>
            </w:pPr>
            <w:r w:rsidRPr="00B31E2E">
              <w:rPr>
                <w:rFonts w:ascii="Arial" w:hAnsi="Arial" w:cs="Arial"/>
                <w:b/>
                <w:bCs/>
                <w:sz w:val="22"/>
                <w:szCs w:val="22"/>
              </w:rPr>
              <w:t xml:space="preserve">Model </w:t>
            </w:r>
          </w:p>
        </w:tc>
        <w:tc>
          <w:tcPr>
            <w:tcW w:w="0" w:type="auto"/>
            <w:gridSpan w:val="3"/>
            <w:tcBorders>
              <w:top w:val="nil"/>
              <w:left w:val="nil"/>
              <w:bottom w:val="single" w:sz="6" w:space="0" w:color="000000"/>
              <w:right w:val="nil"/>
            </w:tcBorders>
            <w:vAlign w:val="center"/>
            <w:hideMark/>
          </w:tcPr>
          <w:p w14:paraId="3718E845" w14:textId="77777777" w:rsidR="00B31E2E" w:rsidRPr="00B31E2E" w:rsidRDefault="00B31E2E">
            <w:pPr>
              <w:jc w:val="center"/>
              <w:rPr>
                <w:rFonts w:ascii="Arial" w:hAnsi="Arial" w:cs="Arial"/>
                <w:b/>
                <w:bCs/>
                <w:sz w:val="22"/>
                <w:szCs w:val="22"/>
              </w:rPr>
            </w:pPr>
          </w:p>
        </w:tc>
        <w:tc>
          <w:tcPr>
            <w:tcW w:w="0" w:type="auto"/>
            <w:gridSpan w:val="4"/>
            <w:tcBorders>
              <w:top w:val="nil"/>
              <w:left w:val="nil"/>
              <w:bottom w:val="single" w:sz="6" w:space="0" w:color="000000"/>
              <w:right w:val="nil"/>
            </w:tcBorders>
            <w:vAlign w:val="center"/>
            <w:hideMark/>
          </w:tcPr>
          <w:p w14:paraId="51936AD1" w14:textId="77777777" w:rsidR="00B31E2E" w:rsidRPr="00B31E2E" w:rsidRDefault="00B31E2E">
            <w:pPr>
              <w:jc w:val="center"/>
              <w:rPr>
                <w:rFonts w:ascii="Arial" w:hAnsi="Arial" w:cs="Arial"/>
                <w:b/>
                <w:bCs/>
                <w:sz w:val="22"/>
                <w:szCs w:val="22"/>
              </w:rPr>
            </w:pPr>
            <w:r w:rsidRPr="00B31E2E">
              <w:rPr>
                <w:rFonts w:ascii="Arial" w:hAnsi="Arial" w:cs="Arial"/>
                <w:b/>
                <w:bCs/>
                <w:sz w:val="22"/>
                <w:szCs w:val="22"/>
              </w:rPr>
              <w:t xml:space="preserve">Sum of Squares </w:t>
            </w:r>
          </w:p>
        </w:tc>
        <w:tc>
          <w:tcPr>
            <w:tcW w:w="0" w:type="auto"/>
            <w:gridSpan w:val="2"/>
            <w:tcBorders>
              <w:top w:val="nil"/>
              <w:left w:val="nil"/>
              <w:bottom w:val="single" w:sz="6" w:space="0" w:color="000000"/>
              <w:right w:val="nil"/>
            </w:tcBorders>
            <w:vAlign w:val="center"/>
            <w:hideMark/>
          </w:tcPr>
          <w:p w14:paraId="1F75C645" w14:textId="77777777" w:rsidR="00B31E2E" w:rsidRPr="00B31E2E" w:rsidRDefault="00B31E2E">
            <w:pPr>
              <w:jc w:val="center"/>
              <w:rPr>
                <w:rFonts w:ascii="Arial" w:hAnsi="Arial" w:cs="Arial"/>
                <w:b/>
                <w:bCs/>
                <w:sz w:val="22"/>
                <w:szCs w:val="22"/>
              </w:rPr>
            </w:pPr>
            <w:r w:rsidRPr="00B31E2E">
              <w:rPr>
                <w:rFonts w:ascii="Arial" w:hAnsi="Arial" w:cs="Arial"/>
                <w:b/>
                <w:bCs/>
                <w:sz w:val="22"/>
                <w:szCs w:val="22"/>
              </w:rPr>
              <w:t xml:space="preserve">df </w:t>
            </w:r>
          </w:p>
        </w:tc>
        <w:tc>
          <w:tcPr>
            <w:tcW w:w="0" w:type="auto"/>
            <w:gridSpan w:val="2"/>
            <w:tcBorders>
              <w:top w:val="nil"/>
              <w:left w:val="nil"/>
              <w:bottom w:val="single" w:sz="6" w:space="0" w:color="000000"/>
              <w:right w:val="nil"/>
            </w:tcBorders>
            <w:vAlign w:val="center"/>
            <w:hideMark/>
          </w:tcPr>
          <w:p w14:paraId="0443FF97" w14:textId="77777777" w:rsidR="00B31E2E" w:rsidRPr="00B31E2E" w:rsidRDefault="00B31E2E">
            <w:pPr>
              <w:jc w:val="center"/>
              <w:rPr>
                <w:rFonts w:ascii="Arial" w:hAnsi="Arial" w:cs="Arial"/>
                <w:b/>
                <w:bCs/>
                <w:sz w:val="22"/>
                <w:szCs w:val="22"/>
              </w:rPr>
            </w:pPr>
            <w:r w:rsidRPr="00B31E2E">
              <w:rPr>
                <w:rFonts w:ascii="Arial" w:hAnsi="Arial" w:cs="Arial"/>
                <w:b/>
                <w:bCs/>
                <w:sz w:val="22"/>
                <w:szCs w:val="22"/>
              </w:rPr>
              <w:t xml:space="preserve">Mean Square </w:t>
            </w:r>
          </w:p>
        </w:tc>
        <w:tc>
          <w:tcPr>
            <w:tcW w:w="0" w:type="auto"/>
            <w:gridSpan w:val="2"/>
            <w:tcBorders>
              <w:top w:val="nil"/>
              <w:left w:val="nil"/>
              <w:bottom w:val="single" w:sz="6" w:space="0" w:color="000000"/>
              <w:right w:val="nil"/>
            </w:tcBorders>
            <w:vAlign w:val="center"/>
            <w:hideMark/>
          </w:tcPr>
          <w:p w14:paraId="3FB0F203" w14:textId="77777777" w:rsidR="00B31E2E" w:rsidRPr="00B31E2E" w:rsidRDefault="00B31E2E">
            <w:pPr>
              <w:jc w:val="center"/>
              <w:rPr>
                <w:rFonts w:ascii="Arial" w:hAnsi="Arial" w:cs="Arial"/>
                <w:b/>
                <w:bCs/>
                <w:sz w:val="22"/>
                <w:szCs w:val="22"/>
              </w:rPr>
            </w:pPr>
            <w:r w:rsidRPr="00B31E2E">
              <w:rPr>
                <w:rFonts w:ascii="Arial" w:hAnsi="Arial" w:cs="Arial"/>
                <w:b/>
                <w:bCs/>
                <w:sz w:val="22"/>
                <w:szCs w:val="22"/>
              </w:rPr>
              <w:t xml:space="preserve">F </w:t>
            </w:r>
          </w:p>
        </w:tc>
        <w:tc>
          <w:tcPr>
            <w:tcW w:w="0" w:type="auto"/>
            <w:gridSpan w:val="2"/>
            <w:tcBorders>
              <w:top w:val="nil"/>
              <w:left w:val="nil"/>
              <w:bottom w:val="single" w:sz="6" w:space="0" w:color="000000"/>
              <w:right w:val="nil"/>
            </w:tcBorders>
            <w:vAlign w:val="center"/>
            <w:hideMark/>
          </w:tcPr>
          <w:p w14:paraId="024132BD" w14:textId="77777777" w:rsidR="00B31E2E" w:rsidRPr="00B31E2E" w:rsidRDefault="00B31E2E">
            <w:pPr>
              <w:jc w:val="center"/>
              <w:rPr>
                <w:rFonts w:ascii="Arial" w:hAnsi="Arial" w:cs="Arial"/>
                <w:b/>
                <w:bCs/>
                <w:sz w:val="22"/>
                <w:szCs w:val="22"/>
              </w:rPr>
            </w:pPr>
            <w:r w:rsidRPr="00B31E2E">
              <w:rPr>
                <w:rFonts w:ascii="Arial" w:hAnsi="Arial" w:cs="Arial"/>
                <w:b/>
                <w:bCs/>
                <w:sz w:val="22"/>
                <w:szCs w:val="22"/>
              </w:rPr>
              <w:t xml:space="preserve">p </w:t>
            </w:r>
          </w:p>
        </w:tc>
      </w:tr>
      <w:tr w:rsidR="00B31E2E" w:rsidRPr="00B31E2E" w14:paraId="0382C115" w14:textId="77777777" w:rsidTr="00B31E2E">
        <w:tc>
          <w:tcPr>
            <w:tcW w:w="0" w:type="auto"/>
            <w:tcBorders>
              <w:top w:val="nil"/>
              <w:left w:val="nil"/>
              <w:bottom w:val="nil"/>
              <w:right w:val="nil"/>
            </w:tcBorders>
            <w:vAlign w:val="center"/>
            <w:hideMark/>
          </w:tcPr>
          <w:p w14:paraId="42C139DE"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1 </w:t>
            </w:r>
          </w:p>
        </w:tc>
        <w:tc>
          <w:tcPr>
            <w:tcW w:w="0" w:type="auto"/>
            <w:tcBorders>
              <w:top w:val="nil"/>
              <w:left w:val="nil"/>
              <w:bottom w:val="nil"/>
              <w:right w:val="nil"/>
            </w:tcBorders>
            <w:vAlign w:val="center"/>
            <w:hideMark/>
          </w:tcPr>
          <w:p w14:paraId="09D5C9E6" w14:textId="77777777" w:rsidR="00B31E2E" w:rsidRPr="00B31E2E" w:rsidRDefault="00B31E2E">
            <w:pPr>
              <w:jc w:val="right"/>
              <w:rPr>
                <w:rFonts w:ascii="Arial" w:hAnsi="Arial" w:cs="Arial"/>
                <w:sz w:val="22"/>
                <w:szCs w:val="22"/>
              </w:rPr>
            </w:pPr>
          </w:p>
        </w:tc>
        <w:tc>
          <w:tcPr>
            <w:tcW w:w="0" w:type="auto"/>
            <w:gridSpan w:val="2"/>
            <w:tcBorders>
              <w:top w:val="nil"/>
              <w:left w:val="nil"/>
              <w:bottom w:val="nil"/>
              <w:right w:val="nil"/>
            </w:tcBorders>
            <w:vAlign w:val="center"/>
            <w:hideMark/>
          </w:tcPr>
          <w:p w14:paraId="69AF44A2" w14:textId="77777777" w:rsidR="00B31E2E" w:rsidRPr="00B31E2E" w:rsidRDefault="00B31E2E">
            <w:pPr>
              <w:rPr>
                <w:rFonts w:ascii="Arial" w:hAnsi="Arial" w:cs="Arial"/>
                <w:sz w:val="22"/>
                <w:szCs w:val="22"/>
              </w:rPr>
            </w:pPr>
            <w:r w:rsidRPr="00B31E2E">
              <w:rPr>
                <w:rFonts w:ascii="Arial" w:hAnsi="Arial" w:cs="Arial"/>
                <w:sz w:val="22"/>
                <w:szCs w:val="22"/>
              </w:rPr>
              <w:t xml:space="preserve">Regression </w:t>
            </w:r>
          </w:p>
        </w:tc>
        <w:tc>
          <w:tcPr>
            <w:tcW w:w="0" w:type="auto"/>
            <w:tcBorders>
              <w:top w:val="nil"/>
              <w:left w:val="nil"/>
              <w:bottom w:val="nil"/>
              <w:right w:val="nil"/>
            </w:tcBorders>
            <w:vAlign w:val="center"/>
            <w:hideMark/>
          </w:tcPr>
          <w:p w14:paraId="03E8F104" w14:textId="77777777" w:rsidR="00B31E2E" w:rsidRPr="00B31E2E" w:rsidRDefault="00B31E2E">
            <w:pPr>
              <w:rPr>
                <w:rFonts w:ascii="Arial" w:hAnsi="Arial" w:cs="Arial"/>
                <w:sz w:val="22"/>
                <w:szCs w:val="22"/>
              </w:rPr>
            </w:pPr>
          </w:p>
        </w:tc>
        <w:tc>
          <w:tcPr>
            <w:tcW w:w="0" w:type="auto"/>
            <w:gridSpan w:val="3"/>
            <w:tcBorders>
              <w:top w:val="nil"/>
              <w:left w:val="nil"/>
              <w:bottom w:val="nil"/>
              <w:right w:val="nil"/>
            </w:tcBorders>
            <w:vAlign w:val="center"/>
            <w:hideMark/>
          </w:tcPr>
          <w:p w14:paraId="1A72EB17"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1700.914 </w:t>
            </w:r>
          </w:p>
        </w:tc>
        <w:tc>
          <w:tcPr>
            <w:tcW w:w="0" w:type="auto"/>
            <w:tcBorders>
              <w:top w:val="nil"/>
              <w:left w:val="nil"/>
              <w:bottom w:val="nil"/>
              <w:right w:val="nil"/>
            </w:tcBorders>
            <w:vAlign w:val="center"/>
            <w:hideMark/>
          </w:tcPr>
          <w:p w14:paraId="45B19384"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487517B4"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1 </w:t>
            </w:r>
          </w:p>
        </w:tc>
        <w:tc>
          <w:tcPr>
            <w:tcW w:w="0" w:type="auto"/>
            <w:tcBorders>
              <w:top w:val="nil"/>
              <w:left w:val="nil"/>
              <w:bottom w:val="nil"/>
              <w:right w:val="nil"/>
            </w:tcBorders>
            <w:vAlign w:val="center"/>
            <w:hideMark/>
          </w:tcPr>
          <w:p w14:paraId="4F1B2BAE"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6067A380"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1700.914 </w:t>
            </w:r>
          </w:p>
        </w:tc>
        <w:tc>
          <w:tcPr>
            <w:tcW w:w="0" w:type="auto"/>
            <w:tcBorders>
              <w:top w:val="nil"/>
              <w:left w:val="nil"/>
              <w:bottom w:val="nil"/>
              <w:right w:val="nil"/>
            </w:tcBorders>
            <w:vAlign w:val="center"/>
            <w:hideMark/>
          </w:tcPr>
          <w:p w14:paraId="02F857EB"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0C5193DD"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6.766 </w:t>
            </w:r>
          </w:p>
        </w:tc>
        <w:tc>
          <w:tcPr>
            <w:tcW w:w="0" w:type="auto"/>
            <w:tcBorders>
              <w:top w:val="nil"/>
              <w:left w:val="nil"/>
              <w:bottom w:val="nil"/>
              <w:right w:val="nil"/>
            </w:tcBorders>
            <w:vAlign w:val="center"/>
            <w:hideMark/>
          </w:tcPr>
          <w:p w14:paraId="30A22F53"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58FE49CD"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0.010 </w:t>
            </w:r>
          </w:p>
        </w:tc>
        <w:tc>
          <w:tcPr>
            <w:tcW w:w="0" w:type="auto"/>
            <w:tcBorders>
              <w:top w:val="nil"/>
              <w:left w:val="nil"/>
              <w:bottom w:val="nil"/>
              <w:right w:val="nil"/>
            </w:tcBorders>
            <w:vAlign w:val="center"/>
            <w:hideMark/>
          </w:tcPr>
          <w:p w14:paraId="2E621314" w14:textId="77777777" w:rsidR="00B31E2E" w:rsidRPr="00B31E2E" w:rsidRDefault="00B31E2E">
            <w:pPr>
              <w:jc w:val="right"/>
              <w:rPr>
                <w:rFonts w:ascii="Arial" w:hAnsi="Arial" w:cs="Arial"/>
                <w:sz w:val="22"/>
                <w:szCs w:val="22"/>
              </w:rPr>
            </w:pPr>
          </w:p>
        </w:tc>
      </w:tr>
      <w:tr w:rsidR="00B31E2E" w:rsidRPr="00B31E2E" w14:paraId="1CFE0F09" w14:textId="77777777" w:rsidTr="00B31E2E">
        <w:tc>
          <w:tcPr>
            <w:tcW w:w="0" w:type="auto"/>
            <w:tcBorders>
              <w:top w:val="nil"/>
              <w:left w:val="nil"/>
              <w:bottom w:val="nil"/>
              <w:right w:val="nil"/>
            </w:tcBorders>
            <w:vAlign w:val="center"/>
            <w:hideMark/>
          </w:tcPr>
          <w:p w14:paraId="4A35FBCD" w14:textId="77777777" w:rsidR="00B31E2E" w:rsidRPr="00B31E2E" w:rsidRDefault="00B31E2E">
            <w:pPr>
              <w:rPr>
                <w:rFonts w:ascii="Arial" w:hAnsi="Arial" w:cs="Arial"/>
                <w:sz w:val="22"/>
                <w:szCs w:val="22"/>
              </w:rPr>
            </w:pPr>
          </w:p>
        </w:tc>
        <w:tc>
          <w:tcPr>
            <w:tcW w:w="0" w:type="auto"/>
            <w:tcBorders>
              <w:top w:val="nil"/>
              <w:left w:val="nil"/>
              <w:bottom w:val="nil"/>
              <w:right w:val="nil"/>
            </w:tcBorders>
            <w:vAlign w:val="center"/>
            <w:hideMark/>
          </w:tcPr>
          <w:p w14:paraId="1409B1A8" w14:textId="77777777" w:rsidR="00B31E2E" w:rsidRPr="00B31E2E" w:rsidRDefault="00B31E2E">
            <w:pPr>
              <w:jc w:val="right"/>
              <w:rPr>
                <w:rFonts w:ascii="Arial" w:hAnsi="Arial" w:cs="Arial"/>
                <w:sz w:val="22"/>
                <w:szCs w:val="22"/>
              </w:rPr>
            </w:pPr>
          </w:p>
        </w:tc>
        <w:tc>
          <w:tcPr>
            <w:tcW w:w="0" w:type="auto"/>
            <w:gridSpan w:val="2"/>
            <w:tcBorders>
              <w:top w:val="nil"/>
              <w:left w:val="nil"/>
              <w:bottom w:val="nil"/>
              <w:right w:val="nil"/>
            </w:tcBorders>
            <w:vAlign w:val="center"/>
            <w:hideMark/>
          </w:tcPr>
          <w:p w14:paraId="52F126C3" w14:textId="77777777" w:rsidR="00B31E2E" w:rsidRPr="00B31E2E" w:rsidRDefault="00B31E2E">
            <w:pPr>
              <w:rPr>
                <w:rFonts w:ascii="Arial" w:hAnsi="Arial" w:cs="Arial"/>
                <w:sz w:val="22"/>
                <w:szCs w:val="22"/>
              </w:rPr>
            </w:pPr>
            <w:r w:rsidRPr="00B31E2E">
              <w:rPr>
                <w:rFonts w:ascii="Arial" w:hAnsi="Arial" w:cs="Arial"/>
                <w:sz w:val="22"/>
                <w:szCs w:val="22"/>
              </w:rPr>
              <w:t xml:space="preserve">Residual </w:t>
            </w:r>
          </w:p>
        </w:tc>
        <w:tc>
          <w:tcPr>
            <w:tcW w:w="0" w:type="auto"/>
            <w:tcBorders>
              <w:top w:val="nil"/>
              <w:left w:val="nil"/>
              <w:bottom w:val="nil"/>
              <w:right w:val="nil"/>
            </w:tcBorders>
            <w:vAlign w:val="center"/>
            <w:hideMark/>
          </w:tcPr>
          <w:p w14:paraId="0868F18B" w14:textId="77777777" w:rsidR="00B31E2E" w:rsidRPr="00B31E2E" w:rsidRDefault="00B31E2E">
            <w:pPr>
              <w:rPr>
                <w:rFonts w:ascii="Arial" w:hAnsi="Arial" w:cs="Arial"/>
                <w:sz w:val="22"/>
                <w:szCs w:val="22"/>
              </w:rPr>
            </w:pPr>
          </w:p>
        </w:tc>
        <w:tc>
          <w:tcPr>
            <w:tcW w:w="0" w:type="auto"/>
            <w:gridSpan w:val="3"/>
            <w:tcBorders>
              <w:top w:val="nil"/>
              <w:left w:val="nil"/>
              <w:bottom w:val="nil"/>
              <w:right w:val="nil"/>
            </w:tcBorders>
            <w:vAlign w:val="center"/>
            <w:hideMark/>
          </w:tcPr>
          <w:p w14:paraId="3D0707C9"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49520.675 </w:t>
            </w:r>
          </w:p>
        </w:tc>
        <w:tc>
          <w:tcPr>
            <w:tcW w:w="0" w:type="auto"/>
            <w:tcBorders>
              <w:top w:val="nil"/>
              <w:left w:val="nil"/>
              <w:bottom w:val="nil"/>
              <w:right w:val="nil"/>
            </w:tcBorders>
            <w:vAlign w:val="center"/>
            <w:hideMark/>
          </w:tcPr>
          <w:p w14:paraId="51C27CE4"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2D3E0C9F"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197 </w:t>
            </w:r>
          </w:p>
        </w:tc>
        <w:tc>
          <w:tcPr>
            <w:tcW w:w="0" w:type="auto"/>
            <w:tcBorders>
              <w:top w:val="nil"/>
              <w:left w:val="nil"/>
              <w:bottom w:val="nil"/>
              <w:right w:val="nil"/>
            </w:tcBorders>
            <w:vAlign w:val="center"/>
            <w:hideMark/>
          </w:tcPr>
          <w:p w14:paraId="407708C7"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31988C0A"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251.374 </w:t>
            </w:r>
          </w:p>
        </w:tc>
        <w:tc>
          <w:tcPr>
            <w:tcW w:w="0" w:type="auto"/>
            <w:tcBorders>
              <w:top w:val="nil"/>
              <w:left w:val="nil"/>
              <w:bottom w:val="nil"/>
              <w:right w:val="nil"/>
            </w:tcBorders>
            <w:vAlign w:val="center"/>
            <w:hideMark/>
          </w:tcPr>
          <w:p w14:paraId="44413BFE"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15A74961" w14:textId="77777777" w:rsidR="00B31E2E" w:rsidRPr="00B31E2E" w:rsidRDefault="00B31E2E">
            <w:pPr>
              <w:rPr>
                <w:rFonts w:ascii="Arial" w:hAnsi="Arial" w:cs="Arial"/>
                <w:sz w:val="22"/>
                <w:szCs w:val="22"/>
              </w:rPr>
            </w:pPr>
          </w:p>
        </w:tc>
        <w:tc>
          <w:tcPr>
            <w:tcW w:w="0" w:type="auto"/>
            <w:tcBorders>
              <w:top w:val="nil"/>
              <w:left w:val="nil"/>
              <w:bottom w:val="nil"/>
              <w:right w:val="nil"/>
            </w:tcBorders>
            <w:vAlign w:val="center"/>
            <w:hideMark/>
          </w:tcPr>
          <w:p w14:paraId="4DB6DA5D"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7AE4109A"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  </w:t>
            </w:r>
          </w:p>
        </w:tc>
        <w:tc>
          <w:tcPr>
            <w:tcW w:w="0" w:type="auto"/>
            <w:tcBorders>
              <w:top w:val="nil"/>
              <w:left w:val="nil"/>
              <w:bottom w:val="nil"/>
              <w:right w:val="nil"/>
            </w:tcBorders>
            <w:vAlign w:val="center"/>
            <w:hideMark/>
          </w:tcPr>
          <w:p w14:paraId="1A5DD697" w14:textId="77777777" w:rsidR="00B31E2E" w:rsidRPr="00B31E2E" w:rsidRDefault="00B31E2E">
            <w:pPr>
              <w:jc w:val="right"/>
              <w:rPr>
                <w:rFonts w:ascii="Arial" w:hAnsi="Arial" w:cs="Arial"/>
                <w:sz w:val="22"/>
                <w:szCs w:val="22"/>
              </w:rPr>
            </w:pPr>
          </w:p>
        </w:tc>
      </w:tr>
      <w:tr w:rsidR="00B31E2E" w:rsidRPr="00B31E2E" w14:paraId="54ADDA88" w14:textId="77777777" w:rsidTr="00B31E2E">
        <w:tc>
          <w:tcPr>
            <w:tcW w:w="0" w:type="auto"/>
            <w:tcBorders>
              <w:top w:val="nil"/>
              <w:left w:val="nil"/>
              <w:bottom w:val="nil"/>
              <w:right w:val="nil"/>
            </w:tcBorders>
            <w:vAlign w:val="center"/>
            <w:hideMark/>
          </w:tcPr>
          <w:p w14:paraId="59939E3D" w14:textId="77777777" w:rsidR="00B31E2E" w:rsidRPr="00B31E2E" w:rsidRDefault="00B31E2E">
            <w:pPr>
              <w:rPr>
                <w:rFonts w:ascii="Arial" w:hAnsi="Arial" w:cs="Arial"/>
                <w:sz w:val="22"/>
                <w:szCs w:val="22"/>
              </w:rPr>
            </w:pPr>
          </w:p>
        </w:tc>
        <w:tc>
          <w:tcPr>
            <w:tcW w:w="0" w:type="auto"/>
            <w:tcBorders>
              <w:top w:val="nil"/>
              <w:left w:val="nil"/>
              <w:bottom w:val="nil"/>
              <w:right w:val="nil"/>
            </w:tcBorders>
            <w:vAlign w:val="center"/>
            <w:hideMark/>
          </w:tcPr>
          <w:p w14:paraId="0F2A7F6D" w14:textId="77777777" w:rsidR="00B31E2E" w:rsidRPr="00B31E2E" w:rsidRDefault="00B31E2E">
            <w:pPr>
              <w:jc w:val="right"/>
              <w:rPr>
                <w:rFonts w:ascii="Arial" w:hAnsi="Arial" w:cs="Arial"/>
                <w:sz w:val="22"/>
                <w:szCs w:val="22"/>
              </w:rPr>
            </w:pPr>
          </w:p>
        </w:tc>
        <w:tc>
          <w:tcPr>
            <w:tcW w:w="0" w:type="auto"/>
            <w:gridSpan w:val="2"/>
            <w:tcBorders>
              <w:top w:val="nil"/>
              <w:left w:val="nil"/>
              <w:bottom w:val="nil"/>
              <w:right w:val="nil"/>
            </w:tcBorders>
            <w:vAlign w:val="center"/>
            <w:hideMark/>
          </w:tcPr>
          <w:p w14:paraId="6C673656" w14:textId="77777777" w:rsidR="00B31E2E" w:rsidRPr="00B31E2E" w:rsidRDefault="00B31E2E">
            <w:pPr>
              <w:rPr>
                <w:rFonts w:ascii="Arial" w:hAnsi="Arial" w:cs="Arial"/>
                <w:sz w:val="22"/>
                <w:szCs w:val="22"/>
              </w:rPr>
            </w:pPr>
            <w:r w:rsidRPr="00B31E2E">
              <w:rPr>
                <w:rFonts w:ascii="Arial" w:hAnsi="Arial" w:cs="Arial"/>
                <w:sz w:val="22"/>
                <w:szCs w:val="22"/>
              </w:rPr>
              <w:t xml:space="preserve">Total </w:t>
            </w:r>
          </w:p>
        </w:tc>
        <w:tc>
          <w:tcPr>
            <w:tcW w:w="0" w:type="auto"/>
            <w:tcBorders>
              <w:top w:val="nil"/>
              <w:left w:val="nil"/>
              <w:bottom w:val="nil"/>
              <w:right w:val="nil"/>
            </w:tcBorders>
            <w:vAlign w:val="center"/>
            <w:hideMark/>
          </w:tcPr>
          <w:p w14:paraId="4E9C74DB" w14:textId="77777777" w:rsidR="00B31E2E" w:rsidRPr="00B31E2E" w:rsidRDefault="00B31E2E">
            <w:pPr>
              <w:rPr>
                <w:rFonts w:ascii="Arial" w:hAnsi="Arial" w:cs="Arial"/>
                <w:sz w:val="22"/>
                <w:szCs w:val="22"/>
              </w:rPr>
            </w:pPr>
          </w:p>
        </w:tc>
        <w:tc>
          <w:tcPr>
            <w:tcW w:w="0" w:type="auto"/>
            <w:gridSpan w:val="3"/>
            <w:tcBorders>
              <w:top w:val="nil"/>
              <w:left w:val="nil"/>
              <w:bottom w:val="nil"/>
              <w:right w:val="nil"/>
            </w:tcBorders>
            <w:vAlign w:val="center"/>
            <w:hideMark/>
          </w:tcPr>
          <w:p w14:paraId="633BD9E3"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51221.589 </w:t>
            </w:r>
          </w:p>
        </w:tc>
        <w:tc>
          <w:tcPr>
            <w:tcW w:w="0" w:type="auto"/>
            <w:tcBorders>
              <w:top w:val="nil"/>
              <w:left w:val="nil"/>
              <w:bottom w:val="nil"/>
              <w:right w:val="nil"/>
            </w:tcBorders>
            <w:vAlign w:val="center"/>
            <w:hideMark/>
          </w:tcPr>
          <w:p w14:paraId="0A22BBA0"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71849AA6"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198 </w:t>
            </w:r>
          </w:p>
        </w:tc>
        <w:tc>
          <w:tcPr>
            <w:tcW w:w="0" w:type="auto"/>
            <w:tcBorders>
              <w:top w:val="nil"/>
              <w:left w:val="nil"/>
              <w:bottom w:val="nil"/>
              <w:right w:val="nil"/>
            </w:tcBorders>
            <w:vAlign w:val="center"/>
            <w:hideMark/>
          </w:tcPr>
          <w:p w14:paraId="072DD4FC"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045072A2" w14:textId="77777777" w:rsidR="00B31E2E" w:rsidRPr="00B31E2E" w:rsidRDefault="00B31E2E">
            <w:pPr>
              <w:rPr>
                <w:rFonts w:ascii="Arial" w:hAnsi="Arial" w:cs="Arial"/>
                <w:sz w:val="22"/>
                <w:szCs w:val="22"/>
              </w:rPr>
            </w:pPr>
          </w:p>
        </w:tc>
        <w:tc>
          <w:tcPr>
            <w:tcW w:w="0" w:type="auto"/>
            <w:tcBorders>
              <w:top w:val="nil"/>
              <w:left w:val="nil"/>
              <w:bottom w:val="nil"/>
              <w:right w:val="nil"/>
            </w:tcBorders>
            <w:vAlign w:val="center"/>
            <w:hideMark/>
          </w:tcPr>
          <w:p w14:paraId="1D4A7557"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4C843ED4" w14:textId="77777777" w:rsidR="00B31E2E" w:rsidRPr="00B31E2E" w:rsidRDefault="00B31E2E">
            <w:pPr>
              <w:rPr>
                <w:rFonts w:ascii="Arial" w:hAnsi="Arial" w:cs="Arial"/>
                <w:sz w:val="22"/>
                <w:szCs w:val="22"/>
              </w:rPr>
            </w:pPr>
          </w:p>
        </w:tc>
        <w:tc>
          <w:tcPr>
            <w:tcW w:w="0" w:type="auto"/>
            <w:tcBorders>
              <w:top w:val="nil"/>
              <w:left w:val="nil"/>
              <w:bottom w:val="nil"/>
              <w:right w:val="nil"/>
            </w:tcBorders>
            <w:vAlign w:val="center"/>
            <w:hideMark/>
          </w:tcPr>
          <w:p w14:paraId="086B3C03"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14E9EF46"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  </w:t>
            </w:r>
          </w:p>
        </w:tc>
        <w:tc>
          <w:tcPr>
            <w:tcW w:w="0" w:type="auto"/>
            <w:tcBorders>
              <w:top w:val="nil"/>
              <w:left w:val="nil"/>
              <w:bottom w:val="nil"/>
              <w:right w:val="nil"/>
            </w:tcBorders>
            <w:vAlign w:val="center"/>
            <w:hideMark/>
          </w:tcPr>
          <w:p w14:paraId="6D8CFC09" w14:textId="77777777" w:rsidR="00B31E2E" w:rsidRPr="00B31E2E" w:rsidRDefault="00B31E2E">
            <w:pPr>
              <w:jc w:val="right"/>
              <w:rPr>
                <w:rFonts w:ascii="Arial" w:hAnsi="Arial" w:cs="Arial"/>
                <w:sz w:val="22"/>
                <w:szCs w:val="22"/>
              </w:rPr>
            </w:pPr>
          </w:p>
        </w:tc>
      </w:tr>
      <w:tr w:rsidR="00B31E2E" w:rsidRPr="00B31E2E" w14:paraId="62E989B6" w14:textId="77777777" w:rsidTr="00B31E2E">
        <w:tc>
          <w:tcPr>
            <w:tcW w:w="0" w:type="auto"/>
            <w:gridSpan w:val="17"/>
            <w:tcBorders>
              <w:top w:val="nil"/>
              <w:left w:val="nil"/>
              <w:bottom w:val="single" w:sz="12" w:space="0" w:color="000000"/>
              <w:right w:val="nil"/>
            </w:tcBorders>
            <w:vAlign w:val="center"/>
            <w:hideMark/>
          </w:tcPr>
          <w:p w14:paraId="2CA57796" w14:textId="77777777" w:rsidR="00B31E2E" w:rsidRPr="00B31E2E" w:rsidRDefault="00B31E2E">
            <w:pPr>
              <w:rPr>
                <w:rFonts w:ascii="Arial" w:hAnsi="Arial" w:cs="Arial"/>
                <w:sz w:val="22"/>
                <w:szCs w:val="22"/>
              </w:rPr>
            </w:pPr>
          </w:p>
        </w:tc>
      </w:tr>
    </w:tbl>
    <w:p w14:paraId="3454EB40" w14:textId="77777777" w:rsidR="00B31E2E" w:rsidRPr="00B31E2E" w:rsidRDefault="00B31E2E" w:rsidP="00B31E2E">
      <w:pPr>
        <w:rPr>
          <w:rFonts w:ascii="Arial" w:hAnsi="Arial" w:cs="Arial"/>
          <w:vanish/>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539"/>
        <w:gridCol w:w="127"/>
        <w:gridCol w:w="1033"/>
        <w:gridCol w:w="36"/>
        <w:gridCol w:w="1599"/>
        <w:gridCol w:w="82"/>
        <w:gridCol w:w="1491"/>
        <w:gridCol w:w="92"/>
        <w:gridCol w:w="1330"/>
        <w:gridCol w:w="82"/>
        <w:gridCol w:w="703"/>
        <w:gridCol w:w="36"/>
        <w:gridCol w:w="648"/>
        <w:gridCol w:w="36"/>
      </w:tblGrid>
      <w:tr w:rsidR="00B31E2E" w:rsidRPr="00B31E2E" w14:paraId="646AF10D" w14:textId="77777777" w:rsidTr="00B31E2E">
        <w:trPr>
          <w:tblHeader/>
        </w:trPr>
        <w:tc>
          <w:tcPr>
            <w:tcW w:w="0" w:type="auto"/>
            <w:gridSpan w:val="14"/>
            <w:tcBorders>
              <w:top w:val="nil"/>
              <w:left w:val="nil"/>
              <w:bottom w:val="single" w:sz="6" w:space="0" w:color="000000"/>
              <w:right w:val="nil"/>
            </w:tcBorders>
            <w:vAlign w:val="center"/>
            <w:hideMark/>
          </w:tcPr>
          <w:p w14:paraId="38D1D1D0" w14:textId="77777777" w:rsidR="00B31E2E" w:rsidRPr="00B31E2E" w:rsidRDefault="00B31E2E">
            <w:pPr>
              <w:divId w:val="1997415022"/>
              <w:rPr>
                <w:rFonts w:ascii="Arial" w:hAnsi="Arial" w:cs="Arial"/>
                <w:b/>
                <w:bCs/>
                <w:sz w:val="22"/>
                <w:szCs w:val="22"/>
              </w:rPr>
            </w:pPr>
            <w:r w:rsidRPr="00B31E2E">
              <w:rPr>
                <w:rFonts w:ascii="Arial" w:hAnsi="Arial" w:cs="Arial"/>
                <w:b/>
                <w:bCs/>
                <w:sz w:val="22"/>
                <w:szCs w:val="22"/>
              </w:rPr>
              <w:t xml:space="preserve">Coefficients </w:t>
            </w:r>
          </w:p>
        </w:tc>
      </w:tr>
      <w:tr w:rsidR="00B31E2E" w:rsidRPr="00B31E2E" w14:paraId="228139C0" w14:textId="77777777" w:rsidTr="00B31E2E">
        <w:trPr>
          <w:tblHeader/>
        </w:trPr>
        <w:tc>
          <w:tcPr>
            <w:tcW w:w="0" w:type="auto"/>
            <w:gridSpan w:val="2"/>
            <w:tcBorders>
              <w:top w:val="nil"/>
              <w:left w:val="nil"/>
              <w:bottom w:val="single" w:sz="6" w:space="0" w:color="000000"/>
              <w:right w:val="nil"/>
            </w:tcBorders>
            <w:vAlign w:val="center"/>
            <w:hideMark/>
          </w:tcPr>
          <w:p w14:paraId="75AE6D6A" w14:textId="77777777" w:rsidR="00B31E2E" w:rsidRPr="00B31E2E" w:rsidRDefault="00B31E2E">
            <w:pPr>
              <w:jc w:val="center"/>
              <w:rPr>
                <w:rFonts w:ascii="Arial" w:hAnsi="Arial" w:cs="Arial"/>
                <w:b/>
                <w:bCs/>
                <w:sz w:val="22"/>
                <w:szCs w:val="22"/>
              </w:rPr>
            </w:pPr>
            <w:r w:rsidRPr="00B31E2E">
              <w:rPr>
                <w:rFonts w:ascii="Arial" w:hAnsi="Arial" w:cs="Arial"/>
                <w:b/>
                <w:bCs/>
                <w:sz w:val="22"/>
                <w:szCs w:val="22"/>
              </w:rPr>
              <w:t xml:space="preserve">Model </w:t>
            </w:r>
          </w:p>
        </w:tc>
        <w:tc>
          <w:tcPr>
            <w:tcW w:w="0" w:type="auto"/>
            <w:gridSpan w:val="2"/>
            <w:tcBorders>
              <w:top w:val="nil"/>
              <w:left w:val="nil"/>
              <w:bottom w:val="single" w:sz="6" w:space="0" w:color="000000"/>
              <w:right w:val="nil"/>
            </w:tcBorders>
            <w:vAlign w:val="center"/>
            <w:hideMark/>
          </w:tcPr>
          <w:p w14:paraId="3FA878B7" w14:textId="77777777" w:rsidR="00B31E2E" w:rsidRPr="00B31E2E" w:rsidRDefault="00B31E2E">
            <w:pPr>
              <w:jc w:val="center"/>
              <w:rPr>
                <w:rFonts w:ascii="Arial" w:hAnsi="Arial" w:cs="Arial"/>
                <w:b/>
                <w:bCs/>
                <w:sz w:val="22"/>
                <w:szCs w:val="22"/>
              </w:rPr>
            </w:pPr>
          </w:p>
        </w:tc>
        <w:tc>
          <w:tcPr>
            <w:tcW w:w="0" w:type="auto"/>
            <w:gridSpan w:val="2"/>
            <w:tcBorders>
              <w:top w:val="nil"/>
              <w:left w:val="nil"/>
              <w:bottom w:val="single" w:sz="6" w:space="0" w:color="000000"/>
              <w:right w:val="nil"/>
            </w:tcBorders>
            <w:vAlign w:val="center"/>
            <w:hideMark/>
          </w:tcPr>
          <w:p w14:paraId="3D2BCC0A" w14:textId="77777777" w:rsidR="00B31E2E" w:rsidRPr="00B31E2E" w:rsidRDefault="00B31E2E">
            <w:pPr>
              <w:jc w:val="center"/>
              <w:rPr>
                <w:rFonts w:ascii="Arial" w:hAnsi="Arial" w:cs="Arial"/>
                <w:b/>
                <w:bCs/>
                <w:sz w:val="22"/>
                <w:szCs w:val="22"/>
              </w:rPr>
            </w:pPr>
            <w:r w:rsidRPr="00B31E2E">
              <w:rPr>
                <w:rFonts w:ascii="Arial" w:hAnsi="Arial" w:cs="Arial"/>
                <w:b/>
                <w:bCs/>
                <w:sz w:val="22"/>
                <w:szCs w:val="22"/>
              </w:rPr>
              <w:t xml:space="preserve">Unstandardized </w:t>
            </w:r>
          </w:p>
        </w:tc>
        <w:tc>
          <w:tcPr>
            <w:tcW w:w="0" w:type="auto"/>
            <w:gridSpan w:val="2"/>
            <w:tcBorders>
              <w:top w:val="nil"/>
              <w:left w:val="nil"/>
              <w:bottom w:val="single" w:sz="6" w:space="0" w:color="000000"/>
              <w:right w:val="nil"/>
            </w:tcBorders>
            <w:vAlign w:val="center"/>
            <w:hideMark/>
          </w:tcPr>
          <w:p w14:paraId="543F6104" w14:textId="77777777" w:rsidR="00B31E2E" w:rsidRPr="00B31E2E" w:rsidRDefault="00B31E2E">
            <w:pPr>
              <w:jc w:val="center"/>
              <w:rPr>
                <w:rFonts w:ascii="Arial" w:hAnsi="Arial" w:cs="Arial"/>
                <w:b/>
                <w:bCs/>
                <w:sz w:val="22"/>
                <w:szCs w:val="22"/>
              </w:rPr>
            </w:pPr>
            <w:r w:rsidRPr="00B31E2E">
              <w:rPr>
                <w:rFonts w:ascii="Arial" w:hAnsi="Arial" w:cs="Arial"/>
                <w:b/>
                <w:bCs/>
                <w:sz w:val="22"/>
                <w:szCs w:val="22"/>
              </w:rPr>
              <w:t xml:space="preserve">Standard Error </w:t>
            </w:r>
          </w:p>
        </w:tc>
        <w:tc>
          <w:tcPr>
            <w:tcW w:w="0" w:type="auto"/>
            <w:gridSpan w:val="2"/>
            <w:tcBorders>
              <w:top w:val="nil"/>
              <w:left w:val="nil"/>
              <w:bottom w:val="single" w:sz="6" w:space="0" w:color="000000"/>
              <w:right w:val="nil"/>
            </w:tcBorders>
            <w:vAlign w:val="center"/>
            <w:hideMark/>
          </w:tcPr>
          <w:p w14:paraId="1E79B7F0" w14:textId="77777777" w:rsidR="00B31E2E" w:rsidRPr="00B31E2E" w:rsidRDefault="00B31E2E">
            <w:pPr>
              <w:jc w:val="center"/>
              <w:rPr>
                <w:rFonts w:ascii="Arial" w:hAnsi="Arial" w:cs="Arial"/>
                <w:b/>
                <w:bCs/>
                <w:sz w:val="22"/>
                <w:szCs w:val="22"/>
              </w:rPr>
            </w:pPr>
            <w:r w:rsidRPr="00B31E2E">
              <w:rPr>
                <w:rFonts w:ascii="Arial" w:hAnsi="Arial" w:cs="Arial"/>
                <w:b/>
                <w:bCs/>
                <w:sz w:val="22"/>
                <w:szCs w:val="22"/>
              </w:rPr>
              <w:t xml:space="preserve">Standardized </w:t>
            </w:r>
          </w:p>
        </w:tc>
        <w:tc>
          <w:tcPr>
            <w:tcW w:w="0" w:type="auto"/>
            <w:gridSpan w:val="2"/>
            <w:tcBorders>
              <w:top w:val="nil"/>
              <w:left w:val="nil"/>
              <w:bottom w:val="single" w:sz="6" w:space="0" w:color="000000"/>
              <w:right w:val="nil"/>
            </w:tcBorders>
            <w:vAlign w:val="center"/>
            <w:hideMark/>
          </w:tcPr>
          <w:p w14:paraId="3E9231BA" w14:textId="77777777" w:rsidR="00B31E2E" w:rsidRPr="00B31E2E" w:rsidRDefault="00B31E2E">
            <w:pPr>
              <w:jc w:val="center"/>
              <w:rPr>
                <w:rFonts w:ascii="Arial" w:hAnsi="Arial" w:cs="Arial"/>
                <w:b/>
                <w:bCs/>
                <w:sz w:val="22"/>
                <w:szCs w:val="22"/>
              </w:rPr>
            </w:pPr>
            <w:r w:rsidRPr="00B31E2E">
              <w:rPr>
                <w:rFonts w:ascii="Arial" w:hAnsi="Arial" w:cs="Arial"/>
                <w:b/>
                <w:bCs/>
                <w:sz w:val="22"/>
                <w:szCs w:val="22"/>
              </w:rPr>
              <w:t xml:space="preserve">t </w:t>
            </w:r>
          </w:p>
        </w:tc>
        <w:tc>
          <w:tcPr>
            <w:tcW w:w="0" w:type="auto"/>
            <w:gridSpan w:val="2"/>
            <w:tcBorders>
              <w:top w:val="nil"/>
              <w:left w:val="nil"/>
              <w:bottom w:val="single" w:sz="6" w:space="0" w:color="000000"/>
              <w:right w:val="nil"/>
            </w:tcBorders>
            <w:vAlign w:val="center"/>
            <w:hideMark/>
          </w:tcPr>
          <w:p w14:paraId="098A879D" w14:textId="77777777" w:rsidR="00B31E2E" w:rsidRPr="00B31E2E" w:rsidRDefault="00B31E2E">
            <w:pPr>
              <w:jc w:val="center"/>
              <w:rPr>
                <w:rFonts w:ascii="Arial" w:hAnsi="Arial" w:cs="Arial"/>
                <w:b/>
                <w:bCs/>
                <w:sz w:val="22"/>
                <w:szCs w:val="22"/>
              </w:rPr>
            </w:pPr>
            <w:r w:rsidRPr="00B31E2E">
              <w:rPr>
                <w:rFonts w:ascii="Arial" w:hAnsi="Arial" w:cs="Arial"/>
                <w:b/>
                <w:bCs/>
                <w:sz w:val="22"/>
                <w:szCs w:val="22"/>
              </w:rPr>
              <w:t xml:space="preserve">p </w:t>
            </w:r>
          </w:p>
        </w:tc>
      </w:tr>
      <w:tr w:rsidR="00B31E2E" w:rsidRPr="00B31E2E" w14:paraId="07756894" w14:textId="77777777" w:rsidTr="00B31E2E">
        <w:tc>
          <w:tcPr>
            <w:tcW w:w="0" w:type="auto"/>
            <w:tcBorders>
              <w:top w:val="nil"/>
              <w:left w:val="nil"/>
              <w:bottom w:val="nil"/>
              <w:right w:val="nil"/>
            </w:tcBorders>
            <w:vAlign w:val="center"/>
            <w:hideMark/>
          </w:tcPr>
          <w:p w14:paraId="52913891"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1 </w:t>
            </w:r>
          </w:p>
        </w:tc>
        <w:tc>
          <w:tcPr>
            <w:tcW w:w="0" w:type="auto"/>
            <w:tcBorders>
              <w:top w:val="nil"/>
              <w:left w:val="nil"/>
              <w:bottom w:val="nil"/>
              <w:right w:val="nil"/>
            </w:tcBorders>
            <w:vAlign w:val="center"/>
            <w:hideMark/>
          </w:tcPr>
          <w:p w14:paraId="2833E6E6"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6A2DBF52" w14:textId="77777777" w:rsidR="00B31E2E" w:rsidRPr="00B31E2E" w:rsidRDefault="00B31E2E">
            <w:pPr>
              <w:rPr>
                <w:rFonts w:ascii="Arial" w:hAnsi="Arial" w:cs="Arial"/>
                <w:sz w:val="22"/>
                <w:szCs w:val="22"/>
              </w:rPr>
            </w:pPr>
            <w:r w:rsidRPr="00B31E2E">
              <w:rPr>
                <w:rFonts w:ascii="Arial" w:hAnsi="Arial" w:cs="Arial"/>
                <w:sz w:val="22"/>
                <w:szCs w:val="22"/>
              </w:rPr>
              <w:t xml:space="preserve">(Intercept) </w:t>
            </w:r>
          </w:p>
        </w:tc>
        <w:tc>
          <w:tcPr>
            <w:tcW w:w="0" w:type="auto"/>
            <w:tcBorders>
              <w:top w:val="nil"/>
              <w:left w:val="nil"/>
              <w:bottom w:val="nil"/>
              <w:right w:val="nil"/>
            </w:tcBorders>
            <w:vAlign w:val="center"/>
            <w:hideMark/>
          </w:tcPr>
          <w:p w14:paraId="7811AEB6" w14:textId="77777777" w:rsidR="00B31E2E" w:rsidRPr="00B31E2E" w:rsidRDefault="00B31E2E">
            <w:pPr>
              <w:rPr>
                <w:rFonts w:ascii="Arial" w:hAnsi="Arial" w:cs="Arial"/>
                <w:sz w:val="22"/>
                <w:szCs w:val="22"/>
              </w:rPr>
            </w:pPr>
          </w:p>
        </w:tc>
        <w:tc>
          <w:tcPr>
            <w:tcW w:w="0" w:type="auto"/>
            <w:tcBorders>
              <w:top w:val="nil"/>
              <w:left w:val="nil"/>
              <w:bottom w:val="nil"/>
              <w:right w:val="nil"/>
            </w:tcBorders>
            <w:vAlign w:val="center"/>
            <w:hideMark/>
          </w:tcPr>
          <w:p w14:paraId="59687AF8"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55.909 </w:t>
            </w:r>
          </w:p>
        </w:tc>
        <w:tc>
          <w:tcPr>
            <w:tcW w:w="0" w:type="auto"/>
            <w:tcBorders>
              <w:top w:val="nil"/>
              <w:left w:val="nil"/>
              <w:bottom w:val="nil"/>
              <w:right w:val="nil"/>
            </w:tcBorders>
            <w:vAlign w:val="center"/>
            <w:hideMark/>
          </w:tcPr>
          <w:p w14:paraId="184269DE"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46E42118"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2.945 </w:t>
            </w:r>
          </w:p>
        </w:tc>
        <w:tc>
          <w:tcPr>
            <w:tcW w:w="0" w:type="auto"/>
            <w:tcBorders>
              <w:top w:val="nil"/>
              <w:left w:val="nil"/>
              <w:bottom w:val="nil"/>
              <w:right w:val="nil"/>
            </w:tcBorders>
            <w:vAlign w:val="center"/>
            <w:hideMark/>
          </w:tcPr>
          <w:p w14:paraId="38D67F71"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17E3F735" w14:textId="77777777" w:rsidR="00B31E2E" w:rsidRPr="00B31E2E" w:rsidRDefault="00B31E2E">
            <w:pPr>
              <w:rPr>
                <w:rFonts w:ascii="Arial" w:hAnsi="Arial" w:cs="Arial"/>
                <w:sz w:val="22"/>
                <w:szCs w:val="22"/>
              </w:rPr>
            </w:pPr>
          </w:p>
        </w:tc>
        <w:tc>
          <w:tcPr>
            <w:tcW w:w="0" w:type="auto"/>
            <w:tcBorders>
              <w:top w:val="nil"/>
              <w:left w:val="nil"/>
              <w:bottom w:val="nil"/>
              <w:right w:val="nil"/>
            </w:tcBorders>
            <w:vAlign w:val="center"/>
            <w:hideMark/>
          </w:tcPr>
          <w:p w14:paraId="1F8F67F9"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5B948C61"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18.986 </w:t>
            </w:r>
          </w:p>
        </w:tc>
        <w:tc>
          <w:tcPr>
            <w:tcW w:w="0" w:type="auto"/>
            <w:tcBorders>
              <w:top w:val="nil"/>
              <w:left w:val="nil"/>
              <w:bottom w:val="nil"/>
              <w:right w:val="nil"/>
            </w:tcBorders>
            <w:vAlign w:val="center"/>
            <w:hideMark/>
          </w:tcPr>
          <w:p w14:paraId="6CDA45AB"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0CAFA88F"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&lt; .001 </w:t>
            </w:r>
          </w:p>
        </w:tc>
        <w:tc>
          <w:tcPr>
            <w:tcW w:w="0" w:type="auto"/>
            <w:tcBorders>
              <w:top w:val="nil"/>
              <w:left w:val="nil"/>
              <w:bottom w:val="nil"/>
              <w:right w:val="nil"/>
            </w:tcBorders>
            <w:vAlign w:val="center"/>
            <w:hideMark/>
          </w:tcPr>
          <w:p w14:paraId="49E23E1B" w14:textId="77777777" w:rsidR="00B31E2E" w:rsidRPr="00B31E2E" w:rsidRDefault="00B31E2E">
            <w:pPr>
              <w:jc w:val="right"/>
              <w:rPr>
                <w:rFonts w:ascii="Arial" w:hAnsi="Arial" w:cs="Arial"/>
                <w:sz w:val="22"/>
                <w:szCs w:val="22"/>
              </w:rPr>
            </w:pPr>
          </w:p>
        </w:tc>
      </w:tr>
      <w:tr w:rsidR="00B31E2E" w:rsidRPr="00B31E2E" w14:paraId="74E0966B" w14:textId="77777777" w:rsidTr="00B31E2E">
        <w:tc>
          <w:tcPr>
            <w:tcW w:w="0" w:type="auto"/>
            <w:tcBorders>
              <w:top w:val="nil"/>
              <w:left w:val="nil"/>
              <w:bottom w:val="nil"/>
              <w:right w:val="nil"/>
            </w:tcBorders>
            <w:vAlign w:val="center"/>
            <w:hideMark/>
          </w:tcPr>
          <w:p w14:paraId="3E39B648" w14:textId="77777777" w:rsidR="00B31E2E" w:rsidRPr="00B31E2E" w:rsidRDefault="00B31E2E">
            <w:pPr>
              <w:rPr>
                <w:rFonts w:ascii="Arial" w:hAnsi="Arial" w:cs="Arial"/>
                <w:sz w:val="22"/>
                <w:szCs w:val="22"/>
              </w:rPr>
            </w:pPr>
          </w:p>
        </w:tc>
        <w:tc>
          <w:tcPr>
            <w:tcW w:w="0" w:type="auto"/>
            <w:tcBorders>
              <w:top w:val="nil"/>
              <w:left w:val="nil"/>
              <w:bottom w:val="nil"/>
              <w:right w:val="nil"/>
            </w:tcBorders>
            <w:vAlign w:val="center"/>
            <w:hideMark/>
          </w:tcPr>
          <w:p w14:paraId="4712AAB1"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322B2D88" w14:textId="77777777" w:rsidR="00B31E2E" w:rsidRPr="00B31E2E" w:rsidRDefault="00B31E2E">
            <w:pPr>
              <w:rPr>
                <w:rFonts w:ascii="Arial" w:hAnsi="Arial" w:cs="Arial"/>
                <w:sz w:val="22"/>
                <w:szCs w:val="22"/>
              </w:rPr>
            </w:pPr>
            <w:r w:rsidRPr="00B31E2E">
              <w:rPr>
                <w:rFonts w:ascii="Arial" w:hAnsi="Arial" w:cs="Arial"/>
                <w:sz w:val="22"/>
                <w:szCs w:val="22"/>
              </w:rPr>
              <w:t xml:space="preserve">A </w:t>
            </w:r>
          </w:p>
        </w:tc>
        <w:tc>
          <w:tcPr>
            <w:tcW w:w="0" w:type="auto"/>
            <w:tcBorders>
              <w:top w:val="nil"/>
              <w:left w:val="nil"/>
              <w:bottom w:val="nil"/>
              <w:right w:val="nil"/>
            </w:tcBorders>
            <w:vAlign w:val="center"/>
            <w:hideMark/>
          </w:tcPr>
          <w:p w14:paraId="3D7E7D18" w14:textId="77777777" w:rsidR="00B31E2E" w:rsidRPr="00B31E2E" w:rsidRDefault="00B31E2E">
            <w:pPr>
              <w:rPr>
                <w:rFonts w:ascii="Arial" w:hAnsi="Arial" w:cs="Arial"/>
                <w:sz w:val="22"/>
                <w:szCs w:val="22"/>
              </w:rPr>
            </w:pPr>
          </w:p>
        </w:tc>
        <w:tc>
          <w:tcPr>
            <w:tcW w:w="0" w:type="auto"/>
            <w:tcBorders>
              <w:top w:val="nil"/>
              <w:left w:val="nil"/>
              <w:bottom w:val="nil"/>
              <w:right w:val="nil"/>
            </w:tcBorders>
            <w:vAlign w:val="center"/>
            <w:hideMark/>
          </w:tcPr>
          <w:p w14:paraId="3891CE85"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2.741 </w:t>
            </w:r>
          </w:p>
        </w:tc>
        <w:tc>
          <w:tcPr>
            <w:tcW w:w="0" w:type="auto"/>
            <w:tcBorders>
              <w:top w:val="nil"/>
              <w:left w:val="nil"/>
              <w:bottom w:val="nil"/>
              <w:right w:val="nil"/>
            </w:tcBorders>
            <w:vAlign w:val="center"/>
            <w:hideMark/>
          </w:tcPr>
          <w:p w14:paraId="4CACA520"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16478A2E"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1.054 </w:t>
            </w:r>
          </w:p>
        </w:tc>
        <w:tc>
          <w:tcPr>
            <w:tcW w:w="0" w:type="auto"/>
            <w:tcBorders>
              <w:top w:val="nil"/>
              <w:left w:val="nil"/>
              <w:bottom w:val="nil"/>
              <w:right w:val="nil"/>
            </w:tcBorders>
            <w:vAlign w:val="center"/>
            <w:hideMark/>
          </w:tcPr>
          <w:p w14:paraId="518CBA1C"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1ECCB53E"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0.182 </w:t>
            </w:r>
          </w:p>
        </w:tc>
        <w:tc>
          <w:tcPr>
            <w:tcW w:w="0" w:type="auto"/>
            <w:tcBorders>
              <w:top w:val="nil"/>
              <w:left w:val="nil"/>
              <w:bottom w:val="nil"/>
              <w:right w:val="nil"/>
            </w:tcBorders>
            <w:vAlign w:val="center"/>
            <w:hideMark/>
          </w:tcPr>
          <w:p w14:paraId="2E51C2AC"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11A60E57"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2.601 </w:t>
            </w:r>
          </w:p>
        </w:tc>
        <w:tc>
          <w:tcPr>
            <w:tcW w:w="0" w:type="auto"/>
            <w:tcBorders>
              <w:top w:val="nil"/>
              <w:left w:val="nil"/>
              <w:bottom w:val="nil"/>
              <w:right w:val="nil"/>
            </w:tcBorders>
            <w:vAlign w:val="center"/>
            <w:hideMark/>
          </w:tcPr>
          <w:p w14:paraId="2A80C885" w14:textId="77777777" w:rsidR="00B31E2E" w:rsidRPr="00B31E2E" w:rsidRDefault="00B31E2E">
            <w:pPr>
              <w:jc w:val="right"/>
              <w:rPr>
                <w:rFonts w:ascii="Arial" w:hAnsi="Arial" w:cs="Arial"/>
                <w:sz w:val="22"/>
                <w:szCs w:val="22"/>
              </w:rPr>
            </w:pPr>
          </w:p>
        </w:tc>
        <w:tc>
          <w:tcPr>
            <w:tcW w:w="0" w:type="auto"/>
            <w:tcBorders>
              <w:top w:val="nil"/>
              <w:left w:val="nil"/>
              <w:bottom w:val="nil"/>
              <w:right w:val="nil"/>
            </w:tcBorders>
            <w:vAlign w:val="center"/>
            <w:hideMark/>
          </w:tcPr>
          <w:p w14:paraId="2999508A" w14:textId="77777777" w:rsidR="00B31E2E" w:rsidRPr="00B31E2E" w:rsidRDefault="00B31E2E">
            <w:pPr>
              <w:jc w:val="right"/>
              <w:rPr>
                <w:rFonts w:ascii="Arial" w:hAnsi="Arial" w:cs="Arial"/>
                <w:sz w:val="22"/>
                <w:szCs w:val="22"/>
              </w:rPr>
            </w:pPr>
            <w:r w:rsidRPr="00B31E2E">
              <w:rPr>
                <w:rFonts w:ascii="Arial" w:hAnsi="Arial" w:cs="Arial"/>
                <w:sz w:val="22"/>
                <w:szCs w:val="22"/>
              </w:rPr>
              <w:t xml:space="preserve">0.010 </w:t>
            </w:r>
          </w:p>
        </w:tc>
        <w:tc>
          <w:tcPr>
            <w:tcW w:w="0" w:type="auto"/>
            <w:tcBorders>
              <w:top w:val="nil"/>
              <w:left w:val="nil"/>
              <w:bottom w:val="nil"/>
              <w:right w:val="nil"/>
            </w:tcBorders>
            <w:vAlign w:val="center"/>
            <w:hideMark/>
          </w:tcPr>
          <w:p w14:paraId="79B376C7" w14:textId="77777777" w:rsidR="00B31E2E" w:rsidRPr="00B31E2E" w:rsidRDefault="00B31E2E">
            <w:pPr>
              <w:jc w:val="right"/>
              <w:rPr>
                <w:rFonts w:ascii="Arial" w:hAnsi="Arial" w:cs="Arial"/>
                <w:sz w:val="22"/>
                <w:szCs w:val="22"/>
              </w:rPr>
            </w:pPr>
          </w:p>
        </w:tc>
      </w:tr>
      <w:tr w:rsidR="00B31E2E" w:rsidRPr="00B31E2E" w14:paraId="3E98D195" w14:textId="77777777" w:rsidTr="00B31E2E">
        <w:tc>
          <w:tcPr>
            <w:tcW w:w="0" w:type="auto"/>
            <w:gridSpan w:val="14"/>
            <w:tcBorders>
              <w:top w:val="nil"/>
              <w:left w:val="nil"/>
              <w:bottom w:val="single" w:sz="12" w:space="0" w:color="000000"/>
              <w:right w:val="nil"/>
            </w:tcBorders>
            <w:vAlign w:val="center"/>
            <w:hideMark/>
          </w:tcPr>
          <w:p w14:paraId="66F776E3" w14:textId="77777777" w:rsidR="00B31E2E" w:rsidRPr="00B31E2E" w:rsidRDefault="00B31E2E">
            <w:pPr>
              <w:rPr>
                <w:rFonts w:ascii="Arial" w:hAnsi="Arial" w:cs="Arial"/>
                <w:sz w:val="22"/>
                <w:szCs w:val="22"/>
              </w:rPr>
            </w:pPr>
          </w:p>
        </w:tc>
      </w:tr>
    </w:tbl>
    <w:p w14:paraId="6E75BF42" w14:textId="77777777" w:rsidR="00B31E2E" w:rsidRPr="00B31E2E" w:rsidRDefault="00B31E2E" w:rsidP="007F596B">
      <w:pPr>
        <w:rPr>
          <w:rFonts w:ascii="Arial" w:hAnsi="Arial" w:cs="Arial"/>
          <w:sz w:val="22"/>
          <w:szCs w:val="22"/>
        </w:rPr>
      </w:pPr>
    </w:p>
    <w:p w14:paraId="709192B1" w14:textId="0A6B0C77" w:rsidR="00B31E2E" w:rsidRDefault="00B31E2E" w:rsidP="007F596B">
      <w:pPr>
        <w:rPr>
          <w:rFonts w:ascii="Arial" w:hAnsi="Arial" w:cs="Arial"/>
          <w:sz w:val="22"/>
          <w:szCs w:val="22"/>
        </w:rPr>
      </w:pPr>
    </w:p>
    <w:p w14:paraId="47C9D845" w14:textId="257A9AE5" w:rsidR="00B31E2E" w:rsidRDefault="00B31E2E" w:rsidP="007F596B">
      <w:pPr>
        <w:rPr>
          <w:rFonts w:ascii="Arial" w:hAnsi="Arial" w:cs="Arial"/>
          <w:sz w:val="22"/>
          <w:szCs w:val="22"/>
        </w:rPr>
      </w:pPr>
    </w:p>
    <w:p w14:paraId="6B951622" w14:textId="517F197A" w:rsidR="00B31E2E" w:rsidRDefault="00B31E2E" w:rsidP="007F596B">
      <w:pPr>
        <w:rPr>
          <w:rFonts w:ascii="Arial" w:hAnsi="Arial" w:cs="Arial"/>
          <w:sz w:val="22"/>
          <w:szCs w:val="22"/>
        </w:rPr>
      </w:pPr>
    </w:p>
    <w:p w14:paraId="1D7C03A2" w14:textId="77777777" w:rsidR="00A266B6" w:rsidRDefault="00A266B6" w:rsidP="007F596B">
      <w:pPr>
        <w:rPr>
          <w:rFonts w:ascii="Arial" w:hAnsi="Arial" w:cs="Arial"/>
          <w:b/>
          <w:bCs/>
          <w:sz w:val="22"/>
          <w:szCs w:val="22"/>
        </w:rPr>
      </w:pPr>
    </w:p>
    <w:p w14:paraId="4D9BAAFE" w14:textId="77777777" w:rsidR="00E814E5" w:rsidRDefault="00E814E5" w:rsidP="007F596B">
      <w:pPr>
        <w:rPr>
          <w:rFonts w:ascii="Arial" w:hAnsi="Arial" w:cs="Arial"/>
          <w:b/>
          <w:bCs/>
          <w:sz w:val="22"/>
          <w:szCs w:val="22"/>
        </w:rPr>
      </w:pPr>
    </w:p>
    <w:p w14:paraId="6EEBECE9" w14:textId="38918C96" w:rsidR="00E13720" w:rsidRDefault="00E13720" w:rsidP="00B31E2E"/>
    <w:p w14:paraId="303E2AE2" w14:textId="77777777" w:rsidR="00F06748" w:rsidRDefault="00F06748" w:rsidP="00E13720">
      <w:pPr>
        <w:pStyle w:val="Figures"/>
      </w:pPr>
    </w:p>
    <w:p w14:paraId="061EA47C" w14:textId="77777777" w:rsidR="00F06748" w:rsidRDefault="00F06748" w:rsidP="00E13720">
      <w:pPr>
        <w:pStyle w:val="Figures"/>
      </w:pPr>
    </w:p>
    <w:p w14:paraId="6BEC8AAC" w14:textId="6098E450" w:rsidR="00E13720" w:rsidRDefault="00E13720" w:rsidP="00E13720">
      <w:pPr>
        <w:pStyle w:val="Figures"/>
      </w:pPr>
      <w:bookmarkStart w:id="361" w:name="_Toc46770955"/>
      <w:r w:rsidRPr="00CC411F">
        <w:t>Figure 5.8</w:t>
      </w:r>
      <w:r w:rsidRPr="00E13720">
        <w:rPr>
          <w:b w:val="0"/>
        </w:rPr>
        <w:t xml:space="preserve"> Scatter plot showing positive regression line for reliable improvement rate</w:t>
      </w:r>
      <w:bookmarkEnd w:id="361"/>
    </w:p>
    <w:p w14:paraId="72F3D61D" w14:textId="42CB2BB0" w:rsidR="00B31E2E" w:rsidRDefault="00E13720" w:rsidP="00B31E2E">
      <w:r>
        <w:rPr>
          <w:rFonts w:ascii="Arial" w:hAnsi="Arial" w:cs="Arial"/>
          <w:noProof/>
        </w:rPr>
        <w:lastRenderedPageBreak/>
        <mc:AlternateContent>
          <mc:Choice Requires="wps">
            <w:drawing>
              <wp:anchor distT="0" distB="0" distL="114300" distR="114300" simplePos="0" relativeHeight="251658248" behindDoc="0" locked="0" layoutInCell="1" allowOverlap="1" wp14:anchorId="07C09307" wp14:editId="121E2D72">
                <wp:simplePos x="0" y="0"/>
                <wp:positionH relativeFrom="column">
                  <wp:posOffset>4135120</wp:posOffset>
                </wp:positionH>
                <wp:positionV relativeFrom="paragraph">
                  <wp:posOffset>316230</wp:posOffset>
                </wp:positionV>
                <wp:extent cx="1283677" cy="1011115"/>
                <wp:effectExtent l="50800" t="25400" r="62865" b="81280"/>
                <wp:wrapNone/>
                <wp:docPr id="40" name="Rectangle 40" descr="P2354TB15#y1"/>
                <wp:cNvGraphicFramePr/>
                <a:graphic xmlns:a="http://schemas.openxmlformats.org/drawingml/2006/main">
                  <a:graphicData uri="http://schemas.microsoft.com/office/word/2010/wordprocessingShape">
                    <wps:wsp>
                      <wps:cNvSpPr/>
                      <wps:spPr>
                        <a:xfrm>
                          <a:off x="0" y="0"/>
                          <a:ext cx="1283677" cy="1011115"/>
                        </a:xfrm>
                        <a:prstGeom prst="rect">
                          <a:avLst/>
                        </a:prstGeom>
                        <a:noFill/>
                      </wps:spPr>
                      <wps:style>
                        <a:lnRef idx="1">
                          <a:schemeClr val="accent1"/>
                        </a:lnRef>
                        <a:fillRef idx="3">
                          <a:schemeClr val="accent1"/>
                        </a:fillRef>
                        <a:effectRef idx="2">
                          <a:schemeClr val="accent1"/>
                        </a:effectRef>
                        <a:fontRef idx="minor">
                          <a:schemeClr val="lt1"/>
                        </a:fontRef>
                      </wps:style>
                      <wps:txbx>
                        <w:txbxContent>
                          <w:p w14:paraId="5F468DED" w14:textId="227D6F6D" w:rsidR="008815D7" w:rsidRPr="00A266B6" w:rsidRDefault="008815D7" w:rsidP="00A266B6">
                            <w:pPr>
                              <w:jc w:val="center"/>
                              <w:rPr>
                                <w:rFonts w:ascii="Arial" w:hAnsi="Arial" w:cs="Arial"/>
                                <w:color w:val="000000" w:themeColor="text1"/>
                                <w:sz w:val="22"/>
                                <w:szCs w:val="22"/>
                              </w:rPr>
                            </w:pPr>
                            <w:r w:rsidRPr="00A266B6">
                              <w:rPr>
                                <w:rFonts w:ascii="Arial" w:hAnsi="Arial" w:cs="Arial"/>
                                <w:color w:val="000000" w:themeColor="text1"/>
                                <w:sz w:val="22"/>
                                <w:szCs w:val="22"/>
                              </w:rPr>
                              <w:t>r</w:t>
                            </w:r>
                            <w:r>
                              <w:rPr>
                                <w:rFonts w:ascii="Arial" w:hAnsi="Arial" w:cs="Arial"/>
                                <w:color w:val="000000" w:themeColor="text1"/>
                                <w:sz w:val="22"/>
                                <w:szCs w:val="22"/>
                              </w:rPr>
                              <w:t xml:space="preserve"> </w:t>
                            </w:r>
                            <w:r w:rsidRPr="00A266B6">
                              <w:rPr>
                                <w:rFonts w:ascii="Arial" w:hAnsi="Arial" w:cs="Arial"/>
                                <w:color w:val="000000" w:themeColor="text1"/>
                                <w:sz w:val="22"/>
                                <w:szCs w:val="22"/>
                              </w:rPr>
                              <w:t>= 0.1</w:t>
                            </w:r>
                            <w:r>
                              <w:rPr>
                                <w:rFonts w:ascii="Arial" w:hAnsi="Arial" w:cs="Arial"/>
                                <w:color w:val="000000" w:themeColor="text1"/>
                                <w:sz w:val="22"/>
                                <w:szCs w:val="22"/>
                              </w:rPr>
                              <w:t>82</w:t>
                            </w:r>
                          </w:p>
                          <w:p w14:paraId="30BFA027" w14:textId="77777777" w:rsidR="008815D7" w:rsidRPr="00A266B6" w:rsidRDefault="008815D7" w:rsidP="00A266B6">
                            <w:pPr>
                              <w:jc w:val="center"/>
                              <w:rPr>
                                <w:rFonts w:ascii="Arial" w:hAnsi="Arial" w:cs="Arial"/>
                                <w:color w:val="000000" w:themeColor="text1"/>
                                <w:sz w:val="22"/>
                                <w:szCs w:val="22"/>
                              </w:rPr>
                            </w:pPr>
                          </w:p>
                          <w:p w14:paraId="426FD6F4" w14:textId="44A3339A" w:rsidR="008815D7" w:rsidRPr="00A266B6" w:rsidRDefault="008815D7" w:rsidP="00A266B6">
                            <w:pPr>
                              <w:jc w:val="center"/>
                              <w:rPr>
                                <w:rFonts w:ascii="Arial" w:hAnsi="Arial" w:cs="Arial"/>
                                <w:color w:val="000000" w:themeColor="text1"/>
                                <w:sz w:val="22"/>
                                <w:szCs w:val="22"/>
                              </w:rPr>
                            </w:pPr>
                            <w:r>
                              <w:rPr>
                                <w:rFonts w:ascii="Arial" w:hAnsi="Arial" w:cs="Arial"/>
                                <w:color w:val="000000" w:themeColor="text1"/>
                                <w:sz w:val="22"/>
                                <w:szCs w:val="22"/>
                              </w:rPr>
                              <w:t>p</w:t>
                            </w:r>
                            <w:r w:rsidRPr="00A266B6">
                              <w:rPr>
                                <w:rFonts w:ascii="Arial" w:hAnsi="Arial" w:cs="Arial"/>
                                <w:color w:val="000000" w:themeColor="text1"/>
                                <w:sz w:val="22"/>
                                <w:szCs w:val="22"/>
                              </w:rPr>
                              <w:t xml:space="preserve"> = 0.0</w:t>
                            </w:r>
                            <w:r>
                              <w:rPr>
                                <w:rFonts w:ascii="Arial" w:hAnsi="Arial" w:cs="Arial"/>
                                <w:color w:val="000000" w:themeColor="text1"/>
                                <w:sz w:val="22"/>
                                <w:szCs w:val="22"/>
                              </w:rPr>
                              <w:t>1</w:t>
                            </w:r>
                            <w:r w:rsidRPr="00A266B6">
                              <w:rPr>
                                <w:rFonts w:ascii="Arial" w:hAnsi="Arial" w:cs="Arial"/>
                                <w:color w:val="000000" w:themeColor="text1"/>
                                <w:sz w:val="22"/>
                                <w:szCs w:val="22"/>
                              </w:rP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7C09307" id="Rectangle 40" o:spid="_x0000_s1040" alt="P2354TB15#y1" style="position:absolute;margin-left:325.6pt;margin-top:24.9pt;width:101.1pt;height:79.6pt;z-index:251658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" filled="f" strokecolor="#4579b8 [3044]">
                <v:shadow on="t" color="black" opacity="22937f" origin=",.5" offset="0,.63889mm"/>
                <v:textbox>
                  <w:txbxContent>
                    <w:p w14:paraId="5F468DED" w14:textId="227D6F6D" w:rsidR="008815D7" w:rsidRPr="00A266B6" w:rsidRDefault="008815D7" w:rsidP="00A266B6">
                      <w:pPr>
                        <w:jc w:val="center"/>
                        <w:rPr>
                          <w:rFonts w:ascii="Arial" w:hAnsi="Arial" w:cs="Arial"/>
                          <w:color w:val="000000" w:themeColor="text1"/>
                          <w:sz w:val="22"/>
                          <w:szCs w:val="22"/>
                        </w:rPr>
                      </w:pPr>
                      <w:r w:rsidRPr="00A266B6">
                        <w:rPr>
                          <w:rFonts w:ascii="Arial" w:hAnsi="Arial" w:cs="Arial"/>
                          <w:color w:val="000000" w:themeColor="text1"/>
                          <w:sz w:val="22"/>
                          <w:szCs w:val="22"/>
                        </w:rPr>
                        <w:t>r</w:t>
                      </w:r>
                      <w:r>
                        <w:rPr>
                          <w:rFonts w:ascii="Arial" w:hAnsi="Arial" w:cs="Arial"/>
                          <w:color w:val="000000" w:themeColor="text1"/>
                          <w:sz w:val="22"/>
                          <w:szCs w:val="22"/>
                        </w:rPr>
                        <w:t xml:space="preserve"> </w:t>
                      </w:r>
                      <w:r w:rsidRPr="00A266B6">
                        <w:rPr>
                          <w:rFonts w:ascii="Arial" w:hAnsi="Arial" w:cs="Arial"/>
                          <w:color w:val="000000" w:themeColor="text1"/>
                          <w:sz w:val="22"/>
                          <w:szCs w:val="22"/>
                        </w:rPr>
                        <w:t>= 0.1</w:t>
                      </w:r>
                      <w:r>
                        <w:rPr>
                          <w:rFonts w:ascii="Arial" w:hAnsi="Arial" w:cs="Arial"/>
                          <w:color w:val="000000" w:themeColor="text1"/>
                          <w:sz w:val="22"/>
                          <w:szCs w:val="22"/>
                        </w:rPr>
                        <w:t>82</w:t>
                      </w:r>
                    </w:p>
                    <w:p w14:paraId="30BFA027" w14:textId="77777777" w:rsidR="008815D7" w:rsidRPr="00A266B6" w:rsidRDefault="008815D7" w:rsidP="00A266B6">
                      <w:pPr>
                        <w:jc w:val="center"/>
                        <w:rPr>
                          <w:rFonts w:ascii="Arial" w:hAnsi="Arial" w:cs="Arial"/>
                          <w:color w:val="000000" w:themeColor="text1"/>
                          <w:sz w:val="22"/>
                          <w:szCs w:val="22"/>
                        </w:rPr>
                      </w:pPr>
                    </w:p>
                    <w:p w14:paraId="426FD6F4" w14:textId="44A3339A" w:rsidR="008815D7" w:rsidRPr="00A266B6" w:rsidRDefault="008815D7" w:rsidP="00A266B6">
                      <w:pPr>
                        <w:jc w:val="center"/>
                        <w:rPr>
                          <w:rFonts w:ascii="Arial" w:hAnsi="Arial" w:cs="Arial"/>
                          <w:color w:val="000000" w:themeColor="text1"/>
                          <w:sz w:val="22"/>
                          <w:szCs w:val="22"/>
                        </w:rPr>
                      </w:pPr>
                      <w:r>
                        <w:rPr>
                          <w:rFonts w:ascii="Arial" w:hAnsi="Arial" w:cs="Arial"/>
                          <w:color w:val="000000" w:themeColor="text1"/>
                          <w:sz w:val="22"/>
                          <w:szCs w:val="22"/>
                        </w:rPr>
                        <w:t>p</w:t>
                      </w:r>
                      <w:r w:rsidRPr="00A266B6">
                        <w:rPr>
                          <w:rFonts w:ascii="Arial" w:hAnsi="Arial" w:cs="Arial"/>
                          <w:color w:val="000000" w:themeColor="text1"/>
                          <w:sz w:val="22"/>
                          <w:szCs w:val="22"/>
                        </w:rPr>
                        <w:t xml:space="preserve"> = 0.0</w:t>
                      </w:r>
                      <w:r>
                        <w:rPr>
                          <w:rFonts w:ascii="Arial" w:hAnsi="Arial" w:cs="Arial"/>
                          <w:color w:val="000000" w:themeColor="text1"/>
                          <w:sz w:val="22"/>
                          <w:szCs w:val="22"/>
                        </w:rPr>
                        <w:t>1</w:t>
                      </w:r>
                      <w:r w:rsidRPr="00A266B6">
                        <w:rPr>
                          <w:rFonts w:ascii="Arial" w:hAnsi="Arial" w:cs="Arial"/>
                          <w:color w:val="000000" w:themeColor="text1"/>
                          <w:sz w:val="22"/>
                          <w:szCs w:val="22"/>
                        </w:rPr>
                        <w:t>0</w:t>
                      </w:r>
                    </w:p>
                  </w:txbxContent>
                </v:textbox>
              </v:rect>
            </w:pict>
          </mc:Fallback>
        </mc:AlternateContent>
      </w:r>
      <w:r w:rsidR="00B31E2E">
        <w:fldChar w:fldCharType="begin"/>
      </w:r>
      <w:r w:rsidR="00D168F9">
        <w:instrText xml:space="preserve"> INCLUDEPICTURE "C:\\Users\\sbateup\\.JASP\\temp\\clipboard\\resources\\7\\_4.png" \* MERGEFORMAT </w:instrText>
      </w:r>
      <w:r w:rsidR="00B31E2E">
        <w:fldChar w:fldCharType="separate"/>
      </w:r>
      <w:r w:rsidR="00B31E2E">
        <w:rPr>
          <w:noProof/>
        </w:rPr>
        <w:drawing>
          <wp:inline distT="0" distB="0" distL="0" distR="0" wp14:anchorId="35E27EA0" wp14:editId="6CB3AA46">
            <wp:extent cx="3955480" cy="2997786"/>
            <wp:effectExtent l="0" t="0" r="0" b="0"/>
            <wp:docPr id="38" name="Picture 38" descr="P235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P2354#yIS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08179" cy="3037726"/>
                    </a:xfrm>
                    <a:prstGeom prst="rect">
                      <a:avLst/>
                    </a:prstGeom>
                    <a:noFill/>
                    <a:ln>
                      <a:noFill/>
                    </a:ln>
                  </pic:spPr>
                </pic:pic>
              </a:graphicData>
            </a:graphic>
          </wp:inline>
        </w:drawing>
      </w:r>
      <w:r w:rsidR="00B31E2E">
        <w:fldChar w:fldCharType="end"/>
      </w:r>
    </w:p>
    <w:p w14:paraId="537EA810" w14:textId="77777777" w:rsidR="00B31E2E" w:rsidRDefault="00B31E2E" w:rsidP="007F596B">
      <w:pPr>
        <w:rPr>
          <w:rFonts w:ascii="Arial" w:hAnsi="Arial" w:cs="Arial"/>
          <w:sz w:val="22"/>
          <w:szCs w:val="22"/>
        </w:rPr>
      </w:pPr>
    </w:p>
    <w:p w14:paraId="27163519" w14:textId="709E9B11" w:rsidR="00B31E2E" w:rsidRDefault="00B31E2E" w:rsidP="007F596B">
      <w:pPr>
        <w:rPr>
          <w:rFonts w:ascii="Arial" w:hAnsi="Arial" w:cs="Arial"/>
          <w:sz w:val="22"/>
          <w:szCs w:val="22"/>
        </w:rPr>
      </w:pPr>
    </w:p>
    <w:p w14:paraId="0FAFD84F" w14:textId="3A4747F7" w:rsidR="00B31E2E" w:rsidRDefault="00B31E2E" w:rsidP="007F596B">
      <w:pPr>
        <w:rPr>
          <w:rFonts w:ascii="Arial" w:hAnsi="Arial" w:cs="Arial"/>
          <w:sz w:val="22"/>
          <w:szCs w:val="22"/>
        </w:rPr>
      </w:pPr>
    </w:p>
    <w:p w14:paraId="5BA0922A" w14:textId="1236E9D4" w:rsidR="00B31E2E" w:rsidRDefault="00B31E2E" w:rsidP="007F596B">
      <w:pPr>
        <w:rPr>
          <w:rFonts w:ascii="Arial" w:hAnsi="Arial" w:cs="Arial"/>
          <w:sz w:val="22"/>
          <w:szCs w:val="22"/>
        </w:rPr>
      </w:pPr>
    </w:p>
    <w:p w14:paraId="5FB52090" w14:textId="77777777" w:rsidR="00B31E2E" w:rsidRDefault="00B31E2E" w:rsidP="007F596B">
      <w:pPr>
        <w:rPr>
          <w:rFonts w:ascii="Arial" w:hAnsi="Arial" w:cs="Arial"/>
          <w:sz w:val="22"/>
          <w:szCs w:val="22"/>
        </w:rPr>
      </w:pPr>
    </w:p>
    <w:p w14:paraId="67CB4406" w14:textId="27067326" w:rsidR="007F596B" w:rsidRPr="00931294" w:rsidRDefault="008A1595" w:rsidP="007F596B">
      <w:pPr>
        <w:pStyle w:val="Heading3"/>
        <w:spacing w:line="480" w:lineRule="auto"/>
        <w:rPr>
          <w:rFonts w:cs="Arial"/>
          <w:b w:val="0"/>
          <w:color w:val="000000" w:themeColor="text1"/>
          <w:szCs w:val="22"/>
        </w:rPr>
      </w:pPr>
      <w:bookmarkStart w:id="362" w:name="_Toc46770825"/>
      <w:bookmarkStart w:id="363" w:name="_Toc79414236"/>
      <w:r>
        <w:rPr>
          <w:rFonts w:cs="Arial"/>
          <w:color w:val="000000" w:themeColor="text1"/>
          <w:szCs w:val="22"/>
        </w:rPr>
        <w:t>5</w:t>
      </w:r>
      <w:r w:rsidR="007F596B" w:rsidRPr="00931294">
        <w:rPr>
          <w:rFonts w:cs="Arial"/>
          <w:color w:val="000000" w:themeColor="text1"/>
          <w:szCs w:val="22"/>
        </w:rPr>
        <w:t>.</w:t>
      </w:r>
      <w:r w:rsidR="007146C6">
        <w:rPr>
          <w:rFonts w:cs="Arial"/>
          <w:color w:val="000000" w:themeColor="text1"/>
          <w:szCs w:val="22"/>
        </w:rPr>
        <w:t>5</w:t>
      </w:r>
      <w:r w:rsidR="007F596B" w:rsidRPr="00931294">
        <w:rPr>
          <w:rFonts w:cs="Arial"/>
          <w:color w:val="000000" w:themeColor="text1"/>
          <w:szCs w:val="22"/>
        </w:rPr>
        <w:t>.2 Correlation between therapist fidelity to the model (F scores) and clinical outcome</w:t>
      </w:r>
      <w:bookmarkEnd w:id="362"/>
      <w:bookmarkEnd w:id="363"/>
      <w:r w:rsidR="00227FEB">
        <w:rPr>
          <w:rFonts w:cs="Arial"/>
          <w:color w:val="000000" w:themeColor="text1"/>
          <w:szCs w:val="22"/>
        </w:rPr>
        <w:t xml:space="preserve"> </w:t>
      </w:r>
    </w:p>
    <w:p w14:paraId="48DD93D0" w14:textId="355EEFDD" w:rsidR="00375EAC" w:rsidRDefault="004B576F" w:rsidP="007F596B">
      <w:pPr>
        <w:spacing w:line="480" w:lineRule="auto"/>
        <w:rPr>
          <w:rFonts w:ascii="Arial" w:hAnsi="Arial" w:cs="Arial"/>
          <w:sz w:val="22"/>
          <w:szCs w:val="22"/>
        </w:rPr>
      </w:pPr>
      <w:r>
        <w:rPr>
          <w:rFonts w:ascii="Arial" w:hAnsi="Arial" w:cs="Arial"/>
          <w:sz w:val="22"/>
          <w:szCs w:val="22"/>
        </w:rPr>
        <w:t xml:space="preserve">The third research question in this thesis asks whether there is a relationship between therapist fidelity to the CBT model (F score) and </w:t>
      </w:r>
      <w:r w:rsidR="00102693">
        <w:rPr>
          <w:rFonts w:ascii="Arial" w:hAnsi="Arial" w:cs="Arial"/>
          <w:sz w:val="22"/>
          <w:szCs w:val="22"/>
        </w:rPr>
        <w:t>recovery</w:t>
      </w:r>
      <w:r w:rsidR="00516967">
        <w:rPr>
          <w:rFonts w:ascii="Arial" w:hAnsi="Arial" w:cs="Arial"/>
          <w:sz w:val="22"/>
          <w:szCs w:val="22"/>
        </w:rPr>
        <w:t xml:space="preserve">. </w:t>
      </w:r>
      <w:r w:rsidR="007F596B" w:rsidRPr="00931294">
        <w:rPr>
          <w:rFonts w:ascii="Arial" w:hAnsi="Arial" w:cs="Arial"/>
          <w:sz w:val="22"/>
          <w:szCs w:val="22"/>
        </w:rPr>
        <w:t xml:space="preserve">A Pearson’s </w:t>
      </w:r>
      <w:r w:rsidR="00996E7E">
        <w:rPr>
          <w:rFonts w:ascii="Arial" w:hAnsi="Arial" w:cs="Arial"/>
          <w:sz w:val="22"/>
          <w:szCs w:val="22"/>
        </w:rPr>
        <w:t>c</w:t>
      </w:r>
      <w:r w:rsidR="007F596B" w:rsidRPr="00931294">
        <w:rPr>
          <w:rFonts w:ascii="Arial" w:hAnsi="Arial" w:cs="Arial"/>
          <w:sz w:val="22"/>
          <w:szCs w:val="22"/>
        </w:rPr>
        <w:t xml:space="preserve">orrelation test was conducted </w:t>
      </w:r>
      <w:r w:rsidR="008B2852">
        <w:rPr>
          <w:rFonts w:ascii="Arial" w:hAnsi="Arial" w:cs="Arial"/>
          <w:sz w:val="22"/>
          <w:szCs w:val="22"/>
        </w:rPr>
        <w:t xml:space="preserve">to test the association </w:t>
      </w:r>
      <w:r w:rsidR="007F596B" w:rsidRPr="00931294">
        <w:rPr>
          <w:rFonts w:ascii="Arial" w:hAnsi="Arial" w:cs="Arial"/>
          <w:sz w:val="22"/>
          <w:szCs w:val="22"/>
        </w:rPr>
        <w:t xml:space="preserve">between the F score and recovery rate. </w:t>
      </w:r>
      <w:r w:rsidR="00EE26F3" w:rsidRPr="00CF1079">
        <w:rPr>
          <w:rFonts w:ascii="Arial" w:hAnsi="Arial" w:cs="Arial"/>
          <w:sz w:val="22"/>
          <w:szCs w:val="22"/>
        </w:rPr>
        <w:t>The assumption</w:t>
      </w:r>
      <w:r w:rsidR="00754013" w:rsidRPr="00CF1079">
        <w:rPr>
          <w:rFonts w:ascii="Arial" w:hAnsi="Arial" w:cs="Arial"/>
          <w:sz w:val="22"/>
          <w:szCs w:val="22"/>
        </w:rPr>
        <w:t xml:space="preserve">s for a Pearson’s correlation were met. </w:t>
      </w:r>
      <w:r w:rsidR="00EE26F3" w:rsidRPr="00CF1079">
        <w:rPr>
          <w:rFonts w:ascii="Arial" w:hAnsi="Arial" w:cs="Arial"/>
          <w:sz w:val="22"/>
          <w:szCs w:val="22"/>
        </w:rPr>
        <w:t xml:space="preserve"> </w:t>
      </w:r>
      <w:r w:rsidR="00754013" w:rsidRPr="00CF1079">
        <w:rPr>
          <w:rFonts w:ascii="Arial" w:hAnsi="Arial" w:cs="Arial"/>
          <w:sz w:val="22"/>
          <w:szCs w:val="22"/>
        </w:rPr>
        <w:t>T</w:t>
      </w:r>
      <w:r w:rsidR="00EE26F3" w:rsidRPr="00CF1079">
        <w:rPr>
          <w:rFonts w:ascii="Arial" w:hAnsi="Arial" w:cs="Arial"/>
          <w:sz w:val="22"/>
          <w:szCs w:val="22"/>
        </w:rPr>
        <w:t xml:space="preserve">he data </w:t>
      </w:r>
      <w:r w:rsidR="00E22517" w:rsidRPr="00CF1079">
        <w:rPr>
          <w:rFonts w:ascii="Arial" w:hAnsi="Arial" w:cs="Arial"/>
          <w:sz w:val="22"/>
          <w:szCs w:val="22"/>
        </w:rPr>
        <w:t>were</w:t>
      </w:r>
      <w:r w:rsidR="00EE26F3" w:rsidRPr="00CF1079">
        <w:rPr>
          <w:rFonts w:ascii="Arial" w:hAnsi="Arial" w:cs="Arial"/>
          <w:sz w:val="22"/>
          <w:szCs w:val="22"/>
        </w:rPr>
        <w:t xml:space="preserve"> normal</w:t>
      </w:r>
      <w:r w:rsidR="00375EAC" w:rsidRPr="00CF1079">
        <w:rPr>
          <w:rFonts w:ascii="Arial" w:hAnsi="Arial" w:cs="Arial"/>
          <w:sz w:val="22"/>
          <w:szCs w:val="22"/>
        </w:rPr>
        <w:t>ly distributed</w:t>
      </w:r>
      <w:r w:rsidR="00754013" w:rsidRPr="00CF1079">
        <w:rPr>
          <w:rFonts w:ascii="Arial" w:hAnsi="Arial" w:cs="Arial"/>
          <w:sz w:val="22"/>
          <w:szCs w:val="22"/>
        </w:rPr>
        <w:t>.</w:t>
      </w:r>
    </w:p>
    <w:p w14:paraId="7BFD8E64" w14:textId="63D04B17" w:rsidR="007F596B" w:rsidRDefault="007F596B" w:rsidP="007F596B">
      <w:pPr>
        <w:spacing w:line="480" w:lineRule="auto"/>
        <w:rPr>
          <w:rFonts w:ascii="Arial" w:hAnsi="Arial" w:cs="Arial"/>
          <w:sz w:val="22"/>
          <w:szCs w:val="22"/>
        </w:rPr>
      </w:pPr>
      <w:r w:rsidRPr="00931294">
        <w:rPr>
          <w:rFonts w:ascii="Arial" w:hAnsi="Arial" w:cs="Arial"/>
          <w:sz w:val="22"/>
          <w:szCs w:val="22"/>
        </w:rPr>
        <w:t xml:space="preserve">There was a statistically significant positive correlation between F score and recovery rate, </w:t>
      </w:r>
    </w:p>
    <w:p w14:paraId="602E4967" w14:textId="558B7C2D" w:rsidR="00F81982" w:rsidRPr="004542F4" w:rsidRDefault="007F596B" w:rsidP="004542F4">
      <w:pPr>
        <w:spacing w:line="480" w:lineRule="auto"/>
        <w:rPr>
          <w:rFonts w:ascii="Arial" w:hAnsi="Arial" w:cs="Arial"/>
          <w:sz w:val="22"/>
          <w:szCs w:val="22"/>
        </w:rPr>
      </w:pPr>
      <w:r w:rsidRPr="00931294">
        <w:rPr>
          <w:rFonts w:ascii="Arial" w:hAnsi="Arial" w:cs="Arial"/>
          <w:sz w:val="22"/>
          <w:szCs w:val="22"/>
        </w:rPr>
        <w:t>r = 0.167, p= 0.019.</w:t>
      </w:r>
      <w:r>
        <w:rPr>
          <w:rFonts w:ascii="Arial" w:hAnsi="Arial" w:cs="Arial"/>
          <w:sz w:val="22"/>
          <w:szCs w:val="22"/>
        </w:rPr>
        <w:t xml:space="preserve"> </w:t>
      </w:r>
      <w:r w:rsidR="008B2852">
        <w:rPr>
          <w:rFonts w:ascii="Arial" w:hAnsi="Arial" w:cs="Arial"/>
          <w:sz w:val="22"/>
          <w:szCs w:val="22"/>
        </w:rPr>
        <w:t xml:space="preserve">This would suggest that there is a relationship between therapist fidelity to the model and recovery. </w:t>
      </w:r>
      <w:r>
        <w:rPr>
          <w:rFonts w:ascii="Arial" w:hAnsi="Arial" w:cs="Arial"/>
          <w:sz w:val="22"/>
          <w:szCs w:val="22"/>
        </w:rPr>
        <w:t xml:space="preserve">Figure </w:t>
      </w:r>
      <w:r w:rsidR="00F81982">
        <w:rPr>
          <w:rFonts w:ascii="Arial" w:hAnsi="Arial" w:cs="Arial"/>
          <w:sz w:val="22"/>
          <w:szCs w:val="22"/>
        </w:rPr>
        <w:t>5</w:t>
      </w:r>
      <w:r>
        <w:rPr>
          <w:rFonts w:ascii="Arial" w:hAnsi="Arial" w:cs="Arial"/>
          <w:sz w:val="22"/>
          <w:szCs w:val="22"/>
        </w:rPr>
        <w:t>.</w:t>
      </w:r>
      <w:r w:rsidR="00687C44">
        <w:rPr>
          <w:rFonts w:ascii="Arial" w:hAnsi="Arial" w:cs="Arial"/>
          <w:sz w:val="22"/>
          <w:szCs w:val="22"/>
        </w:rPr>
        <w:t>9</w:t>
      </w:r>
      <w:r>
        <w:rPr>
          <w:rFonts w:ascii="Arial" w:hAnsi="Arial" w:cs="Arial"/>
          <w:sz w:val="22"/>
          <w:szCs w:val="22"/>
        </w:rPr>
        <w:t xml:space="preserve"> shows a scatter plot illustrating the positive correlation.</w:t>
      </w:r>
      <w:r w:rsidR="00D6020C">
        <w:rPr>
          <w:rFonts w:ascii="Arial" w:hAnsi="Arial" w:cs="Arial"/>
          <w:sz w:val="22"/>
          <w:szCs w:val="22"/>
        </w:rPr>
        <w:t xml:space="preserve"> </w:t>
      </w:r>
    </w:p>
    <w:p w14:paraId="6CA8822A" w14:textId="77777777" w:rsidR="00F81982" w:rsidRDefault="00F81982" w:rsidP="007F596B">
      <w:pPr>
        <w:rPr>
          <w:rFonts w:ascii="Arial" w:hAnsi="Arial" w:cs="Arial"/>
          <w:b/>
          <w:sz w:val="22"/>
          <w:szCs w:val="22"/>
        </w:rPr>
      </w:pPr>
    </w:p>
    <w:p w14:paraId="48C2FF73" w14:textId="77777777" w:rsidR="007F596B" w:rsidRDefault="007F596B" w:rsidP="007F596B">
      <w:pPr>
        <w:rPr>
          <w:rFonts w:ascii="Arial" w:hAnsi="Arial" w:cs="Arial"/>
        </w:rPr>
      </w:pPr>
    </w:p>
    <w:p w14:paraId="266C0B5F" w14:textId="6D58A08A" w:rsidR="004542F4" w:rsidRDefault="004542F4" w:rsidP="007F596B"/>
    <w:p w14:paraId="06E4CF4F" w14:textId="77777777" w:rsidR="00F06748" w:rsidRDefault="00F06748" w:rsidP="004542F4">
      <w:pPr>
        <w:pStyle w:val="Figures"/>
      </w:pPr>
    </w:p>
    <w:p w14:paraId="5F71B354" w14:textId="77777777" w:rsidR="00F06748" w:rsidRDefault="00F06748" w:rsidP="004542F4">
      <w:pPr>
        <w:pStyle w:val="Figures"/>
      </w:pPr>
    </w:p>
    <w:p w14:paraId="29E5DE67" w14:textId="77777777" w:rsidR="00F06748" w:rsidRDefault="00F06748" w:rsidP="004542F4">
      <w:pPr>
        <w:pStyle w:val="Figures"/>
      </w:pPr>
    </w:p>
    <w:p w14:paraId="19FD05FF" w14:textId="27F98166" w:rsidR="004542F4" w:rsidRPr="004542F4" w:rsidRDefault="004542F4" w:rsidP="004542F4">
      <w:pPr>
        <w:pStyle w:val="Figures"/>
        <w:rPr>
          <w:b w:val="0"/>
        </w:rPr>
      </w:pPr>
      <w:bookmarkStart w:id="364" w:name="_Toc46770956"/>
      <w:r w:rsidRPr="00C60E2E">
        <w:t xml:space="preserve">Figure 5.9 </w:t>
      </w:r>
      <w:r w:rsidRPr="004542F4">
        <w:rPr>
          <w:b w:val="0"/>
        </w:rPr>
        <w:t>Scatter plot of F score and recovery rate</w:t>
      </w:r>
      <w:bookmarkEnd w:id="364"/>
    </w:p>
    <w:p w14:paraId="7BCEA91A" w14:textId="13ECFBCE" w:rsidR="007F596B" w:rsidRPr="00931294" w:rsidRDefault="007F596B" w:rsidP="007F596B">
      <w:pPr>
        <w:rPr>
          <w:rFonts w:ascii="Arial" w:hAnsi="Arial" w:cs="Arial"/>
        </w:rPr>
      </w:pPr>
    </w:p>
    <w:p w14:paraId="116E8030" w14:textId="60B7D3CF" w:rsidR="00696BB2" w:rsidRDefault="00696BB2" w:rsidP="00853FFE">
      <w:pPr>
        <w:spacing w:line="480" w:lineRule="auto"/>
        <w:rPr>
          <w:rFonts w:ascii="Arial" w:hAnsi="Arial" w:cs="Arial"/>
          <w:sz w:val="22"/>
          <w:szCs w:val="22"/>
        </w:rPr>
      </w:pPr>
    </w:p>
    <w:p w14:paraId="4BE2AAF9" w14:textId="0584D8D8" w:rsidR="00F63F6A" w:rsidRDefault="009F1C15" w:rsidP="00853FFE">
      <w:pPr>
        <w:spacing w:line="480" w:lineRule="auto"/>
        <w:rPr>
          <w:rFonts w:ascii="Arial" w:hAnsi="Arial" w:cs="Arial"/>
          <w:sz w:val="22"/>
          <w:szCs w:val="22"/>
        </w:rPr>
      </w:pPr>
      <w:r>
        <w:rPr>
          <w:rFonts w:ascii="Arial" w:eastAsia="Times New Roman" w:hAnsi="Arial" w:cs="Arial"/>
          <w:noProof/>
        </w:rPr>
        <mc:AlternateContent>
          <mc:Choice Requires="wps">
            <w:drawing>
              <wp:anchor distT="0" distB="0" distL="114300" distR="114300" simplePos="0" relativeHeight="251658242" behindDoc="0" locked="0" layoutInCell="1" allowOverlap="1" wp14:anchorId="67C36274" wp14:editId="2A04403D">
                <wp:simplePos x="0" y="0"/>
                <wp:positionH relativeFrom="column">
                  <wp:posOffset>4284980</wp:posOffset>
                </wp:positionH>
                <wp:positionV relativeFrom="paragraph">
                  <wp:posOffset>201930</wp:posOffset>
                </wp:positionV>
                <wp:extent cx="831144" cy="619163"/>
                <wp:effectExtent l="0" t="0" r="7620" b="15875"/>
                <wp:wrapNone/>
                <wp:docPr id="6" name="Text Box 6" descr="P2373TB10#y1"/>
                <wp:cNvGraphicFramePr/>
                <a:graphic xmlns:a="http://schemas.openxmlformats.org/drawingml/2006/main">
                  <a:graphicData uri="http://schemas.microsoft.com/office/word/2010/wordprocessingShape">
                    <wps:wsp>
                      <wps:cNvSpPr txBox="1"/>
                      <wps:spPr>
                        <a:xfrm>
                          <a:off x="0" y="0"/>
                          <a:ext cx="831144" cy="619163"/>
                        </a:xfrm>
                        <a:prstGeom prst="rect">
                          <a:avLst/>
                        </a:prstGeom>
                        <a:solidFill>
                          <a:schemeClr val="lt1"/>
                        </a:solidFill>
                        <a:ln w="6350">
                          <a:solidFill>
                            <a:prstClr val="black"/>
                          </a:solidFill>
                        </a:ln>
                      </wps:spPr>
                      <wps:txbx>
                        <w:txbxContent>
                          <w:p w14:paraId="0740C045" w14:textId="77777777" w:rsidR="008815D7" w:rsidRPr="00696BB2" w:rsidRDefault="008815D7" w:rsidP="007F596B">
                            <w:pPr>
                              <w:rPr>
                                <w:rFonts w:ascii="Arial" w:hAnsi="Arial" w:cs="Arial"/>
                                <w:sz w:val="22"/>
                                <w:szCs w:val="22"/>
                              </w:rPr>
                            </w:pPr>
                            <w:r w:rsidRPr="00696BB2">
                              <w:rPr>
                                <w:rFonts w:ascii="Arial" w:hAnsi="Arial" w:cs="Arial"/>
                                <w:sz w:val="22"/>
                                <w:szCs w:val="22"/>
                              </w:rPr>
                              <w:t>r = 0.167</w:t>
                            </w:r>
                          </w:p>
                          <w:p w14:paraId="5A1CCA17" w14:textId="3B61D5F7" w:rsidR="008815D7" w:rsidRPr="00696BB2" w:rsidRDefault="008815D7" w:rsidP="007F596B">
                            <w:pPr>
                              <w:rPr>
                                <w:rFonts w:ascii="Arial" w:hAnsi="Arial" w:cs="Arial"/>
                                <w:sz w:val="22"/>
                                <w:szCs w:val="22"/>
                              </w:rPr>
                            </w:pPr>
                            <w:r w:rsidRPr="00696BB2">
                              <w:rPr>
                                <w:rFonts w:ascii="Arial" w:hAnsi="Arial" w:cs="Arial"/>
                                <w:sz w:val="22"/>
                                <w:szCs w:val="22"/>
                              </w:rPr>
                              <w:t>p</w:t>
                            </w:r>
                            <w:r>
                              <w:rPr>
                                <w:rFonts w:ascii="Arial" w:hAnsi="Arial" w:cs="Arial"/>
                                <w:sz w:val="22"/>
                                <w:szCs w:val="22"/>
                              </w:rPr>
                              <w:t xml:space="preserve"> </w:t>
                            </w:r>
                            <w:r w:rsidRPr="00696BB2">
                              <w:rPr>
                                <w:rFonts w:ascii="Arial" w:hAnsi="Arial" w:cs="Arial"/>
                                <w:sz w:val="22"/>
                                <w:szCs w:val="22"/>
                              </w:rPr>
                              <w:t>= 0.019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C36274" id="Text Box 6" o:spid="_x0000_s1041" type="#_x0000_t202" alt="P2373TB10#y1" style="position:absolute;margin-left:337.4pt;margin-top:15.9pt;width:65.45pt;height:48.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" fillcolor="white [3201]" strokeweight=".5pt">
                <v:textbox>
                  <w:txbxContent>
                    <w:p w14:paraId="0740C045" w14:textId="77777777" w:rsidR="008815D7" w:rsidRPr="00696BB2" w:rsidRDefault="008815D7" w:rsidP="007F596B">
                      <w:pPr>
                        <w:rPr>
                          <w:rFonts w:ascii="Arial" w:hAnsi="Arial" w:cs="Arial"/>
                          <w:sz w:val="22"/>
                          <w:szCs w:val="22"/>
                        </w:rPr>
                      </w:pPr>
                      <w:r w:rsidRPr="00696BB2">
                        <w:rPr>
                          <w:rFonts w:ascii="Arial" w:hAnsi="Arial" w:cs="Arial"/>
                          <w:sz w:val="22"/>
                          <w:szCs w:val="22"/>
                        </w:rPr>
                        <w:t>r = 0.167</w:t>
                      </w:r>
                    </w:p>
                    <w:p w14:paraId="5A1CCA17" w14:textId="3B61D5F7" w:rsidR="008815D7" w:rsidRPr="00696BB2" w:rsidRDefault="008815D7" w:rsidP="007F596B">
                      <w:pPr>
                        <w:rPr>
                          <w:rFonts w:ascii="Arial" w:hAnsi="Arial" w:cs="Arial"/>
                          <w:sz w:val="22"/>
                          <w:szCs w:val="22"/>
                        </w:rPr>
                      </w:pPr>
                      <w:r w:rsidRPr="00696BB2">
                        <w:rPr>
                          <w:rFonts w:ascii="Arial" w:hAnsi="Arial" w:cs="Arial"/>
                          <w:sz w:val="22"/>
                          <w:szCs w:val="22"/>
                        </w:rPr>
                        <w:t>p</w:t>
                      </w:r>
                      <w:r>
                        <w:rPr>
                          <w:rFonts w:ascii="Arial" w:hAnsi="Arial" w:cs="Arial"/>
                          <w:sz w:val="22"/>
                          <w:szCs w:val="22"/>
                        </w:rPr>
                        <w:t xml:space="preserve"> </w:t>
                      </w:r>
                      <w:r w:rsidRPr="00696BB2">
                        <w:rPr>
                          <w:rFonts w:ascii="Arial" w:hAnsi="Arial" w:cs="Arial"/>
                          <w:sz w:val="22"/>
                          <w:szCs w:val="22"/>
                        </w:rPr>
                        <w:t>= 0.019</w:t>
                      </w:r>
                    </w:p>
                  </w:txbxContent>
                </v:textbox>
              </v:shape>
            </w:pict>
          </mc:Fallback>
        </mc:AlternateContent>
      </w:r>
    </w:p>
    <w:p w14:paraId="30157C25" w14:textId="297A05D2" w:rsidR="00F63F6A" w:rsidRDefault="00F63F6A" w:rsidP="00853FFE">
      <w:pPr>
        <w:spacing w:line="480" w:lineRule="auto"/>
        <w:rPr>
          <w:rFonts w:ascii="Arial" w:hAnsi="Arial" w:cs="Arial"/>
          <w:sz w:val="22"/>
          <w:szCs w:val="22"/>
        </w:rPr>
      </w:pPr>
    </w:p>
    <w:p w14:paraId="1139933A" w14:textId="30E3C3F8" w:rsidR="00F63F6A" w:rsidRDefault="00F63F6A" w:rsidP="00853FFE">
      <w:pPr>
        <w:spacing w:line="480" w:lineRule="auto"/>
        <w:rPr>
          <w:rFonts w:ascii="Arial" w:hAnsi="Arial" w:cs="Arial"/>
          <w:sz w:val="22"/>
          <w:szCs w:val="22"/>
        </w:rPr>
      </w:pPr>
    </w:p>
    <w:p w14:paraId="53F34619" w14:textId="24245FE2" w:rsidR="00F63F6A" w:rsidRDefault="009F1C15" w:rsidP="00853FFE">
      <w:pPr>
        <w:spacing w:line="480" w:lineRule="auto"/>
        <w:rPr>
          <w:rFonts w:ascii="Arial" w:hAnsi="Arial" w:cs="Arial"/>
          <w:sz w:val="22"/>
          <w:szCs w:val="22"/>
        </w:rPr>
      </w:pPr>
      <w:r w:rsidRPr="007D0747">
        <w:rPr>
          <w:noProof/>
        </w:rPr>
        <w:drawing>
          <wp:inline distT="0" distB="0" distL="0" distR="0" wp14:anchorId="02DD2A3A" wp14:editId="42246327">
            <wp:extent cx="4838700" cy="3251200"/>
            <wp:effectExtent l="0" t="0" r="0" b="0"/>
            <wp:docPr id="42" name="Picture 42" descr="P237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P2376#yIS1"/>
                    <pic:cNvPicPr/>
                  </pic:nvPicPr>
                  <pic:blipFill>
                    <a:blip r:embed="rId66"/>
                    <a:stretch>
                      <a:fillRect/>
                    </a:stretch>
                  </pic:blipFill>
                  <pic:spPr>
                    <a:xfrm>
                      <a:off x="0" y="0"/>
                      <a:ext cx="4838700" cy="3251200"/>
                    </a:xfrm>
                    <a:prstGeom prst="rect">
                      <a:avLst/>
                    </a:prstGeom>
                  </pic:spPr>
                </pic:pic>
              </a:graphicData>
            </a:graphic>
          </wp:inline>
        </w:drawing>
      </w:r>
    </w:p>
    <w:p w14:paraId="2B3C02E5" w14:textId="6F9A35C8" w:rsidR="00696BB2" w:rsidRDefault="00696BB2" w:rsidP="00853FFE">
      <w:pPr>
        <w:spacing w:line="480" w:lineRule="auto"/>
        <w:rPr>
          <w:rFonts w:ascii="Arial" w:hAnsi="Arial" w:cs="Arial"/>
          <w:sz w:val="22"/>
          <w:szCs w:val="22"/>
        </w:rPr>
      </w:pPr>
    </w:p>
    <w:p w14:paraId="1F957FC1" w14:textId="30835B2C" w:rsidR="00BF20BC" w:rsidRDefault="00D6020C" w:rsidP="00853FFE">
      <w:pPr>
        <w:spacing w:line="480" w:lineRule="auto"/>
        <w:rPr>
          <w:rFonts w:ascii="Arial" w:hAnsi="Arial" w:cs="Arial"/>
          <w:sz w:val="22"/>
          <w:szCs w:val="22"/>
        </w:rPr>
      </w:pPr>
      <w:r w:rsidRPr="00853FFE">
        <w:rPr>
          <w:rFonts w:ascii="Arial" w:hAnsi="Arial" w:cs="Arial"/>
          <w:sz w:val="22"/>
          <w:szCs w:val="22"/>
        </w:rPr>
        <w:t xml:space="preserve">A Pearson’s </w:t>
      </w:r>
      <w:r w:rsidR="00BF20BC">
        <w:rPr>
          <w:rFonts w:ascii="Arial" w:hAnsi="Arial" w:cs="Arial"/>
          <w:sz w:val="22"/>
          <w:szCs w:val="22"/>
        </w:rPr>
        <w:t>c</w:t>
      </w:r>
      <w:r w:rsidRPr="00853FFE">
        <w:rPr>
          <w:rFonts w:ascii="Arial" w:hAnsi="Arial" w:cs="Arial"/>
          <w:sz w:val="22"/>
          <w:szCs w:val="22"/>
        </w:rPr>
        <w:t xml:space="preserve">orrelation test was </w:t>
      </w:r>
      <w:r w:rsidR="00227FEB" w:rsidRPr="00853FFE">
        <w:rPr>
          <w:rFonts w:ascii="Arial" w:hAnsi="Arial" w:cs="Arial"/>
          <w:sz w:val="22"/>
          <w:szCs w:val="22"/>
        </w:rPr>
        <w:t xml:space="preserve">also </w:t>
      </w:r>
      <w:r w:rsidRPr="00853FFE">
        <w:rPr>
          <w:rFonts w:ascii="Arial" w:hAnsi="Arial" w:cs="Arial"/>
          <w:sz w:val="22"/>
          <w:szCs w:val="22"/>
        </w:rPr>
        <w:t xml:space="preserve">conducted between the F score and reliable improvement rate.  </w:t>
      </w:r>
      <w:r w:rsidR="00375EAC" w:rsidRPr="00CF1079">
        <w:rPr>
          <w:rFonts w:ascii="Arial" w:hAnsi="Arial" w:cs="Arial"/>
          <w:sz w:val="22"/>
          <w:szCs w:val="22"/>
        </w:rPr>
        <w:t>The assumption</w:t>
      </w:r>
      <w:r w:rsidR="00481DCA" w:rsidRPr="00CF1079">
        <w:rPr>
          <w:rFonts w:ascii="Arial" w:hAnsi="Arial" w:cs="Arial"/>
          <w:sz w:val="22"/>
          <w:szCs w:val="22"/>
        </w:rPr>
        <w:t>s</w:t>
      </w:r>
      <w:r w:rsidR="00375EAC" w:rsidRPr="00CF1079">
        <w:rPr>
          <w:rFonts w:ascii="Arial" w:hAnsi="Arial" w:cs="Arial"/>
          <w:sz w:val="22"/>
          <w:szCs w:val="22"/>
        </w:rPr>
        <w:t xml:space="preserve"> </w:t>
      </w:r>
      <w:r w:rsidR="00683463" w:rsidRPr="00CF1079">
        <w:rPr>
          <w:rFonts w:ascii="Arial" w:hAnsi="Arial" w:cs="Arial"/>
          <w:sz w:val="22"/>
          <w:szCs w:val="22"/>
        </w:rPr>
        <w:t xml:space="preserve">for a Pearson’s correlation </w:t>
      </w:r>
      <w:r w:rsidR="009B6DBB" w:rsidRPr="00CF1079">
        <w:rPr>
          <w:rFonts w:ascii="Arial" w:hAnsi="Arial" w:cs="Arial"/>
          <w:sz w:val="22"/>
          <w:szCs w:val="22"/>
        </w:rPr>
        <w:t>were</w:t>
      </w:r>
      <w:r w:rsidR="00683463" w:rsidRPr="00CF1079">
        <w:rPr>
          <w:rFonts w:ascii="Arial" w:hAnsi="Arial" w:cs="Arial"/>
          <w:sz w:val="22"/>
          <w:szCs w:val="22"/>
        </w:rPr>
        <w:t xml:space="preserve"> met</w:t>
      </w:r>
      <w:r w:rsidR="00481DCA" w:rsidRPr="00CF1079">
        <w:rPr>
          <w:rFonts w:ascii="Arial" w:hAnsi="Arial" w:cs="Arial"/>
          <w:sz w:val="22"/>
          <w:szCs w:val="22"/>
        </w:rPr>
        <w:t xml:space="preserve">. </w:t>
      </w:r>
      <w:r w:rsidR="00956DE6" w:rsidRPr="00CF1079">
        <w:rPr>
          <w:rFonts w:ascii="Arial" w:hAnsi="Arial" w:cs="Arial"/>
          <w:sz w:val="22"/>
          <w:szCs w:val="22"/>
        </w:rPr>
        <w:t>Figures 5.2 and 5.4 show that t</w:t>
      </w:r>
      <w:r w:rsidR="00481DCA" w:rsidRPr="00CF1079">
        <w:rPr>
          <w:rFonts w:ascii="Arial" w:hAnsi="Arial" w:cs="Arial"/>
          <w:sz w:val="22"/>
          <w:szCs w:val="22"/>
        </w:rPr>
        <w:t xml:space="preserve">he </w:t>
      </w:r>
      <w:r w:rsidR="00683463" w:rsidRPr="00CF1079">
        <w:rPr>
          <w:rFonts w:ascii="Arial" w:hAnsi="Arial" w:cs="Arial"/>
          <w:sz w:val="22"/>
          <w:szCs w:val="22"/>
        </w:rPr>
        <w:t xml:space="preserve">data </w:t>
      </w:r>
      <w:r w:rsidR="009B6DBB" w:rsidRPr="00CF1079">
        <w:rPr>
          <w:rFonts w:ascii="Arial" w:hAnsi="Arial" w:cs="Arial"/>
          <w:sz w:val="22"/>
          <w:szCs w:val="22"/>
        </w:rPr>
        <w:t>were</w:t>
      </w:r>
      <w:r w:rsidR="00683463" w:rsidRPr="00CF1079">
        <w:rPr>
          <w:rFonts w:ascii="Arial" w:hAnsi="Arial" w:cs="Arial"/>
          <w:sz w:val="22"/>
          <w:szCs w:val="22"/>
        </w:rPr>
        <w:t xml:space="preserve"> normally distributed.</w:t>
      </w:r>
    </w:p>
    <w:p w14:paraId="1F1BD164" w14:textId="72617369" w:rsidR="00D6020C" w:rsidRPr="00853FFE" w:rsidRDefault="00683463" w:rsidP="00853FFE">
      <w:pPr>
        <w:spacing w:line="480" w:lineRule="auto"/>
        <w:rPr>
          <w:rFonts w:ascii="Arial" w:hAnsi="Arial" w:cs="Arial"/>
          <w:b/>
          <w:bCs/>
          <w:sz w:val="22"/>
          <w:szCs w:val="22"/>
        </w:rPr>
      </w:pPr>
      <w:r>
        <w:rPr>
          <w:rFonts w:ascii="Arial" w:hAnsi="Arial" w:cs="Arial"/>
          <w:sz w:val="22"/>
          <w:szCs w:val="22"/>
        </w:rPr>
        <w:t xml:space="preserve"> </w:t>
      </w:r>
      <w:r w:rsidR="00D6020C" w:rsidRPr="00853FFE">
        <w:rPr>
          <w:rFonts w:ascii="Arial" w:hAnsi="Arial" w:cs="Arial"/>
          <w:sz w:val="22"/>
          <w:szCs w:val="22"/>
        </w:rPr>
        <w:t>There was no statistically significant correlation between F score and reliable improvement rate, r = 0.133, p = 0.062. Figure 5.</w:t>
      </w:r>
      <w:r w:rsidR="00687C44" w:rsidRPr="00853FFE">
        <w:rPr>
          <w:rFonts w:ascii="Arial" w:hAnsi="Arial" w:cs="Arial"/>
          <w:sz w:val="22"/>
          <w:szCs w:val="22"/>
        </w:rPr>
        <w:t>10</w:t>
      </w:r>
      <w:r w:rsidR="00D6020C" w:rsidRPr="00853FFE">
        <w:rPr>
          <w:rFonts w:ascii="Arial" w:hAnsi="Arial" w:cs="Arial"/>
          <w:sz w:val="22"/>
          <w:szCs w:val="22"/>
        </w:rPr>
        <w:t xml:space="preserve"> shows a scatter plot illustrating</w:t>
      </w:r>
      <w:r w:rsidR="00AB36D3" w:rsidRPr="00853FFE">
        <w:rPr>
          <w:rFonts w:ascii="Arial" w:hAnsi="Arial" w:cs="Arial"/>
          <w:sz w:val="22"/>
          <w:szCs w:val="22"/>
        </w:rPr>
        <w:t xml:space="preserve"> the correlation between F scores and reliable improvement rate.</w:t>
      </w:r>
    </w:p>
    <w:p w14:paraId="63DAD659" w14:textId="77777777" w:rsidR="000D1556" w:rsidRDefault="000D1556" w:rsidP="000D1556"/>
    <w:p w14:paraId="3CAD5CED" w14:textId="77777777" w:rsidR="00F85888" w:rsidRDefault="00F85888">
      <w:pPr>
        <w:rPr>
          <w:rFonts w:ascii="Arial" w:hAnsi="Arial"/>
          <w:b/>
          <w:bCs/>
          <w:iCs/>
          <w:sz w:val="22"/>
          <w:szCs w:val="18"/>
        </w:rPr>
      </w:pPr>
      <w:r>
        <w:rPr>
          <w:bCs/>
        </w:rPr>
        <w:br w:type="page"/>
      </w:r>
    </w:p>
    <w:p w14:paraId="47AD7107" w14:textId="2FE343D0" w:rsidR="005C5022" w:rsidRPr="002C44C6" w:rsidRDefault="005C5022" w:rsidP="00F22BB1">
      <w:pPr>
        <w:pStyle w:val="Figures"/>
        <w:rPr>
          <w:bCs/>
        </w:rPr>
      </w:pPr>
      <w:bookmarkStart w:id="365" w:name="_Toc46770957"/>
      <w:r w:rsidRPr="002C44C6">
        <w:rPr>
          <w:bCs/>
        </w:rPr>
        <w:lastRenderedPageBreak/>
        <w:t>Figure 5.10</w:t>
      </w:r>
      <w:r w:rsidRPr="002C44C6">
        <w:t xml:space="preserve"> </w:t>
      </w:r>
      <w:r w:rsidRPr="00F22BB1">
        <w:rPr>
          <w:b w:val="0"/>
          <w:bCs/>
        </w:rPr>
        <w:t>Scatter plot of F score and reliable improvement rate</w:t>
      </w:r>
      <w:bookmarkEnd w:id="365"/>
    </w:p>
    <w:p w14:paraId="3B8F2876" w14:textId="4EBB296C" w:rsidR="00D6020C" w:rsidRDefault="00D6020C" w:rsidP="00D6020C"/>
    <w:p w14:paraId="3A311307" w14:textId="285BF448" w:rsidR="00FF1D1B" w:rsidRDefault="00FF1D1B" w:rsidP="00D6020C"/>
    <w:p w14:paraId="175C7FF7" w14:textId="7D30E887" w:rsidR="00FF1D1B" w:rsidRDefault="009013B9" w:rsidP="00D6020C">
      <w:r>
        <w:rPr>
          <w:noProof/>
        </w:rPr>
        <mc:AlternateContent>
          <mc:Choice Requires="wps">
            <w:drawing>
              <wp:anchor distT="0" distB="0" distL="114300" distR="114300" simplePos="0" relativeHeight="251658246" behindDoc="0" locked="0" layoutInCell="1" allowOverlap="1" wp14:anchorId="46381F68" wp14:editId="3A3CE4FA">
                <wp:simplePos x="0" y="0"/>
                <wp:positionH relativeFrom="column">
                  <wp:posOffset>4775835</wp:posOffset>
                </wp:positionH>
                <wp:positionV relativeFrom="paragraph">
                  <wp:posOffset>261620</wp:posOffset>
                </wp:positionV>
                <wp:extent cx="817685" cy="659423"/>
                <wp:effectExtent l="0" t="0" r="20955" b="26670"/>
                <wp:wrapNone/>
                <wp:docPr id="37" name="Rectangle 37" descr="P2385TB13#y1"/>
                <wp:cNvGraphicFramePr/>
                <a:graphic xmlns:a="http://schemas.openxmlformats.org/drawingml/2006/main">
                  <a:graphicData uri="http://schemas.microsoft.com/office/word/2010/wordprocessingShape">
                    <wps:wsp>
                      <wps:cNvSpPr/>
                      <wps:spPr>
                        <a:xfrm>
                          <a:off x="0" y="0"/>
                          <a:ext cx="817685" cy="659423"/>
                        </a:xfrm>
                        <a:prstGeom prst="rect">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FC2F4EE" w14:textId="222219FA" w:rsidR="008815D7" w:rsidRDefault="008815D7" w:rsidP="00D6020C">
                            <w:pPr>
                              <w:rPr>
                                <w:rFonts w:ascii="Arial" w:hAnsi="Arial" w:cs="Arial"/>
                                <w:color w:val="000000" w:themeColor="text1"/>
                                <w:sz w:val="22"/>
                                <w:szCs w:val="22"/>
                              </w:rPr>
                            </w:pPr>
                            <w:r w:rsidRPr="00D6020C">
                              <w:rPr>
                                <w:rFonts w:ascii="Arial" w:hAnsi="Arial" w:cs="Arial"/>
                                <w:color w:val="000000" w:themeColor="text1"/>
                                <w:sz w:val="22"/>
                                <w:szCs w:val="22"/>
                              </w:rPr>
                              <w:t>r =</w:t>
                            </w:r>
                            <w:r>
                              <w:rPr>
                                <w:rFonts w:ascii="Arial" w:hAnsi="Arial" w:cs="Arial"/>
                                <w:color w:val="000000" w:themeColor="text1"/>
                                <w:sz w:val="22"/>
                                <w:szCs w:val="22"/>
                              </w:rPr>
                              <w:t xml:space="preserve"> 0.133</w:t>
                            </w:r>
                          </w:p>
                          <w:p w14:paraId="2B90E0D4" w14:textId="32EDEAA2" w:rsidR="008815D7" w:rsidRPr="00D6020C" w:rsidRDefault="008815D7" w:rsidP="00D6020C">
                            <w:pPr>
                              <w:rPr>
                                <w:rFonts w:ascii="Arial" w:hAnsi="Arial" w:cs="Arial"/>
                                <w:color w:val="000000" w:themeColor="text1"/>
                                <w:sz w:val="22"/>
                                <w:szCs w:val="22"/>
                              </w:rPr>
                            </w:pPr>
                            <w:r w:rsidRPr="00D6020C">
                              <w:rPr>
                                <w:rFonts w:ascii="Arial" w:hAnsi="Arial" w:cs="Arial"/>
                                <w:color w:val="000000" w:themeColor="text1"/>
                                <w:sz w:val="22"/>
                                <w:szCs w:val="22"/>
                              </w:rPr>
                              <w:t>p =</w:t>
                            </w:r>
                            <w:r>
                              <w:rPr>
                                <w:rFonts w:ascii="Arial" w:hAnsi="Arial" w:cs="Arial"/>
                                <w:color w:val="000000" w:themeColor="text1"/>
                                <w:sz w:val="22"/>
                                <w:szCs w:val="22"/>
                              </w:rPr>
                              <w:t xml:space="preserve"> 0.062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6381F68" id="Rectangle 37" o:spid="_x0000_s1042" alt="P2385TB13#y1" style="position:absolute;margin-left:376.05pt;margin-top:20.6pt;width:64.4pt;height:51.9pt;z-index:25165824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" filled="f" strokecolor="black [3213]">
                <v:textbox>
                  <w:txbxContent>
                    <w:p w14:paraId="2FC2F4EE" w14:textId="222219FA" w:rsidR="008815D7" w:rsidRDefault="008815D7" w:rsidP="00D6020C">
                      <w:pPr>
                        <w:rPr>
                          <w:rFonts w:ascii="Arial" w:hAnsi="Arial" w:cs="Arial"/>
                          <w:color w:val="000000" w:themeColor="text1"/>
                          <w:sz w:val="22"/>
                          <w:szCs w:val="22"/>
                        </w:rPr>
                      </w:pPr>
                      <w:r w:rsidRPr="00D6020C">
                        <w:rPr>
                          <w:rFonts w:ascii="Arial" w:hAnsi="Arial" w:cs="Arial"/>
                          <w:color w:val="000000" w:themeColor="text1"/>
                          <w:sz w:val="22"/>
                          <w:szCs w:val="22"/>
                        </w:rPr>
                        <w:t>r =</w:t>
                      </w:r>
                      <w:r>
                        <w:rPr>
                          <w:rFonts w:ascii="Arial" w:hAnsi="Arial" w:cs="Arial"/>
                          <w:color w:val="000000" w:themeColor="text1"/>
                          <w:sz w:val="22"/>
                          <w:szCs w:val="22"/>
                        </w:rPr>
                        <w:t xml:space="preserve"> 0.133</w:t>
                      </w:r>
                    </w:p>
                    <w:p w14:paraId="2B90E0D4" w14:textId="32EDEAA2" w:rsidR="008815D7" w:rsidRPr="00D6020C" w:rsidRDefault="008815D7" w:rsidP="00D6020C">
                      <w:pPr>
                        <w:rPr>
                          <w:rFonts w:ascii="Arial" w:hAnsi="Arial" w:cs="Arial"/>
                          <w:color w:val="000000" w:themeColor="text1"/>
                          <w:sz w:val="22"/>
                          <w:szCs w:val="22"/>
                        </w:rPr>
                      </w:pPr>
                      <w:r w:rsidRPr="00D6020C">
                        <w:rPr>
                          <w:rFonts w:ascii="Arial" w:hAnsi="Arial" w:cs="Arial"/>
                          <w:color w:val="000000" w:themeColor="text1"/>
                          <w:sz w:val="22"/>
                          <w:szCs w:val="22"/>
                        </w:rPr>
                        <w:t>p =</w:t>
                      </w:r>
                      <w:r>
                        <w:rPr>
                          <w:rFonts w:ascii="Arial" w:hAnsi="Arial" w:cs="Arial"/>
                          <w:color w:val="000000" w:themeColor="text1"/>
                          <w:sz w:val="22"/>
                          <w:szCs w:val="22"/>
                        </w:rPr>
                        <w:t xml:space="preserve"> 0.062</w:t>
                      </w:r>
                    </w:p>
                  </w:txbxContent>
                </v:textbox>
              </v:rect>
            </w:pict>
          </mc:Fallback>
        </mc:AlternateContent>
      </w:r>
      <w:r w:rsidR="00B76628" w:rsidRPr="00957EF2">
        <w:rPr>
          <w:noProof/>
        </w:rPr>
        <w:drawing>
          <wp:inline distT="0" distB="0" distL="0" distR="0" wp14:anchorId="4F1D6B39" wp14:editId="61CC8DCD">
            <wp:extent cx="5160247" cy="3314700"/>
            <wp:effectExtent l="0" t="0" r="0" b="0"/>
            <wp:docPr id="34" name="Picture 34" descr="P238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P2385#yIS1"/>
                    <pic:cNvPicPr/>
                  </pic:nvPicPr>
                  <pic:blipFill>
                    <a:blip r:embed="rId67"/>
                    <a:stretch>
                      <a:fillRect/>
                    </a:stretch>
                  </pic:blipFill>
                  <pic:spPr>
                    <a:xfrm>
                      <a:off x="0" y="0"/>
                      <a:ext cx="5172713" cy="3322707"/>
                    </a:xfrm>
                    <a:prstGeom prst="rect">
                      <a:avLst/>
                    </a:prstGeom>
                  </pic:spPr>
                </pic:pic>
              </a:graphicData>
            </a:graphic>
          </wp:inline>
        </w:drawing>
      </w:r>
    </w:p>
    <w:p w14:paraId="43CD0598" w14:textId="2B5C6579" w:rsidR="00FF1D1B" w:rsidRDefault="00FF1D1B" w:rsidP="00D6020C"/>
    <w:p w14:paraId="05457560" w14:textId="54B493C1" w:rsidR="00FF1D1B" w:rsidRDefault="00FF1D1B" w:rsidP="00D6020C"/>
    <w:p w14:paraId="6089E61B" w14:textId="05756E7B" w:rsidR="00B75D75" w:rsidRPr="00B75D75" w:rsidRDefault="008A1595" w:rsidP="00B75D75">
      <w:pPr>
        <w:pStyle w:val="Heading3"/>
        <w:rPr>
          <w:rFonts w:cs="Arial"/>
          <w:color w:val="000000" w:themeColor="text1"/>
          <w:szCs w:val="22"/>
        </w:rPr>
      </w:pPr>
      <w:bookmarkStart w:id="366" w:name="_Toc46770826"/>
      <w:bookmarkStart w:id="367" w:name="_Toc79414237"/>
      <w:r>
        <w:rPr>
          <w:rFonts w:cs="Arial"/>
          <w:color w:val="000000" w:themeColor="text1"/>
          <w:szCs w:val="22"/>
        </w:rPr>
        <w:t>5</w:t>
      </w:r>
      <w:r w:rsidR="007F596B" w:rsidRPr="00833593">
        <w:rPr>
          <w:rFonts w:cs="Arial"/>
          <w:color w:val="000000" w:themeColor="text1"/>
          <w:szCs w:val="22"/>
        </w:rPr>
        <w:t>.</w:t>
      </w:r>
      <w:r w:rsidR="007146C6">
        <w:rPr>
          <w:rFonts w:cs="Arial"/>
          <w:color w:val="000000" w:themeColor="text1"/>
          <w:szCs w:val="22"/>
        </w:rPr>
        <w:t>5</w:t>
      </w:r>
      <w:r w:rsidR="007F596B" w:rsidRPr="00833593">
        <w:rPr>
          <w:rFonts w:cs="Arial"/>
          <w:color w:val="000000" w:themeColor="text1"/>
          <w:szCs w:val="22"/>
        </w:rPr>
        <w:t>.</w:t>
      </w:r>
      <w:r w:rsidR="00CE2F0B">
        <w:rPr>
          <w:rFonts w:cs="Arial"/>
          <w:color w:val="000000" w:themeColor="text1"/>
          <w:szCs w:val="22"/>
        </w:rPr>
        <w:t>3</w:t>
      </w:r>
      <w:r w:rsidR="007F596B" w:rsidRPr="00833593">
        <w:rPr>
          <w:rFonts w:cs="Arial"/>
          <w:color w:val="000000" w:themeColor="text1"/>
          <w:szCs w:val="22"/>
        </w:rPr>
        <w:t xml:space="preserve"> </w:t>
      </w:r>
      <w:r w:rsidR="00B75D75">
        <w:rPr>
          <w:rFonts w:cs="Arial"/>
          <w:color w:val="000000" w:themeColor="text1"/>
          <w:szCs w:val="22"/>
        </w:rPr>
        <w:t>Testing for a relationship between individual CTS-R scores and recovery rate</w:t>
      </w:r>
      <w:bookmarkEnd w:id="366"/>
      <w:bookmarkEnd w:id="367"/>
    </w:p>
    <w:p w14:paraId="676DAFFE" w14:textId="77777777" w:rsidR="007F596B" w:rsidRDefault="007F596B" w:rsidP="007F596B"/>
    <w:p w14:paraId="001B4B6C" w14:textId="23E05B88" w:rsidR="00334285" w:rsidRDefault="00373787" w:rsidP="00334285">
      <w:pPr>
        <w:spacing w:line="480" w:lineRule="auto"/>
        <w:rPr>
          <w:rFonts w:ascii="Arial" w:hAnsi="Arial" w:cs="Arial"/>
          <w:sz w:val="22"/>
          <w:szCs w:val="22"/>
        </w:rPr>
      </w:pPr>
      <w:r w:rsidRPr="00CF1079">
        <w:rPr>
          <w:rFonts w:ascii="Arial" w:hAnsi="Arial" w:cs="Arial"/>
          <w:sz w:val="22"/>
          <w:szCs w:val="22"/>
        </w:rPr>
        <w:t xml:space="preserve">Section </w:t>
      </w:r>
      <w:r w:rsidR="00AA1EEF" w:rsidRPr="00CF1079">
        <w:rPr>
          <w:rFonts w:ascii="Arial" w:hAnsi="Arial" w:cs="Arial"/>
          <w:sz w:val="22"/>
          <w:szCs w:val="22"/>
        </w:rPr>
        <w:t>5.4.2</w:t>
      </w:r>
      <w:r w:rsidR="00D162EE" w:rsidRPr="00CF1079">
        <w:rPr>
          <w:rFonts w:ascii="Arial" w:hAnsi="Arial" w:cs="Arial"/>
          <w:sz w:val="22"/>
          <w:szCs w:val="22"/>
        </w:rPr>
        <w:t xml:space="preserve"> </w:t>
      </w:r>
      <w:r w:rsidR="00920736" w:rsidRPr="00CF1079">
        <w:rPr>
          <w:rFonts w:ascii="Arial" w:hAnsi="Arial" w:cs="Arial"/>
          <w:sz w:val="22"/>
          <w:szCs w:val="22"/>
        </w:rPr>
        <w:t>discussed</w:t>
      </w:r>
      <w:r w:rsidR="00D162EE" w:rsidRPr="00CF1079">
        <w:rPr>
          <w:rFonts w:ascii="Arial" w:hAnsi="Arial" w:cs="Arial"/>
          <w:sz w:val="22"/>
          <w:szCs w:val="22"/>
        </w:rPr>
        <w:t xml:space="preserve"> the findings </w:t>
      </w:r>
      <w:r w:rsidR="00CE2280" w:rsidRPr="00CF1079">
        <w:rPr>
          <w:rFonts w:ascii="Arial" w:hAnsi="Arial" w:cs="Arial"/>
          <w:sz w:val="22"/>
          <w:szCs w:val="22"/>
        </w:rPr>
        <w:t xml:space="preserve">from </w:t>
      </w:r>
      <w:r w:rsidR="00BA5818" w:rsidRPr="00CF1079">
        <w:rPr>
          <w:rFonts w:ascii="Arial" w:hAnsi="Arial" w:cs="Arial"/>
          <w:sz w:val="22"/>
          <w:szCs w:val="22"/>
        </w:rPr>
        <w:t>a Pearson</w:t>
      </w:r>
      <w:r w:rsidR="00C77D98" w:rsidRPr="00CF1079">
        <w:rPr>
          <w:rFonts w:ascii="Arial" w:hAnsi="Arial" w:cs="Arial"/>
          <w:sz w:val="22"/>
          <w:szCs w:val="22"/>
        </w:rPr>
        <w:t>’</w:t>
      </w:r>
      <w:r w:rsidR="00BA5818" w:rsidRPr="00CF1079">
        <w:rPr>
          <w:rFonts w:ascii="Arial" w:hAnsi="Arial" w:cs="Arial"/>
          <w:sz w:val="22"/>
          <w:szCs w:val="22"/>
        </w:rPr>
        <w:t xml:space="preserve">s </w:t>
      </w:r>
      <w:r w:rsidR="00823147" w:rsidRPr="00CF1079">
        <w:rPr>
          <w:rFonts w:ascii="Arial" w:hAnsi="Arial" w:cs="Arial"/>
          <w:sz w:val="22"/>
          <w:szCs w:val="22"/>
        </w:rPr>
        <w:t>c</w:t>
      </w:r>
      <w:r w:rsidR="00BA5818" w:rsidRPr="00CF1079">
        <w:rPr>
          <w:rFonts w:ascii="Arial" w:hAnsi="Arial" w:cs="Arial"/>
          <w:sz w:val="22"/>
          <w:szCs w:val="22"/>
        </w:rPr>
        <w:t xml:space="preserve">orrelation test </w:t>
      </w:r>
      <w:r w:rsidR="00C77D98" w:rsidRPr="00CF1079">
        <w:rPr>
          <w:rFonts w:ascii="Arial" w:hAnsi="Arial" w:cs="Arial"/>
          <w:sz w:val="22"/>
          <w:szCs w:val="22"/>
        </w:rPr>
        <w:t>to test the association</w:t>
      </w:r>
      <w:r w:rsidR="00C77D98">
        <w:rPr>
          <w:rFonts w:ascii="Arial" w:hAnsi="Arial" w:cs="Arial"/>
          <w:sz w:val="22"/>
          <w:szCs w:val="22"/>
        </w:rPr>
        <w:t xml:space="preserve"> between </w:t>
      </w:r>
      <w:r w:rsidR="00EB610D">
        <w:rPr>
          <w:rFonts w:ascii="Arial" w:hAnsi="Arial" w:cs="Arial"/>
          <w:sz w:val="22"/>
          <w:szCs w:val="22"/>
        </w:rPr>
        <w:t xml:space="preserve">therapist fidelity to the CBT model and recovery. The findings would suggest </w:t>
      </w:r>
      <w:r w:rsidR="00334285" w:rsidRPr="00931294">
        <w:rPr>
          <w:rFonts w:ascii="Arial" w:hAnsi="Arial" w:cs="Arial"/>
          <w:sz w:val="22"/>
          <w:szCs w:val="22"/>
        </w:rPr>
        <w:t xml:space="preserve">that therapist F scores have a statistically significant relationship with </w:t>
      </w:r>
      <w:r w:rsidR="00334285">
        <w:rPr>
          <w:rFonts w:ascii="Arial" w:hAnsi="Arial" w:cs="Arial"/>
          <w:sz w:val="22"/>
          <w:szCs w:val="22"/>
        </w:rPr>
        <w:t>recovery rate</w:t>
      </w:r>
    </w:p>
    <w:p w14:paraId="76059C34" w14:textId="49BFF287" w:rsidR="007F596B" w:rsidRPr="00387CDE" w:rsidRDefault="00334285" w:rsidP="007F596B">
      <w:pPr>
        <w:spacing w:line="480" w:lineRule="auto"/>
        <w:rPr>
          <w:rFonts w:ascii="Arial" w:hAnsi="Arial" w:cs="Arial"/>
          <w:sz w:val="22"/>
          <w:szCs w:val="22"/>
        </w:rPr>
      </w:pPr>
      <w:r w:rsidRPr="00931294">
        <w:rPr>
          <w:rFonts w:ascii="Arial" w:hAnsi="Arial" w:cs="Arial"/>
          <w:sz w:val="22"/>
          <w:szCs w:val="22"/>
        </w:rPr>
        <w:t>(r = 0.167, p = 0.019)</w:t>
      </w:r>
      <w:r w:rsidR="00920736">
        <w:rPr>
          <w:rFonts w:ascii="Arial" w:hAnsi="Arial" w:cs="Arial"/>
          <w:sz w:val="22"/>
          <w:szCs w:val="22"/>
        </w:rPr>
        <w:t>.</w:t>
      </w:r>
      <w:r>
        <w:rPr>
          <w:rFonts w:ascii="Arial" w:hAnsi="Arial" w:cs="Arial"/>
          <w:sz w:val="22"/>
          <w:szCs w:val="22"/>
        </w:rPr>
        <w:t xml:space="preserve"> </w:t>
      </w:r>
      <w:r w:rsidR="007F596B" w:rsidRPr="00387CDE">
        <w:rPr>
          <w:rFonts w:ascii="Arial" w:hAnsi="Arial" w:cs="Arial"/>
          <w:sz w:val="22"/>
          <w:szCs w:val="22"/>
        </w:rPr>
        <w:t>As this was a significant finding</w:t>
      </w:r>
      <w:r w:rsidR="007F596B">
        <w:rPr>
          <w:rFonts w:ascii="Arial" w:hAnsi="Arial" w:cs="Arial"/>
          <w:sz w:val="22"/>
          <w:szCs w:val="22"/>
        </w:rPr>
        <w:t xml:space="preserve"> </w:t>
      </w:r>
      <w:r w:rsidR="007F596B" w:rsidRPr="00387CDE">
        <w:rPr>
          <w:rFonts w:ascii="Arial" w:hAnsi="Arial" w:cs="Arial"/>
          <w:sz w:val="22"/>
          <w:szCs w:val="22"/>
        </w:rPr>
        <w:t>a linear regression model was used to further explore the relationship between</w:t>
      </w:r>
      <w:r w:rsidR="00CC5A3C">
        <w:rPr>
          <w:rFonts w:ascii="Arial" w:hAnsi="Arial" w:cs="Arial"/>
          <w:sz w:val="22"/>
          <w:szCs w:val="22"/>
        </w:rPr>
        <w:t xml:space="preserve"> the mean score of</w:t>
      </w:r>
      <w:r w:rsidR="000D7885">
        <w:rPr>
          <w:rFonts w:ascii="Arial" w:hAnsi="Arial" w:cs="Arial"/>
          <w:sz w:val="22"/>
          <w:szCs w:val="22"/>
        </w:rPr>
        <w:t xml:space="preserve"> each of the</w:t>
      </w:r>
      <w:r w:rsidR="007F596B" w:rsidRPr="00387CDE">
        <w:rPr>
          <w:rFonts w:ascii="Arial" w:hAnsi="Arial" w:cs="Arial"/>
          <w:sz w:val="22"/>
          <w:szCs w:val="22"/>
        </w:rPr>
        <w:t xml:space="preserve"> individual items </w:t>
      </w:r>
      <w:r w:rsidR="00CC5A3C">
        <w:rPr>
          <w:rFonts w:ascii="Arial" w:hAnsi="Arial" w:cs="Arial"/>
          <w:sz w:val="22"/>
          <w:szCs w:val="22"/>
        </w:rPr>
        <w:t xml:space="preserve">of the CTS-R </w:t>
      </w:r>
      <w:r w:rsidR="007F596B" w:rsidRPr="00387CDE">
        <w:rPr>
          <w:rFonts w:ascii="Arial" w:hAnsi="Arial" w:cs="Arial"/>
          <w:sz w:val="22"/>
          <w:szCs w:val="22"/>
        </w:rPr>
        <w:t>and recovery rate, in order to understand whether higher scores on individual items of the CTS-R might predict recovery.</w:t>
      </w:r>
    </w:p>
    <w:p w14:paraId="50467D89" w14:textId="77777777" w:rsidR="007F596B" w:rsidRPr="00387CDE" w:rsidRDefault="007F596B" w:rsidP="007F596B">
      <w:pPr>
        <w:spacing w:line="480" w:lineRule="auto"/>
        <w:rPr>
          <w:rFonts w:ascii="Arial" w:hAnsi="Arial" w:cs="Arial"/>
          <w:sz w:val="22"/>
          <w:szCs w:val="22"/>
        </w:rPr>
      </w:pPr>
    </w:p>
    <w:p w14:paraId="44D411C9" w14:textId="5D84F080" w:rsidR="007F596B" w:rsidRPr="00D34E77" w:rsidRDefault="00616536" w:rsidP="007F596B">
      <w:pPr>
        <w:spacing w:line="480" w:lineRule="auto"/>
        <w:rPr>
          <w:rFonts w:ascii="Arial" w:hAnsi="Arial" w:cs="Arial"/>
          <w:sz w:val="22"/>
          <w:szCs w:val="22"/>
        </w:rPr>
      </w:pPr>
      <w:r>
        <w:rPr>
          <w:rFonts w:ascii="Arial" w:hAnsi="Arial" w:cs="Arial"/>
          <w:sz w:val="22"/>
          <w:szCs w:val="22"/>
        </w:rPr>
        <w:t xml:space="preserve">To test for </w:t>
      </w:r>
      <w:r w:rsidR="005D0FB9">
        <w:rPr>
          <w:rFonts w:ascii="Arial" w:hAnsi="Arial" w:cs="Arial"/>
          <w:sz w:val="22"/>
          <w:szCs w:val="22"/>
        </w:rPr>
        <w:t>the</w:t>
      </w:r>
      <w:r w:rsidR="007F596B" w:rsidRPr="00387CDE">
        <w:rPr>
          <w:rFonts w:ascii="Arial" w:hAnsi="Arial" w:cs="Arial"/>
          <w:sz w:val="22"/>
          <w:szCs w:val="22"/>
        </w:rPr>
        <w:t xml:space="preserve"> assumptions </w:t>
      </w:r>
      <w:r w:rsidR="005D0FB9">
        <w:rPr>
          <w:rFonts w:ascii="Arial" w:hAnsi="Arial" w:cs="Arial"/>
          <w:sz w:val="22"/>
          <w:szCs w:val="22"/>
        </w:rPr>
        <w:t>of a</w:t>
      </w:r>
      <w:r w:rsidR="007F596B" w:rsidRPr="00387CDE">
        <w:rPr>
          <w:rFonts w:ascii="Arial" w:hAnsi="Arial" w:cs="Arial"/>
          <w:sz w:val="22"/>
          <w:szCs w:val="22"/>
        </w:rPr>
        <w:t xml:space="preserve"> linear regression</w:t>
      </w:r>
      <w:r w:rsidR="005D0FB9">
        <w:rPr>
          <w:rFonts w:ascii="Arial" w:hAnsi="Arial" w:cs="Arial"/>
          <w:sz w:val="22"/>
          <w:szCs w:val="22"/>
        </w:rPr>
        <w:t xml:space="preserve"> analysis</w:t>
      </w:r>
      <w:r w:rsidR="007F596B" w:rsidRPr="00387CDE">
        <w:rPr>
          <w:rFonts w:ascii="Arial" w:hAnsi="Arial" w:cs="Arial"/>
          <w:sz w:val="22"/>
          <w:szCs w:val="22"/>
        </w:rPr>
        <w:t xml:space="preserve"> </w:t>
      </w:r>
      <w:r w:rsidR="005D0FB9">
        <w:rPr>
          <w:rFonts w:ascii="Arial" w:hAnsi="Arial" w:cs="Arial"/>
          <w:sz w:val="22"/>
          <w:szCs w:val="22"/>
        </w:rPr>
        <w:t>a Durbin-Watson statistic</w:t>
      </w:r>
      <w:r w:rsidR="00B21030">
        <w:rPr>
          <w:rFonts w:ascii="Arial" w:hAnsi="Arial" w:cs="Arial"/>
          <w:sz w:val="22"/>
          <w:szCs w:val="22"/>
        </w:rPr>
        <w:t>,</w:t>
      </w:r>
      <w:r w:rsidR="005D0FB9">
        <w:rPr>
          <w:rFonts w:ascii="Arial" w:hAnsi="Arial" w:cs="Arial"/>
          <w:sz w:val="22"/>
          <w:szCs w:val="22"/>
        </w:rPr>
        <w:t xml:space="preserve"> that</w:t>
      </w:r>
      <w:r w:rsidR="00EB1A71">
        <w:rPr>
          <w:rFonts w:ascii="Arial" w:hAnsi="Arial" w:cs="Arial"/>
          <w:sz w:val="22"/>
          <w:szCs w:val="22"/>
        </w:rPr>
        <w:t xml:space="preserve"> assesses</w:t>
      </w:r>
      <w:r w:rsidR="007F596B" w:rsidRPr="00387CDE">
        <w:rPr>
          <w:rFonts w:ascii="Arial" w:hAnsi="Arial" w:cs="Arial"/>
          <w:sz w:val="22"/>
          <w:szCs w:val="22"/>
        </w:rPr>
        <w:t xml:space="preserve"> independence of residuals</w:t>
      </w:r>
      <w:r w:rsidR="00B21030">
        <w:rPr>
          <w:rFonts w:ascii="Arial" w:hAnsi="Arial" w:cs="Arial"/>
          <w:sz w:val="22"/>
          <w:szCs w:val="22"/>
        </w:rPr>
        <w:t>,</w:t>
      </w:r>
      <w:r w:rsidR="00EB1A71">
        <w:rPr>
          <w:rFonts w:ascii="Arial" w:hAnsi="Arial" w:cs="Arial"/>
          <w:sz w:val="22"/>
          <w:szCs w:val="22"/>
        </w:rPr>
        <w:t xml:space="preserve"> was conducted </w:t>
      </w:r>
      <w:r w:rsidR="00B21030">
        <w:rPr>
          <w:rFonts w:ascii="Arial" w:hAnsi="Arial" w:cs="Arial"/>
          <w:sz w:val="22"/>
          <w:szCs w:val="22"/>
        </w:rPr>
        <w:t xml:space="preserve">revealing a </w:t>
      </w:r>
      <w:r w:rsidR="007F596B" w:rsidRPr="00387CDE">
        <w:rPr>
          <w:rFonts w:ascii="Arial" w:hAnsi="Arial" w:cs="Arial"/>
          <w:sz w:val="22"/>
          <w:szCs w:val="22"/>
        </w:rPr>
        <w:t xml:space="preserve">Durbin-Watson statistic of </w:t>
      </w:r>
      <w:r w:rsidR="007E4941">
        <w:rPr>
          <w:rFonts w:ascii="Arial" w:hAnsi="Arial" w:cs="Arial"/>
          <w:sz w:val="22"/>
          <w:szCs w:val="22"/>
        </w:rPr>
        <w:t>1.87</w:t>
      </w:r>
      <w:r w:rsidR="00A06F9A">
        <w:rPr>
          <w:rFonts w:ascii="Arial" w:hAnsi="Arial" w:cs="Arial"/>
          <w:sz w:val="22"/>
          <w:szCs w:val="22"/>
        </w:rPr>
        <w:t>3.</w:t>
      </w:r>
      <w:r w:rsidR="007F596B" w:rsidRPr="00387CDE">
        <w:rPr>
          <w:rFonts w:ascii="Arial" w:hAnsi="Arial" w:cs="Arial"/>
          <w:sz w:val="22"/>
          <w:szCs w:val="22"/>
        </w:rPr>
        <w:t xml:space="preserve"> </w:t>
      </w:r>
      <w:r w:rsidR="00E814E5">
        <w:rPr>
          <w:rFonts w:ascii="Arial" w:hAnsi="Arial" w:cs="Arial"/>
          <w:sz w:val="22"/>
          <w:szCs w:val="22"/>
        </w:rPr>
        <w:t xml:space="preserve">Visual inspection </w:t>
      </w:r>
      <w:r w:rsidR="00704C53">
        <w:rPr>
          <w:rFonts w:ascii="Arial" w:hAnsi="Arial" w:cs="Arial"/>
          <w:sz w:val="22"/>
          <w:szCs w:val="22"/>
        </w:rPr>
        <w:t xml:space="preserve">revealed that the </w:t>
      </w:r>
      <w:r w:rsidR="007F596B" w:rsidRPr="00387CDE">
        <w:rPr>
          <w:rFonts w:ascii="Arial" w:hAnsi="Arial" w:cs="Arial"/>
          <w:sz w:val="22"/>
          <w:szCs w:val="22"/>
        </w:rPr>
        <w:t xml:space="preserve">standardised residuals were approximately normally distributed. There was homoscedasticity as assessed by a visual inspection of a </w:t>
      </w:r>
      <w:r w:rsidR="007F596B" w:rsidRPr="00387CDE">
        <w:rPr>
          <w:rFonts w:ascii="Arial" w:hAnsi="Arial" w:cs="Arial"/>
          <w:sz w:val="22"/>
          <w:szCs w:val="22"/>
        </w:rPr>
        <w:lastRenderedPageBreak/>
        <w:t>scatterplot of standardised residuals versus standardised predicted values</w:t>
      </w:r>
      <w:r w:rsidR="007F596B" w:rsidRPr="00387CDE">
        <w:rPr>
          <w:rFonts w:ascii="Arial" w:eastAsia="Times New Roman" w:hAnsi="Arial" w:cs="Arial"/>
          <w:sz w:val="22"/>
          <w:szCs w:val="22"/>
        </w:rPr>
        <w:t xml:space="preserve">. </w:t>
      </w:r>
      <w:r w:rsidR="007F596B" w:rsidRPr="00387CDE">
        <w:rPr>
          <w:rFonts w:ascii="Arial" w:hAnsi="Arial" w:cs="Arial"/>
          <w:sz w:val="22"/>
          <w:szCs w:val="22"/>
        </w:rPr>
        <w:t>The residuals were normally distributed as shown in the standardised residuals plo</w:t>
      </w:r>
      <w:r w:rsidR="00F45BE3">
        <w:rPr>
          <w:rFonts w:ascii="Arial" w:hAnsi="Arial" w:cs="Arial"/>
          <w:sz w:val="22"/>
          <w:szCs w:val="22"/>
        </w:rPr>
        <w:t>t in</w:t>
      </w:r>
      <w:r w:rsidR="007F596B" w:rsidRPr="00387CDE">
        <w:rPr>
          <w:rFonts w:ascii="Arial" w:hAnsi="Arial" w:cs="Arial"/>
          <w:sz w:val="22"/>
          <w:szCs w:val="22"/>
        </w:rPr>
        <w:t xml:space="preserve"> figure </w:t>
      </w:r>
      <w:r w:rsidR="00CE2D98">
        <w:rPr>
          <w:rFonts w:ascii="Arial" w:hAnsi="Arial" w:cs="Arial"/>
          <w:sz w:val="22"/>
          <w:szCs w:val="22"/>
        </w:rPr>
        <w:t>5</w:t>
      </w:r>
      <w:r w:rsidR="007F596B">
        <w:rPr>
          <w:rFonts w:ascii="Arial" w:hAnsi="Arial" w:cs="Arial"/>
          <w:sz w:val="22"/>
          <w:szCs w:val="22"/>
        </w:rPr>
        <w:t>.</w:t>
      </w:r>
      <w:r w:rsidR="00AB36D3">
        <w:rPr>
          <w:rFonts w:ascii="Arial" w:hAnsi="Arial" w:cs="Arial"/>
          <w:sz w:val="22"/>
          <w:szCs w:val="22"/>
        </w:rPr>
        <w:t>1</w:t>
      </w:r>
      <w:r w:rsidR="00825AAA">
        <w:rPr>
          <w:rFonts w:ascii="Arial" w:hAnsi="Arial" w:cs="Arial"/>
          <w:sz w:val="22"/>
          <w:szCs w:val="22"/>
        </w:rPr>
        <w:t>1</w:t>
      </w:r>
      <w:r w:rsidR="00AB36D3">
        <w:rPr>
          <w:rFonts w:ascii="Arial" w:hAnsi="Arial" w:cs="Arial"/>
          <w:sz w:val="22"/>
          <w:szCs w:val="22"/>
        </w:rPr>
        <w:t>.</w:t>
      </w:r>
    </w:p>
    <w:p w14:paraId="2F8A3B7D" w14:textId="77777777" w:rsidR="008B6901" w:rsidRDefault="008B6901" w:rsidP="00D34E77">
      <w:pPr>
        <w:pStyle w:val="Figures"/>
      </w:pPr>
    </w:p>
    <w:p w14:paraId="0BD33C47" w14:textId="77777777" w:rsidR="008B6901" w:rsidRDefault="008B6901" w:rsidP="00D34E77">
      <w:pPr>
        <w:pStyle w:val="Figures"/>
      </w:pPr>
    </w:p>
    <w:p w14:paraId="12DFCA81" w14:textId="5B837474" w:rsidR="00D34E77" w:rsidRDefault="00D34E77" w:rsidP="00D34E77">
      <w:pPr>
        <w:pStyle w:val="Figures"/>
        <w:rPr>
          <w:b w:val="0"/>
        </w:rPr>
      </w:pPr>
      <w:bookmarkStart w:id="368" w:name="_Toc46770958"/>
      <w:r w:rsidRPr="008836FD">
        <w:t>Figure 5.11</w:t>
      </w:r>
      <w:r w:rsidRPr="00D34E77">
        <w:rPr>
          <w:b w:val="0"/>
        </w:rPr>
        <w:t xml:space="preserve"> Histogram showing normal distributed standardised residuals</w:t>
      </w:r>
      <w:bookmarkEnd w:id="368"/>
    </w:p>
    <w:p w14:paraId="5C2674A0" w14:textId="77777777" w:rsidR="00D34E77" w:rsidRPr="00D34E77" w:rsidRDefault="00D34E77" w:rsidP="00D34E77">
      <w:pPr>
        <w:pStyle w:val="Figures"/>
        <w:rPr>
          <w:b w:val="0"/>
        </w:rPr>
      </w:pPr>
    </w:p>
    <w:p w14:paraId="65EF2DAC" w14:textId="77777777" w:rsidR="008229E2" w:rsidRDefault="007F596B" w:rsidP="007F596B">
      <w:pPr>
        <w:spacing w:line="480" w:lineRule="auto"/>
        <w:rPr>
          <w:rFonts w:ascii="Arial" w:hAnsi="Arial" w:cs="Arial"/>
        </w:rPr>
      </w:pPr>
      <w:r>
        <w:rPr>
          <w:rFonts w:ascii="Times New Roman" w:hAnsi="Times New Roman" w:cs="Times New Roman"/>
          <w:noProof/>
        </w:rPr>
        <w:drawing>
          <wp:inline distT="0" distB="0" distL="0" distR="0" wp14:anchorId="4BFAC1C3" wp14:editId="73204886">
            <wp:extent cx="4174419" cy="3189314"/>
            <wp:effectExtent l="0" t="0" r="4445" b="0"/>
            <wp:docPr id="5" name="Picture 5" descr="P239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P2398#yIS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12296" cy="3218253"/>
                    </a:xfrm>
                    <a:prstGeom prst="rect">
                      <a:avLst/>
                    </a:prstGeom>
                    <a:noFill/>
                    <a:ln>
                      <a:noFill/>
                    </a:ln>
                  </pic:spPr>
                </pic:pic>
              </a:graphicData>
            </a:graphic>
          </wp:inline>
        </w:drawing>
      </w:r>
    </w:p>
    <w:p w14:paraId="3BC48D5B" w14:textId="77777777" w:rsidR="00D34E77" w:rsidRDefault="00D34E77" w:rsidP="007F596B">
      <w:pPr>
        <w:spacing w:line="480" w:lineRule="auto"/>
        <w:rPr>
          <w:rFonts w:ascii="Arial" w:hAnsi="Arial" w:cs="Arial"/>
          <w:b/>
          <w:sz w:val="22"/>
          <w:szCs w:val="22"/>
        </w:rPr>
      </w:pPr>
    </w:p>
    <w:p w14:paraId="22F7E4AE" w14:textId="77777777" w:rsidR="007F596B" w:rsidRDefault="007F596B" w:rsidP="007F596B">
      <w:pPr>
        <w:spacing w:line="480" w:lineRule="auto"/>
        <w:rPr>
          <w:rFonts w:ascii="Arial" w:hAnsi="Arial" w:cs="Arial"/>
        </w:rPr>
      </w:pPr>
    </w:p>
    <w:p w14:paraId="14095726" w14:textId="7436A148" w:rsidR="00D34E77" w:rsidRDefault="00D34E77" w:rsidP="00D34E77">
      <w:pPr>
        <w:pStyle w:val="Tables"/>
        <w:rPr>
          <w:b w:val="0"/>
          <w:noProof/>
        </w:rPr>
      </w:pPr>
      <w:bookmarkStart w:id="369" w:name="_Toc28347783"/>
      <w:bookmarkStart w:id="370" w:name="_Toc46770984"/>
      <w:r w:rsidRPr="00435828">
        <w:rPr>
          <w:noProof/>
        </w:rPr>
        <w:t xml:space="preserve">Table 5.4 </w:t>
      </w:r>
      <w:r w:rsidRPr="00D34E77">
        <w:rPr>
          <w:b w:val="0"/>
          <w:noProof/>
        </w:rPr>
        <w:t>The Linear Regression Model</w:t>
      </w:r>
      <w:bookmarkEnd w:id="369"/>
      <w:bookmarkEnd w:id="370"/>
    </w:p>
    <w:p w14:paraId="6ED64F39" w14:textId="77777777" w:rsidR="00D34E77" w:rsidRDefault="00D34E77" w:rsidP="00D34E77">
      <w:pPr>
        <w:pStyle w:val="Tables"/>
      </w:pPr>
    </w:p>
    <w:tbl>
      <w:tblPr>
        <w:tblW w:w="878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8"/>
        <w:gridCol w:w="1262"/>
        <w:gridCol w:w="1476"/>
        <w:gridCol w:w="1029"/>
        <w:gridCol w:w="1446"/>
        <w:gridCol w:w="1029"/>
        <w:gridCol w:w="1029"/>
        <w:gridCol w:w="780"/>
      </w:tblGrid>
      <w:tr w:rsidR="007F596B" w:rsidRPr="00526DB1" w14:paraId="516877A3" w14:textId="77777777" w:rsidTr="007F596B">
        <w:trPr>
          <w:cantSplit/>
        </w:trPr>
        <w:tc>
          <w:tcPr>
            <w:tcW w:w="8789" w:type="dxa"/>
            <w:gridSpan w:val="8"/>
            <w:tcBorders>
              <w:top w:val="nil"/>
              <w:left w:val="nil"/>
              <w:bottom w:val="nil"/>
              <w:right w:val="nil"/>
            </w:tcBorders>
            <w:shd w:val="clear" w:color="auto" w:fill="FFFFFF"/>
            <w:vAlign w:val="center"/>
          </w:tcPr>
          <w:p w14:paraId="1B0CB42A" w14:textId="77777777" w:rsidR="007F596B" w:rsidRPr="00526DB1" w:rsidRDefault="007F596B" w:rsidP="007F596B">
            <w:pPr>
              <w:spacing w:line="320" w:lineRule="atLeast"/>
              <w:ind w:left="60" w:right="60"/>
              <w:jc w:val="center"/>
              <w:rPr>
                <w:rFonts w:ascii="Arial" w:hAnsi="Arial" w:cs="Arial"/>
                <w:b/>
                <w:bCs/>
                <w:color w:val="010205"/>
                <w:sz w:val="22"/>
                <w:szCs w:val="22"/>
              </w:rPr>
            </w:pPr>
            <w:r w:rsidRPr="00526DB1">
              <w:rPr>
                <w:rFonts w:ascii="Arial" w:hAnsi="Arial" w:cs="Arial"/>
                <w:b/>
                <w:bCs/>
                <w:color w:val="010205"/>
                <w:sz w:val="22"/>
                <w:szCs w:val="22"/>
              </w:rPr>
              <w:t>ANOVAa</w:t>
            </w:r>
          </w:p>
        </w:tc>
      </w:tr>
      <w:tr w:rsidR="007F596B" w:rsidRPr="00526DB1" w14:paraId="060DC061" w14:textId="77777777" w:rsidTr="007F596B">
        <w:trPr>
          <w:gridAfter w:val="1"/>
          <w:wAfter w:w="780" w:type="dxa"/>
          <w:cantSplit/>
        </w:trPr>
        <w:tc>
          <w:tcPr>
            <w:tcW w:w="2000" w:type="dxa"/>
            <w:gridSpan w:val="2"/>
            <w:tcBorders>
              <w:top w:val="nil"/>
              <w:left w:val="nil"/>
              <w:bottom w:val="single" w:sz="8" w:space="0" w:color="152935"/>
              <w:right w:val="nil"/>
            </w:tcBorders>
            <w:shd w:val="clear" w:color="auto" w:fill="FFFFFF"/>
            <w:vAlign w:val="bottom"/>
          </w:tcPr>
          <w:p w14:paraId="2FC293E3" w14:textId="77777777" w:rsidR="007F596B" w:rsidRPr="00526DB1" w:rsidRDefault="007F596B" w:rsidP="007F596B">
            <w:pPr>
              <w:spacing w:line="320" w:lineRule="atLeast"/>
              <w:ind w:left="60" w:right="60"/>
              <w:rPr>
                <w:rFonts w:ascii="Arial" w:hAnsi="Arial" w:cs="Arial"/>
                <w:color w:val="264A60"/>
                <w:sz w:val="22"/>
                <w:szCs w:val="22"/>
              </w:rPr>
            </w:pPr>
            <w:r w:rsidRPr="00526DB1">
              <w:rPr>
                <w:rFonts w:ascii="Arial" w:hAnsi="Arial" w:cs="Arial"/>
                <w:color w:val="264A60"/>
                <w:sz w:val="22"/>
                <w:szCs w:val="22"/>
              </w:rPr>
              <w:t>Model</w:t>
            </w:r>
          </w:p>
        </w:tc>
        <w:tc>
          <w:tcPr>
            <w:tcW w:w="1476" w:type="dxa"/>
            <w:tcBorders>
              <w:top w:val="nil"/>
              <w:left w:val="nil"/>
              <w:bottom w:val="single" w:sz="8" w:space="0" w:color="152935"/>
              <w:right w:val="single" w:sz="8" w:space="0" w:color="E0E0E0"/>
            </w:tcBorders>
            <w:shd w:val="clear" w:color="auto" w:fill="FFFFFF"/>
            <w:vAlign w:val="bottom"/>
          </w:tcPr>
          <w:p w14:paraId="56B045FA" w14:textId="77777777" w:rsidR="007F596B" w:rsidRPr="00526DB1" w:rsidRDefault="007F596B" w:rsidP="007F596B">
            <w:pPr>
              <w:spacing w:line="320" w:lineRule="atLeast"/>
              <w:ind w:left="60" w:right="60"/>
              <w:jc w:val="center"/>
              <w:rPr>
                <w:rFonts w:ascii="Arial" w:hAnsi="Arial" w:cs="Arial"/>
                <w:color w:val="264A60"/>
                <w:sz w:val="22"/>
                <w:szCs w:val="22"/>
              </w:rPr>
            </w:pPr>
            <w:r w:rsidRPr="00526DB1">
              <w:rPr>
                <w:rFonts w:ascii="Arial" w:hAnsi="Arial" w:cs="Arial"/>
                <w:color w:val="264A60"/>
                <w:sz w:val="22"/>
                <w:szCs w:val="22"/>
              </w:rPr>
              <w:t>Sum of Squares</w:t>
            </w:r>
          </w:p>
        </w:tc>
        <w:tc>
          <w:tcPr>
            <w:tcW w:w="1029" w:type="dxa"/>
            <w:tcBorders>
              <w:top w:val="nil"/>
              <w:left w:val="single" w:sz="8" w:space="0" w:color="E0E0E0"/>
              <w:bottom w:val="single" w:sz="8" w:space="0" w:color="152935"/>
              <w:right w:val="single" w:sz="8" w:space="0" w:color="E0E0E0"/>
            </w:tcBorders>
            <w:shd w:val="clear" w:color="auto" w:fill="FFFFFF"/>
            <w:vAlign w:val="bottom"/>
          </w:tcPr>
          <w:p w14:paraId="437971D8" w14:textId="77777777" w:rsidR="007F596B" w:rsidRPr="00526DB1" w:rsidRDefault="007F596B" w:rsidP="007F596B">
            <w:pPr>
              <w:spacing w:line="320" w:lineRule="atLeast"/>
              <w:ind w:left="60" w:right="60"/>
              <w:jc w:val="center"/>
              <w:rPr>
                <w:rFonts w:ascii="Arial" w:hAnsi="Arial" w:cs="Arial"/>
                <w:color w:val="264A60"/>
                <w:sz w:val="22"/>
                <w:szCs w:val="22"/>
              </w:rPr>
            </w:pPr>
            <w:r w:rsidRPr="00526DB1">
              <w:rPr>
                <w:rFonts w:ascii="Arial" w:hAnsi="Arial" w:cs="Arial"/>
                <w:color w:val="264A60"/>
                <w:sz w:val="22"/>
                <w:szCs w:val="22"/>
              </w:rPr>
              <w:t>df</w:t>
            </w:r>
          </w:p>
        </w:tc>
        <w:tc>
          <w:tcPr>
            <w:tcW w:w="1446" w:type="dxa"/>
            <w:tcBorders>
              <w:top w:val="nil"/>
              <w:left w:val="single" w:sz="8" w:space="0" w:color="E0E0E0"/>
              <w:bottom w:val="single" w:sz="8" w:space="0" w:color="152935"/>
              <w:right w:val="single" w:sz="8" w:space="0" w:color="E0E0E0"/>
            </w:tcBorders>
            <w:shd w:val="clear" w:color="auto" w:fill="FFFFFF"/>
            <w:vAlign w:val="bottom"/>
          </w:tcPr>
          <w:p w14:paraId="25114622" w14:textId="77777777" w:rsidR="007F596B" w:rsidRPr="00526DB1" w:rsidRDefault="007F596B" w:rsidP="007F596B">
            <w:pPr>
              <w:spacing w:line="320" w:lineRule="atLeast"/>
              <w:ind w:left="60" w:right="60"/>
              <w:jc w:val="center"/>
              <w:rPr>
                <w:rFonts w:ascii="Arial" w:hAnsi="Arial" w:cs="Arial"/>
                <w:color w:val="264A60"/>
                <w:sz w:val="22"/>
                <w:szCs w:val="22"/>
              </w:rPr>
            </w:pPr>
            <w:r w:rsidRPr="00526DB1">
              <w:rPr>
                <w:rFonts w:ascii="Arial" w:hAnsi="Arial" w:cs="Arial"/>
                <w:color w:val="264A60"/>
                <w:sz w:val="22"/>
                <w:szCs w:val="22"/>
              </w:rPr>
              <w:t>Mean Square</w:t>
            </w:r>
          </w:p>
        </w:tc>
        <w:tc>
          <w:tcPr>
            <w:tcW w:w="1029" w:type="dxa"/>
            <w:tcBorders>
              <w:top w:val="nil"/>
              <w:left w:val="single" w:sz="8" w:space="0" w:color="E0E0E0"/>
              <w:bottom w:val="single" w:sz="8" w:space="0" w:color="152935"/>
              <w:right w:val="single" w:sz="8" w:space="0" w:color="E0E0E0"/>
            </w:tcBorders>
            <w:shd w:val="clear" w:color="auto" w:fill="FFFFFF"/>
            <w:vAlign w:val="bottom"/>
          </w:tcPr>
          <w:p w14:paraId="22BC57F3" w14:textId="77777777" w:rsidR="007F596B" w:rsidRPr="00526DB1" w:rsidRDefault="007F596B" w:rsidP="007F596B">
            <w:pPr>
              <w:spacing w:line="320" w:lineRule="atLeast"/>
              <w:ind w:left="60" w:right="60"/>
              <w:jc w:val="center"/>
              <w:rPr>
                <w:rFonts w:ascii="Arial" w:hAnsi="Arial" w:cs="Arial"/>
                <w:color w:val="264A60"/>
                <w:sz w:val="22"/>
                <w:szCs w:val="22"/>
              </w:rPr>
            </w:pPr>
            <w:r w:rsidRPr="00526DB1">
              <w:rPr>
                <w:rFonts w:ascii="Arial" w:hAnsi="Arial" w:cs="Arial"/>
                <w:color w:val="264A60"/>
                <w:sz w:val="22"/>
                <w:szCs w:val="22"/>
              </w:rPr>
              <w:t>F</w:t>
            </w:r>
          </w:p>
        </w:tc>
        <w:tc>
          <w:tcPr>
            <w:tcW w:w="1029" w:type="dxa"/>
            <w:tcBorders>
              <w:top w:val="nil"/>
              <w:left w:val="single" w:sz="8" w:space="0" w:color="E0E0E0"/>
              <w:bottom w:val="single" w:sz="8" w:space="0" w:color="152935"/>
              <w:right w:val="nil"/>
            </w:tcBorders>
            <w:shd w:val="clear" w:color="auto" w:fill="FFFFFF"/>
            <w:vAlign w:val="bottom"/>
          </w:tcPr>
          <w:p w14:paraId="2E86D7B3" w14:textId="77777777" w:rsidR="007F596B" w:rsidRPr="00526DB1" w:rsidRDefault="007F596B" w:rsidP="007F596B">
            <w:pPr>
              <w:spacing w:line="320" w:lineRule="atLeast"/>
              <w:ind w:left="60" w:right="60"/>
              <w:jc w:val="center"/>
              <w:rPr>
                <w:rFonts w:ascii="Arial" w:hAnsi="Arial" w:cs="Arial"/>
                <w:color w:val="264A60"/>
                <w:sz w:val="22"/>
                <w:szCs w:val="22"/>
              </w:rPr>
            </w:pPr>
            <w:r w:rsidRPr="00526DB1">
              <w:rPr>
                <w:rFonts w:ascii="Arial" w:hAnsi="Arial" w:cs="Arial"/>
                <w:color w:val="264A60"/>
                <w:sz w:val="22"/>
                <w:szCs w:val="22"/>
              </w:rPr>
              <w:t>Sig.</w:t>
            </w:r>
          </w:p>
        </w:tc>
      </w:tr>
      <w:tr w:rsidR="007F596B" w:rsidRPr="00526DB1" w14:paraId="373D0342" w14:textId="77777777" w:rsidTr="007F596B">
        <w:trPr>
          <w:gridAfter w:val="1"/>
          <w:wAfter w:w="780" w:type="dxa"/>
          <w:cantSplit/>
        </w:trPr>
        <w:tc>
          <w:tcPr>
            <w:tcW w:w="738" w:type="dxa"/>
            <w:vMerge w:val="restart"/>
            <w:tcBorders>
              <w:top w:val="single" w:sz="8" w:space="0" w:color="152935"/>
              <w:left w:val="nil"/>
              <w:bottom w:val="single" w:sz="8" w:space="0" w:color="152935"/>
              <w:right w:val="nil"/>
            </w:tcBorders>
            <w:shd w:val="clear" w:color="auto" w:fill="E0E0E0"/>
          </w:tcPr>
          <w:p w14:paraId="5899EE40" w14:textId="77777777" w:rsidR="007F596B" w:rsidRPr="00526DB1" w:rsidRDefault="007F596B" w:rsidP="007F596B">
            <w:pPr>
              <w:spacing w:line="320" w:lineRule="atLeast"/>
              <w:ind w:left="60" w:right="60"/>
              <w:rPr>
                <w:rFonts w:ascii="Arial" w:hAnsi="Arial" w:cs="Arial"/>
                <w:color w:val="264A60"/>
                <w:sz w:val="22"/>
                <w:szCs w:val="22"/>
              </w:rPr>
            </w:pPr>
            <w:r w:rsidRPr="00526DB1">
              <w:rPr>
                <w:rFonts w:ascii="Arial" w:hAnsi="Arial" w:cs="Arial"/>
                <w:color w:val="264A60"/>
                <w:sz w:val="22"/>
                <w:szCs w:val="22"/>
              </w:rPr>
              <w:t>1</w:t>
            </w:r>
          </w:p>
        </w:tc>
        <w:tc>
          <w:tcPr>
            <w:tcW w:w="1262" w:type="dxa"/>
            <w:tcBorders>
              <w:top w:val="single" w:sz="8" w:space="0" w:color="152935"/>
              <w:left w:val="nil"/>
              <w:bottom w:val="single" w:sz="8" w:space="0" w:color="AEAEAE"/>
              <w:right w:val="nil"/>
            </w:tcBorders>
            <w:shd w:val="clear" w:color="auto" w:fill="E0E0E0"/>
          </w:tcPr>
          <w:p w14:paraId="2456031D" w14:textId="77777777" w:rsidR="007F596B" w:rsidRPr="00526DB1" w:rsidRDefault="007F596B" w:rsidP="007F596B">
            <w:pPr>
              <w:spacing w:line="320" w:lineRule="atLeast"/>
              <w:ind w:left="60" w:right="60"/>
              <w:rPr>
                <w:rFonts w:ascii="Arial" w:hAnsi="Arial" w:cs="Arial"/>
                <w:color w:val="264A60"/>
                <w:sz w:val="22"/>
                <w:szCs w:val="22"/>
              </w:rPr>
            </w:pPr>
            <w:r w:rsidRPr="00526DB1">
              <w:rPr>
                <w:rFonts w:ascii="Arial" w:hAnsi="Arial" w:cs="Arial"/>
                <w:color w:val="264A60"/>
                <w:sz w:val="22"/>
                <w:szCs w:val="22"/>
              </w:rPr>
              <w:t>Regression</w:t>
            </w:r>
          </w:p>
        </w:tc>
        <w:tc>
          <w:tcPr>
            <w:tcW w:w="1476" w:type="dxa"/>
            <w:tcBorders>
              <w:top w:val="single" w:sz="8" w:space="0" w:color="152935"/>
              <w:left w:val="nil"/>
              <w:bottom w:val="single" w:sz="8" w:space="0" w:color="AEAEAE"/>
              <w:right w:val="single" w:sz="8" w:space="0" w:color="E0E0E0"/>
            </w:tcBorders>
            <w:shd w:val="clear" w:color="auto" w:fill="FFFFFF"/>
          </w:tcPr>
          <w:p w14:paraId="12C23EAA" w14:textId="77777777" w:rsidR="007F596B" w:rsidRPr="00526DB1" w:rsidRDefault="007F596B" w:rsidP="007F596B">
            <w:pPr>
              <w:spacing w:line="320" w:lineRule="atLeast"/>
              <w:ind w:left="60" w:right="60"/>
              <w:jc w:val="right"/>
              <w:rPr>
                <w:rFonts w:ascii="Arial" w:hAnsi="Arial" w:cs="Arial"/>
                <w:color w:val="010205"/>
                <w:sz w:val="22"/>
                <w:szCs w:val="22"/>
              </w:rPr>
            </w:pPr>
            <w:r w:rsidRPr="00526DB1">
              <w:rPr>
                <w:rFonts w:ascii="Arial" w:hAnsi="Arial" w:cs="Arial"/>
                <w:color w:val="010205"/>
                <w:sz w:val="22"/>
                <w:szCs w:val="22"/>
              </w:rPr>
              <w:t>4910.375</w:t>
            </w:r>
          </w:p>
        </w:tc>
        <w:tc>
          <w:tcPr>
            <w:tcW w:w="1029" w:type="dxa"/>
            <w:tcBorders>
              <w:top w:val="single" w:sz="8" w:space="0" w:color="152935"/>
              <w:left w:val="single" w:sz="8" w:space="0" w:color="E0E0E0"/>
              <w:bottom w:val="single" w:sz="8" w:space="0" w:color="AEAEAE"/>
              <w:right w:val="single" w:sz="8" w:space="0" w:color="E0E0E0"/>
            </w:tcBorders>
            <w:shd w:val="clear" w:color="auto" w:fill="FFFFFF"/>
          </w:tcPr>
          <w:p w14:paraId="40EAAC0A" w14:textId="77777777" w:rsidR="007F596B" w:rsidRPr="00526DB1" w:rsidRDefault="007F596B" w:rsidP="007F596B">
            <w:pPr>
              <w:spacing w:line="320" w:lineRule="atLeast"/>
              <w:ind w:left="60" w:right="60"/>
              <w:jc w:val="right"/>
              <w:rPr>
                <w:rFonts w:ascii="Arial" w:hAnsi="Arial" w:cs="Arial"/>
                <w:color w:val="010205"/>
                <w:sz w:val="22"/>
                <w:szCs w:val="22"/>
              </w:rPr>
            </w:pPr>
            <w:r w:rsidRPr="00526DB1">
              <w:rPr>
                <w:rFonts w:ascii="Arial" w:hAnsi="Arial" w:cs="Arial"/>
                <w:color w:val="010205"/>
                <w:sz w:val="22"/>
                <w:szCs w:val="22"/>
              </w:rPr>
              <w:t>12</w:t>
            </w:r>
          </w:p>
        </w:tc>
        <w:tc>
          <w:tcPr>
            <w:tcW w:w="1446" w:type="dxa"/>
            <w:tcBorders>
              <w:top w:val="single" w:sz="8" w:space="0" w:color="152935"/>
              <w:left w:val="single" w:sz="8" w:space="0" w:color="E0E0E0"/>
              <w:bottom w:val="single" w:sz="8" w:space="0" w:color="AEAEAE"/>
              <w:right w:val="single" w:sz="8" w:space="0" w:color="E0E0E0"/>
            </w:tcBorders>
            <w:shd w:val="clear" w:color="auto" w:fill="FFFFFF"/>
          </w:tcPr>
          <w:p w14:paraId="05D6E2E3" w14:textId="77777777" w:rsidR="007F596B" w:rsidRPr="00526DB1" w:rsidRDefault="007F596B" w:rsidP="007F596B">
            <w:pPr>
              <w:spacing w:line="320" w:lineRule="atLeast"/>
              <w:ind w:left="60" w:right="60"/>
              <w:jc w:val="right"/>
              <w:rPr>
                <w:rFonts w:ascii="Arial" w:hAnsi="Arial" w:cs="Arial"/>
                <w:color w:val="010205"/>
                <w:sz w:val="22"/>
                <w:szCs w:val="22"/>
              </w:rPr>
            </w:pPr>
            <w:r w:rsidRPr="00526DB1">
              <w:rPr>
                <w:rFonts w:ascii="Arial" w:hAnsi="Arial" w:cs="Arial"/>
                <w:color w:val="010205"/>
                <w:sz w:val="22"/>
                <w:szCs w:val="22"/>
              </w:rPr>
              <w:t>409.198</w:t>
            </w:r>
          </w:p>
        </w:tc>
        <w:tc>
          <w:tcPr>
            <w:tcW w:w="1029" w:type="dxa"/>
            <w:tcBorders>
              <w:top w:val="single" w:sz="8" w:space="0" w:color="152935"/>
              <w:left w:val="single" w:sz="8" w:space="0" w:color="E0E0E0"/>
              <w:bottom w:val="single" w:sz="8" w:space="0" w:color="AEAEAE"/>
              <w:right w:val="single" w:sz="8" w:space="0" w:color="E0E0E0"/>
            </w:tcBorders>
            <w:shd w:val="clear" w:color="auto" w:fill="FFFFFF"/>
          </w:tcPr>
          <w:p w14:paraId="1FCADD7B" w14:textId="77777777" w:rsidR="007F596B" w:rsidRPr="00526DB1" w:rsidRDefault="007F596B" w:rsidP="007F596B">
            <w:pPr>
              <w:spacing w:line="320" w:lineRule="atLeast"/>
              <w:ind w:left="60" w:right="60"/>
              <w:jc w:val="right"/>
              <w:rPr>
                <w:rFonts w:ascii="Arial" w:hAnsi="Arial" w:cs="Arial"/>
                <w:color w:val="010205"/>
                <w:sz w:val="22"/>
                <w:szCs w:val="22"/>
              </w:rPr>
            </w:pPr>
            <w:r w:rsidRPr="00526DB1">
              <w:rPr>
                <w:rFonts w:ascii="Arial" w:hAnsi="Arial" w:cs="Arial"/>
                <w:color w:val="010205"/>
                <w:sz w:val="22"/>
                <w:szCs w:val="22"/>
              </w:rPr>
              <w:t>1.141</w:t>
            </w:r>
          </w:p>
        </w:tc>
        <w:tc>
          <w:tcPr>
            <w:tcW w:w="1029" w:type="dxa"/>
            <w:tcBorders>
              <w:top w:val="single" w:sz="8" w:space="0" w:color="152935"/>
              <w:left w:val="single" w:sz="8" w:space="0" w:color="E0E0E0"/>
              <w:bottom w:val="single" w:sz="8" w:space="0" w:color="AEAEAE"/>
              <w:right w:val="nil"/>
            </w:tcBorders>
            <w:shd w:val="clear" w:color="auto" w:fill="FFFFFF"/>
          </w:tcPr>
          <w:p w14:paraId="449F884E" w14:textId="77777777" w:rsidR="007F596B" w:rsidRPr="00526DB1" w:rsidRDefault="007F596B" w:rsidP="007F596B">
            <w:pPr>
              <w:spacing w:line="320" w:lineRule="atLeast"/>
              <w:ind w:left="60" w:right="60"/>
              <w:jc w:val="right"/>
              <w:rPr>
                <w:rFonts w:ascii="Arial" w:hAnsi="Arial" w:cs="Arial"/>
                <w:color w:val="010205"/>
                <w:sz w:val="22"/>
                <w:szCs w:val="22"/>
              </w:rPr>
            </w:pPr>
            <w:r w:rsidRPr="00526DB1">
              <w:rPr>
                <w:rFonts w:ascii="Arial" w:hAnsi="Arial" w:cs="Arial"/>
                <w:color w:val="010205"/>
                <w:sz w:val="22"/>
                <w:szCs w:val="22"/>
              </w:rPr>
              <w:t>.329</w:t>
            </w:r>
            <w:r w:rsidRPr="00526DB1">
              <w:rPr>
                <w:rFonts w:ascii="Arial" w:hAnsi="Arial" w:cs="Arial"/>
                <w:color w:val="010205"/>
                <w:sz w:val="22"/>
                <w:szCs w:val="22"/>
                <w:vertAlign w:val="superscript"/>
              </w:rPr>
              <w:t>b</w:t>
            </w:r>
          </w:p>
        </w:tc>
      </w:tr>
      <w:tr w:rsidR="007F596B" w:rsidRPr="00526DB1" w14:paraId="6F16B4A1" w14:textId="77777777" w:rsidTr="007F596B">
        <w:trPr>
          <w:gridAfter w:val="1"/>
          <w:wAfter w:w="780" w:type="dxa"/>
          <w:cantSplit/>
        </w:trPr>
        <w:tc>
          <w:tcPr>
            <w:tcW w:w="738" w:type="dxa"/>
            <w:vMerge/>
            <w:tcBorders>
              <w:top w:val="single" w:sz="8" w:space="0" w:color="152935"/>
              <w:left w:val="nil"/>
              <w:bottom w:val="single" w:sz="8" w:space="0" w:color="152935"/>
              <w:right w:val="nil"/>
            </w:tcBorders>
            <w:shd w:val="clear" w:color="auto" w:fill="E0E0E0"/>
          </w:tcPr>
          <w:p w14:paraId="3AB2DC89" w14:textId="77777777" w:rsidR="007F596B" w:rsidRPr="00526DB1" w:rsidRDefault="007F596B" w:rsidP="007F596B">
            <w:pPr>
              <w:rPr>
                <w:rFonts w:ascii="Arial" w:hAnsi="Arial" w:cs="Arial"/>
                <w:color w:val="010205"/>
                <w:sz w:val="22"/>
                <w:szCs w:val="22"/>
              </w:rPr>
            </w:pPr>
          </w:p>
        </w:tc>
        <w:tc>
          <w:tcPr>
            <w:tcW w:w="1262" w:type="dxa"/>
            <w:tcBorders>
              <w:top w:val="single" w:sz="8" w:space="0" w:color="AEAEAE"/>
              <w:left w:val="nil"/>
              <w:bottom w:val="single" w:sz="8" w:space="0" w:color="AEAEAE"/>
              <w:right w:val="nil"/>
            </w:tcBorders>
            <w:shd w:val="clear" w:color="auto" w:fill="E0E0E0"/>
          </w:tcPr>
          <w:p w14:paraId="7AC33A46" w14:textId="77777777" w:rsidR="007F596B" w:rsidRPr="00526DB1" w:rsidRDefault="007F596B" w:rsidP="007F596B">
            <w:pPr>
              <w:spacing w:line="320" w:lineRule="atLeast"/>
              <w:ind w:left="60" w:right="60"/>
              <w:rPr>
                <w:rFonts w:ascii="Arial" w:hAnsi="Arial" w:cs="Arial"/>
                <w:color w:val="264A60"/>
                <w:sz w:val="22"/>
                <w:szCs w:val="22"/>
              </w:rPr>
            </w:pPr>
            <w:r w:rsidRPr="00526DB1">
              <w:rPr>
                <w:rFonts w:ascii="Arial" w:hAnsi="Arial" w:cs="Arial"/>
                <w:color w:val="264A60"/>
                <w:sz w:val="22"/>
                <w:szCs w:val="22"/>
              </w:rPr>
              <w:t>Residual</w:t>
            </w:r>
          </w:p>
        </w:tc>
        <w:tc>
          <w:tcPr>
            <w:tcW w:w="1476" w:type="dxa"/>
            <w:tcBorders>
              <w:top w:val="single" w:sz="8" w:space="0" w:color="AEAEAE"/>
              <w:left w:val="nil"/>
              <w:bottom w:val="single" w:sz="8" w:space="0" w:color="AEAEAE"/>
              <w:right w:val="single" w:sz="8" w:space="0" w:color="E0E0E0"/>
            </w:tcBorders>
            <w:shd w:val="clear" w:color="auto" w:fill="FFFFFF"/>
          </w:tcPr>
          <w:p w14:paraId="2E9F8CB6" w14:textId="77777777" w:rsidR="007F596B" w:rsidRPr="00526DB1" w:rsidRDefault="007F596B" w:rsidP="007F596B">
            <w:pPr>
              <w:spacing w:line="320" w:lineRule="atLeast"/>
              <w:ind w:left="60" w:right="60"/>
              <w:jc w:val="right"/>
              <w:rPr>
                <w:rFonts w:ascii="Arial" w:hAnsi="Arial" w:cs="Arial"/>
                <w:color w:val="010205"/>
                <w:sz w:val="22"/>
                <w:szCs w:val="22"/>
              </w:rPr>
            </w:pPr>
            <w:r w:rsidRPr="00526DB1">
              <w:rPr>
                <w:rFonts w:ascii="Arial" w:hAnsi="Arial" w:cs="Arial"/>
                <w:color w:val="010205"/>
                <w:sz w:val="22"/>
                <w:szCs w:val="22"/>
              </w:rPr>
              <w:t>66687.417</w:t>
            </w:r>
          </w:p>
        </w:tc>
        <w:tc>
          <w:tcPr>
            <w:tcW w:w="1029" w:type="dxa"/>
            <w:tcBorders>
              <w:top w:val="single" w:sz="8" w:space="0" w:color="AEAEAE"/>
              <w:left w:val="single" w:sz="8" w:space="0" w:color="E0E0E0"/>
              <w:bottom w:val="single" w:sz="8" w:space="0" w:color="AEAEAE"/>
              <w:right w:val="single" w:sz="8" w:space="0" w:color="E0E0E0"/>
            </w:tcBorders>
            <w:shd w:val="clear" w:color="auto" w:fill="FFFFFF"/>
          </w:tcPr>
          <w:p w14:paraId="39E5F091" w14:textId="77777777" w:rsidR="007F596B" w:rsidRPr="00526DB1" w:rsidRDefault="007F596B" w:rsidP="007F596B">
            <w:pPr>
              <w:spacing w:line="320" w:lineRule="atLeast"/>
              <w:ind w:left="60" w:right="60"/>
              <w:jc w:val="right"/>
              <w:rPr>
                <w:rFonts w:ascii="Arial" w:hAnsi="Arial" w:cs="Arial"/>
                <w:color w:val="010205"/>
                <w:sz w:val="22"/>
                <w:szCs w:val="22"/>
              </w:rPr>
            </w:pPr>
            <w:r w:rsidRPr="00526DB1">
              <w:rPr>
                <w:rFonts w:ascii="Arial" w:hAnsi="Arial" w:cs="Arial"/>
                <w:color w:val="010205"/>
                <w:sz w:val="22"/>
                <w:szCs w:val="22"/>
              </w:rPr>
              <w:t>186</w:t>
            </w:r>
          </w:p>
        </w:tc>
        <w:tc>
          <w:tcPr>
            <w:tcW w:w="1446" w:type="dxa"/>
            <w:tcBorders>
              <w:top w:val="single" w:sz="8" w:space="0" w:color="AEAEAE"/>
              <w:left w:val="single" w:sz="8" w:space="0" w:color="E0E0E0"/>
              <w:bottom w:val="single" w:sz="8" w:space="0" w:color="AEAEAE"/>
              <w:right w:val="single" w:sz="8" w:space="0" w:color="E0E0E0"/>
            </w:tcBorders>
            <w:shd w:val="clear" w:color="auto" w:fill="FFFFFF"/>
          </w:tcPr>
          <w:p w14:paraId="454ACB55" w14:textId="77777777" w:rsidR="007F596B" w:rsidRPr="00526DB1" w:rsidRDefault="007F596B" w:rsidP="007F596B">
            <w:pPr>
              <w:spacing w:line="320" w:lineRule="atLeast"/>
              <w:ind w:left="60" w:right="60"/>
              <w:jc w:val="right"/>
              <w:rPr>
                <w:rFonts w:ascii="Arial" w:hAnsi="Arial" w:cs="Arial"/>
                <w:color w:val="010205"/>
                <w:sz w:val="22"/>
                <w:szCs w:val="22"/>
              </w:rPr>
            </w:pPr>
            <w:r w:rsidRPr="00526DB1">
              <w:rPr>
                <w:rFonts w:ascii="Arial" w:hAnsi="Arial" w:cs="Arial"/>
                <w:color w:val="010205"/>
                <w:sz w:val="22"/>
                <w:szCs w:val="22"/>
              </w:rPr>
              <w:t>358.534</w:t>
            </w:r>
          </w:p>
        </w:tc>
        <w:tc>
          <w:tcPr>
            <w:tcW w:w="1029"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616761DB" w14:textId="77777777" w:rsidR="007F596B" w:rsidRPr="00526DB1" w:rsidRDefault="007F596B" w:rsidP="007F596B">
            <w:pPr>
              <w:rPr>
                <w:rFonts w:ascii="Arial" w:hAnsi="Arial" w:cs="Arial"/>
                <w:sz w:val="22"/>
                <w:szCs w:val="22"/>
              </w:rPr>
            </w:pPr>
          </w:p>
        </w:tc>
        <w:tc>
          <w:tcPr>
            <w:tcW w:w="1029" w:type="dxa"/>
            <w:tcBorders>
              <w:top w:val="single" w:sz="8" w:space="0" w:color="AEAEAE"/>
              <w:left w:val="single" w:sz="8" w:space="0" w:color="E0E0E0"/>
              <w:bottom w:val="single" w:sz="8" w:space="0" w:color="AEAEAE"/>
              <w:right w:val="nil"/>
            </w:tcBorders>
            <w:shd w:val="clear" w:color="auto" w:fill="FFFFFF"/>
            <w:vAlign w:val="center"/>
          </w:tcPr>
          <w:p w14:paraId="5621F090" w14:textId="77777777" w:rsidR="007F596B" w:rsidRPr="00526DB1" w:rsidRDefault="007F596B" w:rsidP="007F596B">
            <w:pPr>
              <w:rPr>
                <w:rFonts w:ascii="Arial" w:hAnsi="Arial" w:cs="Arial"/>
                <w:sz w:val="22"/>
                <w:szCs w:val="22"/>
              </w:rPr>
            </w:pPr>
          </w:p>
        </w:tc>
      </w:tr>
      <w:tr w:rsidR="007F596B" w:rsidRPr="00526DB1" w14:paraId="184AEEC3" w14:textId="77777777" w:rsidTr="007F596B">
        <w:trPr>
          <w:gridAfter w:val="1"/>
          <w:wAfter w:w="780" w:type="dxa"/>
          <w:cantSplit/>
        </w:trPr>
        <w:tc>
          <w:tcPr>
            <w:tcW w:w="738" w:type="dxa"/>
            <w:vMerge/>
            <w:tcBorders>
              <w:top w:val="single" w:sz="8" w:space="0" w:color="152935"/>
              <w:left w:val="nil"/>
              <w:bottom w:val="single" w:sz="8" w:space="0" w:color="152935"/>
              <w:right w:val="nil"/>
            </w:tcBorders>
            <w:shd w:val="clear" w:color="auto" w:fill="E0E0E0"/>
          </w:tcPr>
          <w:p w14:paraId="551C690B" w14:textId="77777777" w:rsidR="007F596B" w:rsidRPr="00526DB1" w:rsidRDefault="007F596B" w:rsidP="007F596B">
            <w:pPr>
              <w:rPr>
                <w:rFonts w:ascii="Arial" w:hAnsi="Arial" w:cs="Arial"/>
                <w:sz w:val="22"/>
                <w:szCs w:val="22"/>
              </w:rPr>
            </w:pPr>
          </w:p>
        </w:tc>
        <w:tc>
          <w:tcPr>
            <w:tcW w:w="1262" w:type="dxa"/>
            <w:tcBorders>
              <w:top w:val="single" w:sz="8" w:space="0" w:color="AEAEAE"/>
              <w:left w:val="nil"/>
              <w:bottom w:val="single" w:sz="8" w:space="0" w:color="152935"/>
              <w:right w:val="nil"/>
            </w:tcBorders>
            <w:shd w:val="clear" w:color="auto" w:fill="E0E0E0"/>
          </w:tcPr>
          <w:p w14:paraId="3DF69BD8" w14:textId="77777777" w:rsidR="007F596B" w:rsidRPr="00526DB1" w:rsidRDefault="007F596B" w:rsidP="007F596B">
            <w:pPr>
              <w:spacing w:line="320" w:lineRule="atLeast"/>
              <w:ind w:left="60" w:right="60"/>
              <w:rPr>
                <w:rFonts w:ascii="Arial" w:hAnsi="Arial" w:cs="Arial"/>
                <w:color w:val="264A60"/>
                <w:sz w:val="22"/>
                <w:szCs w:val="22"/>
              </w:rPr>
            </w:pPr>
            <w:r w:rsidRPr="00526DB1">
              <w:rPr>
                <w:rFonts w:ascii="Arial" w:hAnsi="Arial" w:cs="Arial"/>
                <w:color w:val="264A60"/>
                <w:sz w:val="22"/>
                <w:szCs w:val="22"/>
              </w:rPr>
              <w:t>Total</w:t>
            </w:r>
          </w:p>
        </w:tc>
        <w:tc>
          <w:tcPr>
            <w:tcW w:w="1476" w:type="dxa"/>
            <w:tcBorders>
              <w:top w:val="single" w:sz="8" w:space="0" w:color="AEAEAE"/>
              <w:left w:val="nil"/>
              <w:bottom w:val="single" w:sz="8" w:space="0" w:color="152935"/>
              <w:right w:val="single" w:sz="8" w:space="0" w:color="E0E0E0"/>
            </w:tcBorders>
            <w:shd w:val="clear" w:color="auto" w:fill="FFFFFF"/>
          </w:tcPr>
          <w:p w14:paraId="38C586EF" w14:textId="77777777" w:rsidR="007F596B" w:rsidRPr="00526DB1" w:rsidRDefault="007F596B" w:rsidP="007F596B">
            <w:pPr>
              <w:spacing w:line="320" w:lineRule="atLeast"/>
              <w:ind w:left="60" w:right="60"/>
              <w:jc w:val="right"/>
              <w:rPr>
                <w:rFonts w:ascii="Arial" w:hAnsi="Arial" w:cs="Arial"/>
                <w:color w:val="010205"/>
                <w:sz w:val="22"/>
                <w:szCs w:val="22"/>
              </w:rPr>
            </w:pPr>
            <w:r w:rsidRPr="00526DB1">
              <w:rPr>
                <w:rFonts w:ascii="Arial" w:hAnsi="Arial" w:cs="Arial"/>
                <w:color w:val="010205"/>
                <w:sz w:val="22"/>
                <w:szCs w:val="22"/>
              </w:rPr>
              <w:t>71597.792</w:t>
            </w:r>
          </w:p>
        </w:tc>
        <w:tc>
          <w:tcPr>
            <w:tcW w:w="1029" w:type="dxa"/>
            <w:tcBorders>
              <w:top w:val="single" w:sz="8" w:space="0" w:color="AEAEAE"/>
              <w:left w:val="single" w:sz="8" w:space="0" w:color="E0E0E0"/>
              <w:bottom w:val="single" w:sz="8" w:space="0" w:color="152935"/>
              <w:right w:val="single" w:sz="8" w:space="0" w:color="E0E0E0"/>
            </w:tcBorders>
            <w:shd w:val="clear" w:color="auto" w:fill="FFFFFF"/>
          </w:tcPr>
          <w:p w14:paraId="0CD65405" w14:textId="77777777" w:rsidR="007F596B" w:rsidRPr="00526DB1" w:rsidRDefault="007F596B" w:rsidP="007F596B">
            <w:pPr>
              <w:spacing w:line="320" w:lineRule="atLeast"/>
              <w:ind w:left="60" w:right="60"/>
              <w:jc w:val="right"/>
              <w:rPr>
                <w:rFonts w:ascii="Arial" w:hAnsi="Arial" w:cs="Arial"/>
                <w:color w:val="010205"/>
                <w:sz w:val="22"/>
                <w:szCs w:val="22"/>
              </w:rPr>
            </w:pPr>
            <w:r w:rsidRPr="00526DB1">
              <w:rPr>
                <w:rFonts w:ascii="Arial" w:hAnsi="Arial" w:cs="Arial"/>
                <w:color w:val="010205"/>
                <w:sz w:val="22"/>
                <w:szCs w:val="22"/>
              </w:rPr>
              <w:t>198</w:t>
            </w:r>
          </w:p>
        </w:tc>
        <w:tc>
          <w:tcPr>
            <w:tcW w:w="1446" w:type="dxa"/>
            <w:tcBorders>
              <w:top w:val="single" w:sz="8" w:space="0" w:color="AEAEAE"/>
              <w:left w:val="single" w:sz="8" w:space="0" w:color="E0E0E0"/>
              <w:bottom w:val="single" w:sz="8" w:space="0" w:color="152935"/>
              <w:right w:val="single" w:sz="8" w:space="0" w:color="E0E0E0"/>
            </w:tcBorders>
            <w:shd w:val="clear" w:color="auto" w:fill="FFFFFF"/>
            <w:vAlign w:val="center"/>
          </w:tcPr>
          <w:p w14:paraId="15620B73" w14:textId="77777777" w:rsidR="007F596B" w:rsidRPr="00526DB1" w:rsidRDefault="007F596B" w:rsidP="007F596B">
            <w:pPr>
              <w:rPr>
                <w:rFonts w:ascii="Arial" w:hAnsi="Arial" w:cs="Arial"/>
                <w:sz w:val="22"/>
                <w:szCs w:val="22"/>
              </w:rPr>
            </w:pPr>
          </w:p>
        </w:tc>
        <w:tc>
          <w:tcPr>
            <w:tcW w:w="1029" w:type="dxa"/>
            <w:tcBorders>
              <w:top w:val="single" w:sz="8" w:space="0" w:color="AEAEAE"/>
              <w:left w:val="single" w:sz="8" w:space="0" w:color="E0E0E0"/>
              <w:bottom w:val="single" w:sz="8" w:space="0" w:color="152935"/>
              <w:right w:val="single" w:sz="8" w:space="0" w:color="E0E0E0"/>
            </w:tcBorders>
            <w:shd w:val="clear" w:color="auto" w:fill="FFFFFF"/>
            <w:vAlign w:val="center"/>
          </w:tcPr>
          <w:p w14:paraId="6D5E0720" w14:textId="77777777" w:rsidR="007F596B" w:rsidRPr="00526DB1" w:rsidRDefault="007F596B" w:rsidP="007F596B">
            <w:pPr>
              <w:rPr>
                <w:rFonts w:ascii="Arial" w:hAnsi="Arial" w:cs="Arial"/>
                <w:sz w:val="22"/>
                <w:szCs w:val="22"/>
              </w:rPr>
            </w:pPr>
          </w:p>
        </w:tc>
        <w:tc>
          <w:tcPr>
            <w:tcW w:w="1029" w:type="dxa"/>
            <w:tcBorders>
              <w:top w:val="single" w:sz="8" w:space="0" w:color="AEAEAE"/>
              <w:left w:val="single" w:sz="8" w:space="0" w:color="E0E0E0"/>
              <w:bottom w:val="single" w:sz="8" w:space="0" w:color="152935"/>
              <w:right w:val="nil"/>
            </w:tcBorders>
            <w:shd w:val="clear" w:color="auto" w:fill="FFFFFF"/>
            <w:vAlign w:val="center"/>
          </w:tcPr>
          <w:p w14:paraId="4B445A59" w14:textId="77777777" w:rsidR="007F596B" w:rsidRPr="00526DB1" w:rsidRDefault="007F596B" w:rsidP="007F596B">
            <w:pPr>
              <w:rPr>
                <w:rFonts w:ascii="Arial" w:hAnsi="Arial" w:cs="Arial"/>
                <w:sz w:val="22"/>
                <w:szCs w:val="22"/>
              </w:rPr>
            </w:pPr>
          </w:p>
        </w:tc>
      </w:tr>
      <w:tr w:rsidR="007F596B" w:rsidRPr="00526DB1" w14:paraId="2AA41B0E" w14:textId="77777777" w:rsidTr="007F596B">
        <w:trPr>
          <w:gridAfter w:val="1"/>
          <w:wAfter w:w="780" w:type="dxa"/>
          <w:cantSplit/>
        </w:trPr>
        <w:tc>
          <w:tcPr>
            <w:tcW w:w="8009" w:type="dxa"/>
            <w:gridSpan w:val="7"/>
            <w:tcBorders>
              <w:top w:val="nil"/>
              <w:left w:val="nil"/>
              <w:bottom w:val="nil"/>
              <w:right w:val="nil"/>
            </w:tcBorders>
            <w:shd w:val="clear" w:color="auto" w:fill="FFFFFF"/>
          </w:tcPr>
          <w:p w14:paraId="0DB66DEF" w14:textId="77777777" w:rsidR="007F596B" w:rsidRPr="00526DB1" w:rsidRDefault="007F596B" w:rsidP="007F596B">
            <w:pPr>
              <w:spacing w:line="320" w:lineRule="atLeast"/>
              <w:ind w:left="60" w:right="60"/>
              <w:rPr>
                <w:rFonts w:ascii="Arial" w:hAnsi="Arial" w:cs="Arial"/>
                <w:color w:val="010205"/>
                <w:sz w:val="22"/>
                <w:szCs w:val="22"/>
              </w:rPr>
            </w:pPr>
            <w:r w:rsidRPr="00526DB1">
              <w:rPr>
                <w:rFonts w:ascii="Arial" w:hAnsi="Arial" w:cs="Arial"/>
                <w:color w:val="010205"/>
                <w:sz w:val="22"/>
                <w:szCs w:val="22"/>
              </w:rPr>
              <w:t>a. Dependent Variable: RR</w:t>
            </w:r>
          </w:p>
        </w:tc>
      </w:tr>
      <w:tr w:rsidR="007F596B" w:rsidRPr="00526DB1" w14:paraId="6B83FE9C" w14:textId="77777777" w:rsidTr="007F596B">
        <w:trPr>
          <w:gridAfter w:val="1"/>
          <w:wAfter w:w="780" w:type="dxa"/>
          <w:cantSplit/>
        </w:trPr>
        <w:tc>
          <w:tcPr>
            <w:tcW w:w="8009" w:type="dxa"/>
            <w:gridSpan w:val="7"/>
            <w:tcBorders>
              <w:top w:val="nil"/>
              <w:left w:val="nil"/>
              <w:bottom w:val="nil"/>
              <w:right w:val="nil"/>
            </w:tcBorders>
            <w:shd w:val="clear" w:color="auto" w:fill="FFFFFF"/>
          </w:tcPr>
          <w:p w14:paraId="74AEA885" w14:textId="472F0199" w:rsidR="007F596B" w:rsidRPr="00526DB1" w:rsidRDefault="007F596B" w:rsidP="007F596B">
            <w:pPr>
              <w:spacing w:line="320" w:lineRule="atLeast"/>
              <w:ind w:left="60" w:right="60"/>
              <w:rPr>
                <w:rFonts w:ascii="Arial" w:hAnsi="Arial" w:cs="Arial"/>
                <w:color w:val="010205"/>
                <w:sz w:val="22"/>
                <w:szCs w:val="22"/>
              </w:rPr>
            </w:pPr>
            <w:r w:rsidRPr="00526DB1">
              <w:rPr>
                <w:rFonts w:ascii="Arial" w:hAnsi="Arial" w:cs="Arial"/>
                <w:color w:val="010205"/>
                <w:sz w:val="22"/>
                <w:szCs w:val="22"/>
              </w:rPr>
              <w:t xml:space="preserve">b. Predictors: (Constant), </w:t>
            </w:r>
            <w:r w:rsidR="00A06F9A">
              <w:rPr>
                <w:rFonts w:ascii="Arial" w:hAnsi="Arial" w:cs="Arial"/>
                <w:color w:val="010205"/>
                <w:sz w:val="22"/>
                <w:szCs w:val="22"/>
              </w:rPr>
              <w:t xml:space="preserve">Mean </w:t>
            </w:r>
            <w:r w:rsidR="00B75D75">
              <w:rPr>
                <w:rFonts w:ascii="Arial" w:hAnsi="Arial" w:cs="Arial"/>
                <w:color w:val="010205"/>
                <w:sz w:val="22"/>
                <w:szCs w:val="22"/>
              </w:rPr>
              <w:t xml:space="preserve">of </w:t>
            </w:r>
            <w:r w:rsidR="00A06F9A">
              <w:rPr>
                <w:rFonts w:ascii="Arial" w:hAnsi="Arial" w:cs="Arial"/>
                <w:color w:val="010205"/>
                <w:sz w:val="22"/>
                <w:szCs w:val="22"/>
              </w:rPr>
              <w:t>each CTS-R item</w:t>
            </w:r>
          </w:p>
        </w:tc>
      </w:tr>
      <w:tr w:rsidR="007F596B" w:rsidRPr="00526DB1" w14:paraId="06EA2C85" w14:textId="77777777" w:rsidTr="007F596B">
        <w:trPr>
          <w:cantSplit/>
        </w:trPr>
        <w:tc>
          <w:tcPr>
            <w:tcW w:w="8789" w:type="dxa"/>
            <w:gridSpan w:val="8"/>
            <w:tcBorders>
              <w:top w:val="nil"/>
              <w:left w:val="nil"/>
              <w:bottom w:val="nil"/>
              <w:right w:val="nil"/>
            </w:tcBorders>
            <w:shd w:val="clear" w:color="auto" w:fill="FFFFFF"/>
            <w:vAlign w:val="center"/>
          </w:tcPr>
          <w:p w14:paraId="47CDAA3A" w14:textId="476919B2" w:rsidR="007F596B" w:rsidRPr="00526DB1" w:rsidRDefault="007F596B" w:rsidP="00AB36D3">
            <w:pPr>
              <w:spacing w:line="480" w:lineRule="auto"/>
              <w:ind w:right="60"/>
              <w:rPr>
                <w:rFonts w:ascii="Arial" w:hAnsi="Arial" w:cs="Arial"/>
                <w:bCs/>
                <w:color w:val="010205"/>
                <w:sz w:val="22"/>
                <w:szCs w:val="22"/>
              </w:rPr>
            </w:pPr>
            <w:r w:rsidRPr="00526DB1">
              <w:rPr>
                <w:rFonts w:ascii="Arial" w:hAnsi="Arial" w:cs="Arial"/>
                <w:bCs/>
                <w:color w:val="010205"/>
                <w:sz w:val="22"/>
                <w:szCs w:val="22"/>
              </w:rPr>
              <w:lastRenderedPageBreak/>
              <w:t xml:space="preserve">The </w:t>
            </w:r>
            <w:r w:rsidR="00AB36D3">
              <w:rPr>
                <w:rFonts w:ascii="Arial" w:hAnsi="Arial" w:cs="Arial"/>
                <w:bCs/>
                <w:color w:val="010205"/>
                <w:sz w:val="22"/>
                <w:szCs w:val="22"/>
              </w:rPr>
              <w:t xml:space="preserve">linear regression </w:t>
            </w:r>
            <w:r w:rsidRPr="00526DB1">
              <w:rPr>
                <w:rFonts w:ascii="Arial" w:hAnsi="Arial" w:cs="Arial"/>
                <w:bCs/>
                <w:color w:val="010205"/>
                <w:sz w:val="22"/>
                <w:szCs w:val="22"/>
              </w:rPr>
              <w:t>model</w:t>
            </w:r>
            <w:r>
              <w:rPr>
                <w:rFonts w:ascii="Arial" w:hAnsi="Arial" w:cs="Arial"/>
                <w:bCs/>
                <w:color w:val="010205"/>
                <w:sz w:val="22"/>
                <w:szCs w:val="22"/>
              </w:rPr>
              <w:t xml:space="preserve"> </w:t>
            </w:r>
            <w:r w:rsidR="00AB36D3">
              <w:rPr>
                <w:rFonts w:ascii="Arial" w:hAnsi="Arial" w:cs="Arial"/>
                <w:bCs/>
                <w:color w:val="010205"/>
                <w:sz w:val="22"/>
                <w:szCs w:val="22"/>
              </w:rPr>
              <w:t>i</w:t>
            </w:r>
            <w:r>
              <w:rPr>
                <w:rFonts w:ascii="Arial" w:hAnsi="Arial" w:cs="Arial"/>
                <w:bCs/>
                <w:color w:val="010205"/>
                <w:sz w:val="22"/>
                <w:szCs w:val="22"/>
              </w:rPr>
              <w:t xml:space="preserve">s shown in table </w:t>
            </w:r>
            <w:r w:rsidR="00F81982">
              <w:rPr>
                <w:rFonts w:ascii="Arial" w:hAnsi="Arial" w:cs="Arial"/>
                <w:bCs/>
                <w:color w:val="010205"/>
                <w:sz w:val="22"/>
                <w:szCs w:val="22"/>
              </w:rPr>
              <w:t>5</w:t>
            </w:r>
            <w:r>
              <w:rPr>
                <w:rFonts w:ascii="Arial" w:hAnsi="Arial" w:cs="Arial"/>
                <w:bCs/>
                <w:color w:val="010205"/>
                <w:sz w:val="22"/>
                <w:szCs w:val="22"/>
              </w:rPr>
              <w:t>.</w:t>
            </w:r>
            <w:r w:rsidR="00DE1F87">
              <w:rPr>
                <w:rFonts w:ascii="Arial" w:hAnsi="Arial" w:cs="Arial"/>
                <w:bCs/>
                <w:color w:val="010205"/>
                <w:sz w:val="22"/>
                <w:szCs w:val="22"/>
              </w:rPr>
              <w:t>4</w:t>
            </w:r>
            <w:r w:rsidR="00AB36D3">
              <w:rPr>
                <w:rFonts w:ascii="Arial" w:hAnsi="Arial" w:cs="Arial"/>
                <w:bCs/>
                <w:color w:val="010205"/>
                <w:sz w:val="22"/>
                <w:szCs w:val="22"/>
              </w:rPr>
              <w:t>. The model</w:t>
            </w:r>
            <w:r w:rsidRPr="00526DB1">
              <w:rPr>
                <w:rFonts w:ascii="Arial" w:hAnsi="Arial" w:cs="Arial"/>
                <w:bCs/>
                <w:color w:val="010205"/>
                <w:sz w:val="22"/>
                <w:szCs w:val="22"/>
              </w:rPr>
              <w:t xml:space="preserve"> failed to detect a statistically significant effect of any single CTS-R item on </w:t>
            </w:r>
            <w:r w:rsidR="00AB36D3">
              <w:rPr>
                <w:rFonts w:ascii="Arial" w:hAnsi="Arial" w:cs="Arial"/>
                <w:bCs/>
                <w:color w:val="010205"/>
                <w:sz w:val="22"/>
                <w:szCs w:val="22"/>
              </w:rPr>
              <w:t>clinical outcome</w:t>
            </w:r>
            <w:r w:rsidRPr="00526DB1">
              <w:rPr>
                <w:rFonts w:ascii="Arial" w:hAnsi="Arial" w:cs="Arial"/>
                <w:bCs/>
                <w:color w:val="010205"/>
                <w:sz w:val="22"/>
                <w:szCs w:val="22"/>
              </w:rPr>
              <w:t xml:space="preserve">, using recovery as the dependent variable. </w:t>
            </w:r>
            <w:r w:rsidRPr="00CF1079">
              <w:rPr>
                <w:rFonts w:ascii="Arial" w:hAnsi="Arial" w:cs="Arial"/>
                <w:bCs/>
                <w:color w:val="010205"/>
                <w:sz w:val="22"/>
                <w:szCs w:val="22"/>
              </w:rPr>
              <w:t xml:space="preserve">The </w:t>
            </w:r>
            <w:r w:rsidR="006963A8" w:rsidRPr="00CF1079">
              <w:rPr>
                <w:rFonts w:ascii="Arial" w:hAnsi="Arial" w:cs="Arial"/>
                <w:bCs/>
                <w:color w:val="010205"/>
                <w:sz w:val="22"/>
                <w:szCs w:val="22"/>
              </w:rPr>
              <w:t>coefficients from the model</w:t>
            </w:r>
            <w:r w:rsidRPr="00526DB1">
              <w:rPr>
                <w:rFonts w:ascii="Arial" w:hAnsi="Arial" w:cs="Arial"/>
                <w:bCs/>
                <w:color w:val="010205"/>
                <w:sz w:val="22"/>
                <w:szCs w:val="22"/>
              </w:rPr>
              <w:t xml:space="preserve"> are reported in table </w:t>
            </w:r>
            <w:r w:rsidR="00F81982">
              <w:rPr>
                <w:rFonts w:ascii="Arial" w:hAnsi="Arial" w:cs="Arial"/>
                <w:bCs/>
                <w:color w:val="010205"/>
                <w:sz w:val="22"/>
                <w:szCs w:val="22"/>
              </w:rPr>
              <w:t>5</w:t>
            </w:r>
            <w:r>
              <w:rPr>
                <w:rFonts w:ascii="Arial" w:hAnsi="Arial" w:cs="Arial"/>
                <w:bCs/>
                <w:color w:val="010205"/>
                <w:sz w:val="22"/>
                <w:szCs w:val="22"/>
              </w:rPr>
              <w:t>.</w:t>
            </w:r>
            <w:r w:rsidR="00DE1F87">
              <w:rPr>
                <w:rFonts w:ascii="Arial" w:hAnsi="Arial" w:cs="Arial"/>
                <w:bCs/>
                <w:color w:val="010205"/>
                <w:sz w:val="22"/>
                <w:szCs w:val="22"/>
              </w:rPr>
              <w:t>5</w:t>
            </w:r>
            <w:r w:rsidR="002A4681">
              <w:rPr>
                <w:rFonts w:ascii="Arial" w:hAnsi="Arial" w:cs="Arial"/>
                <w:bCs/>
                <w:color w:val="010205"/>
                <w:sz w:val="22"/>
                <w:szCs w:val="22"/>
              </w:rPr>
              <w:t xml:space="preserve"> </w:t>
            </w:r>
            <w:r w:rsidR="00BF7F51" w:rsidRPr="00CF1079">
              <w:rPr>
                <w:rFonts w:ascii="Arial" w:hAnsi="Arial" w:cs="Arial"/>
                <w:bCs/>
                <w:color w:val="010205"/>
                <w:sz w:val="22"/>
                <w:szCs w:val="22"/>
              </w:rPr>
              <w:t>showing that none of the individual items</w:t>
            </w:r>
            <w:r w:rsidR="006571F2" w:rsidRPr="00CF1079">
              <w:rPr>
                <w:rFonts w:ascii="Arial" w:hAnsi="Arial" w:cs="Arial"/>
                <w:bCs/>
                <w:color w:val="010205"/>
                <w:sz w:val="22"/>
                <w:szCs w:val="22"/>
              </w:rPr>
              <w:t xml:space="preserve"> were significant.</w:t>
            </w:r>
          </w:p>
          <w:p w14:paraId="2EE35631" w14:textId="77777777" w:rsidR="007F596B" w:rsidRPr="00526DB1" w:rsidRDefault="007F596B" w:rsidP="00D34E77">
            <w:pPr>
              <w:spacing w:line="480" w:lineRule="auto"/>
              <w:ind w:right="60"/>
              <w:rPr>
                <w:rFonts w:ascii="Arial" w:hAnsi="Arial" w:cs="Arial"/>
                <w:bCs/>
                <w:color w:val="010205"/>
                <w:sz w:val="22"/>
                <w:szCs w:val="22"/>
              </w:rPr>
            </w:pPr>
          </w:p>
          <w:p w14:paraId="4F84D18C" w14:textId="54318CC2" w:rsidR="00D34E77" w:rsidRDefault="00D34E77" w:rsidP="00D34E77">
            <w:pPr>
              <w:pStyle w:val="Tables"/>
              <w:rPr>
                <w:b w:val="0"/>
              </w:rPr>
            </w:pPr>
            <w:bookmarkStart w:id="371" w:name="_Toc28347784"/>
            <w:bookmarkStart w:id="372" w:name="_Toc46770985"/>
            <w:r w:rsidRPr="0046633F">
              <w:t xml:space="preserve">Table 5.5 </w:t>
            </w:r>
            <w:r w:rsidRPr="00D34E77">
              <w:rPr>
                <w:b w:val="0"/>
              </w:rPr>
              <w:t>Coefficients from linear regression model</w:t>
            </w:r>
            <w:bookmarkEnd w:id="371"/>
            <w:r w:rsidR="006447EE">
              <w:rPr>
                <w:b w:val="0"/>
              </w:rPr>
              <w:t xml:space="preserve"> </w:t>
            </w:r>
            <w:r w:rsidR="006447EE" w:rsidRPr="00CF1079">
              <w:rPr>
                <w:b w:val="0"/>
              </w:rPr>
              <w:t>showing no significant findings</w:t>
            </w:r>
            <w:bookmarkEnd w:id="372"/>
          </w:p>
          <w:p w14:paraId="5A4F6A51" w14:textId="77777777" w:rsidR="00D34E77" w:rsidRDefault="00D34E77" w:rsidP="00D34E77">
            <w:pPr>
              <w:pStyle w:val="Tables"/>
            </w:pPr>
          </w:p>
          <w:tbl>
            <w:tblPr>
              <w:tblStyle w:val="TableGrid"/>
              <w:tblW w:w="0" w:type="auto"/>
              <w:tblInd w:w="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3"/>
              <w:gridCol w:w="1553"/>
              <w:gridCol w:w="1554"/>
              <w:gridCol w:w="1554"/>
              <w:gridCol w:w="1554"/>
            </w:tblGrid>
            <w:tr w:rsidR="007F596B" w:rsidRPr="00526DB1" w14:paraId="56D36C47" w14:textId="77777777" w:rsidTr="00687C44">
              <w:tc>
                <w:tcPr>
                  <w:tcW w:w="1553" w:type="dxa"/>
                  <w:tcBorders>
                    <w:top w:val="single" w:sz="4" w:space="0" w:color="auto"/>
                    <w:bottom w:val="single" w:sz="4" w:space="0" w:color="auto"/>
                  </w:tcBorders>
                </w:tcPr>
                <w:p w14:paraId="248A81AF" w14:textId="77777777" w:rsidR="007F596B" w:rsidRPr="00526DB1" w:rsidRDefault="007F596B" w:rsidP="007F596B">
                  <w:pPr>
                    <w:spacing w:line="480" w:lineRule="auto"/>
                    <w:ind w:right="60"/>
                    <w:rPr>
                      <w:rFonts w:ascii="Arial" w:hAnsi="Arial" w:cs="Arial"/>
                      <w:b/>
                      <w:bCs/>
                      <w:color w:val="010205"/>
                      <w:sz w:val="22"/>
                      <w:szCs w:val="22"/>
                    </w:rPr>
                  </w:pPr>
                  <w:r w:rsidRPr="00526DB1">
                    <w:rPr>
                      <w:rFonts w:ascii="Arial" w:hAnsi="Arial" w:cs="Arial"/>
                      <w:b/>
                      <w:bCs/>
                      <w:color w:val="010205"/>
                      <w:sz w:val="22"/>
                      <w:szCs w:val="22"/>
                    </w:rPr>
                    <w:t>CTS-R item</w:t>
                  </w:r>
                </w:p>
              </w:tc>
              <w:tc>
                <w:tcPr>
                  <w:tcW w:w="1553" w:type="dxa"/>
                  <w:tcBorders>
                    <w:top w:val="single" w:sz="4" w:space="0" w:color="auto"/>
                    <w:bottom w:val="single" w:sz="4" w:space="0" w:color="auto"/>
                  </w:tcBorders>
                </w:tcPr>
                <w:p w14:paraId="709DE552" w14:textId="77777777" w:rsidR="007F596B" w:rsidRPr="00526DB1" w:rsidRDefault="007F596B" w:rsidP="007F596B">
                  <w:pPr>
                    <w:spacing w:line="480" w:lineRule="auto"/>
                    <w:ind w:right="60"/>
                    <w:jc w:val="center"/>
                    <w:rPr>
                      <w:rFonts w:ascii="Arial" w:hAnsi="Arial" w:cs="Arial"/>
                      <w:b/>
                      <w:bCs/>
                      <w:color w:val="010205"/>
                      <w:sz w:val="22"/>
                      <w:szCs w:val="22"/>
                    </w:rPr>
                  </w:pPr>
                  <w:r w:rsidRPr="00526DB1">
                    <w:rPr>
                      <w:rFonts w:ascii="Arial" w:hAnsi="Arial" w:cs="Arial"/>
                      <w:b/>
                      <w:bCs/>
                      <w:color w:val="010205"/>
                      <w:sz w:val="22"/>
                      <w:szCs w:val="22"/>
                    </w:rPr>
                    <w:t>B</w:t>
                  </w:r>
                </w:p>
              </w:tc>
              <w:tc>
                <w:tcPr>
                  <w:tcW w:w="1554" w:type="dxa"/>
                  <w:tcBorders>
                    <w:top w:val="single" w:sz="4" w:space="0" w:color="auto"/>
                    <w:bottom w:val="single" w:sz="4" w:space="0" w:color="auto"/>
                  </w:tcBorders>
                </w:tcPr>
                <w:p w14:paraId="74737751" w14:textId="77777777" w:rsidR="007F596B" w:rsidRPr="00526DB1" w:rsidRDefault="007F596B" w:rsidP="007F596B">
                  <w:pPr>
                    <w:spacing w:line="480" w:lineRule="auto"/>
                    <w:ind w:right="60"/>
                    <w:jc w:val="center"/>
                    <w:rPr>
                      <w:rFonts w:ascii="Arial" w:hAnsi="Arial" w:cs="Arial"/>
                      <w:b/>
                      <w:bCs/>
                      <w:color w:val="010205"/>
                      <w:sz w:val="22"/>
                      <w:szCs w:val="22"/>
                    </w:rPr>
                  </w:pPr>
                  <w:r w:rsidRPr="00526DB1">
                    <w:rPr>
                      <w:rFonts w:ascii="Arial" w:hAnsi="Arial" w:cs="Arial"/>
                      <w:b/>
                      <w:bCs/>
                      <w:color w:val="010205"/>
                      <w:sz w:val="22"/>
                      <w:szCs w:val="22"/>
                    </w:rPr>
                    <w:t>SE</w:t>
                  </w:r>
                </w:p>
              </w:tc>
              <w:tc>
                <w:tcPr>
                  <w:tcW w:w="1554" w:type="dxa"/>
                  <w:tcBorders>
                    <w:top w:val="single" w:sz="4" w:space="0" w:color="auto"/>
                    <w:bottom w:val="single" w:sz="4" w:space="0" w:color="auto"/>
                  </w:tcBorders>
                </w:tcPr>
                <w:p w14:paraId="0CB55A70" w14:textId="77777777" w:rsidR="007F596B" w:rsidRPr="00526DB1" w:rsidRDefault="007F596B" w:rsidP="007F596B">
                  <w:pPr>
                    <w:spacing w:line="480" w:lineRule="auto"/>
                    <w:ind w:right="60"/>
                    <w:jc w:val="center"/>
                    <w:rPr>
                      <w:rFonts w:ascii="Arial" w:hAnsi="Arial" w:cs="Arial"/>
                      <w:b/>
                      <w:bCs/>
                      <w:color w:val="010205"/>
                      <w:sz w:val="22"/>
                      <w:szCs w:val="22"/>
                    </w:rPr>
                  </w:pPr>
                  <w:r w:rsidRPr="00526DB1">
                    <w:rPr>
                      <w:rFonts w:ascii="Arial" w:hAnsi="Arial" w:cs="Arial"/>
                      <w:b/>
                      <w:bCs/>
                      <w:color w:val="010205"/>
                      <w:sz w:val="22"/>
                      <w:szCs w:val="22"/>
                    </w:rPr>
                    <w:t>t</w:t>
                  </w:r>
                </w:p>
              </w:tc>
              <w:tc>
                <w:tcPr>
                  <w:tcW w:w="1554" w:type="dxa"/>
                  <w:tcBorders>
                    <w:top w:val="single" w:sz="4" w:space="0" w:color="auto"/>
                    <w:bottom w:val="single" w:sz="4" w:space="0" w:color="auto"/>
                  </w:tcBorders>
                </w:tcPr>
                <w:p w14:paraId="245B1F7B" w14:textId="77777777" w:rsidR="007F596B" w:rsidRPr="00526DB1" w:rsidRDefault="007F596B" w:rsidP="007F596B">
                  <w:pPr>
                    <w:spacing w:line="480" w:lineRule="auto"/>
                    <w:ind w:right="60"/>
                    <w:jc w:val="center"/>
                    <w:rPr>
                      <w:rFonts w:ascii="Arial" w:hAnsi="Arial" w:cs="Arial"/>
                      <w:b/>
                      <w:bCs/>
                      <w:color w:val="010205"/>
                      <w:sz w:val="22"/>
                      <w:szCs w:val="22"/>
                    </w:rPr>
                  </w:pPr>
                  <w:r w:rsidRPr="00526DB1">
                    <w:rPr>
                      <w:rFonts w:ascii="Arial" w:hAnsi="Arial" w:cs="Arial"/>
                      <w:b/>
                      <w:bCs/>
                      <w:color w:val="010205"/>
                      <w:sz w:val="22"/>
                      <w:szCs w:val="22"/>
                    </w:rPr>
                    <w:t>Sig.</w:t>
                  </w:r>
                </w:p>
              </w:tc>
            </w:tr>
            <w:tr w:rsidR="007F596B" w:rsidRPr="00526DB1" w14:paraId="4FA987EC" w14:textId="77777777" w:rsidTr="00687C44">
              <w:tc>
                <w:tcPr>
                  <w:tcW w:w="1553" w:type="dxa"/>
                  <w:tcBorders>
                    <w:top w:val="single" w:sz="4" w:space="0" w:color="auto"/>
                  </w:tcBorders>
                </w:tcPr>
                <w:p w14:paraId="07EDBB49" w14:textId="77777777" w:rsidR="007F596B" w:rsidRPr="00526DB1" w:rsidRDefault="007F596B" w:rsidP="007F596B">
                  <w:pPr>
                    <w:spacing w:line="480" w:lineRule="auto"/>
                    <w:ind w:right="60"/>
                    <w:rPr>
                      <w:rFonts w:ascii="Arial" w:hAnsi="Arial" w:cs="Arial"/>
                      <w:bCs/>
                      <w:color w:val="010205"/>
                      <w:sz w:val="22"/>
                      <w:szCs w:val="22"/>
                    </w:rPr>
                  </w:pPr>
                  <w:r w:rsidRPr="00526DB1">
                    <w:rPr>
                      <w:rFonts w:ascii="Arial" w:hAnsi="Arial" w:cs="Arial"/>
                      <w:bCs/>
                      <w:color w:val="010205"/>
                      <w:sz w:val="22"/>
                      <w:szCs w:val="22"/>
                    </w:rPr>
                    <w:t xml:space="preserve">          1</w:t>
                  </w:r>
                </w:p>
              </w:tc>
              <w:tc>
                <w:tcPr>
                  <w:tcW w:w="1553" w:type="dxa"/>
                  <w:tcBorders>
                    <w:top w:val="single" w:sz="4" w:space="0" w:color="auto"/>
                  </w:tcBorders>
                </w:tcPr>
                <w:p w14:paraId="46368AAE"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-.993</w:t>
                  </w:r>
                </w:p>
              </w:tc>
              <w:tc>
                <w:tcPr>
                  <w:tcW w:w="1554" w:type="dxa"/>
                  <w:tcBorders>
                    <w:top w:val="single" w:sz="4" w:space="0" w:color="auto"/>
                  </w:tcBorders>
                </w:tcPr>
                <w:p w14:paraId="357300AA"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1.597</w:t>
                  </w:r>
                </w:p>
              </w:tc>
              <w:tc>
                <w:tcPr>
                  <w:tcW w:w="1554" w:type="dxa"/>
                  <w:tcBorders>
                    <w:top w:val="single" w:sz="4" w:space="0" w:color="auto"/>
                  </w:tcBorders>
                </w:tcPr>
                <w:p w14:paraId="17ED503A"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-.622</w:t>
                  </w:r>
                </w:p>
              </w:tc>
              <w:tc>
                <w:tcPr>
                  <w:tcW w:w="1554" w:type="dxa"/>
                  <w:tcBorders>
                    <w:top w:val="single" w:sz="4" w:space="0" w:color="auto"/>
                  </w:tcBorders>
                </w:tcPr>
                <w:p w14:paraId="062B8C14"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.535</w:t>
                  </w:r>
                </w:p>
              </w:tc>
            </w:tr>
            <w:tr w:rsidR="007F596B" w:rsidRPr="00526DB1" w14:paraId="07B20AC0" w14:textId="77777777" w:rsidTr="007F596B">
              <w:tc>
                <w:tcPr>
                  <w:tcW w:w="1553" w:type="dxa"/>
                </w:tcPr>
                <w:p w14:paraId="35D04C77"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2</w:t>
                  </w:r>
                </w:p>
              </w:tc>
              <w:tc>
                <w:tcPr>
                  <w:tcW w:w="1553" w:type="dxa"/>
                </w:tcPr>
                <w:p w14:paraId="13124202"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5.758</w:t>
                  </w:r>
                </w:p>
              </w:tc>
              <w:tc>
                <w:tcPr>
                  <w:tcW w:w="1554" w:type="dxa"/>
                </w:tcPr>
                <w:p w14:paraId="3E7AF2DC"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3.465</w:t>
                  </w:r>
                </w:p>
              </w:tc>
              <w:tc>
                <w:tcPr>
                  <w:tcW w:w="1554" w:type="dxa"/>
                </w:tcPr>
                <w:p w14:paraId="0DC3BB3D"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1.662</w:t>
                  </w:r>
                </w:p>
              </w:tc>
              <w:tc>
                <w:tcPr>
                  <w:tcW w:w="1554" w:type="dxa"/>
                </w:tcPr>
                <w:p w14:paraId="28F2DA6B"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.098</w:t>
                  </w:r>
                </w:p>
              </w:tc>
            </w:tr>
            <w:tr w:rsidR="007F596B" w:rsidRPr="00526DB1" w14:paraId="75D127DC" w14:textId="77777777" w:rsidTr="007F596B">
              <w:tc>
                <w:tcPr>
                  <w:tcW w:w="1553" w:type="dxa"/>
                </w:tcPr>
                <w:p w14:paraId="54530CFD"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3</w:t>
                  </w:r>
                </w:p>
              </w:tc>
              <w:tc>
                <w:tcPr>
                  <w:tcW w:w="1553" w:type="dxa"/>
                </w:tcPr>
                <w:p w14:paraId="11262A51"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-4.052</w:t>
                  </w:r>
                </w:p>
              </w:tc>
              <w:tc>
                <w:tcPr>
                  <w:tcW w:w="1554" w:type="dxa"/>
                </w:tcPr>
                <w:p w14:paraId="00322831"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3.756</w:t>
                  </w:r>
                </w:p>
              </w:tc>
              <w:tc>
                <w:tcPr>
                  <w:tcW w:w="1554" w:type="dxa"/>
                </w:tcPr>
                <w:p w14:paraId="1F3C8D36"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-1.079</w:t>
                  </w:r>
                </w:p>
              </w:tc>
              <w:tc>
                <w:tcPr>
                  <w:tcW w:w="1554" w:type="dxa"/>
                </w:tcPr>
                <w:p w14:paraId="710206F0"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.282</w:t>
                  </w:r>
                </w:p>
              </w:tc>
            </w:tr>
            <w:tr w:rsidR="007F596B" w:rsidRPr="00526DB1" w14:paraId="20349B80" w14:textId="77777777" w:rsidTr="007F596B">
              <w:tc>
                <w:tcPr>
                  <w:tcW w:w="1553" w:type="dxa"/>
                </w:tcPr>
                <w:p w14:paraId="73F31ABB"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4</w:t>
                  </w:r>
                </w:p>
              </w:tc>
              <w:tc>
                <w:tcPr>
                  <w:tcW w:w="1553" w:type="dxa"/>
                </w:tcPr>
                <w:p w14:paraId="505562DB"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-2.216</w:t>
                  </w:r>
                </w:p>
              </w:tc>
              <w:tc>
                <w:tcPr>
                  <w:tcW w:w="1554" w:type="dxa"/>
                </w:tcPr>
                <w:p w14:paraId="76BE4D30"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3.086</w:t>
                  </w:r>
                </w:p>
              </w:tc>
              <w:tc>
                <w:tcPr>
                  <w:tcW w:w="1554" w:type="dxa"/>
                </w:tcPr>
                <w:p w14:paraId="7DA41E46"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-.718</w:t>
                  </w:r>
                </w:p>
              </w:tc>
              <w:tc>
                <w:tcPr>
                  <w:tcW w:w="1554" w:type="dxa"/>
                </w:tcPr>
                <w:p w14:paraId="1C2A5CBE"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.474</w:t>
                  </w:r>
                </w:p>
              </w:tc>
            </w:tr>
            <w:tr w:rsidR="007F596B" w:rsidRPr="00526DB1" w14:paraId="029BF314" w14:textId="77777777" w:rsidTr="007F596B">
              <w:tc>
                <w:tcPr>
                  <w:tcW w:w="1553" w:type="dxa"/>
                </w:tcPr>
                <w:p w14:paraId="1D3E3300"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5</w:t>
                  </w:r>
                </w:p>
              </w:tc>
              <w:tc>
                <w:tcPr>
                  <w:tcW w:w="1553" w:type="dxa"/>
                </w:tcPr>
                <w:p w14:paraId="763754FF"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-1.866</w:t>
                  </w:r>
                </w:p>
              </w:tc>
              <w:tc>
                <w:tcPr>
                  <w:tcW w:w="1554" w:type="dxa"/>
                </w:tcPr>
                <w:p w14:paraId="43C4BE36"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3.462</w:t>
                  </w:r>
                </w:p>
              </w:tc>
              <w:tc>
                <w:tcPr>
                  <w:tcW w:w="1554" w:type="dxa"/>
                </w:tcPr>
                <w:p w14:paraId="6DC1F5F5"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-.539</w:t>
                  </w:r>
                </w:p>
              </w:tc>
              <w:tc>
                <w:tcPr>
                  <w:tcW w:w="1554" w:type="dxa"/>
                </w:tcPr>
                <w:p w14:paraId="450597C3"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.590</w:t>
                  </w:r>
                </w:p>
              </w:tc>
            </w:tr>
            <w:tr w:rsidR="007F596B" w:rsidRPr="00526DB1" w14:paraId="53EAD79B" w14:textId="77777777" w:rsidTr="007F596B">
              <w:tc>
                <w:tcPr>
                  <w:tcW w:w="1553" w:type="dxa"/>
                </w:tcPr>
                <w:p w14:paraId="33C8F493"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6</w:t>
                  </w:r>
                </w:p>
              </w:tc>
              <w:tc>
                <w:tcPr>
                  <w:tcW w:w="1553" w:type="dxa"/>
                </w:tcPr>
                <w:p w14:paraId="3F5B689F"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2.464</w:t>
                  </w:r>
                </w:p>
              </w:tc>
              <w:tc>
                <w:tcPr>
                  <w:tcW w:w="1554" w:type="dxa"/>
                </w:tcPr>
                <w:p w14:paraId="30C9759A"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2.961</w:t>
                  </w:r>
                </w:p>
              </w:tc>
              <w:tc>
                <w:tcPr>
                  <w:tcW w:w="1554" w:type="dxa"/>
                </w:tcPr>
                <w:p w14:paraId="3BB1669E"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.832</w:t>
                  </w:r>
                </w:p>
              </w:tc>
              <w:tc>
                <w:tcPr>
                  <w:tcW w:w="1554" w:type="dxa"/>
                </w:tcPr>
                <w:p w14:paraId="1FBA94CA"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.406</w:t>
                  </w:r>
                </w:p>
              </w:tc>
            </w:tr>
            <w:tr w:rsidR="007F596B" w:rsidRPr="00526DB1" w14:paraId="337C2985" w14:textId="77777777" w:rsidTr="007F596B">
              <w:tc>
                <w:tcPr>
                  <w:tcW w:w="1553" w:type="dxa"/>
                </w:tcPr>
                <w:p w14:paraId="735E476C"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7</w:t>
                  </w:r>
                </w:p>
              </w:tc>
              <w:tc>
                <w:tcPr>
                  <w:tcW w:w="1553" w:type="dxa"/>
                </w:tcPr>
                <w:p w14:paraId="02E6EC94"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.376</w:t>
                  </w:r>
                </w:p>
              </w:tc>
              <w:tc>
                <w:tcPr>
                  <w:tcW w:w="1554" w:type="dxa"/>
                </w:tcPr>
                <w:p w14:paraId="700EA46F"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3.045</w:t>
                  </w:r>
                </w:p>
              </w:tc>
              <w:tc>
                <w:tcPr>
                  <w:tcW w:w="1554" w:type="dxa"/>
                </w:tcPr>
                <w:p w14:paraId="7CC718C7"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.124</w:t>
                  </w:r>
                </w:p>
              </w:tc>
              <w:tc>
                <w:tcPr>
                  <w:tcW w:w="1554" w:type="dxa"/>
                </w:tcPr>
                <w:p w14:paraId="7D0E9522"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.902</w:t>
                  </w:r>
                </w:p>
              </w:tc>
            </w:tr>
            <w:tr w:rsidR="007F596B" w:rsidRPr="00526DB1" w14:paraId="1744E527" w14:textId="77777777" w:rsidTr="007F596B">
              <w:tc>
                <w:tcPr>
                  <w:tcW w:w="1553" w:type="dxa"/>
                </w:tcPr>
                <w:p w14:paraId="3D51AA02"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8</w:t>
                  </w:r>
                </w:p>
              </w:tc>
              <w:tc>
                <w:tcPr>
                  <w:tcW w:w="1553" w:type="dxa"/>
                </w:tcPr>
                <w:p w14:paraId="00F3EEA4"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.594</w:t>
                  </w:r>
                </w:p>
              </w:tc>
              <w:tc>
                <w:tcPr>
                  <w:tcW w:w="1554" w:type="dxa"/>
                </w:tcPr>
                <w:p w14:paraId="2916A9E0"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2.761</w:t>
                  </w:r>
                </w:p>
              </w:tc>
              <w:tc>
                <w:tcPr>
                  <w:tcW w:w="1554" w:type="dxa"/>
                </w:tcPr>
                <w:p w14:paraId="657FB4DD"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.215</w:t>
                  </w:r>
                </w:p>
              </w:tc>
              <w:tc>
                <w:tcPr>
                  <w:tcW w:w="1554" w:type="dxa"/>
                </w:tcPr>
                <w:p w14:paraId="6F4A7A5B"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.830</w:t>
                  </w:r>
                </w:p>
              </w:tc>
            </w:tr>
            <w:tr w:rsidR="007F596B" w:rsidRPr="00526DB1" w14:paraId="6A370A94" w14:textId="77777777" w:rsidTr="007F596B">
              <w:tc>
                <w:tcPr>
                  <w:tcW w:w="1553" w:type="dxa"/>
                </w:tcPr>
                <w:p w14:paraId="4917D8D1"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9</w:t>
                  </w:r>
                </w:p>
              </w:tc>
              <w:tc>
                <w:tcPr>
                  <w:tcW w:w="1553" w:type="dxa"/>
                </w:tcPr>
                <w:p w14:paraId="32E5A6FD"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5.248</w:t>
                  </w:r>
                </w:p>
              </w:tc>
              <w:tc>
                <w:tcPr>
                  <w:tcW w:w="1554" w:type="dxa"/>
                </w:tcPr>
                <w:p w14:paraId="2F440251"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3.198</w:t>
                  </w:r>
                </w:p>
              </w:tc>
              <w:tc>
                <w:tcPr>
                  <w:tcW w:w="1554" w:type="dxa"/>
                </w:tcPr>
                <w:p w14:paraId="5F199F10"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1.641</w:t>
                  </w:r>
                </w:p>
              </w:tc>
              <w:tc>
                <w:tcPr>
                  <w:tcW w:w="1554" w:type="dxa"/>
                </w:tcPr>
                <w:p w14:paraId="74F80725"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.103</w:t>
                  </w:r>
                </w:p>
              </w:tc>
            </w:tr>
            <w:tr w:rsidR="007F596B" w:rsidRPr="00526DB1" w14:paraId="3612FB61" w14:textId="77777777" w:rsidTr="007F596B">
              <w:tc>
                <w:tcPr>
                  <w:tcW w:w="1553" w:type="dxa"/>
                </w:tcPr>
                <w:p w14:paraId="5C9DBE95"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10</w:t>
                  </w:r>
                </w:p>
              </w:tc>
              <w:tc>
                <w:tcPr>
                  <w:tcW w:w="1553" w:type="dxa"/>
                </w:tcPr>
                <w:p w14:paraId="2AA54CC5"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.148</w:t>
                  </w:r>
                </w:p>
              </w:tc>
              <w:tc>
                <w:tcPr>
                  <w:tcW w:w="1554" w:type="dxa"/>
                </w:tcPr>
                <w:p w14:paraId="227EF7F6"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2.095</w:t>
                  </w:r>
                </w:p>
              </w:tc>
              <w:tc>
                <w:tcPr>
                  <w:tcW w:w="1554" w:type="dxa"/>
                </w:tcPr>
                <w:p w14:paraId="7BFB5C66"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.071</w:t>
                  </w:r>
                </w:p>
              </w:tc>
              <w:tc>
                <w:tcPr>
                  <w:tcW w:w="1554" w:type="dxa"/>
                </w:tcPr>
                <w:p w14:paraId="7514B28F"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.944</w:t>
                  </w:r>
                </w:p>
              </w:tc>
            </w:tr>
            <w:tr w:rsidR="007F596B" w:rsidRPr="00526DB1" w14:paraId="40D91BA6" w14:textId="77777777" w:rsidTr="007F596B">
              <w:tc>
                <w:tcPr>
                  <w:tcW w:w="1553" w:type="dxa"/>
                </w:tcPr>
                <w:p w14:paraId="11429394"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11</w:t>
                  </w:r>
                </w:p>
              </w:tc>
              <w:tc>
                <w:tcPr>
                  <w:tcW w:w="1553" w:type="dxa"/>
                </w:tcPr>
                <w:p w14:paraId="4224585A"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-.512</w:t>
                  </w:r>
                </w:p>
              </w:tc>
              <w:tc>
                <w:tcPr>
                  <w:tcW w:w="1554" w:type="dxa"/>
                </w:tcPr>
                <w:p w14:paraId="075E4865"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2.720</w:t>
                  </w:r>
                </w:p>
              </w:tc>
              <w:tc>
                <w:tcPr>
                  <w:tcW w:w="1554" w:type="dxa"/>
                </w:tcPr>
                <w:p w14:paraId="470BFA0C"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-.188</w:t>
                  </w:r>
                </w:p>
              </w:tc>
              <w:tc>
                <w:tcPr>
                  <w:tcW w:w="1554" w:type="dxa"/>
                </w:tcPr>
                <w:p w14:paraId="31847068"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.851</w:t>
                  </w:r>
                </w:p>
              </w:tc>
            </w:tr>
            <w:tr w:rsidR="007F596B" w:rsidRPr="00526DB1" w14:paraId="11078697" w14:textId="77777777" w:rsidTr="007F596B">
              <w:tc>
                <w:tcPr>
                  <w:tcW w:w="1553" w:type="dxa"/>
                </w:tcPr>
                <w:p w14:paraId="64068F49"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12</w:t>
                  </w:r>
                </w:p>
              </w:tc>
              <w:tc>
                <w:tcPr>
                  <w:tcW w:w="1553" w:type="dxa"/>
                </w:tcPr>
                <w:p w14:paraId="6AB3D782"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-.949</w:t>
                  </w:r>
                </w:p>
              </w:tc>
              <w:tc>
                <w:tcPr>
                  <w:tcW w:w="1554" w:type="dxa"/>
                </w:tcPr>
                <w:p w14:paraId="105F76F6"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2.706</w:t>
                  </w:r>
                </w:p>
              </w:tc>
              <w:tc>
                <w:tcPr>
                  <w:tcW w:w="1554" w:type="dxa"/>
                </w:tcPr>
                <w:p w14:paraId="396381F3"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-.351</w:t>
                  </w:r>
                </w:p>
              </w:tc>
              <w:tc>
                <w:tcPr>
                  <w:tcW w:w="1554" w:type="dxa"/>
                </w:tcPr>
                <w:p w14:paraId="397D252A" w14:textId="77777777" w:rsidR="007F596B" w:rsidRPr="00526DB1" w:rsidRDefault="007F596B" w:rsidP="007F596B">
                  <w:pPr>
                    <w:spacing w:line="480" w:lineRule="auto"/>
                    <w:ind w:right="60"/>
                    <w:jc w:val="center"/>
                    <w:rPr>
                      <w:rFonts w:ascii="Arial" w:hAnsi="Arial" w:cs="Arial"/>
                      <w:bCs/>
                      <w:color w:val="010205"/>
                      <w:sz w:val="22"/>
                      <w:szCs w:val="22"/>
                    </w:rPr>
                  </w:pPr>
                  <w:r w:rsidRPr="00526DB1">
                    <w:rPr>
                      <w:rFonts w:ascii="Arial" w:hAnsi="Arial" w:cs="Arial"/>
                      <w:bCs/>
                      <w:color w:val="010205"/>
                      <w:sz w:val="22"/>
                      <w:szCs w:val="22"/>
                    </w:rPr>
                    <w:t>.726</w:t>
                  </w:r>
                </w:p>
              </w:tc>
            </w:tr>
          </w:tbl>
          <w:p w14:paraId="68C30986" w14:textId="77777777" w:rsidR="007F596B" w:rsidRPr="00526DB1" w:rsidRDefault="007F596B" w:rsidP="007F596B">
            <w:pPr>
              <w:spacing w:line="480" w:lineRule="auto"/>
              <w:ind w:left="60" w:right="60"/>
              <w:jc w:val="center"/>
              <w:rPr>
                <w:rFonts w:ascii="Arial" w:hAnsi="Arial" w:cs="Arial"/>
                <w:b/>
                <w:bCs/>
                <w:color w:val="010205"/>
                <w:sz w:val="22"/>
                <w:szCs w:val="22"/>
              </w:rPr>
            </w:pPr>
          </w:p>
          <w:p w14:paraId="1D513C23" w14:textId="77777777" w:rsidR="007F596B" w:rsidRPr="00526DB1" w:rsidRDefault="007F596B" w:rsidP="007F596B">
            <w:pPr>
              <w:spacing w:line="480" w:lineRule="auto"/>
              <w:ind w:right="60"/>
              <w:rPr>
                <w:rFonts w:ascii="Arial" w:hAnsi="Arial" w:cs="Arial"/>
                <w:b/>
                <w:bCs/>
                <w:color w:val="010205"/>
                <w:sz w:val="22"/>
                <w:szCs w:val="22"/>
              </w:rPr>
            </w:pPr>
          </w:p>
          <w:p w14:paraId="507CD81D" w14:textId="77777777" w:rsidR="007F596B" w:rsidRPr="00526DB1" w:rsidRDefault="007F596B" w:rsidP="007F596B">
            <w:pPr>
              <w:spacing w:line="480" w:lineRule="auto"/>
              <w:rPr>
                <w:rFonts w:ascii="Arial" w:hAnsi="Arial" w:cs="Arial"/>
                <w:b/>
                <w:sz w:val="22"/>
                <w:szCs w:val="22"/>
              </w:rPr>
            </w:pPr>
          </w:p>
          <w:p w14:paraId="607BC2B9" w14:textId="77777777" w:rsidR="007F596B" w:rsidRPr="00526DB1" w:rsidRDefault="007F596B" w:rsidP="007F596B">
            <w:pPr>
              <w:spacing w:line="480" w:lineRule="auto"/>
              <w:ind w:right="60"/>
              <w:rPr>
                <w:rFonts w:ascii="Arial" w:hAnsi="Arial" w:cs="Arial"/>
                <w:color w:val="010205"/>
                <w:sz w:val="22"/>
                <w:szCs w:val="22"/>
              </w:rPr>
            </w:pPr>
          </w:p>
        </w:tc>
      </w:tr>
    </w:tbl>
    <w:p w14:paraId="6213A1CA" w14:textId="77777777" w:rsidR="00B3483E" w:rsidRDefault="00B3483E">
      <w:pPr>
        <w:rPr>
          <w:rFonts w:ascii="Arial" w:eastAsiaTheme="majorEastAsia" w:hAnsi="Arial" w:cs="Arial"/>
          <w:b/>
          <w:bCs/>
          <w:color w:val="000000" w:themeColor="text1"/>
          <w:sz w:val="21"/>
          <w:szCs w:val="21"/>
        </w:rPr>
      </w:pPr>
      <w:r>
        <w:rPr>
          <w:rFonts w:ascii="Arial" w:hAnsi="Arial" w:cs="Arial"/>
          <w:color w:val="000000" w:themeColor="text1"/>
          <w:sz w:val="21"/>
          <w:szCs w:val="21"/>
        </w:rPr>
        <w:br w:type="page"/>
      </w:r>
    </w:p>
    <w:p w14:paraId="60BAA0B6" w14:textId="4189E499" w:rsidR="007F596B" w:rsidRDefault="008A1595" w:rsidP="007F596B">
      <w:pPr>
        <w:pStyle w:val="Heading3"/>
        <w:rPr>
          <w:rFonts w:cs="Arial"/>
          <w:b w:val="0"/>
          <w:color w:val="000000" w:themeColor="text1"/>
          <w:sz w:val="21"/>
          <w:szCs w:val="21"/>
        </w:rPr>
      </w:pPr>
      <w:bookmarkStart w:id="373" w:name="_Toc46770827"/>
      <w:bookmarkStart w:id="374" w:name="_Toc79414238"/>
      <w:r>
        <w:rPr>
          <w:rFonts w:cs="Arial"/>
          <w:color w:val="000000" w:themeColor="text1"/>
          <w:sz w:val="21"/>
          <w:szCs w:val="21"/>
        </w:rPr>
        <w:lastRenderedPageBreak/>
        <w:t>5</w:t>
      </w:r>
      <w:r w:rsidR="007F596B" w:rsidRPr="00833593">
        <w:rPr>
          <w:rFonts w:cs="Arial"/>
          <w:color w:val="000000" w:themeColor="text1"/>
          <w:sz w:val="21"/>
          <w:szCs w:val="21"/>
        </w:rPr>
        <w:t>.</w:t>
      </w:r>
      <w:r w:rsidR="007146C6">
        <w:rPr>
          <w:rFonts w:cs="Arial"/>
          <w:color w:val="000000" w:themeColor="text1"/>
          <w:sz w:val="21"/>
          <w:szCs w:val="21"/>
        </w:rPr>
        <w:t>5</w:t>
      </w:r>
      <w:r w:rsidR="007F596B" w:rsidRPr="00833593">
        <w:rPr>
          <w:rFonts w:cs="Arial"/>
          <w:color w:val="000000" w:themeColor="text1"/>
          <w:sz w:val="21"/>
          <w:szCs w:val="21"/>
        </w:rPr>
        <w:t>.</w:t>
      </w:r>
      <w:r w:rsidR="00263984">
        <w:rPr>
          <w:rFonts w:cs="Arial"/>
          <w:color w:val="000000" w:themeColor="text1"/>
          <w:sz w:val="21"/>
          <w:szCs w:val="21"/>
        </w:rPr>
        <w:t>4</w:t>
      </w:r>
      <w:r w:rsidR="007F596B" w:rsidRPr="00833593">
        <w:rPr>
          <w:rFonts w:cs="Arial"/>
          <w:color w:val="000000" w:themeColor="text1"/>
          <w:sz w:val="21"/>
          <w:szCs w:val="21"/>
        </w:rPr>
        <w:t xml:space="preserve"> Summary</w:t>
      </w:r>
      <w:bookmarkEnd w:id="373"/>
      <w:bookmarkEnd w:id="374"/>
    </w:p>
    <w:p w14:paraId="72B4615F" w14:textId="77777777" w:rsidR="007F596B" w:rsidRDefault="007F596B" w:rsidP="007F596B"/>
    <w:p w14:paraId="4B76AD65" w14:textId="5D2B777E" w:rsidR="00D905C9" w:rsidRDefault="007F596B" w:rsidP="007F596B">
      <w:pPr>
        <w:spacing w:line="480" w:lineRule="auto"/>
        <w:ind w:right="60"/>
        <w:rPr>
          <w:rFonts w:ascii="Arial" w:hAnsi="Arial" w:cs="Arial"/>
          <w:bCs/>
          <w:color w:val="010205"/>
          <w:sz w:val="22"/>
          <w:szCs w:val="22"/>
        </w:rPr>
      </w:pPr>
      <w:r w:rsidRPr="00835AF2">
        <w:rPr>
          <w:rFonts w:ascii="Arial" w:hAnsi="Arial" w:cs="Arial"/>
          <w:bCs/>
          <w:color w:val="010205"/>
          <w:sz w:val="22"/>
          <w:szCs w:val="22"/>
        </w:rPr>
        <w:t xml:space="preserve">This section has reported on the correlation between </w:t>
      </w:r>
      <w:r w:rsidR="00FA595A">
        <w:rPr>
          <w:rFonts w:ascii="Arial" w:hAnsi="Arial" w:cs="Arial"/>
          <w:bCs/>
          <w:color w:val="010205"/>
          <w:sz w:val="22"/>
          <w:szCs w:val="22"/>
        </w:rPr>
        <w:t>therapist fidelity to the CBT model (</w:t>
      </w:r>
      <w:r w:rsidR="00F04142">
        <w:rPr>
          <w:rFonts w:ascii="Arial" w:hAnsi="Arial" w:cs="Arial"/>
          <w:bCs/>
          <w:color w:val="010205"/>
          <w:sz w:val="22"/>
          <w:szCs w:val="22"/>
        </w:rPr>
        <w:t>F score</w:t>
      </w:r>
      <w:r w:rsidR="00FA595A">
        <w:rPr>
          <w:rFonts w:ascii="Arial" w:hAnsi="Arial" w:cs="Arial"/>
          <w:bCs/>
          <w:color w:val="010205"/>
          <w:sz w:val="22"/>
          <w:szCs w:val="22"/>
        </w:rPr>
        <w:t>)</w:t>
      </w:r>
      <w:r w:rsidR="00F04142">
        <w:rPr>
          <w:rFonts w:ascii="Arial" w:hAnsi="Arial" w:cs="Arial"/>
          <w:bCs/>
          <w:color w:val="010205"/>
          <w:sz w:val="22"/>
          <w:szCs w:val="22"/>
        </w:rPr>
        <w:t xml:space="preserve"> and patient outcome using both recovery rate and reliable improvement rate</w:t>
      </w:r>
      <w:r w:rsidRPr="00835AF2">
        <w:rPr>
          <w:rFonts w:ascii="Arial" w:hAnsi="Arial" w:cs="Arial"/>
          <w:bCs/>
          <w:color w:val="010205"/>
          <w:sz w:val="22"/>
          <w:szCs w:val="22"/>
        </w:rPr>
        <w:t xml:space="preserve">. </w:t>
      </w:r>
      <w:r w:rsidR="00F04142">
        <w:rPr>
          <w:rFonts w:ascii="Arial" w:hAnsi="Arial" w:cs="Arial"/>
          <w:bCs/>
          <w:color w:val="010205"/>
          <w:sz w:val="22"/>
          <w:szCs w:val="22"/>
        </w:rPr>
        <w:t xml:space="preserve">The relationship between F score and recovery rate was significant at the </w:t>
      </w:r>
      <w:r w:rsidR="00F04142">
        <w:rPr>
          <w:rFonts w:ascii="Arial" w:hAnsi="Arial" w:cs="Arial"/>
          <w:bCs/>
          <w:color w:val="010205"/>
          <w:sz w:val="22"/>
          <w:szCs w:val="22"/>
        </w:rPr>
        <w:sym w:font="Symbol" w:char="F03C"/>
      </w:r>
      <w:r w:rsidR="00F04142">
        <w:rPr>
          <w:rFonts w:ascii="Arial" w:hAnsi="Arial" w:cs="Arial"/>
          <w:bCs/>
          <w:color w:val="010205"/>
          <w:sz w:val="22"/>
          <w:szCs w:val="22"/>
        </w:rPr>
        <w:t xml:space="preserve"> 0.05 level. However, the relationship between F scores and reliable improvement was not statistically significant. </w:t>
      </w:r>
      <w:r w:rsidR="00036578">
        <w:rPr>
          <w:rFonts w:ascii="Arial" w:hAnsi="Arial" w:cs="Arial"/>
          <w:bCs/>
          <w:color w:val="010205"/>
          <w:sz w:val="22"/>
          <w:szCs w:val="22"/>
        </w:rPr>
        <w:t xml:space="preserve">As the relationship between F scores and recovery rate was significant this section reported on a secondary analysis that </w:t>
      </w:r>
      <w:r w:rsidR="004C4074">
        <w:rPr>
          <w:rFonts w:ascii="Arial" w:hAnsi="Arial" w:cs="Arial"/>
          <w:bCs/>
          <w:color w:val="010205"/>
          <w:sz w:val="22"/>
          <w:szCs w:val="22"/>
        </w:rPr>
        <w:t xml:space="preserve">used a </w:t>
      </w:r>
      <w:r w:rsidRPr="00835AF2">
        <w:rPr>
          <w:rFonts w:ascii="Arial" w:hAnsi="Arial" w:cs="Arial"/>
          <w:bCs/>
          <w:color w:val="010205"/>
          <w:sz w:val="22"/>
          <w:szCs w:val="22"/>
        </w:rPr>
        <w:t xml:space="preserve">linear regression model to predict whether individual CTS-R scores might predict outcome. The findings from this model </w:t>
      </w:r>
      <w:r w:rsidR="004C4074">
        <w:rPr>
          <w:rFonts w:ascii="Arial" w:hAnsi="Arial" w:cs="Arial"/>
          <w:bCs/>
          <w:color w:val="010205"/>
          <w:sz w:val="22"/>
          <w:szCs w:val="22"/>
        </w:rPr>
        <w:t xml:space="preserve">indicated </w:t>
      </w:r>
      <w:r w:rsidRPr="00835AF2">
        <w:rPr>
          <w:rFonts w:ascii="Arial" w:hAnsi="Arial" w:cs="Arial"/>
          <w:bCs/>
          <w:color w:val="010205"/>
          <w:sz w:val="22"/>
          <w:szCs w:val="22"/>
        </w:rPr>
        <w:t xml:space="preserve">that no individual CTS-R item </w:t>
      </w:r>
      <w:r w:rsidR="00A06F9A">
        <w:rPr>
          <w:rFonts w:ascii="Arial" w:hAnsi="Arial" w:cs="Arial"/>
          <w:bCs/>
          <w:color w:val="010205"/>
          <w:sz w:val="22"/>
          <w:szCs w:val="22"/>
        </w:rPr>
        <w:t xml:space="preserve">was significantly associated with </w:t>
      </w:r>
      <w:r w:rsidRPr="00835AF2">
        <w:rPr>
          <w:rFonts w:ascii="Arial" w:hAnsi="Arial" w:cs="Arial"/>
          <w:bCs/>
          <w:color w:val="010205"/>
          <w:sz w:val="22"/>
          <w:szCs w:val="22"/>
        </w:rPr>
        <w:t>outcome</w:t>
      </w:r>
      <w:r w:rsidR="00A06F9A">
        <w:rPr>
          <w:rFonts w:ascii="Arial" w:hAnsi="Arial" w:cs="Arial"/>
          <w:bCs/>
          <w:color w:val="010205"/>
          <w:sz w:val="22"/>
          <w:szCs w:val="22"/>
        </w:rPr>
        <w:t xml:space="preserve">, </w:t>
      </w:r>
      <w:r w:rsidR="00DA2322">
        <w:rPr>
          <w:rFonts w:ascii="Arial" w:hAnsi="Arial" w:cs="Arial"/>
          <w:bCs/>
          <w:color w:val="010205"/>
          <w:sz w:val="22"/>
          <w:szCs w:val="22"/>
        </w:rPr>
        <w:t xml:space="preserve">when </w:t>
      </w:r>
      <w:r w:rsidR="00A06F9A">
        <w:rPr>
          <w:rFonts w:ascii="Arial" w:hAnsi="Arial" w:cs="Arial"/>
          <w:bCs/>
          <w:color w:val="010205"/>
          <w:sz w:val="22"/>
          <w:szCs w:val="22"/>
        </w:rPr>
        <w:t>adjusted for the other 11 items</w:t>
      </w:r>
      <w:r w:rsidRPr="00835AF2">
        <w:rPr>
          <w:rFonts w:ascii="Arial" w:hAnsi="Arial" w:cs="Arial"/>
          <w:bCs/>
          <w:color w:val="010205"/>
          <w:sz w:val="22"/>
          <w:szCs w:val="22"/>
        </w:rPr>
        <w:t xml:space="preserve">.  </w:t>
      </w:r>
    </w:p>
    <w:p w14:paraId="0E9FFCCE" w14:textId="77777777" w:rsidR="00D905C9" w:rsidRDefault="00D905C9" w:rsidP="007F596B">
      <w:pPr>
        <w:spacing w:line="480" w:lineRule="auto"/>
        <w:ind w:right="60"/>
        <w:rPr>
          <w:rFonts w:ascii="Arial" w:hAnsi="Arial" w:cs="Arial"/>
          <w:bCs/>
          <w:color w:val="010205"/>
          <w:sz w:val="22"/>
          <w:szCs w:val="22"/>
        </w:rPr>
      </w:pPr>
    </w:p>
    <w:p w14:paraId="0D087200" w14:textId="1B0A7FA6" w:rsidR="007F596B" w:rsidRPr="00835AF2" w:rsidRDefault="007F596B" w:rsidP="007F596B">
      <w:pPr>
        <w:spacing w:line="480" w:lineRule="auto"/>
        <w:ind w:right="60"/>
        <w:rPr>
          <w:rFonts w:ascii="Arial" w:hAnsi="Arial" w:cs="Arial"/>
          <w:bCs/>
          <w:color w:val="010205"/>
          <w:sz w:val="22"/>
          <w:szCs w:val="22"/>
        </w:rPr>
      </w:pPr>
      <w:r>
        <w:rPr>
          <w:rFonts w:ascii="Arial" w:hAnsi="Arial" w:cs="Arial"/>
          <w:bCs/>
          <w:color w:val="010205"/>
          <w:sz w:val="22"/>
          <w:szCs w:val="22"/>
        </w:rPr>
        <w:t>Section</w:t>
      </w:r>
      <w:r w:rsidR="00A06F9A">
        <w:rPr>
          <w:rFonts w:ascii="Arial" w:hAnsi="Arial" w:cs="Arial"/>
          <w:bCs/>
          <w:color w:val="010205"/>
          <w:sz w:val="22"/>
          <w:szCs w:val="22"/>
        </w:rPr>
        <w:t>s 5.4.1 and</w:t>
      </w:r>
      <w:r>
        <w:rPr>
          <w:rFonts w:ascii="Arial" w:hAnsi="Arial" w:cs="Arial"/>
          <w:bCs/>
          <w:color w:val="010205"/>
          <w:sz w:val="22"/>
          <w:szCs w:val="22"/>
        </w:rPr>
        <w:t xml:space="preserve"> </w:t>
      </w:r>
      <w:r w:rsidR="00A06F9A">
        <w:rPr>
          <w:rFonts w:ascii="Arial" w:hAnsi="Arial" w:cs="Arial"/>
          <w:bCs/>
          <w:color w:val="010205"/>
          <w:sz w:val="22"/>
          <w:szCs w:val="22"/>
        </w:rPr>
        <w:t>5.4.2 in this chapter</w:t>
      </w:r>
      <w:r>
        <w:rPr>
          <w:rFonts w:ascii="Arial" w:hAnsi="Arial" w:cs="Arial"/>
          <w:bCs/>
          <w:color w:val="010205"/>
          <w:sz w:val="22"/>
          <w:szCs w:val="22"/>
        </w:rPr>
        <w:t xml:space="preserve"> reported that A </w:t>
      </w:r>
      <w:r w:rsidR="00A06F9A">
        <w:rPr>
          <w:rFonts w:ascii="Arial" w:hAnsi="Arial" w:cs="Arial"/>
          <w:bCs/>
          <w:color w:val="010205"/>
          <w:sz w:val="22"/>
          <w:szCs w:val="22"/>
        </w:rPr>
        <w:t xml:space="preserve">and F </w:t>
      </w:r>
      <w:r>
        <w:rPr>
          <w:rFonts w:ascii="Arial" w:hAnsi="Arial" w:cs="Arial"/>
          <w:bCs/>
          <w:color w:val="010205"/>
          <w:sz w:val="22"/>
          <w:szCs w:val="22"/>
        </w:rPr>
        <w:t xml:space="preserve">scores were correlated with </w:t>
      </w:r>
      <w:r w:rsidR="00A06F9A">
        <w:rPr>
          <w:rFonts w:ascii="Arial" w:hAnsi="Arial" w:cs="Arial"/>
          <w:bCs/>
          <w:color w:val="010205"/>
          <w:sz w:val="22"/>
          <w:szCs w:val="22"/>
        </w:rPr>
        <w:t>recovery</w:t>
      </w:r>
      <w:r>
        <w:rPr>
          <w:rFonts w:ascii="Arial" w:hAnsi="Arial" w:cs="Arial"/>
          <w:bCs/>
          <w:color w:val="010205"/>
          <w:sz w:val="22"/>
          <w:szCs w:val="22"/>
        </w:rPr>
        <w:t xml:space="preserve">. Given that these were both significant findings, this chapter will now discuss the analyses and findings from a Multiple Regression Model used to explore the effect of A and F scores in the context of the other </w:t>
      </w:r>
      <w:r w:rsidR="00A91EE8">
        <w:rPr>
          <w:rFonts w:ascii="Arial" w:hAnsi="Arial" w:cs="Arial"/>
          <w:bCs/>
          <w:color w:val="010205"/>
          <w:sz w:val="22"/>
          <w:szCs w:val="22"/>
        </w:rPr>
        <w:t xml:space="preserve">independent </w:t>
      </w:r>
      <w:r>
        <w:rPr>
          <w:rFonts w:ascii="Arial" w:hAnsi="Arial" w:cs="Arial"/>
          <w:bCs/>
          <w:color w:val="010205"/>
          <w:sz w:val="22"/>
          <w:szCs w:val="22"/>
        </w:rPr>
        <w:t>variables.</w:t>
      </w:r>
    </w:p>
    <w:p w14:paraId="180A207A" w14:textId="77777777" w:rsidR="007F596B" w:rsidRPr="00D10598" w:rsidRDefault="007F596B" w:rsidP="007F596B"/>
    <w:p w14:paraId="578C9DD1" w14:textId="77777777" w:rsidR="007F596B" w:rsidRDefault="007F596B" w:rsidP="007F596B"/>
    <w:p w14:paraId="3CE1A718" w14:textId="1F49BE0F" w:rsidR="007F596B" w:rsidRDefault="008A1595" w:rsidP="007F596B">
      <w:pPr>
        <w:pStyle w:val="Heading2"/>
        <w:rPr>
          <w:rFonts w:ascii="Arial" w:hAnsi="Arial" w:cs="Arial"/>
          <w:b w:val="0"/>
          <w:color w:val="000000" w:themeColor="text1"/>
          <w:sz w:val="22"/>
          <w:szCs w:val="22"/>
        </w:rPr>
      </w:pPr>
      <w:bookmarkStart w:id="375" w:name="_Toc46770828"/>
      <w:bookmarkStart w:id="376" w:name="_Toc79414239"/>
      <w:r w:rsidRPr="00CF1079">
        <w:rPr>
          <w:rFonts w:ascii="Arial" w:hAnsi="Arial" w:cs="Arial"/>
          <w:color w:val="000000" w:themeColor="text1"/>
          <w:sz w:val="22"/>
          <w:szCs w:val="22"/>
        </w:rPr>
        <w:t>5</w:t>
      </w:r>
      <w:r w:rsidR="007F596B" w:rsidRPr="00CF1079">
        <w:rPr>
          <w:rFonts w:ascii="Arial" w:hAnsi="Arial" w:cs="Arial"/>
          <w:color w:val="000000" w:themeColor="text1"/>
          <w:sz w:val="22"/>
          <w:szCs w:val="22"/>
        </w:rPr>
        <w:t>.</w:t>
      </w:r>
      <w:r w:rsidR="007146C6" w:rsidRPr="00CF1079">
        <w:rPr>
          <w:rFonts w:ascii="Arial" w:hAnsi="Arial" w:cs="Arial"/>
          <w:color w:val="000000" w:themeColor="text1"/>
          <w:sz w:val="22"/>
          <w:szCs w:val="22"/>
        </w:rPr>
        <w:t>6</w:t>
      </w:r>
      <w:r w:rsidR="007F596B" w:rsidRPr="00CF1079">
        <w:rPr>
          <w:rFonts w:ascii="Arial" w:hAnsi="Arial" w:cs="Arial"/>
          <w:color w:val="000000" w:themeColor="text1"/>
          <w:sz w:val="22"/>
          <w:szCs w:val="22"/>
        </w:rPr>
        <w:t xml:space="preserve"> </w:t>
      </w:r>
      <w:r w:rsidR="00823147" w:rsidRPr="00CF1079">
        <w:rPr>
          <w:rFonts w:ascii="Arial" w:hAnsi="Arial" w:cs="Arial"/>
          <w:color w:val="000000" w:themeColor="text1"/>
          <w:sz w:val="22"/>
          <w:szCs w:val="22"/>
        </w:rPr>
        <w:t>MULTIPLE</w:t>
      </w:r>
      <w:r w:rsidR="007F596B" w:rsidRPr="00CF1079">
        <w:rPr>
          <w:rFonts w:ascii="Arial" w:hAnsi="Arial" w:cs="Arial"/>
          <w:color w:val="000000" w:themeColor="text1"/>
          <w:sz w:val="22"/>
          <w:szCs w:val="22"/>
        </w:rPr>
        <w:t xml:space="preserve"> REGRESSION MODEL: F SCORES AND </w:t>
      </w:r>
      <w:r w:rsidR="0079085A" w:rsidRPr="00CF1079">
        <w:rPr>
          <w:rFonts w:ascii="Arial" w:hAnsi="Arial" w:cs="Arial"/>
          <w:color w:val="000000" w:themeColor="text1"/>
          <w:sz w:val="22"/>
          <w:szCs w:val="22"/>
        </w:rPr>
        <w:t xml:space="preserve">A </w:t>
      </w:r>
      <w:r w:rsidR="007F596B" w:rsidRPr="00CF1079">
        <w:rPr>
          <w:rFonts w:ascii="Arial" w:hAnsi="Arial" w:cs="Arial"/>
          <w:color w:val="000000" w:themeColor="text1"/>
          <w:sz w:val="22"/>
          <w:szCs w:val="22"/>
        </w:rPr>
        <w:t>SCORES</w:t>
      </w:r>
      <w:bookmarkEnd w:id="375"/>
      <w:bookmarkEnd w:id="376"/>
    </w:p>
    <w:p w14:paraId="37D41C0F" w14:textId="77777777" w:rsidR="007F596B" w:rsidRPr="00EF50D5" w:rsidRDefault="007F596B" w:rsidP="007F596B"/>
    <w:p w14:paraId="6882B461" w14:textId="77777777" w:rsidR="003B5B9C" w:rsidRDefault="006447EE" w:rsidP="007F596B">
      <w:pPr>
        <w:autoSpaceDE w:val="0"/>
        <w:autoSpaceDN w:val="0"/>
        <w:adjustRightInd w:val="0"/>
        <w:spacing w:line="480" w:lineRule="auto"/>
        <w:ind w:right="60"/>
        <w:rPr>
          <w:rFonts w:ascii="Arial" w:hAnsi="Arial" w:cs="Arial"/>
          <w:color w:val="010205"/>
          <w:sz w:val="22"/>
          <w:szCs w:val="22"/>
          <w:lang w:val="en-US"/>
        </w:rPr>
      </w:pPr>
      <w:r w:rsidRPr="006447EE">
        <w:rPr>
          <w:rFonts w:ascii="Arial" w:hAnsi="Arial" w:cs="Arial"/>
          <w:sz w:val="22"/>
          <w:szCs w:val="22"/>
        </w:rPr>
        <w:t>This chapter has so far reported that</w:t>
      </w:r>
      <w:r>
        <w:rPr>
          <w:rFonts w:ascii="Arial" w:hAnsi="Arial" w:cs="Arial"/>
          <w:sz w:val="22"/>
          <w:szCs w:val="22"/>
        </w:rPr>
        <w:t xml:space="preserve"> i</w:t>
      </w:r>
      <w:r w:rsidR="007F596B" w:rsidRPr="00CE2D98">
        <w:rPr>
          <w:rFonts w:ascii="Arial" w:hAnsi="Arial" w:cs="Arial"/>
          <w:sz w:val="22"/>
          <w:szCs w:val="22"/>
        </w:rPr>
        <w:t xml:space="preserve">ndividual correlation analyses revealed significant </w:t>
      </w:r>
      <w:r w:rsidR="0079085A">
        <w:rPr>
          <w:rFonts w:ascii="Arial" w:hAnsi="Arial" w:cs="Arial"/>
          <w:sz w:val="22"/>
          <w:szCs w:val="22"/>
        </w:rPr>
        <w:t xml:space="preserve">positive </w:t>
      </w:r>
      <w:r w:rsidR="007F596B" w:rsidRPr="00CE2D98">
        <w:rPr>
          <w:rFonts w:ascii="Arial" w:hAnsi="Arial" w:cs="Arial"/>
          <w:sz w:val="22"/>
          <w:szCs w:val="22"/>
        </w:rPr>
        <w:t>associations between</w:t>
      </w:r>
      <w:r w:rsidR="00BD1BB6">
        <w:rPr>
          <w:rFonts w:ascii="Arial" w:hAnsi="Arial" w:cs="Arial"/>
          <w:sz w:val="22"/>
          <w:szCs w:val="22"/>
        </w:rPr>
        <w:t xml:space="preserve"> therapist fidelity to the CBT model</w:t>
      </w:r>
      <w:r w:rsidR="007F596B" w:rsidRPr="00CE2D98">
        <w:rPr>
          <w:rFonts w:ascii="Arial" w:hAnsi="Arial" w:cs="Arial"/>
          <w:sz w:val="22"/>
          <w:szCs w:val="22"/>
        </w:rPr>
        <w:t xml:space="preserve"> </w:t>
      </w:r>
      <w:r w:rsidR="00BD1BB6">
        <w:rPr>
          <w:rFonts w:ascii="Arial" w:hAnsi="Arial" w:cs="Arial"/>
          <w:sz w:val="22"/>
          <w:szCs w:val="22"/>
        </w:rPr>
        <w:t>(</w:t>
      </w:r>
      <w:r w:rsidR="007F596B" w:rsidRPr="00CE2D98">
        <w:rPr>
          <w:rFonts w:ascii="Arial" w:hAnsi="Arial" w:cs="Arial"/>
          <w:sz w:val="22"/>
          <w:szCs w:val="22"/>
        </w:rPr>
        <w:t>F</w:t>
      </w:r>
      <w:r w:rsidR="00BD1BB6">
        <w:rPr>
          <w:rFonts w:ascii="Arial" w:hAnsi="Arial" w:cs="Arial"/>
          <w:sz w:val="22"/>
          <w:szCs w:val="22"/>
        </w:rPr>
        <w:t xml:space="preserve"> score)</w:t>
      </w:r>
      <w:r w:rsidR="006B0339">
        <w:rPr>
          <w:rFonts w:ascii="Arial" w:hAnsi="Arial" w:cs="Arial"/>
          <w:sz w:val="22"/>
          <w:szCs w:val="22"/>
        </w:rPr>
        <w:t>,</w:t>
      </w:r>
      <w:r w:rsidR="00BD1BB6">
        <w:rPr>
          <w:rFonts w:ascii="Arial" w:hAnsi="Arial" w:cs="Arial"/>
          <w:sz w:val="22"/>
          <w:szCs w:val="22"/>
        </w:rPr>
        <w:t xml:space="preserve"> therapist adherence to an evidence-based protocol</w:t>
      </w:r>
      <w:r w:rsidR="007F596B" w:rsidRPr="00CE2D98">
        <w:rPr>
          <w:rFonts w:ascii="Arial" w:hAnsi="Arial" w:cs="Arial"/>
          <w:sz w:val="22"/>
          <w:szCs w:val="22"/>
        </w:rPr>
        <w:t xml:space="preserve"> </w:t>
      </w:r>
      <w:r w:rsidR="00BD1BB6">
        <w:rPr>
          <w:rFonts w:ascii="Arial" w:hAnsi="Arial" w:cs="Arial"/>
          <w:sz w:val="22"/>
          <w:szCs w:val="22"/>
        </w:rPr>
        <w:t>(</w:t>
      </w:r>
      <w:r w:rsidR="007F596B" w:rsidRPr="00CE2D98">
        <w:rPr>
          <w:rFonts w:ascii="Arial" w:hAnsi="Arial" w:cs="Arial"/>
          <w:sz w:val="22"/>
          <w:szCs w:val="22"/>
        </w:rPr>
        <w:t>A score</w:t>
      </w:r>
      <w:r w:rsidR="00BD1BB6">
        <w:rPr>
          <w:rFonts w:ascii="Arial" w:hAnsi="Arial" w:cs="Arial"/>
          <w:sz w:val="22"/>
          <w:szCs w:val="22"/>
        </w:rPr>
        <w:t>)</w:t>
      </w:r>
      <w:r w:rsidR="007F596B" w:rsidRPr="00CE2D98">
        <w:rPr>
          <w:rFonts w:ascii="Arial" w:hAnsi="Arial" w:cs="Arial"/>
          <w:sz w:val="22"/>
          <w:szCs w:val="22"/>
        </w:rPr>
        <w:t xml:space="preserve"> and clinical outcomes as measured by recovery rate. However, these analyses fail to explore the effect of these variables beyond the variance that can be explained by other variables such as, for example, therapist demographic variables. For this reason, a multiple regression model was conducted to explore the effect of F and A scores on clinical outcomes in the context of other measured variables. </w:t>
      </w:r>
      <w:r w:rsidR="007F596B" w:rsidRPr="00CE2D98">
        <w:rPr>
          <w:rFonts w:ascii="Arial" w:hAnsi="Arial" w:cs="Arial"/>
          <w:color w:val="010205"/>
          <w:sz w:val="22"/>
          <w:szCs w:val="22"/>
          <w:lang w:val="en-US"/>
        </w:rPr>
        <w:t xml:space="preserve">This section will report on how this model </w:t>
      </w:r>
      <w:r w:rsidR="00996FE1">
        <w:rPr>
          <w:rFonts w:ascii="Arial" w:hAnsi="Arial" w:cs="Arial"/>
          <w:color w:val="010205"/>
          <w:sz w:val="22"/>
          <w:szCs w:val="22"/>
          <w:lang w:val="en-US"/>
        </w:rPr>
        <w:t xml:space="preserve">was </w:t>
      </w:r>
      <w:r w:rsidR="007F596B" w:rsidRPr="00CE2D98">
        <w:rPr>
          <w:rFonts w:ascii="Arial" w:hAnsi="Arial" w:cs="Arial"/>
          <w:color w:val="010205"/>
          <w:sz w:val="22"/>
          <w:szCs w:val="22"/>
          <w:lang w:val="en-US"/>
        </w:rPr>
        <w:t xml:space="preserve">used to further explore the relationship between the F score, A score and recovery. The </w:t>
      </w:r>
      <w:r w:rsidR="007F596B" w:rsidRPr="00CF1079">
        <w:rPr>
          <w:rFonts w:ascii="Arial" w:hAnsi="Arial" w:cs="Arial"/>
          <w:color w:val="010205"/>
          <w:sz w:val="22"/>
          <w:szCs w:val="22"/>
          <w:lang w:val="en-US"/>
        </w:rPr>
        <w:t>model</w:t>
      </w:r>
      <w:r w:rsidR="00F04CF2" w:rsidRPr="00CF1079">
        <w:rPr>
          <w:rFonts w:ascii="Arial" w:hAnsi="Arial" w:cs="Arial"/>
          <w:color w:val="010205"/>
          <w:sz w:val="22"/>
          <w:szCs w:val="22"/>
          <w:lang w:val="en-US"/>
        </w:rPr>
        <w:t xml:space="preserve"> summary</w:t>
      </w:r>
      <w:r w:rsidR="007F596B" w:rsidRPr="00CE2D98">
        <w:rPr>
          <w:rFonts w:ascii="Arial" w:hAnsi="Arial" w:cs="Arial"/>
          <w:color w:val="010205"/>
          <w:sz w:val="22"/>
          <w:szCs w:val="22"/>
          <w:lang w:val="en-US"/>
        </w:rPr>
        <w:t xml:space="preserve">, as seen in table </w:t>
      </w:r>
      <w:r w:rsidR="00CE2D98" w:rsidRPr="00CE2D98">
        <w:rPr>
          <w:rFonts w:ascii="Arial" w:hAnsi="Arial" w:cs="Arial"/>
          <w:color w:val="010205"/>
          <w:sz w:val="22"/>
          <w:szCs w:val="22"/>
          <w:lang w:val="en-US"/>
        </w:rPr>
        <w:t>5</w:t>
      </w:r>
      <w:r w:rsidR="007F596B" w:rsidRPr="00CE2D98">
        <w:rPr>
          <w:rFonts w:ascii="Arial" w:hAnsi="Arial" w:cs="Arial"/>
          <w:color w:val="010205"/>
          <w:sz w:val="22"/>
          <w:szCs w:val="22"/>
          <w:lang w:val="en-US"/>
        </w:rPr>
        <w:t>.</w:t>
      </w:r>
      <w:r w:rsidR="00DE1F87">
        <w:rPr>
          <w:rFonts w:ascii="Arial" w:hAnsi="Arial" w:cs="Arial"/>
          <w:color w:val="010205"/>
          <w:sz w:val="22"/>
          <w:szCs w:val="22"/>
          <w:lang w:val="en-US"/>
        </w:rPr>
        <w:t>6</w:t>
      </w:r>
      <w:r w:rsidR="007F596B" w:rsidRPr="00CE2D98">
        <w:rPr>
          <w:rFonts w:ascii="Arial" w:hAnsi="Arial" w:cs="Arial"/>
          <w:color w:val="010205"/>
          <w:sz w:val="22"/>
          <w:szCs w:val="22"/>
          <w:lang w:val="en-US"/>
        </w:rPr>
        <w:t xml:space="preserve">, sequentially adds independent variables starting with A scores and F scores, </w:t>
      </w:r>
      <w:r w:rsidR="007F596B" w:rsidRPr="00CE2D98">
        <w:rPr>
          <w:rFonts w:ascii="Arial" w:hAnsi="Arial" w:cs="Arial"/>
          <w:color w:val="010205"/>
          <w:sz w:val="22"/>
          <w:szCs w:val="22"/>
          <w:lang w:val="en-US"/>
        </w:rPr>
        <w:lastRenderedPageBreak/>
        <w:t xml:space="preserve">allowing for the control of each independent variable, in order to answer the </w:t>
      </w:r>
      <w:r w:rsidR="002F368B">
        <w:rPr>
          <w:rFonts w:ascii="Arial" w:hAnsi="Arial" w:cs="Arial"/>
          <w:color w:val="010205"/>
          <w:sz w:val="22"/>
          <w:szCs w:val="22"/>
          <w:lang w:val="en-US"/>
        </w:rPr>
        <w:t xml:space="preserve">supplementary </w:t>
      </w:r>
      <w:r w:rsidR="007F596B" w:rsidRPr="00CE2D98">
        <w:rPr>
          <w:rFonts w:ascii="Arial" w:hAnsi="Arial" w:cs="Arial"/>
          <w:color w:val="010205"/>
          <w:sz w:val="22"/>
          <w:szCs w:val="22"/>
          <w:lang w:val="en-US"/>
        </w:rPr>
        <w:t xml:space="preserve">question; how much variation can be accounted for by sequentially adding additional independent variables? </w:t>
      </w:r>
      <w:r w:rsidR="005D779F" w:rsidRPr="00CF1079">
        <w:rPr>
          <w:rFonts w:ascii="Arial" w:hAnsi="Arial" w:cs="Arial"/>
          <w:color w:val="010205"/>
          <w:sz w:val="22"/>
          <w:szCs w:val="22"/>
          <w:lang w:val="en-US"/>
        </w:rPr>
        <w:t xml:space="preserve">The descriptive statistics for this model are shown in </w:t>
      </w:r>
      <w:r w:rsidR="00CF4DBE" w:rsidRPr="00CF1079">
        <w:rPr>
          <w:rFonts w:ascii="Arial" w:hAnsi="Arial" w:cs="Arial"/>
          <w:color w:val="010205"/>
          <w:sz w:val="22"/>
          <w:szCs w:val="22"/>
          <w:lang w:val="en-US"/>
        </w:rPr>
        <w:t>figure</w:t>
      </w:r>
      <w:r w:rsidR="000A6957" w:rsidRPr="00CF1079">
        <w:rPr>
          <w:rFonts w:ascii="Arial" w:hAnsi="Arial" w:cs="Arial"/>
          <w:color w:val="010205"/>
          <w:sz w:val="22"/>
          <w:szCs w:val="22"/>
          <w:lang w:val="en-US"/>
        </w:rPr>
        <w:t>s 5.2</w:t>
      </w:r>
      <w:r w:rsidR="008571EA" w:rsidRPr="00CF1079">
        <w:rPr>
          <w:rFonts w:ascii="Arial" w:hAnsi="Arial" w:cs="Arial"/>
          <w:color w:val="010205"/>
          <w:sz w:val="22"/>
          <w:szCs w:val="22"/>
          <w:lang w:val="en-US"/>
        </w:rPr>
        <w:t xml:space="preserve"> (F scores)</w:t>
      </w:r>
      <w:r w:rsidR="000A6957" w:rsidRPr="00CF1079">
        <w:rPr>
          <w:rFonts w:ascii="Arial" w:hAnsi="Arial" w:cs="Arial"/>
          <w:color w:val="010205"/>
          <w:sz w:val="22"/>
          <w:szCs w:val="22"/>
          <w:lang w:val="en-US"/>
        </w:rPr>
        <w:t>, 5.3</w:t>
      </w:r>
      <w:r w:rsidR="008571EA" w:rsidRPr="00CF1079">
        <w:rPr>
          <w:rFonts w:ascii="Arial" w:hAnsi="Arial" w:cs="Arial"/>
          <w:color w:val="010205"/>
          <w:sz w:val="22"/>
          <w:szCs w:val="22"/>
          <w:lang w:val="en-US"/>
        </w:rPr>
        <w:t xml:space="preserve"> (A scores and 5.4 (recovery)</w:t>
      </w:r>
      <w:r w:rsidR="00B726C7" w:rsidRPr="00CF1079">
        <w:rPr>
          <w:rFonts w:ascii="Arial" w:hAnsi="Arial" w:cs="Arial"/>
          <w:color w:val="010205"/>
          <w:sz w:val="22"/>
          <w:szCs w:val="22"/>
          <w:lang w:val="en-US"/>
        </w:rPr>
        <w:t xml:space="preserve"> and in sections 5.2.2 (F scores),</w:t>
      </w:r>
      <w:r w:rsidR="003B5B9C" w:rsidRPr="00CF1079">
        <w:rPr>
          <w:rFonts w:ascii="Arial" w:hAnsi="Arial" w:cs="Arial"/>
          <w:color w:val="010205"/>
          <w:sz w:val="22"/>
          <w:szCs w:val="22"/>
          <w:lang w:val="en-US"/>
        </w:rPr>
        <w:t xml:space="preserve"> 5.2.3 (A scores) and 5.2.4 (recovery).</w:t>
      </w:r>
      <w:r w:rsidR="003B5B9C">
        <w:rPr>
          <w:rFonts w:ascii="Arial" w:hAnsi="Arial" w:cs="Arial"/>
          <w:color w:val="010205"/>
          <w:sz w:val="22"/>
          <w:szCs w:val="22"/>
          <w:lang w:val="en-US"/>
        </w:rPr>
        <w:t xml:space="preserve"> </w:t>
      </w:r>
    </w:p>
    <w:p w14:paraId="6259EC58" w14:textId="77777777" w:rsidR="003B5B9C" w:rsidRDefault="003B5B9C" w:rsidP="007F596B">
      <w:pPr>
        <w:autoSpaceDE w:val="0"/>
        <w:autoSpaceDN w:val="0"/>
        <w:adjustRightInd w:val="0"/>
        <w:spacing w:line="480" w:lineRule="auto"/>
        <w:ind w:right="60"/>
        <w:rPr>
          <w:rFonts w:ascii="Arial" w:hAnsi="Arial" w:cs="Arial"/>
          <w:color w:val="010205"/>
          <w:sz w:val="22"/>
          <w:szCs w:val="22"/>
          <w:lang w:val="en-US"/>
        </w:rPr>
      </w:pPr>
    </w:p>
    <w:p w14:paraId="0584EA64" w14:textId="4986D893" w:rsidR="00F22BB1" w:rsidRDefault="007F596B" w:rsidP="00F85888">
      <w:pPr>
        <w:autoSpaceDE w:val="0"/>
        <w:autoSpaceDN w:val="0"/>
        <w:adjustRightInd w:val="0"/>
        <w:spacing w:line="480" w:lineRule="auto"/>
        <w:ind w:right="60"/>
        <w:rPr>
          <w:rFonts w:ascii="Arial" w:hAnsi="Arial" w:cs="Arial"/>
          <w:sz w:val="22"/>
          <w:szCs w:val="22"/>
        </w:rPr>
      </w:pPr>
      <w:r w:rsidRPr="00CE2D98">
        <w:rPr>
          <w:rFonts w:ascii="Arial" w:hAnsi="Arial" w:cs="Arial"/>
          <w:sz w:val="22"/>
          <w:szCs w:val="22"/>
        </w:rPr>
        <w:t xml:space="preserve">A multiple linear regression was conducted. There was linearity, as assessed by partial regression plots and a plot of studentised residuals against the predicted values. There was independence of residuals, as assessed by a Durbin-Watson statistic of 1.872. There was homoscedasticity, as assessed by a visual inspection of a plot of studentised residuals versus unstandardized predicted values. There was no evidence of multicollinearity, as assessed by tolerance values greater than 0.1. There were no studentised deleted residuals greater than </w:t>
      </w:r>
      <w:r w:rsidRPr="00CE2D98">
        <w:rPr>
          <w:rFonts w:ascii="Arial" w:hAnsi="Arial" w:cs="Arial"/>
          <w:sz w:val="22"/>
          <w:szCs w:val="22"/>
        </w:rPr>
        <w:sym w:font="Symbol" w:char="F0B1"/>
      </w:r>
      <w:r w:rsidRPr="00CE2D98">
        <w:rPr>
          <w:rFonts w:ascii="Arial" w:hAnsi="Arial" w:cs="Arial"/>
          <w:sz w:val="22"/>
          <w:szCs w:val="22"/>
        </w:rPr>
        <w:t xml:space="preserve"> 3 standard deviations, no leverage values greater than 0.2 and values for Cook’s distance above 1. The assumption of normality was met following inspection of the Q-Q plot. </w:t>
      </w:r>
      <w:bookmarkStart w:id="377" w:name="_Toc28347785"/>
    </w:p>
    <w:p w14:paraId="552F6947" w14:textId="77777777" w:rsidR="00F85888" w:rsidRDefault="00F85888" w:rsidP="00F85888">
      <w:pPr>
        <w:autoSpaceDE w:val="0"/>
        <w:autoSpaceDN w:val="0"/>
        <w:adjustRightInd w:val="0"/>
        <w:spacing w:line="480" w:lineRule="auto"/>
        <w:ind w:right="60"/>
        <w:rPr>
          <w:rFonts w:ascii="Arial" w:hAnsi="Arial"/>
          <w:b/>
          <w:iCs/>
          <w:sz w:val="22"/>
          <w:szCs w:val="18"/>
        </w:rPr>
      </w:pPr>
    </w:p>
    <w:p w14:paraId="0E7A6433" w14:textId="355B2AC7" w:rsidR="007246BB" w:rsidRDefault="007246BB" w:rsidP="007246BB">
      <w:pPr>
        <w:pStyle w:val="Tables"/>
        <w:rPr>
          <w:b w:val="0"/>
        </w:rPr>
      </w:pPr>
      <w:bookmarkStart w:id="378" w:name="_Toc46770986"/>
      <w:r w:rsidRPr="00487233">
        <w:t xml:space="preserve">Table 5.6 </w:t>
      </w:r>
      <w:r w:rsidRPr="007246BB">
        <w:rPr>
          <w:b w:val="0"/>
        </w:rPr>
        <w:t xml:space="preserve">Model summary of the </w:t>
      </w:r>
      <w:r w:rsidR="00823147">
        <w:rPr>
          <w:b w:val="0"/>
        </w:rPr>
        <w:t>Multiple</w:t>
      </w:r>
      <w:r w:rsidRPr="007246BB">
        <w:rPr>
          <w:b w:val="0"/>
        </w:rPr>
        <w:t xml:space="preserve"> Regression Model used</w:t>
      </w:r>
      <w:bookmarkEnd w:id="377"/>
      <w:bookmarkEnd w:id="378"/>
    </w:p>
    <w:tbl>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650"/>
        <w:gridCol w:w="584"/>
        <w:gridCol w:w="787"/>
        <w:gridCol w:w="981"/>
        <w:gridCol w:w="1660"/>
        <w:gridCol w:w="906"/>
        <w:gridCol w:w="838"/>
        <w:gridCol w:w="417"/>
        <w:gridCol w:w="470"/>
        <w:gridCol w:w="876"/>
        <w:gridCol w:w="851"/>
      </w:tblGrid>
      <w:tr w:rsidR="007F596B" w:rsidRPr="007B71FC" w14:paraId="2B64DF2A" w14:textId="77777777" w:rsidTr="007F596B">
        <w:trPr>
          <w:cantSplit/>
        </w:trPr>
        <w:tc>
          <w:tcPr>
            <w:tcW w:w="0" w:type="auto"/>
            <w:gridSpan w:val="11"/>
            <w:tcBorders>
              <w:top w:val="nil"/>
              <w:left w:val="nil"/>
              <w:bottom w:val="nil"/>
              <w:right w:val="nil"/>
            </w:tcBorders>
            <w:shd w:val="clear" w:color="auto" w:fill="FFFFFF"/>
            <w:vAlign w:val="center"/>
          </w:tcPr>
          <w:p w14:paraId="10A52ABA" w14:textId="77777777" w:rsidR="007F596B" w:rsidRPr="007B71FC" w:rsidRDefault="007F596B" w:rsidP="007F596B">
            <w:pPr>
              <w:spacing w:line="320" w:lineRule="atLeast"/>
              <w:ind w:left="60" w:right="60"/>
              <w:jc w:val="center"/>
              <w:rPr>
                <w:rFonts w:ascii="Arial" w:hAnsi="Arial" w:cs="Arial"/>
                <w:color w:val="010205"/>
                <w:sz w:val="18"/>
                <w:szCs w:val="18"/>
              </w:rPr>
            </w:pPr>
          </w:p>
        </w:tc>
      </w:tr>
      <w:tr w:rsidR="007F596B" w:rsidRPr="007B71FC" w14:paraId="2A600FC1" w14:textId="77777777" w:rsidTr="007F596B">
        <w:trPr>
          <w:cantSplit/>
        </w:trPr>
        <w:tc>
          <w:tcPr>
            <w:tcW w:w="0" w:type="auto"/>
            <w:vMerge w:val="restart"/>
            <w:tcBorders>
              <w:top w:val="nil"/>
              <w:left w:val="nil"/>
              <w:bottom w:val="nil"/>
              <w:right w:val="nil"/>
            </w:tcBorders>
            <w:shd w:val="clear" w:color="auto" w:fill="FFFFFF"/>
            <w:vAlign w:val="bottom"/>
          </w:tcPr>
          <w:p w14:paraId="57D20D92" w14:textId="77777777" w:rsidR="007F596B" w:rsidRPr="007B71FC" w:rsidRDefault="007F596B" w:rsidP="007F596B">
            <w:pPr>
              <w:spacing w:line="320" w:lineRule="atLeast"/>
              <w:ind w:left="60" w:right="60"/>
              <w:rPr>
                <w:rFonts w:ascii="Arial" w:hAnsi="Arial" w:cs="Arial"/>
                <w:color w:val="264A60"/>
                <w:sz w:val="18"/>
                <w:szCs w:val="18"/>
              </w:rPr>
            </w:pPr>
            <w:r w:rsidRPr="007B71FC">
              <w:rPr>
                <w:rFonts w:ascii="Arial" w:hAnsi="Arial" w:cs="Arial"/>
                <w:color w:val="264A60"/>
                <w:sz w:val="18"/>
                <w:szCs w:val="18"/>
              </w:rPr>
              <w:t>Model</w:t>
            </w:r>
          </w:p>
        </w:tc>
        <w:tc>
          <w:tcPr>
            <w:tcW w:w="0" w:type="auto"/>
            <w:vMerge w:val="restart"/>
            <w:tcBorders>
              <w:top w:val="nil"/>
              <w:left w:val="nil"/>
              <w:bottom w:val="nil"/>
              <w:right w:val="single" w:sz="8" w:space="0" w:color="E0E0E0"/>
            </w:tcBorders>
            <w:shd w:val="clear" w:color="auto" w:fill="FFFFFF"/>
            <w:vAlign w:val="bottom"/>
          </w:tcPr>
          <w:p w14:paraId="305F8689" w14:textId="77777777" w:rsidR="007F596B" w:rsidRPr="007B71FC" w:rsidRDefault="007F596B" w:rsidP="007F596B">
            <w:pPr>
              <w:spacing w:line="320" w:lineRule="atLeast"/>
              <w:ind w:left="60" w:right="60"/>
              <w:jc w:val="center"/>
              <w:rPr>
                <w:rFonts w:ascii="Arial" w:hAnsi="Arial" w:cs="Arial"/>
                <w:color w:val="264A60"/>
                <w:sz w:val="18"/>
                <w:szCs w:val="18"/>
              </w:rPr>
            </w:pPr>
            <w:r w:rsidRPr="007B71FC">
              <w:rPr>
                <w:rFonts w:ascii="Arial" w:hAnsi="Arial" w:cs="Arial"/>
                <w:color w:val="264A60"/>
                <w:sz w:val="18"/>
                <w:szCs w:val="18"/>
              </w:rPr>
              <w:t>R</w:t>
            </w:r>
          </w:p>
        </w:tc>
        <w:tc>
          <w:tcPr>
            <w:tcW w:w="0" w:type="auto"/>
            <w:vMerge w:val="restart"/>
            <w:tcBorders>
              <w:top w:val="nil"/>
              <w:left w:val="single" w:sz="8" w:space="0" w:color="E0E0E0"/>
              <w:bottom w:val="nil"/>
              <w:right w:val="single" w:sz="8" w:space="0" w:color="E0E0E0"/>
            </w:tcBorders>
            <w:shd w:val="clear" w:color="auto" w:fill="FFFFFF"/>
            <w:vAlign w:val="bottom"/>
          </w:tcPr>
          <w:p w14:paraId="5BB91035" w14:textId="77777777" w:rsidR="007F596B" w:rsidRPr="007B71FC" w:rsidRDefault="007F596B" w:rsidP="007F596B">
            <w:pPr>
              <w:spacing w:line="320" w:lineRule="atLeast"/>
              <w:ind w:left="60" w:right="60"/>
              <w:jc w:val="center"/>
              <w:rPr>
                <w:rFonts w:ascii="Arial" w:hAnsi="Arial" w:cs="Arial"/>
                <w:color w:val="264A60"/>
                <w:sz w:val="18"/>
                <w:szCs w:val="18"/>
              </w:rPr>
            </w:pPr>
            <w:r w:rsidRPr="007B71FC">
              <w:rPr>
                <w:rFonts w:ascii="Arial" w:hAnsi="Arial" w:cs="Arial"/>
                <w:color w:val="264A60"/>
                <w:sz w:val="18"/>
                <w:szCs w:val="18"/>
              </w:rPr>
              <w:t>R Square</w:t>
            </w:r>
          </w:p>
        </w:tc>
        <w:tc>
          <w:tcPr>
            <w:tcW w:w="0" w:type="auto"/>
            <w:vMerge w:val="restart"/>
            <w:tcBorders>
              <w:top w:val="nil"/>
              <w:left w:val="single" w:sz="8" w:space="0" w:color="E0E0E0"/>
              <w:bottom w:val="nil"/>
              <w:right w:val="single" w:sz="8" w:space="0" w:color="E0E0E0"/>
            </w:tcBorders>
            <w:shd w:val="clear" w:color="auto" w:fill="FFFFFF"/>
            <w:vAlign w:val="bottom"/>
          </w:tcPr>
          <w:p w14:paraId="65AFA44F" w14:textId="77777777" w:rsidR="007F596B" w:rsidRPr="007B71FC" w:rsidRDefault="007F596B" w:rsidP="007F596B">
            <w:pPr>
              <w:spacing w:line="320" w:lineRule="atLeast"/>
              <w:ind w:left="60" w:right="60"/>
              <w:jc w:val="center"/>
              <w:rPr>
                <w:rFonts w:ascii="Arial" w:hAnsi="Arial" w:cs="Arial"/>
                <w:color w:val="264A60"/>
                <w:sz w:val="18"/>
                <w:szCs w:val="18"/>
              </w:rPr>
            </w:pPr>
            <w:r w:rsidRPr="007B71FC">
              <w:rPr>
                <w:rFonts w:ascii="Arial" w:hAnsi="Arial" w:cs="Arial"/>
                <w:color w:val="264A60"/>
                <w:sz w:val="18"/>
                <w:szCs w:val="18"/>
              </w:rPr>
              <w:t>Adjusted R Square</w:t>
            </w:r>
          </w:p>
        </w:tc>
        <w:tc>
          <w:tcPr>
            <w:tcW w:w="0" w:type="auto"/>
            <w:vMerge w:val="restart"/>
            <w:tcBorders>
              <w:top w:val="nil"/>
              <w:left w:val="single" w:sz="8" w:space="0" w:color="E0E0E0"/>
              <w:bottom w:val="nil"/>
              <w:right w:val="single" w:sz="8" w:space="0" w:color="E0E0E0"/>
            </w:tcBorders>
            <w:shd w:val="clear" w:color="auto" w:fill="FFFFFF"/>
            <w:vAlign w:val="bottom"/>
          </w:tcPr>
          <w:p w14:paraId="1E3F497C" w14:textId="77777777" w:rsidR="007F596B" w:rsidRPr="007B71FC" w:rsidRDefault="007F596B" w:rsidP="007F596B">
            <w:pPr>
              <w:spacing w:line="320" w:lineRule="atLeast"/>
              <w:ind w:left="60" w:right="60"/>
              <w:jc w:val="center"/>
              <w:rPr>
                <w:rFonts w:ascii="Arial" w:hAnsi="Arial" w:cs="Arial"/>
                <w:color w:val="264A60"/>
                <w:sz w:val="18"/>
                <w:szCs w:val="18"/>
              </w:rPr>
            </w:pPr>
            <w:r w:rsidRPr="007B71FC">
              <w:rPr>
                <w:rFonts w:ascii="Arial" w:hAnsi="Arial" w:cs="Arial"/>
                <w:color w:val="264A60"/>
                <w:sz w:val="18"/>
                <w:szCs w:val="18"/>
              </w:rPr>
              <w:t>Std. Error of the Estimate</w:t>
            </w:r>
          </w:p>
        </w:tc>
        <w:tc>
          <w:tcPr>
            <w:tcW w:w="0" w:type="auto"/>
            <w:gridSpan w:val="5"/>
            <w:tcBorders>
              <w:top w:val="nil"/>
              <w:left w:val="single" w:sz="8" w:space="0" w:color="E0E0E0"/>
              <w:bottom w:val="nil"/>
              <w:right w:val="single" w:sz="8" w:space="0" w:color="E0E0E0"/>
            </w:tcBorders>
            <w:shd w:val="clear" w:color="auto" w:fill="FFFFFF"/>
            <w:vAlign w:val="bottom"/>
          </w:tcPr>
          <w:p w14:paraId="7CF2EB44" w14:textId="77777777" w:rsidR="007F596B" w:rsidRPr="007B71FC" w:rsidRDefault="007F596B" w:rsidP="007F596B">
            <w:pPr>
              <w:spacing w:line="320" w:lineRule="atLeast"/>
              <w:ind w:left="60" w:right="60"/>
              <w:jc w:val="center"/>
              <w:rPr>
                <w:rFonts w:ascii="Arial" w:hAnsi="Arial" w:cs="Arial"/>
                <w:color w:val="264A60"/>
                <w:sz w:val="18"/>
                <w:szCs w:val="18"/>
              </w:rPr>
            </w:pPr>
            <w:r w:rsidRPr="007B71FC">
              <w:rPr>
                <w:rFonts w:ascii="Arial" w:hAnsi="Arial" w:cs="Arial"/>
                <w:color w:val="264A60"/>
                <w:sz w:val="18"/>
                <w:szCs w:val="18"/>
              </w:rPr>
              <w:t>Change Statistics</w:t>
            </w:r>
          </w:p>
        </w:tc>
        <w:tc>
          <w:tcPr>
            <w:tcW w:w="0" w:type="auto"/>
            <w:vMerge w:val="restart"/>
            <w:tcBorders>
              <w:top w:val="nil"/>
              <w:left w:val="single" w:sz="8" w:space="0" w:color="E0E0E0"/>
              <w:bottom w:val="nil"/>
              <w:right w:val="nil"/>
            </w:tcBorders>
            <w:shd w:val="clear" w:color="auto" w:fill="FFFFFF"/>
            <w:vAlign w:val="bottom"/>
          </w:tcPr>
          <w:p w14:paraId="0E388C03" w14:textId="77777777" w:rsidR="007F596B" w:rsidRPr="007B71FC" w:rsidRDefault="007F596B" w:rsidP="007F596B">
            <w:pPr>
              <w:spacing w:line="320" w:lineRule="atLeast"/>
              <w:ind w:left="60" w:right="60"/>
              <w:jc w:val="center"/>
              <w:rPr>
                <w:rFonts w:ascii="Arial" w:hAnsi="Arial" w:cs="Arial"/>
                <w:color w:val="264A60"/>
                <w:sz w:val="18"/>
                <w:szCs w:val="18"/>
              </w:rPr>
            </w:pPr>
            <w:r w:rsidRPr="007B71FC">
              <w:rPr>
                <w:rFonts w:ascii="Arial" w:hAnsi="Arial" w:cs="Arial"/>
                <w:color w:val="264A60"/>
                <w:sz w:val="18"/>
                <w:szCs w:val="18"/>
              </w:rPr>
              <w:t>Durbin-Watson</w:t>
            </w:r>
          </w:p>
        </w:tc>
      </w:tr>
      <w:tr w:rsidR="007F596B" w:rsidRPr="007B71FC" w14:paraId="319938DE" w14:textId="77777777" w:rsidTr="007F596B">
        <w:trPr>
          <w:cantSplit/>
        </w:trPr>
        <w:tc>
          <w:tcPr>
            <w:tcW w:w="0" w:type="auto"/>
            <w:vMerge/>
            <w:tcBorders>
              <w:top w:val="nil"/>
              <w:left w:val="nil"/>
              <w:bottom w:val="nil"/>
              <w:right w:val="nil"/>
            </w:tcBorders>
            <w:shd w:val="clear" w:color="auto" w:fill="FFFFFF"/>
            <w:vAlign w:val="bottom"/>
          </w:tcPr>
          <w:p w14:paraId="42492F96" w14:textId="77777777" w:rsidR="007F596B" w:rsidRPr="007B71FC" w:rsidRDefault="007F596B" w:rsidP="007F596B">
            <w:pPr>
              <w:rPr>
                <w:rFonts w:ascii="Arial" w:hAnsi="Arial" w:cs="Arial"/>
                <w:color w:val="264A60"/>
                <w:sz w:val="18"/>
                <w:szCs w:val="18"/>
              </w:rPr>
            </w:pPr>
          </w:p>
        </w:tc>
        <w:tc>
          <w:tcPr>
            <w:tcW w:w="0" w:type="auto"/>
            <w:vMerge/>
            <w:tcBorders>
              <w:top w:val="nil"/>
              <w:left w:val="nil"/>
              <w:bottom w:val="nil"/>
              <w:right w:val="single" w:sz="8" w:space="0" w:color="E0E0E0"/>
            </w:tcBorders>
            <w:shd w:val="clear" w:color="auto" w:fill="FFFFFF"/>
            <w:vAlign w:val="bottom"/>
          </w:tcPr>
          <w:p w14:paraId="0CB36A7B" w14:textId="77777777" w:rsidR="007F596B" w:rsidRPr="007B71FC" w:rsidRDefault="007F596B" w:rsidP="007F596B">
            <w:pPr>
              <w:rPr>
                <w:rFonts w:ascii="Arial" w:hAnsi="Arial" w:cs="Arial"/>
                <w:color w:val="264A60"/>
                <w:sz w:val="18"/>
                <w:szCs w:val="18"/>
              </w:rPr>
            </w:pPr>
          </w:p>
        </w:tc>
        <w:tc>
          <w:tcPr>
            <w:tcW w:w="0" w:type="auto"/>
            <w:vMerge/>
            <w:tcBorders>
              <w:top w:val="nil"/>
              <w:left w:val="single" w:sz="8" w:space="0" w:color="E0E0E0"/>
              <w:bottom w:val="nil"/>
              <w:right w:val="single" w:sz="8" w:space="0" w:color="E0E0E0"/>
            </w:tcBorders>
            <w:shd w:val="clear" w:color="auto" w:fill="FFFFFF"/>
            <w:vAlign w:val="bottom"/>
          </w:tcPr>
          <w:p w14:paraId="5A08B41E" w14:textId="77777777" w:rsidR="007F596B" w:rsidRPr="007B71FC" w:rsidRDefault="007F596B" w:rsidP="007F596B">
            <w:pPr>
              <w:rPr>
                <w:rFonts w:ascii="Arial" w:hAnsi="Arial" w:cs="Arial"/>
                <w:color w:val="264A60"/>
                <w:sz w:val="18"/>
                <w:szCs w:val="18"/>
              </w:rPr>
            </w:pPr>
          </w:p>
        </w:tc>
        <w:tc>
          <w:tcPr>
            <w:tcW w:w="0" w:type="auto"/>
            <w:vMerge/>
            <w:tcBorders>
              <w:top w:val="nil"/>
              <w:left w:val="single" w:sz="8" w:space="0" w:color="E0E0E0"/>
              <w:bottom w:val="nil"/>
              <w:right w:val="single" w:sz="8" w:space="0" w:color="E0E0E0"/>
            </w:tcBorders>
            <w:shd w:val="clear" w:color="auto" w:fill="FFFFFF"/>
            <w:vAlign w:val="bottom"/>
          </w:tcPr>
          <w:p w14:paraId="1AF2CF06" w14:textId="77777777" w:rsidR="007F596B" w:rsidRPr="007B71FC" w:rsidRDefault="007F596B" w:rsidP="007F596B">
            <w:pPr>
              <w:rPr>
                <w:rFonts w:ascii="Arial" w:hAnsi="Arial" w:cs="Arial"/>
                <w:color w:val="264A60"/>
                <w:sz w:val="18"/>
                <w:szCs w:val="18"/>
              </w:rPr>
            </w:pPr>
          </w:p>
        </w:tc>
        <w:tc>
          <w:tcPr>
            <w:tcW w:w="0" w:type="auto"/>
            <w:vMerge/>
            <w:tcBorders>
              <w:top w:val="nil"/>
              <w:left w:val="single" w:sz="8" w:space="0" w:color="E0E0E0"/>
              <w:bottom w:val="nil"/>
              <w:right w:val="single" w:sz="8" w:space="0" w:color="E0E0E0"/>
            </w:tcBorders>
            <w:shd w:val="clear" w:color="auto" w:fill="FFFFFF"/>
            <w:vAlign w:val="bottom"/>
          </w:tcPr>
          <w:p w14:paraId="6FFCD0C6" w14:textId="77777777" w:rsidR="007F596B" w:rsidRPr="007B71FC" w:rsidRDefault="007F596B" w:rsidP="007F596B">
            <w:pPr>
              <w:rPr>
                <w:rFonts w:ascii="Arial" w:hAnsi="Arial" w:cs="Arial"/>
                <w:color w:val="264A60"/>
                <w:sz w:val="18"/>
                <w:szCs w:val="18"/>
              </w:rPr>
            </w:pPr>
          </w:p>
        </w:tc>
        <w:tc>
          <w:tcPr>
            <w:tcW w:w="0" w:type="auto"/>
            <w:tcBorders>
              <w:top w:val="nil"/>
              <w:left w:val="single" w:sz="8" w:space="0" w:color="E0E0E0"/>
              <w:bottom w:val="single" w:sz="8" w:space="0" w:color="152935"/>
              <w:right w:val="single" w:sz="8" w:space="0" w:color="E0E0E0"/>
            </w:tcBorders>
            <w:shd w:val="clear" w:color="auto" w:fill="FFFFFF"/>
            <w:vAlign w:val="bottom"/>
          </w:tcPr>
          <w:p w14:paraId="50E23397" w14:textId="77777777" w:rsidR="007F596B" w:rsidRPr="007B71FC" w:rsidRDefault="007F596B" w:rsidP="007F596B">
            <w:pPr>
              <w:spacing w:line="320" w:lineRule="atLeast"/>
              <w:ind w:left="60" w:right="60"/>
              <w:jc w:val="center"/>
              <w:rPr>
                <w:rFonts w:ascii="Arial" w:hAnsi="Arial" w:cs="Arial"/>
                <w:color w:val="264A60"/>
                <w:sz w:val="18"/>
                <w:szCs w:val="18"/>
              </w:rPr>
            </w:pPr>
            <w:r w:rsidRPr="007B71FC">
              <w:rPr>
                <w:rFonts w:ascii="Arial" w:hAnsi="Arial" w:cs="Arial"/>
                <w:color w:val="264A60"/>
                <w:sz w:val="18"/>
                <w:szCs w:val="18"/>
              </w:rPr>
              <w:t>R Square Change</w:t>
            </w:r>
          </w:p>
        </w:tc>
        <w:tc>
          <w:tcPr>
            <w:tcW w:w="0" w:type="auto"/>
            <w:tcBorders>
              <w:top w:val="nil"/>
              <w:left w:val="single" w:sz="8" w:space="0" w:color="E0E0E0"/>
              <w:bottom w:val="single" w:sz="8" w:space="0" w:color="152935"/>
              <w:right w:val="single" w:sz="8" w:space="0" w:color="E0E0E0"/>
            </w:tcBorders>
            <w:shd w:val="clear" w:color="auto" w:fill="FFFFFF"/>
            <w:vAlign w:val="bottom"/>
          </w:tcPr>
          <w:p w14:paraId="10E204D8" w14:textId="77777777" w:rsidR="007F596B" w:rsidRPr="007B71FC" w:rsidRDefault="007F596B" w:rsidP="007F596B">
            <w:pPr>
              <w:spacing w:line="320" w:lineRule="atLeast"/>
              <w:ind w:left="60" w:right="60"/>
              <w:jc w:val="center"/>
              <w:rPr>
                <w:rFonts w:ascii="Arial" w:hAnsi="Arial" w:cs="Arial"/>
                <w:color w:val="264A60"/>
                <w:sz w:val="18"/>
                <w:szCs w:val="18"/>
              </w:rPr>
            </w:pPr>
            <w:r w:rsidRPr="007B71FC">
              <w:rPr>
                <w:rFonts w:ascii="Arial" w:hAnsi="Arial" w:cs="Arial"/>
                <w:color w:val="264A60"/>
                <w:sz w:val="18"/>
                <w:szCs w:val="18"/>
              </w:rPr>
              <w:t>F Change</w:t>
            </w:r>
          </w:p>
        </w:tc>
        <w:tc>
          <w:tcPr>
            <w:tcW w:w="0" w:type="auto"/>
            <w:tcBorders>
              <w:top w:val="nil"/>
              <w:left w:val="single" w:sz="8" w:space="0" w:color="E0E0E0"/>
              <w:bottom w:val="single" w:sz="8" w:space="0" w:color="152935"/>
              <w:right w:val="single" w:sz="8" w:space="0" w:color="E0E0E0"/>
            </w:tcBorders>
            <w:shd w:val="clear" w:color="auto" w:fill="FFFFFF"/>
            <w:vAlign w:val="bottom"/>
          </w:tcPr>
          <w:p w14:paraId="49E095E7" w14:textId="77777777" w:rsidR="007F596B" w:rsidRPr="007B71FC" w:rsidRDefault="007F596B" w:rsidP="007F596B">
            <w:pPr>
              <w:spacing w:line="320" w:lineRule="atLeast"/>
              <w:ind w:left="60" w:right="60"/>
              <w:jc w:val="center"/>
              <w:rPr>
                <w:rFonts w:ascii="Arial" w:hAnsi="Arial" w:cs="Arial"/>
                <w:color w:val="264A60"/>
                <w:sz w:val="18"/>
                <w:szCs w:val="18"/>
              </w:rPr>
            </w:pPr>
            <w:r w:rsidRPr="007B71FC">
              <w:rPr>
                <w:rFonts w:ascii="Arial" w:hAnsi="Arial" w:cs="Arial"/>
                <w:color w:val="264A60"/>
                <w:sz w:val="18"/>
                <w:szCs w:val="18"/>
              </w:rPr>
              <w:t>df1</w:t>
            </w:r>
          </w:p>
        </w:tc>
        <w:tc>
          <w:tcPr>
            <w:tcW w:w="0" w:type="auto"/>
            <w:tcBorders>
              <w:top w:val="nil"/>
              <w:left w:val="single" w:sz="8" w:space="0" w:color="E0E0E0"/>
              <w:bottom w:val="single" w:sz="8" w:space="0" w:color="152935"/>
              <w:right w:val="single" w:sz="8" w:space="0" w:color="E0E0E0"/>
            </w:tcBorders>
            <w:shd w:val="clear" w:color="auto" w:fill="FFFFFF"/>
            <w:vAlign w:val="bottom"/>
          </w:tcPr>
          <w:p w14:paraId="47E3AB0A" w14:textId="77777777" w:rsidR="007F596B" w:rsidRPr="007B71FC" w:rsidRDefault="007F596B" w:rsidP="007F596B">
            <w:pPr>
              <w:spacing w:line="320" w:lineRule="atLeast"/>
              <w:ind w:left="60" w:right="60"/>
              <w:jc w:val="center"/>
              <w:rPr>
                <w:rFonts w:ascii="Arial" w:hAnsi="Arial" w:cs="Arial"/>
                <w:color w:val="264A60"/>
                <w:sz w:val="18"/>
                <w:szCs w:val="18"/>
              </w:rPr>
            </w:pPr>
            <w:r w:rsidRPr="007B71FC">
              <w:rPr>
                <w:rFonts w:ascii="Arial" w:hAnsi="Arial" w:cs="Arial"/>
                <w:color w:val="264A60"/>
                <w:sz w:val="18"/>
                <w:szCs w:val="18"/>
              </w:rPr>
              <w:t>df2</w:t>
            </w:r>
          </w:p>
        </w:tc>
        <w:tc>
          <w:tcPr>
            <w:tcW w:w="0" w:type="auto"/>
            <w:tcBorders>
              <w:top w:val="nil"/>
              <w:left w:val="single" w:sz="8" w:space="0" w:color="E0E0E0"/>
              <w:bottom w:val="single" w:sz="8" w:space="0" w:color="152935"/>
              <w:right w:val="single" w:sz="8" w:space="0" w:color="E0E0E0"/>
            </w:tcBorders>
            <w:shd w:val="clear" w:color="auto" w:fill="FFFFFF"/>
            <w:vAlign w:val="bottom"/>
          </w:tcPr>
          <w:p w14:paraId="04257C99" w14:textId="77777777" w:rsidR="007F596B" w:rsidRPr="007B71FC" w:rsidRDefault="007F596B" w:rsidP="007F596B">
            <w:pPr>
              <w:spacing w:line="320" w:lineRule="atLeast"/>
              <w:ind w:left="60" w:right="60"/>
              <w:jc w:val="center"/>
              <w:rPr>
                <w:rFonts w:ascii="Arial" w:hAnsi="Arial" w:cs="Arial"/>
                <w:color w:val="264A60"/>
                <w:sz w:val="18"/>
                <w:szCs w:val="18"/>
              </w:rPr>
            </w:pPr>
            <w:r w:rsidRPr="007B71FC">
              <w:rPr>
                <w:rFonts w:ascii="Arial" w:hAnsi="Arial" w:cs="Arial"/>
                <w:color w:val="264A60"/>
                <w:sz w:val="18"/>
                <w:szCs w:val="18"/>
              </w:rPr>
              <w:t>Sig. F Change</w:t>
            </w:r>
          </w:p>
        </w:tc>
        <w:tc>
          <w:tcPr>
            <w:tcW w:w="0" w:type="auto"/>
            <w:vMerge/>
            <w:tcBorders>
              <w:top w:val="nil"/>
              <w:left w:val="single" w:sz="8" w:space="0" w:color="E0E0E0"/>
              <w:bottom w:val="nil"/>
              <w:right w:val="nil"/>
            </w:tcBorders>
            <w:shd w:val="clear" w:color="auto" w:fill="FFFFFF"/>
            <w:vAlign w:val="bottom"/>
          </w:tcPr>
          <w:p w14:paraId="2D29A484" w14:textId="77777777" w:rsidR="007F596B" w:rsidRPr="007B71FC" w:rsidRDefault="007F596B" w:rsidP="007F596B">
            <w:pPr>
              <w:rPr>
                <w:rFonts w:ascii="Arial" w:hAnsi="Arial" w:cs="Arial"/>
                <w:color w:val="264A60"/>
                <w:sz w:val="18"/>
                <w:szCs w:val="18"/>
              </w:rPr>
            </w:pPr>
          </w:p>
        </w:tc>
      </w:tr>
      <w:tr w:rsidR="007F596B" w:rsidRPr="007B71FC" w14:paraId="5CC438D9" w14:textId="77777777" w:rsidTr="007F596B">
        <w:trPr>
          <w:cantSplit/>
        </w:trPr>
        <w:tc>
          <w:tcPr>
            <w:tcW w:w="0" w:type="auto"/>
            <w:tcBorders>
              <w:top w:val="single" w:sz="8" w:space="0" w:color="152935"/>
              <w:left w:val="nil"/>
              <w:bottom w:val="single" w:sz="8" w:space="0" w:color="AEAEAE"/>
              <w:right w:val="nil"/>
            </w:tcBorders>
            <w:shd w:val="clear" w:color="auto" w:fill="E0E0E0"/>
          </w:tcPr>
          <w:p w14:paraId="5E27591D" w14:textId="77777777" w:rsidR="007F596B" w:rsidRPr="007B71FC" w:rsidRDefault="007F596B" w:rsidP="007F596B">
            <w:pPr>
              <w:spacing w:line="320" w:lineRule="atLeast"/>
              <w:ind w:left="60" w:right="60"/>
              <w:rPr>
                <w:rFonts w:ascii="Arial" w:hAnsi="Arial" w:cs="Arial"/>
                <w:color w:val="264A60"/>
                <w:sz w:val="18"/>
                <w:szCs w:val="18"/>
              </w:rPr>
            </w:pPr>
            <w:r w:rsidRPr="007B71FC">
              <w:rPr>
                <w:rFonts w:ascii="Arial" w:hAnsi="Arial" w:cs="Arial"/>
                <w:color w:val="264A60"/>
                <w:sz w:val="18"/>
                <w:szCs w:val="18"/>
              </w:rPr>
              <w:t>1</w:t>
            </w:r>
          </w:p>
        </w:tc>
        <w:tc>
          <w:tcPr>
            <w:tcW w:w="0" w:type="auto"/>
            <w:tcBorders>
              <w:top w:val="single" w:sz="8" w:space="0" w:color="152935"/>
              <w:left w:val="nil"/>
              <w:bottom w:val="single" w:sz="8" w:space="0" w:color="AEAEAE"/>
              <w:right w:val="single" w:sz="8" w:space="0" w:color="E0E0E0"/>
            </w:tcBorders>
            <w:shd w:val="clear" w:color="auto" w:fill="FFFFFF"/>
          </w:tcPr>
          <w:p w14:paraId="26929DC8"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.188</w:t>
            </w:r>
            <w:r w:rsidRPr="007B71FC">
              <w:rPr>
                <w:rFonts w:ascii="Arial" w:hAnsi="Arial" w:cs="Arial"/>
                <w:color w:val="010205"/>
                <w:sz w:val="18"/>
                <w:szCs w:val="18"/>
                <w:vertAlign w:val="superscript"/>
              </w:rPr>
              <w:t>a</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14:paraId="61BBB8E0"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.035</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14:paraId="79B0648E"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.025</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14:paraId="7F0E8D19"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18.79810429328</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14:paraId="6C47FF7A"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.035</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14:paraId="2120CDDA"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3.572</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14:paraId="0285F8A5"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2</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14:paraId="68A07A40"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195</w:t>
            </w:r>
          </w:p>
        </w:tc>
        <w:tc>
          <w:tcPr>
            <w:tcW w:w="0" w:type="auto"/>
            <w:tcBorders>
              <w:top w:val="single" w:sz="8" w:space="0" w:color="152935"/>
              <w:left w:val="single" w:sz="8" w:space="0" w:color="E0E0E0"/>
              <w:bottom w:val="single" w:sz="8" w:space="0" w:color="AEAEAE"/>
              <w:right w:val="single" w:sz="8" w:space="0" w:color="E0E0E0"/>
            </w:tcBorders>
            <w:shd w:val="clear" w:color="auto" w:fill="FFFFFF"/>
          </w:tcPr>
          <w:p w14:paraId="6F7EDED0"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.030</w:t>
            </w:r>
          </w:p>
        </w:tc>
        <w:tc>
          <w:tcPr>
            <w:tcW w:w="0" w:type="auto"/>
            <w:tcBorders>
              <w:top w:val="single" w:sz="8" w:space="0" w:color="152935"/>
              <w:left w:val="single" w:sz="8" w:space="0" w:color="E0E0E0"/>
              <w:bottom w:val="single" w:sz="8" w:space="0" w:color="AEAEAE"/>
              <w:right w:val="nil"/>
            </w:tcBorders>
            <w:shd w:val="clear" w:color="auto" w:fill="FFFFFF"/>
            <w:vAlign w:val="center"/>
          </w:tcPr>
          <w:p w14:paraId="7136C22D" w14:textId="77777777" w:rsidR="007F596B" w:rsidRPr="007B71FC" w:rsidRDefault="007F596B" w:rsidP="007F596B">
            <w:pPr>
              <w:rPr>
                <w:rFonts w:ascii="Times New Roman" w:hAnsi="Times New Roman" w:cs="Times New Roman"/>
                <w:sz w:val="18"/>
                <w:szCs w:val="18"/>
              </w:rPr>
            </w:pPr>
          </w:p>
        </w:tc>
      </w:tr>
      <w:tr w:rsidR="007F596B" w:rsidRPr="007B71FC" w14:paraId="66147312" w14:textId="77777777" w:rsidTr="007F596B">
        <w:trPr>
          <w:cantSplit/>
        </w:trPr>
        <w:tc>
          <w:tcPr>
            <w:tcW w:w="0" w:type="auto"/>
            <w:tcBorders>
              <w:top w:val="single" w:sz="8" w:space="0" w:color="AEAEAE"/>
              <w:left w:val="nil"/>
              <w:bottom w:val="single" w:sz="8" w:space="0" w:color="AEAEAE"/>
              <w:right w:val="nil"/>
            </w:tcBorders>
            <w:shd w:val="clear" w:color="auto" w:fill="E0E0E0"/>
          </w:tcPr>
          <w:p w14:paraId="6EC5CA73" w14:textId="77777777" w:rsidR="007F596B" w:rsidRPr="007B71FC" w:rsidRDefault="007F596B" w:rsidP="007F596B">
            <w:pPr>
              <w:spacing w:line="320" w:lineRule="atLeast"/>
              <w:ind w:left="60" w:right="60"/>
              <w:rPr>
                <w:rFonts w:ascii="Arial" w:hAnsi="Arial" w:cs="Arial"/>
                <w:color w:val="264A60"/>
                <w:sz w:val="18"/>
                <w:szCs w:val="18"/>
              </w:rPr>
            </w:pPr>
            <w:r w:rsidRPr="007B71FC">
              <w:rPr>
                <w:rFonts w:ascii="Arial" w:hAnsi="Arial" w:cs="Arial"/>
                <w:color w:val="264A60"/>
                <w:sz w:val="18"/>
                <w:szCs w:val="18"/>
              </w:rPr>
              <w:t>2</w:t>
            </w:r>
          </w:p>
        </w:tc>
        <w:tc>
          <w:tcPr>
            <w:tcW w:w="0" w:type="auto"/>
            <w:tcBorders>
              <w:top w:val="single" w:sz="8" w:space="0" w:color="AEAEAE"/>
              <w:left w:val="nil"/>
              <w:bottom w:val="single" w:sz="8" w:space="0" w:color="AEAEAE"/>
              <w:right w:val="single" w:sz="8" w:space="0" w:color="E0E0E0"/>
            </w:tcBorders>
            <w:shd w:val="clear" w:color="auto" w:fill="FFFFFF"/>
          </w:tcPr>
          <w:p w14:paraId="34F49404"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.205</w:t>
            </w:r>
            <w:r w:rsidRPr="007B71FC">
              <w:rPr>
                <w:rFonts w:ascii="Arial" w:hAnsi="Arial" w:cs="Arial"/>
                <w:color w:val="010205"/>
                <w:sz w:val="18"/>
                <w:szCs w:val="18"/>
                <w:vertAlign w:val="superscript"/>
              </w:rPr>
              <w:t>b</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25DF2935"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.042</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7D3CA23A"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.027</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1A289252"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18.77939737325</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21820206"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.007</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1394566E"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1.389</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3CC480EB"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599291BC"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194</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66EDB562"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.240</w:t>
            </w:r>
          </w:p>
        </w:tc>
        <w:tc>
          <w:tcPr>
            <w:tcW w:w="0" w:type="auto"/>
            <w:tcBorders>
              <w:top w:val="single" w:sz="8" w:space="0" w:color="AEAEAE"/>
              <w:left w:val="single" w:sz="8" w:space="0" w:color="E0E0E0"/>
              <w:bottom w:val="single" w:sz="8" w:space="0" w:color="AEAEAE"/>
              <w:right w:val="nil"/>
            </w:tcBorders>
            <w:shd w:val="clear" w:color="auto" w:fill="FFFFFF"/>
            <w:vAlign w:val="center"/>
          </w:tcPr>
          <w:p w14:paraId="48545382" w14:textId="77777777" w:rsidR="007F596B" w:rsidRPr="007B71FC" w:rsidRDefault="007F596B" w:rsidP="007F596B">
            <w:pPr>
              <w:rPr>
                <w:rFonts w:ascii="Times New Roman" w:hAnsi="Times New Roman" w:cs="Times New Roman"/>
                <w:sz w:val="18"/>
                <w:szCs w:val="18"/>
              </w:rPr>
            </w:pPr>
          </w:p>
        </w:tc>
      </w:tr>
      <w:tr w:rsidR="007F596B" w:rsidRPr="007B71FC" w14:paraId="096CCF3B" w14:textId="77777777" w:rsidTr="007F596B">
        <w:trPr>
          <w:cantSplit/>
        </w:trPr>
        <w:tc>
          <w:tcPr>
            <w:tcW w:w="0" w:type="auto"/>
            <w:tcBorders>
              <w:top w:val="single" w:sz="8" w:space="0" w:color="AEAEAE"/>
              <w:left w:val="nil"/>
              <w:bottom w:val="single" w:sz="8" w:space="0" w:color="AEAEAE"/>
              <w:right w:val="nil"/>
            </w:tcBorders>
            <w:shd w:val="clear" w:color="auto" w:fill="E0E0E0"/>
          </w:tcPr>
          <w:p w14:paraId="398F795E" w14:textId="77777777" w:rsidR="007F596B" w:rsidRPr="007B71FC" w:rsidRDefault="007F596B" w:rsidP="007F596B">
            <w:pPr>
              <w:spacing w:line="320" w:lineRule="atLeast"/>
              <w:ind w:left="60" w:right="60"/>
              <w:rPr>
                <w:rFonts w:ascii="Arial" w:hAnsi="Arial" w:cs="Arial"/>
                <w:color w:val="264A60"/>
                <w:sz w:val="18"/>
                <w:szCs w:val="18"/>
              </w:rPr>
            </w:pPr>
            <w:r w:rsidRPr="007B71FC">
              <w:rPr>
                <w:rFonts w:ascii="Arial" w:hAnsi="Arial" w:cs="Arial"/>
                <w:color w:val="264A60"/>
                <w:sz w:val="18"/>
                <w:szCs w:val="18"/>
              </w:rPr>
              <w:t>3</w:t>
            </w:r>
          </w:p>
        </w:tc>
        <w:tc>
          <w:tcPr>
            <w:tcW w:w="0" w:type="auto"/>
            <w:tcBorders>
              <w:top w:val="single" w:sz="8" w:space="0" w:color="AEAEAE"/>
              <w:left w:val="nil"/>
              <w:bottom w:val="single" w:sz="8" w:space="0" w:color="AEAEAE"/>
              <w:right w:val="single" w:sz="8" w:space="0" w:color="E0E0E0"/>
            </w:tcBorders>
            <w:shd w:val="clear" w:color="auto" w:fill="FFFFFF"/>
          </w:tcPr>
          <w:p w14:paraId="502FE057"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.206</w:t>
            </w:r>
            <w:r w:rsidRPr="007B71FC">
              <w:rPr>
                <w:rFonts w:ascii="Arial" w:hAnsi="Arial" w:cs="Arial"/>
                <w:color w:val="010205"/>
                <w:sz w:val="18"/>
                <w:szCs w:val="18"/>
                <w:vertAlign w:val="superscript"/>
              </w:rPr>
              <w:t>c</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57BE5799"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.043</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3C337B4C"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.023</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1E0DEFF9"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18.82388998766</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17BBE360"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.000</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1E0E8B08"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.084</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2EF86B61"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1</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0B3C27EE"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193</w:t>
            </w:r>
          </w:p>
        </w:tc>
        <w:tc>
          <w:tcPr>
            <w:tcW w:w="0" w:type="auto"/>
            <w:tcBorders>
              <w:top w:val="single" w:sz="8" w:space="0" w:color="AEAEAE"/>
              <w:left w:val="single" w:sz="8" w:space="0" w:color="E0E0E0"/>
              <w:bottom w:val="single" w:sz="8" w:space="0" w:color="AEAEAE"/>
              <w:right w:val="single" w:sz="8" w:space="0" w:color="E0E0E0"/>
            </w:tcBorders>
            <w:shd w:val="clear" w:color="auto" w:fill="FFFFFF"/>
          </w:tcPr>
          <w:p w14:paraId="1DD49813"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.772</w:t>
            </w:r>
          </w:p>
        </w:tc>
        <w:tc>
          <w:tcPr>
            <w:tcW w:w="0" w:type="auto"/>
            <w:tcBorders>
              <w:top w:val="single" w:sz="8" w:space="0" w:color="AEAEAE"/>
              <w:left w:val="single" w:sz="8" w:space="0" w:color="E0E0E0"/>
              <w:bottom w:val="single" w:sz="8" w:space="0" w:color="AEAEAE"/>
              <w:right w:val="nil"/>
            </w:tcBorders>
            <w:shd w:val="clear" w:color="auto" w:fill="FFFFFF"/>
            <w:vAlign w:val="center"/>
          </w:tcPr>
          <w:p w14:paraId="7FDAD6BB" w14:textId="77777777" w:rsidR="007F596B" w:rsidRPr="007B71FC" w:rsidRDefault="007F596B" w:rsidP="007F596B">
            <w:pPr>
              <w:rPr>
                <w:rFonts w:ascii="Times New Roman" w:hAnsi="Times New Roman" w:cs="Times New Roman"/>
                <w:sz w:val="18"/>
                <w:szCs w:val="18"/>
              </w:rPr>
            </w:pPr>
          </w:p>
        </w:tc>
      </w:tr>
      <w:tr w:rsidR="007F596B" w:rsidRPr="007B71FC" w14:paraId="151F249F" w14:textId="77777777" w:rsidTr="007F596B">
        <w:trPr>
          <w:cantSplit/>
        </w:trPr>
        <w:tc>
          <w:tcPr>
            <w:tcW w:w="0" w:type="auto"/>
            <w:tcBorders>
              <w:top w:val="single" w:sz="8" w:space="0" w:color="AEAEAE"/>
              <w:left w:val="nil"/>
              <w:bottom w:val="single" w:sz="8" w:space="0" w:color="152935"/>
              <w:right w:val="nil"/>
            </w:tcBorders>
            <w:shd w:val="clear" w:color="auto" w:fill="E0E0E0"/>
          </w:tcPr>
          <w:p w14:paraId="2E56B153" w14:textId="77777777" w:rsidR="007F596B" w:rsidRPr="007B71FC" w:rsidRDefault="007F596B" w:rsidP="007F596B">
            <w:pPr>
              <w:spacing w:line="320" w:lineRule="atLeast"/>
              <w:ind w:left="60" w:right="60"/>
              <w:rPr>
                <w:rFonts w:ascii="Arial" w:hAnsi="Arial" w:cs="Arial"/>
                <w:color w:val="264A60"/>
                <w:sz w:val="18"/>
                <w:szCs w:val="18"/>
              </w:rPr>
            </w:pPr>
            <w:r w:rsidRPr="007B71FC">
              <w:rPr>
                <w:rFonts w:ascii="Arial" w:hAnsi="Arial" w:cs="Arial"/>
                <w:color w:val="264A60"/>
                <w:sz w:val="18"/>
                <w:szCs w:val="18"/>
              </w:rPr>
              <w:t>4</w:t>
            </w:r>
          </w:p>
        </w:tc>
        <w:tc>
          <w:tcPr>
            <w:tcW w:w="0" w:type="auto"/>
            <w:tcBorders>
              <w:top w:val="single" w:sz="8" w:space="0" w:color="AEAEAE"/>
              <w:left w:val="nil"/>
              <w:bottom w:val="single" w:sz="8" w:space="0" w:color="152935"/>
              <w:right w:val="single" w:sz="8" w:space="0" w:color="E0E0E0"/>
            </w:tcBorders>
            <w:shd w:val="clear" w:color="auto" w:fill="FFFFFF"/>
          </w:tcPr>
          <w:p w14:paraId="4EDD7B0B"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.207</w:t>
            </w:r>
            <w:r w:rsidRPr="007B71FC">
              <w:rPr>
                <w:rFonts w:ascii="Arial" w:hAnsi="Arial" w:cs="Arial"/>
                <w:color w:val="010205"/>
                <w:sz w:val="18"/>
                <w:szCs w:val="18"/>
                <w:vertAlign w:val="superscript"/>
              </w:rPr>
              <w:t>d</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14:paraId="21C63030"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.043</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14:paraId="4B335716"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.008</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14:paraId="0BA0C2EF"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18.96910563369</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14:paraId="3162F96E"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.000</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14:paraId="3D07CA0D"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.019</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14:paraId="6EDF2D6F"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3</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14:paraId="02DEFDEE"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190</w:t>
            </w:r>
          </w:p>
        </w:tc>
        <w:tc>
          <w:tcPr>
            <w:tcW w:w="0" w:type="auto"/>
            <w:tcBorders>
              <w:top w:val="single" w:sz="8" w:space="0" w:color="AEAEAE"/>
              <w:left w:val="single" w:sz="8" w:space="0" w:color="E0E0E0"/>
              <w:bottom w:val="single" w:sz="8" w:space="0" w:color="152935"/>
              <w:right w:val="single" w:sz="8" w:space="0" w:color="E0E0E0"/>
            </w:tcBorders>
            <w:shd w:val="clear" w:color="auto" w:fill="FFFFFF"/>
          </w:tcPr>
          <w:p w14:paraId="3FC037A7"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.996</w:t>
            </w:r>
          </w:p>
        </w:tc>
        <w:tc>
          <w:tcPr>
            <w:tcW w:w="0" w:type="auto"/>
            <w:tcBorders>
              <w:top w:val="single" w:sz="8" w:space="0" w:color="AEAEAE"/>
              <w:left w:val="single" w:sz="8" w:space="0" w:color="E0E0E0"/>
              <w:bottom w:val="single" w:sz="8" w:space="0" w:color="152935"/>
              <w:right w:val="nil"/>
            </w:tcBorders>
            <w:shd w:val="clear" w:color="auto" w:fill="FFFFFF"/>
          </w:tcPr>
          <w:p w14:paraId="4C23D13E" w14:textId="77777777" w:rsidR="007F596B" w:rsidRPr="007B71FC" w:rsidRDefault="007F596B" w:rsidP="007F596B">
            <w:pPr>
              <w:spacing w:line="320" w:lineRule="atLeast"/>
              <w:ind w:left="60" w:right="60"/>
              <w:jc w:val="right"/>
              <w:rPr>
                <w:rFonts w:ascii="Arial" w:hAnsi="Arial" w:cs="Arial"/>
                <w:color w:val="010205"/>
                <w:sz w:val="18"/>
                <w:szCs w:val="18"/>
              </w:rPr>
            </w:pPr>
            <w:r w:rsidRPr="007B71FC">
              <w:rPr>
                <w:rFonts w:ascii="Arial" w:hAnsi="Arial" w:cs="Arial"/>
                <w:color w:val="010205"/>
                <w:sz w:val="18"/>
                <w:szCs w:val="18"/>
              </w:rPr>
              <w:t>1.871</w:t>
            </w:r>
          </w:p>
        </w:tc>
      </w:tr>
      <w:tr w:rsidR="007F596B" w:rsidRPr="007B71FC" w14:paraId="551E25CB" w14:textId="77777777" w:rsidTr="007F596B">
        <w:trPr>
          <w:cantSplit/>
        </w:trPr>
        <w:tc>
          <w:tcPr>
            <w:tcW w:w="0" w:type="auto"/>
            <w:gridSpan w:val="11"/>
            <w:tcBorders>
              <w:top w:val="nil"/>
              <w:left w:val="nil"/>
              <w:bottom w:val="nil"/>
              <w:right w:val="nil"/>
            </w:tcBorders>
            <w:shd w:val="clear" w:color="auto" w:fill="FFFFFF"/>
          </w:tcPr>
          <w:p w14:paraId="66CCAD38" w14:textId="77777777" w:rsidR="007F596B" w:rsidRPr="007B71FC" w:rsidRDefault="007F596B" w:rsidP="007F596B">
            <w:pPr>
              <w:spacing w:line="320" w:lineRule="atLeast"/>
              <w:ind w:left="60" w:right="60"/>
              <w:rPr>
                <w:rFonts w:ascii="Arial" w:hAnsi="Arial" w:cs="Arial"/>
                <w:color w:val="010205"/>
                <w:sz w:val="18"/>
                <w:szCs w:val="18"/>
              </w:rPr>
            </w:pPr>
            <w:r w:rsidRPr="007B71FC">
              <w:rPr>
                <w:rFonts w:ascii="Arial" w:hAnsi="Arial" w:cs="Arial"/>
                <w:color w:val="010205"/>
                <w:sz w:val="18"/>
                <w:szCs w:val="18"/>
              </w:rPr>
              <w:t>a. Predictors: (Constant), A, F</w:t>
            </w:r>
          </w:p>
        </w:tc>
      </w:tr>
      <w:tr w:rsidR="007F596B" w:rsidRPr="007B71FC" w14:paraId="18461C75" w14:textId="77777777" w:rsidTr="007F596B">
        <w:trPr>
          <w:cantSplit/>
        </w:trPr>
        <w:tc>
          <w:tcPr>
            <w:tcW w:w="0" w:type="auto"/>
            <w:gridSpan w:val="11"/>
            <w:tcBorders>
              <w:top w:val="nil"/>
              <w:left w:val="nil"/>
              <w:bottom w:val="nil"/>
              <w:right w:val="nil"/>
            </w:tcBorders>
            <w:shd w:val="clear" w:color="auto" w:fill="FFFFFF"/>
          </w:tcPr>
          <w:p w14:paraId="009CBE88" w14:textId="77777777" w:rsidR="007F596B" w:rsidRPr="007B71FC" w:rsidRDefault="007F596B" w:rsidP="007F596B">
            <w:pPr>
              <w:spacing w:line="320" w:lineRule="atLeast"/>
              <w:ind w:left="60" w:right="60"/>
              <w:rPr>
                <w:rFonts w:ascii="Arial" w:hAnsi="Arial" w:cs="Arial"/>
                <w:color w:val="010205"/>
                <w:sz w:val="18"/>
                <w:szCs w:val="18"/>
              </w:rPr>
            </w:pPr>
            <w:r w:rsidRPr="007B71FC">
              <w:rPr>
                <w:rFonts w:ascii="Arial" w:hAnsi="Arial" w:cs="Arial"/>
                <w:color w:val="010205"/>
                <w:sz w:val="18"/>
                <w:szCs w:val="18"/>
              </w:rPr>
              <w:t>b. Predictors: (Constant), A, F, YrsQual</w:t>
            </w:r>
          </w:p>
        </w:tc>
      </w:tr>
      <w:tr w:rsidR="007F596B" w:rsidRPr="007B71FC" w14:paraId="2B1D3D87" w14:textId="77777777" w:rsidTr="007F596B">
        <w:trPr>
          <w:cantSplit/>
        </w:trPr>
        <w:tc>
          <w:tcPr>
            <w:tcW w:w="0" w:type="auto"/>
            <w:gridSpan w:val="11"/>
            <w:tcBorders>
              <w:top w:val="nil"/>
              <w:left w:val="nil"/>
              <w:bottom w:val="nil"/>
              <w:right w:val="nil"/>
            </w:tcBorders>
            <w:shd w:val="clear" w:color="auto" w:fill="FFFFFF"/>
          </w:tcPr>
          <w:p w14:paraId="54BE7F0F" w14:textId="77777777" w:rsidR="007F596B" w:rsidRPr="007B71FC" w:rsidRDefault="007F596B" w:rsidP="007F596B">
            <w:pPr>
              <w:spacing w:line="320" w:lineRule="atLeast"/>
              <w:ind w:left="60" w:right="60"/>
              <w:rPr>
                <w:rFonts w:ascii="Arial" w:hAnsi="Arial" w:cs="Arial"/>
                <w:color w:val="010205"/>
                <w:sz w:val="18"/>
                <w:szCs w:val="18"/>
              </w:rPr>
            </w:pPr>
            <w:r w:rsidRPr="007B71FC">
              <w:rPr>
                <w:rFonts w:ascii="Arial" w:hAnsi="Arial" w:cs="Arial"/>
                <w:color w:val="010205"/>
                <w:sz w:val="18"/>
                <w:szCs w:val="18"/>
              </w:rPr>
              <w:t>c. Predictors: (Constant), A, F, YrsQual, Profession</w:t>
            </w:r>
          </w:p>
        </w:tc>
      </w:tr>
      <w:tr w:rsidR="007F596B" w:rsidRPr="007B71FC" w14:paraId="2B4601DC" w14:textId="77777777" w:rsidTr="007F596B">
        <w:trPr>
          <w:cantSplit/>
        </w:trPr>
        <w:tc>
          <w:tcPr>
            <w:tcW w:w="0" w:type="auto"/>
            <w:gridSpan w:val="11"/>
            <w:tcBorders>
              <w:top w:val="nil"/>
              <w:left w:val="nil"/>
              <w:bottom w:val="nil"/>
              <w:right w:val="nil"/>
            </w:tcBorders>
            <w:shd w:val="clear" w:color="auto" w:fill="FFFFFF"/>
          </w:tcPr>
          <w:p w14:paraId="1BCE2263" w14:textId="77777777" w:rsidR="007F596B" w:rsidRDefault="007F596B" w:rsidP="007F596B">
            <w:pPr>
              <w:spacing w:line="320" w:lineRule="atLeast"/>
              <w:ind w:left="60" w:right="60"/>
              <w:rPr>
                <w:rFonts w:ascii="Arial" w:hAnsi="Arial" w:cs="Arial"/>
                <w:color w:val="010205"/>
                <w:sz w:val="18"/>
                <w:szCs w:val="18"/>
              </w:rPr>
            </w:pPr>
            <w:r w:rsidRPr="007B71FC">
              <w:rPr>
                <w:rFonts w:ascii="Arial" w:hAnsi="Arial" w:cs="Arial"/>
                <w:color w:val="010205"/>
                <w:sz w:val="18"/>
                <w:szCs w:val="18"/>
              </w:rPr>
              <w:t>d. Predictors: (Constant), A, F, YrsQual, Profession, Gender, IAPT, Age</w:t>
            </w:r>
          </w:p>
          <w:p w14:paraId="4E09E83C" w14:textId="77777777" w:rsidR="007F596B" w:rsidRDefault="007F596B" w:rsidP="007F596B">
            <w:pPr>
              <w:spacing w:line="320" w:lineRule="atLeast"/>
              <w:ind w:right="60"/>
              <w:rPr>
                <w:rFonts w:ascii="Arial" w:hAnsi="Arial" w:cs="Arial"/>
                <w:color w:val="010205"/>
                <w:sz w:val="18"/>
                <w:szCs w:val="18"/>
              </w:rPr>
            </w:pPr>
            <w:r>
              <w:rPr>
                <w:rFonts w:ascii="Arial" w:hAnsi="Arial" w:cs="Arial"/>
                <w:color w:val="010205"/>
                <w:sz w:val="18"/>
                <w:szCs w:val="18"/>
              </w:rPr>
              <w:t xml:space="preserve"> </w:t>
            </w:r>
            <w:r w:rsidRPr="007B71FC">
              <w:rPr>
                <w:rFonts w:ascii="Arial" w:hAnsi="Arial" w:cs="Arial"/>
                <w:color w:val="010205"/>
                <w:sz w:val="18"/>
                <w:szCs w:val="18"/>
              </w:rPr>
              <w:t>e. Dependent Variable: RR</w:t>
            </w:r>
          </w:p>
          <w:p w14:paraId="6D1F2F71" w14:textId="77777777" w:rsidR="007F596B" w:rsidRDefault="007F596B" w:rsidP="007F596B">
            <w:pPr>
              <w:spacing w:line="320" w:lineRule="atLeast"/>
              <w:ind w:left="60" w:right="60"/>
              <w:rPr>
                <w:rFonts w:ascii="Arial" w:hAnsi="Arial" w:cs="Arial"/>
                <w:color w:val="010205"/>
                <w:sz w:val="18"/>
                <w:szCs w:val="18"/>
              </w:rPr>
            </w:pPr>
          </w:p>
          <w:p w14:paraId="606C0699" w14:textId="77777777" w:rsidR="007F596B" w:rsidRPr="007B71FC" w:rsidRDefault="007F596B" w:rsidP="007F596B">
            <w:pPr>
              <w:spacing w:line="320" w:lineRule="atLeast"/>
              <w:ind w:left="60" w:right="60"/>
              <w:rPr>
                <w:rFonts w:ascii="Arial" w:hAnsi="Arial" w:cs="Arial"/>
                <w:color w:val="010205"/>
                <w:sz w:val="18"/>
                <w:szCs w:val="18"/>
              </w:rPr>
            </w:pPr>
          </w:p>
        </w:tc>
      </w:tr>
      <w:tr w:rsidR="007F596B" w:rsidRPr="007B71FC" w14:paraId="6676CA24" w14:textId="77777777" w:rsidTr="007F596B">
        <w:trPr>
          <w:cantSplit/>
        </w:trPr>
        <w:tc>
          <w:tcPr>
            <w:tcW w:w="0" w:type="auto"/>
            <w:gridSpan w:val="11"/>
            <w:tcBorders>
              <w:top w:val="nil"/>
              <w:left w:val="nil"/>
              <w:bottom w:val="nil"/>
              <w:right w:val="nil"/>
            </w:tcBorders>
            <w:shd w:val="clear" w:color="auto" w:fill="FFFFFF"/>
          </w:tcPr>
          <w:p w14:paraId="37C22C70" w14:textId="2E2166B5" w:rsidR="007F596B" w:rsidRPr="00B65764" w:rsidRDefault="007F596B" w:rsidP="007F596B">
            <w:pPr>
              <w:spacing w:line="480" w:lineRule="auto"/>
              <w:ind w:right="60"/>
              <w:rPr>
                <w:rFonts w:ascii="Arial" w:hAnsi="Arial" w:cs="Arial"/>
                <w:color w:val="010205"/>
                <w:sz w:val="22"/>
                <w:szCs w:val="22"/>
              </w:rPr>
            </w:pPr>
            <w:r w:rsidRPr="00CF1079">
              <w:rPr>
                <w:rFonts w:ascii="Arial" w:hAnsi="Arial" w:cs="Arial"/>
                <w:color w:val="010205"/>
                <w:sz w:val="22"/>
                <w:szCs w:val="22"/>
              </w:rPr>
              <w:lastRenderedPageBreak/>
              <w:t>Table</w:t>
            </w:r>
            <w:r w:rsidR="00156EB9" w:rsidRPr="00CF1079">
              <w:rPr>
                <w:rFonts w:ascii="Arial" w:hAnsi="Arial" w:cs="Arial"/>
                <w:color w:val="010205"/>
                <w:sz w:val="22"/>
                <w:szCs w:val="22"/>
              </w:rPr>
              <w:t>s</w:t>
            </w:r>
            <w:r w:rsidRPr="00CF1079">
              <w:rPr>
                <w:rFonts w:ascii="Arial" w:hAnsi="Arial" w:cs="Arial"/>
                <w:color w:val="010205"/>
                <w:sz w:val="22"/>
                <w:szCs w:val="22"/>
              </w:rPr>
              <w:t xml:space="preserve"> </w:t>
            </w:r>
            <w:r w:rsidR="008A1595" w:rsidRPr="00CF1079">
              <w:rPr>
                <w:rFonts w:ascii="Arial" w:hAnsi="Arial" w:cs="Arial"/>
                <w:color w:val="010205"/>
                <w:sz w:val="22"/>
                <w:szCs w:val="22"/>
              </w:rPr>
              <w:t>5</w:t>
            </w:r>
            <w:r w:rsidRPr="00CF1079">
              <w:rPr>
                <w:rFonts w:ascii="Arial" w:hAnsi="Arial" w:cs="Arial"/>
                <w:color w:val="010205"/>
                <w:sz w:val="22"/>
                <w:szCs w:val="22"/>
              </w:rPr>
              <w:t>.</w:t>
            </w:r>
            <w:r w:rsidR="00DE1F87" w:rsidRPr="00CF1079">
              <w:rPr>
                <w:rFonts w:ascii="Arial" w:hAnsi="Arial" w:cs="Arial"/>
                <w:color w:val="010205"/>
                <w:sz w:val="22"/>
                <w:szCs w:val="22"/>
              </w:rPr>
              <w:t>7</w:t>
            </w:r>
            <w:r w:rsidRPr="00CF1079">
              <w:rPr>
                <w:rFonts w:ascii="Arial" w:hAnsi="Arial" w:cs="Arial"/>
                <w:color w:val="010205"/>
                <w:sz w:val="22"/>
                <w:szCs w:val="22"/>
              </w:rPr>
              <w:t xml:space="preserve"> </w:t>
            </w:r>
            <w:r w:rsidR="00156EB9" w:rsidRPr="00CF1079">
              <w:rPr>
                <w:rFonts w:ascii="Arial" w:hAnsi="Arial" w:cs="Arial"/>
                <w:color w:val="010205"/>
                <w:sz w:val="22"/>
                <w:szCs w:val="22"/>
              </w:rPr>
              <w:t xml:space="preserve">and 5.8 </w:t>
            </w:r>
            <w:r w:rsidRPr="00CF1079">
              <w:rPr>
                <w:rFonts w:ascii="Arial" w:hAnsi="Arial" w:cs="Arial"/>
                <w:color w:val="010205"/>
                <w:sz w:val="22"/>
                <w:szCs w:val="22"/>
              </w:rPr>
              <w:t>show the sequential</w:t>
            </w:r>
            <w:r>
              <w:rPr>
                <w:rFonts w:ascii="Arial" w:hAnsi="Arial" w:cs="Arial"/>
                <w:color w:val="010205"/>
                <w:sz w:val="22"/>
                <w:szCs w:val="22"/>
              </w:rPr>
              <w:t xml:space="preserve"> results from the hierarchical regression model where model 1 contains only the A score and F score variables, in model 2 the variable therapist years qualified was added, model 3 therapist profession was added and model 4 all the remaining variables were added.</w:t>
            </w:r>
            <w:r w:rsidR="00E80B5F">
              <w:rPr>
                <w:rFonts w:ascii="Arial" w:hAnsi="Arial" w:cs="Arial"/>
                <w:color w:val="010205"/>
                <w:sz w:val="22"/>
                <w:szCs w:val="22"/>
              </w:rPr>
              <w:t xml:space="preserve"> </w:t>
            </w:r>
            <w:r w:rsidR="00E80B5F" w:rsidRPr="00CF1079">
              <w:rPr>
                <w:rFonts w:ascii="Arial" w:hAnsi="Arial" w:cs="Arial"/>
                <w:color w:val="010205"/>
                <w:sz w:val="22"/>
                <w:szCs w:val="22"/>
              </w:rPr>
              <w:t xml:space="preserve">Table 5.7 </w:t>
            </w:r>
            <w:r w:rsidR="00C259C1" w:rsidRPr="00CF1079">
              <w:rPr>
                <w:rFonts w:ascii="Arial" w:hAnsi="Arial" w:cs="Arial"/>
                <w:color w:val="010205"/>
                <w:sz w:val="22"/>
                <w:szCs w:val="22"/>
              </w:rPr>
              <w:t xml:space="preserve">shows the F test </w:t>
            </w:r>
            <w:r w:rsidR="00796C68" w:rsidRPr="00CF1079">
              <w:rPr>
                <w:rFonts w:ascii="Arial" w:hAnsi="Arial" w:cs="Arial"/>
                <w:color w:val="010205"/>
                <w:sz w:val="22"/>
                <w:szCs w:val="22"/>
              </w:rPr>
              <w:t xml:space="preserve">statistic resulting from </w:t>
            </w:r>
            <w:r w:rsidR="00C259C1" w:rsidRPr="00CF1079">
              <w:rPr>
                <w:rFonts w:ascii="Arial" w:hAnsi="Arial" w:cs="Arial"/>
                <w:color w:val="010205"/>
                <w:sz w:val="22"/>
                <w:szCs w:val="22"/>
              </w:rPr>
              <w:t xml:space="preserve"> the model</w:t>
            </w:r>
            <w:r w:rsidR="007904FC" w:rsidRPr="00CF1079">
              <w:rPr>
                <w:rFonts w:ascii="Arial" w:hAnsi="Arial" w:cs="Arial"/>
                <w:color w:val="010205"/>
                <w:sz w:val="22"/>
                <w:szCs w:val="22"/>
              </w:rPr>
              <w:t>.</w:t>
            </w:r>
            <w:r w:rsidR="00E80B5F" w:rsidRPr="00CF1079">
              <w:rPr>
                <w:rFonts w:ascii="Arial" w:hAnsi="Arial" w:cs="Arial"/>
                <w:color w:val="010205"/>
                <w:sz w:val="22"/>
                <w:szCs w:val="22"/>
              </w:rPr>
              <w:t xml:space="preserve"> </w:t>
            </w:r>
            <w:r w:rsidR="00AA6CCD" w:rsidRPr="00CF1079">
              <w:rPr>
                <w:rFonts w:ascii="Arial" w:hAnsi="Arial" w:cs="Arial"/>
                <w:color w:val="010205"/>
                <w:sz w:val="22"/>
                <w:szCs w:val="22"/>
              </w:rPr>
              <w:t xml:space="preserve"> Whilst model 1 (A scores and F scores</w:t>
            </w:r>
            <w:r w:rsidR="00CC6A1C" w:rsidRPr="00CF1079">
              <w:rPr>
                <w:rFonts w:ascii="Arial" w:hAnsi="Arial" w:cs="Arial"/>
                <w:color w:val="010205"/>
                <w:sz w:val="22"/>
                <w:szCs w:val="22"/>
              </w:rPr>
              <w:t>) is significant (</w:t>
            </w:r>
            <w:r w:rsidR="007904FC" w:rsidRPr="00CF1079">
              <w:rPr>
                <w:rFonts w:ascii="Arial" w:hAnsi="Arial" w:cs="Arial"/>
                <w:color w:val="010205"/>
                <w:sz w:val="22"/>
                <w:szCs w:val="22"/>
              </w:rPr>
              <w:t xml:space="preserve">F= </w:t>
            </w:r>
            <w:r w:rsidR="00EF2B75" w:rsidRPr="00CF1079">
              <w:rPr>
                <w:rFonts w:ascii="Arial" w:hAnsi="Arial" w:cs="Arial"/>
                <w:color w:val="010205"/>
                <w:sz w:val="22"/>
                <w:szCs w:val="22"/>
              </w:rPr>
              <w:t xml:space="preserve">3.572, </w:t>
            </w:r>
            <w:r w:rsidR="00CC6A1C" w:rsidRPr="00CF1079">
              <w:rPr>
                <w:rFonts w:ascii="Arial" w:hAnsi="Arial" w:cs="Arial"/>
                <w:color w:val="010205"/>
                <w:sz w:val="22"/>
                <w:szCs w:val="22"/>
              </w:rPr>
              <w:t>p=</w:t>
            </w:r>
            <w:r w:rsidR="00C6405C" w:rsidRPr="00CF1079">
              <w:rPr>
                <w:rFonts w:ascii="Arial" w:hAnsi="Arial" w:cs="Arial"/>
                <w:color w:val="010205"/>
                <w:sz w:val="22"/>
                <w:szCs w:val="22"/>
              </w:rPr>
              <w:t xml:space="preserve"> </w:t>
            </w:r>
            <w:r w:rsidR="00CC6A1C" w:rsidRPr="00CF1079">
              <w:rPr>
                <w:rFonts w:ascii="Arial" w:hAnsi="Arial" w:cs="Arial"/>
                <w:color w:val="010205"/>
                <w:sz w:val="22"/>
                <w:szCs w:val="22"/>
              </w:rPr>
              <w:t>.030), the full model, which includes all the variables is insignificant (</w:t>
            </w:r>
            <w:r w:rsidR="00EF2B75" w:rsidRPr="00CF1079">
              <w:rPr>
                <w:rFonts w:ascii="Arial" w:hAnsi="Arial" w:cs="Arial"/>
                <w:color w:val="010205"/>
                <w:sz w:val="22"/>
                <w:szCs w:val="22"/>
              </w:rPr>
              <w:t xml:space="preserve">F= 1.216, </w:t>
            </w:r>
            <w:r w:rsidR="00CC6A1C" w:rsidRPr="00CF1079">
              <w:rPr>
                <w:rFonts w:ascii="Arial" w:hAnsi="Arial" w:cs="Arial"/>
                <w:color w:val="010205"/>
                <w:sz w:val="22"/>
                <w:szCs w:val="22"/>
              </w:rPr>
              <w:t>p=</w:t>
            </w:r>
            <w:r w:rsidR="007F34A2" w:rsidRPr="00CF1079">
              <w:rPr>
                <w:rFonts w:ascii="Arial" w:hAnsi="Arial" w:cs="Arial"/>
                <w:color w:val="010205"/>
                <w:sz w:val="22"/>
                <w:szCs w:val="22"/>
              </w:rPr>
              <w:t xml:space="preserve"> .296).</w:t>
            </w:r>
            <w:r w:rsidR="003B2244" w:rsidRPr="00CF1079">
              <w:rPr>
                <w:rFonts w:ascii="Arial" w:hAnsi="Arial" w:cs="Arial"/>
                <w:color w:val="010205"/>
                <w:sz w:val="22"/>
                <w:szCs w:val="22"/>
              </w:rPr>
              <w:t xml:space="preserve"> Table 5.8 shows the </w:t>
            </w:r>
            <w:r w:rsidR="0055652F" w:rsidRPr="00CF1079">
              <w:rPr>
                <w:rFonts w:ascii="Arial" w:hAnsi="Arial" w:cs="Arial"/>
                <w:color w:val="010205"/>
                <w:sz w:val="22"/>
                <w:szCs w:val="22"/>
              </w:rPr>
              <w:t>coefficients</w:t>
            </w:r>
            <w:r w:rsidR="00B10135" w:rsidRPr="00CF1079">
              <w:rPr>
                <w:rFonts w:ascii="Arial" w:hAnsi="Arial" w:cs="Arial"/>
                <w:color w:val="010205"/>
                <w:sz w:val="22"/>
                <w:szCs w:val="22"/>
              </w:rPr>
              <w:t>,</w:t>
            </w:r>
            <w:r w:rsidR="007B7AC8" w:rsidRPr="00CF1079">
              <w:rPr>
                <w:rFonts w:ascii="Arial" w:hAnsi="Arial" w:cs="Arial"/>
                <w:color w:val="010205"/>
                <w:sz w:val="22"/>
                <w:szCs w:val="22"/>
              </w:rPr>
              <w:t xml:space="preserve"> confidence </w:t>
            </w:r>
            <w:r w:rsidR="00E02BDF" w:rsidRPr="00CF1079">
              <w:rPr>
                <w:rFonts w:ascii="Arial" w:hAnsi="Arial" w:cs="Arial"/>
                <w:color w:val="010205"/>
                <w:sz w:val="22"/>
                <w:szCs w:val="22"/>
              </w:rPr>
              <w:t>intervals</w:t>
            </w:r>
            <w:r w:rsidR="00B10135" w:rsidRPr="00CF1079">
              <w:rPr>
                <w:rFonts w:ascii="Arial" w:hAnsi="Arial" w:cs="Arial"/>
                <w:color w:val="010205"/>
                <w:sz w:val="22"/>
                <w:szCs w:val="22"/>
              </w:rPr>
              <w:t xml:space="preserve"> and t test</w:t>
            </w:r>
            <w:r w:rsidR="0055652F" w:rsidRPr="00CF1079">
              <w:rPr>
                <w:rFonts w:ascii="Arial" w:hAnsi="Arial" w:cs="Arial"/>
                <w:color w:val="010205"/>
                <w:sz w:val="22"/>
                <w:szCs w:val="22"/>
              </w:rPr>
              <w:t xml:space="preserve"> </w:t>
            </w:r>
            <w:r w:rsidR="001929C0" w:rsidRPr="00CF1079">
              <w:rPr>
                <w:rFonts w:ascii="Arial" w:hAnsi="Arial" w:cs="Arial"/>
                <w:color w:val="010205"/>
                <w:sz w:val="22"/>
                <w:szCs w:val="22"/>
              </w:rPr>
              <w:t xml:space="preserve">results </w:t>
            </w:r>
            <w:r w:rsidR="0055652F" w:rsidRPr="00CF1079">
              <w:rPr>
                <w:rFonts w:ascii="Arial" w:hAnsi="Arial" w:cs="Arial"/>
                <w:color w:val="010205"/>
                <w:sz w:val="22"/>
                <w:szCs w:val="22"/>
              </w:rPr>
              <w:t>from the model</w:t>
            </w:r>
            <w:r w:rsidR="00E02BDF" w:rsidRPr="00CF1079">
              <w:rPr>
                <w:rFonts w:ascii="Arial" w:hAnsi="Arial" w:cs="Arial"/>
                <w:color w:val="010205"/>
                <w:sz w:val="22"/>
                <w:szCs w:val="22"/>
              </w:rPr>
              <w:t xml:space="preserve">. The table shows that no </w:t>
            </w:r>
            <w:r w:rsidR="006F1DC7" w:rsidRPr="00CF1079">
              <w:rPr>
                <w:rFonts w:ascii="Arial" w:hAnsi="Arial" w:cs="Arial"/>
                <w:color w:val="010205"/>
                <w:sz w:val="22"/>
                <w:szCs w:val="22"/>
              </w:rPr>
              <w:t>other variable was found to be significant when fitted after others.</w:t>
            </w:r>
            <w:r w:rsidR="00D17924" w:rsidRPr="00CF1079">
              <w:rPr>
                <w:rFonts w:ascii="Arial" w:hAnsi="Arial" w:cs="Arial"/>
                <w:color w:val="010205"/>
                <w:sz w:val="22"/>
                <w:szCs w:val="22"/>
              </w:rPr>
              <w:t xml:space="preserve"> This finding is unsurprising given that none of the demographic variables (years qualified, profession</w:t>
            </w:r>
            <w:r w:rsidR="00D651D9" w:rsidRPr="00CF1079">
              <w:rPr>
                <w:rFonts w:ascii="Arial" w:hAnsi="Arial" w:cs="Arial"/>
                <w:color w:val="010205"/>
                <w:sz w:val="22"/>
                <w:szCs w:val="22"/>
              </w:rPr>
              <w:t xml:space="preserve">, age, gender and training) were found to </w:t>
            </w:r>
            <w:r w:rsidR="00666443" w:rsidRPr="00CF1079">
              <w:rPr>
                <w:rFonts w:ascii="Arial" w:hAnsi="Arial" w:cs="Arial"/>
                <w:color w:val="010205"/>
                <w:sz w:val="22"/>
                <w:szCs w:val="22"/>
              </w:rPr>
              <w:t xml:space="preserve">be </w:t>
            </w:r>
            <w:r w:rsidR="00D651D9" w:rsidRPr="00CF1079">
              <w:rPr>
                <w:rFonts w:ascii="Arial" w:hAnsi="Arial" w:cs="Arial"/>
                <w:color w:val="010205"/>
                <w:sz w:val="22"/>
                <w:szCs w:val="22"/>
              </w:rPr>
              <w:t xml:space="preserve">significant in themselves in </w:t>
            </w:r>
            <w:r w:rsidR="00001F2C" w:rsidRPr="00CF1079">
              <w:rPr>
                <w:rFonts w:ascii="Arial" w:hAnsi="Arial" w:cs="Arial"/>
                <w:color w:val="010205"/>
                <w:sz w:val="22"/>
                <w:szCs w:val="22"/>
              </w:rPr>
              <w:t>the earlier analyses reported in this chapter.</w:t>
            </w:r>
          </w:p>
          <w:p w14:paraId="2B93C494" w14:textId="77777777" w:rsidR="007F596B" w:rsidRPr="00F6085E" w:rsidRDefault="007F596B" w:rsidP="007F596B">
            <w:pPr>
              <w:autoSpaceDE w:val="0"/>
              <w:autoSpaceDN w:val="0"/>
              <w:adjustRightInd w:val="0"/>
              <w:spacing w:line="320" w:lineRule="atLeast"/>
              <w:ind w:right="60"/>
              <w:rPr>
                <w:rFonts w:ascii="Arial" w:hAnsi="Arial" w:cs="Arial"/>
                <w:color w:val="010205"/>
                <w:sz w:val="16"/>
                <w:szCs w:val="16"/>
                <w:lang w:val="en-US"/>
              </w:rPr>
            </w:pPr>
          </w:p>
          <w:p w14:paraId="14CA473C" w14:textId="7145B20E" w:rsidR="00805503" w:rsidRDefault="00805503" w:rsidP="00805503">
            <w:pPr>
              <w:pStyle w:val="Tables"/>
              <w:rPr>
                <w:b w:val="0"/>
              </w:rPr>
            </w:pPr>
            <w:bookmarkStart w:id="379" w:name="_Toc28347786"/>
            <w:bookmarkStart w:id="380" w:name="_Toc46770987"/>
            <w:r w:rsidRPr="00CF1079">
              <w:t xml:space="preserve">Table 5.7 </w:t>
            </w:r>
            <w:r w:rsidRPr="00CF1079">
              <w:rPr>
                <w:b w:val="0"/>
              </w:rPr>
              <w:t xml:space="preserve">Sequential results from the </w:t>
            </w:r>
            <w:r w:rsidR="00FC4378" w:rsidRPr="00CF1079">
              <w:rPr>
                <w:b w:val="0"/>
              </w:rPr>
              <w:t xml:space="preserve">F test in the </w:t>
            </w:r>
            <w:r w:rsidRPr="00CF1079">
              <w:rPr>
                <w:b w:val="0"/>
              </w:rPr>
              <w:t>Multiple Regression Mode</w:t>
            </w:r>
            <w:r w:rsidR="002E7D07" w:rsidRPr="00CF1079">
              <w:rPr>
                <w:b w:val="0"/>
              </w:rPr>
              <w:t>l</w:t>
            </w:r>
            <w:bookmarkEnd w:id="379"/>
            <w:r w:rsidR="0049764A" w:rsidRPr="00CF1079">
              <w:rPr>
                <w:b w:val="0"/>
              </w:rPr>
              <w:t xml:space="preserve"> showing that</w:t>
            </w:r>
            <w:r w:rsidR="00AA41D5" w:rsidRPr="00CF1079">
              <w:rPr>
                <w:b w:val="0"/>
              </w:rPr>
              <w:t xml:space="preserve"> whilst model 1 is significant </w:t>
            </w:r>
            <w:r w:rsidR="0015234A" w:rsidRPr="00CF1079">
              <w:rPr>
                <w:b w:val="0"/>
              </w:rPr>
              <w:t>(p=</w:t>
            </w:r>
            <w:r w:rsidR="00C77D5E" w:rsidRPr="00CF1079">
              <w:rPr>
                <w:b w:val="0"/>
              </w:rPr>
              <w:t xml:space="preserve"> .030) </w:t>
            </w:r>
            <w:r w:rsidR="00AA41D5" w:rsidRPr="00CF1079">
              <w:rPr>
                <w:b w:val="0"/>
              </w:rPr>
              <w:t xml:space="preserve">the total model </w:t>
            </w:r>
            <w:r w:rsidR="00B36FC4" w:rsidRPr="00CF1079">
              <w:rPr>
                <w:b w:val="0"/>
              </w:rPr>
              <w:t>with all the variables added is insignificant</w:t>
            </w:r>
            <w:r w:rsidR="00C77D5E" w:rsidRPr="00CF1079">
              <w:rPr>
                <w:b w:val="0"/>
              </w:rPr>
              <w:t xml:space="preserve"> (p=.</w:t>
            </w:r>
            <w:r w:rsidR="007F34A2" w:rsidRPr="00CF1079">
              <w:rPr>
                <w:b w:val="0"/>
              </w:rPr>
              <w:t xml:space="preserve"> </w:t>
            </w:r>
            <w:r w:rsidR="00C77D5E" w:rsidRPr="00CF1079">
              <w:rPr>
                <w:b w:val="0"/>
              </w:rPr>
              <w:t>296)</w:t>
            </w:r>
            <w:r w:rsidR="00B36FC4" w:rsidRPr="00CF1079">
              <w:rPr>
                <w:b w:val="0"/>
              </w:rPr>
              <w:t>.</w:t>
            </w:r>
            <w:bookmarkEnd w:id="380"/>
          </w:p>
          <w:tbl>
            <w:tblPr>
              <w:tblW w:w="800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736"/>
              <w:gridCol w:w="1261"/>
              <w:gridCol w:w="1476"/>
              <w:gridCol w:w="1030"/>
              <w:gridCol w:w="1446"/>
              <w:gridCol w:w="1030"/>
              <w:gridCol w:w="1030"/>
            </w:tblGrid>
            <w:tr w:rsidR="007F596B" w:rsidRPr="00F6085E" w14:paraId="30704B38" w14:textId="77777777" w:rsidTr="00805503">
              <w:trPr>
                <w:cantSplit/>
              </w:trPr>
              <w:tc>
                <w:tcPr>
                  <w:tcW w:w="8009" w:type="dxa"/>
                  <w:gridSpan w:val="7"/>
                  <w:tcBorders>
                    <w:top w:val="nil"/>
                    <w:left w:val="nil"/>
                    <w:bottom w:val="nil"/>
                    <w:right w:val="nil"/>
                  </w:tcBorders>
                  <w:shd w:val="clear" w:color="auto" w:fill="FFFFFF"/>
                  <w:vAlign w:val="center"/>
                </w:tcPr>
                <w:p w14:paraId="5EE91FA8" w14:textId="77777777" w:rsidR="007F596B" w:rsidRPr="00F6085E" w:rsidRDefault="007F596B" w:rsidP="007F596B">
                  <w:pPr>
                    <w:autoSpaceDE w:val="0"/>
                    <w:autoSpaceDN w:val="0"/>
                    <w:adjustRightInd w:val="0"/>
                    <w:spacing w:line="320" w:lineRule="atLeast"/>
                    <w:ind w:left="60" w:right="60"/>
                    <w:jc w:val="center"/>
                    <w:rPr>
                      <w:rFonts w:ascii="Arial" w:hAnsi="Arial" w:cs="Arial"/>
                      <w:color w:val="010205"/>
                      <w:sz w:val="16"/>
                      <w:szCs w:val="16"/>
                      <w:lang w:val="en-US"/>
                    </w:rPr>
                  </w:pPr>
                  <w:r w:rsidRPr="00F6085E">
                    <w:rPr>
                      <w:rFonts w:ascii="Arial" w:hAnsi="Arial" w:cs="Arial"/>
                      <w:b/>
                      <w:bCs/>
                      <w:color w:val="010205"/>
                      <w:sz w:val="16"/>
                      <w:szCs w:val="16"/>
                      <w:lang w:val="en-US"/>
                    </w:rPr>
                    <w:t>ANOVA</w:t>
                  </w:r>
                  <w:r w:rsidRPr="00F6085E">
                    <w:rPr>
                      <w:rFonts w:ascii="Arial" w:hAnsi="Arial" w:cs="Arial"/>
                      <w:b/>
                      <w:bCs/>
                      <w:color w:val="010205"/>
                      <w:sz w:val="16"/>
                      <w:szCs w:val="16"/>
                      <w:vertAlign w:val="superscript"/>
                      <w:lang w:val="en-US"/>
                    </w:rPr>
                    <w:t>a</w:t>
                  </w:r>
                </w:p>
              </w:tc>
            </w:tr>
            <w:tr w:rsidR="007F596B" w:rsidRPr="00F6085E" w14:paraId="6E24D6B8" w14:textId="77777777" w:rsidTr="00805503">
              <w:trPr>
                <w:cantSplit/>
              </w:trPr>
              <w:tc>
                <w:tcPr>
                  <w:tcW w:w="1997" w:type="dxa"/>
                  <w:gridSpan w:val="2"/>
                  <w:tcBorders>
                    <w:top w:val="nil"/>
                    <w:left w:val="nil"/>
                    <w:bottom w:val="single" w:sz="8" w:space="0" w:color="152935"/>
                    <w:right w:val="nil"/>
                  </w:tcBorders>
                  <w:shd w:val="clear" w:color="auto" w:fill="FFFFFF"/>
                  <w:vAlign w:val="bottom"/>
                </w:tcPr>
                <w:p w14:paraId="5F027F5B" w14:textId="77777777" w:rsidR="007F596B" w:rsidRPr="00F6085E"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F6085E">
                    <w:rPr>
                      <w:rFonts w:ascii="Arial" w:hAnsi="Arial" w:cs="Arial"/>
                      <w:color w:val="264A60"/>
                      <w:sz w:val="16"/>
                      <w:szCs w:val="16"/>
                      <w:lang w:val="en-US"/>
                    </w:rPr>
                    <w:t>Model</w:t>
                  </w:r>
                </w:p>
              </w:tc>
              <w:tc>
                <w:tcPr>
                  <w:tcW w:w="1476" w:type="dxa"/>
                  <w:tcBorders>
                    <w:top w:val="nil"/>
                    <w:left w:val="nil"/>
                    <w:bottom w:val="single" w:sz="8" w:space="0" w:color="152935"/>
                    <w:right w:val="single" w:sz="8" w:space="0" w:color="E0E0E0"/>
                  </w:tcBorders>
                  <w:shd w:val="clear" w:color="auto" w:fill="FFFFFF"/>
                  <w:vAlign w:val="bottom"/>
                </w:tcPr>
                <w:p w14:paraId="7DDCA1FE" w14:textId="77777777" w:rsidR="007F596B" w:rsidRPr="00F6085E" w:rsidRDefault="007F596B" w:rsidP="007F596B">
                  <w:pPr>
                    <w:autoSpaceDE w:val="0"/>
                    <w:autoSpaceDN w:val="0"/>
                    <w:adjustRightInd w:val="0"/>
                    <w:spacing w:line="320" w:lineRule="atLeast"/>
                    <w:ind w:left="60" w:right="60"/>
                    <w:jc w:val="center"/>
                    <w:rPr>
                      <w:rFonts w:ascii="Arial" w:hAnsi="Arial" w:cs="Arial"/>
                      <w:color w:val="264A60"/>
                      <w:sz w:val="16"/>
                      <w:szCs w:val="16"/>
                      <w:lang w:val="en-US"/>
                    </w:rPr>
                  </w:pPr>
                  <w:r w:rsidRPr="00F6085E">
                    <w:rPr>
                      <w:rFonts w:ascii="Arial" w:hAnsi="Arial" w:cs="Arial"/>
                      <w:color w:val="264A60"/>
                      <w:sz w:val="16"/>
                      <w:szCs w:val="16"/>
                      <w:lang w:val="en-US"/>
                    </w:rPr>
                    <w:t>Sum of Squares</w:t>
                  </w:r>
                </w:p>
              </w:tc>
              <w:tc>
                <w:tcPr>
                  <w:tcW w:w="1030" w:type="dxa"/>
                  <w:tcBorders>
                    <w:top w:val="nil"/>
                    <w:left w:val="single" w:sz="8" w:space="0" w:color="E0E0E0"/>
                    <w:bottom w:val="single" w:sz="8" w:space="0" w:color="152935"/>
                    <w:right w:val="single" w:sz="8" w:space="0" w:color="E0E0E0"/>
                  </w:tcBorders>
                  <w:shd w:val="clear" w:color="auto" w:fill="FFFFFF"/>
                  <w:vAlign w:val="bottom"/>
                </w:tcPr>
                <w:p w14:paraId="143F889C" w14:textId="77777777" w:rsidR="007F596B" w:rsidRPr="00F6085E" w:rsidRDefault="007F596B" w:rsidP="007F596B">
                  <w:pPr>
                    <w:autoSpaceDE w:val="0"/>
                    <w:autoSpaceDN w:val="0"/>
                    <w:adjustRightInd w:val="0"/>
                    <w:spacing w:line="320" w:lineRule="atLeast"/>
                    <w:ind w:left="60" w:right="60"/>
                    <w:jc w:val="center"/>
                    <w:rPr>
                      <w:rFonts w:ascii="Arial" w:hAnsi="Arial" w:cs="Arial"/>
                      <w:color w:val="264A60"/>
                      <w:sz w:val="16"/>
                      <w:szCs w:val="16"/>
                      <w:lang w:val="en-US"/>
                    </w:rPr>
                  </w:pPr>
                  <w:r w:rsidRPr="00F6085E">
                    <w:rPr>
                      <w:rFonts w:ascii="Arial" w:hAnsi="Arial" w:cs="Arial"/>
                      <w:color w:val="264A60"/>
                      <w:sz w:val="16"/>
                      <w:szCs w:val="16"/>
                      <w:lang w:val="en-US"/>
                    </w:rPr>
                    <w:t>df</w:t>
                  </w:r>
                </w:p>
              </w:tc>
              <w:tc>
                <w:tcPr>
                  <w:tcW w:w="1446" w:type="dxa"/>
                  <w:tcBorders>
                    <w:top w:val="nil"/>
                    <w:left w:val="single" w:sz="8" w:space="0" w:color="E0E0E0"/>
                    <w:bottom w:val="single" w:sz="8" w:space="0" w:color="152935"/>
                    <w:right w:val="single" w:sz="8" w:space="0" w:color="E0E0E0"/>
                  </w:tcBorders>
                  <w:shd w:val="clear" w:color="auto" w:fill="FFFFFF"/>
                  <w:vAlign w:val="bottom"/>
                </w:tcPr>
                <w:p w14:paraId="64687B8C" w14:textId="77777777" w:rsidR="007F596B" w:rsidRPr="00F6085E" w:rsidRDefault="007F596B" w:rsidP="007F596B">
                  <w:pPr>
                    <w:autoSpaceDE w:val="0"/>
                    <w:autoSpaceDN w:val="0"/>
                    <w:adjustRightInd w:val="0"/>
                    <w:spacing w:line="320" w:lineRule="atLeast"/>
                    <w:ind w:left="60" w:right="60"/>
                    <w:jc w:val="center"/>
                    <w:rPr>
                      <w:rFonts w:ascii="Arial" w:hAnsi="Arial" w:cs="Arial"/>
                      <w:color w:val="264A60"/>
                      <w:sz w:val="16"/>
                      <w:szCs w:val="16"/>
                      <w:lang w:val="en-US"/>
                    </w:rPr>
                  </w:pPr>
                  <w:r w:rsidRPr="00F6085E">
                    <w:rPr>
                      <w:rFonts w:ascii="Arial" w:hAnsi="Arial" w:cs="Arial"/>
                      <w:color w:val="264A60"/>
                      <w:sz w:val="16"/>
                      <w:szCs w:val="16"/>
                      <w:lang w:val="en-US"/>
                    </w:rPr>
                    <w:t>Mean Square</w:t>
                  </w:r>
                </w:p>
              </w:tc>
              <w:tc>
                <w:tcPr>
                  <w:tcW w:w="1030" w:type="dxa"/>
                  <w:tcBorders>
                    <w:top w:val="nil"/>
                    <w:left w:val="single" w:sz="8" w:space="0" w:color="E0E0E0"/>
                    <w:bottom w:val="single" w:sz="8" w:space="0" w:color="152935"/>
                    <w:right w:val="single" w:sz="8" w:space="0" w:color="E0E0E0"/>
                  </w:tcBorders>
                  <w:shd w:val="clear" w:color="auto" w:fill="FFFFFF"/>
                  <w:vAlign w:val="bottom"/>
                </w:tcPr>
                <w:p w14:paraId="17589084" w14:textId="77777777" w:rsidR="007F596B" w:rsidRPr="00F6085E" w:rsidRDefault="007F596B" w:rsidP="007F596B">
                  <w:pPr>
                    <w:autoSpaceDE w:val="0"/>
                    <w:autoSpaceDN w:val="0"/>
                    <w:adjustRightInd w:val="0"/>
                    <w:spacing w:line="320" w:lineRule="atLeast"/>
                    <w:ind w:left="60" w:right="60"/>
                    <w:jc w:val="center"/>
                    <w:rPr>
                      <w:rFonts w:ascii="Arial" w:hAnsi="Arial" w:cs="Arial"/>
                      <w:color w:val="264A60"/>
                      <w:sz w:val="16"/>
                      <w:szCs w:val="16"/>
                      <w:lang w:val="en-US"/>
                    </w:rPr>
                  </w:pPr>
                  <w:r w:rsidRPr="00F6085E">
                    <w:rPr>
                      <w:rFonts w:ascii="Arial" w:hAnsi="Arial" w:cs="Arial"/>
                      <w:color w:val="264A60"/>
                      <w:sz w:val="16"/>
                      <w:szCs w:val="16"/>
                      <w:lang w:val="en-US"/>
                    </w:rPr>
                    <w:t>F</w:t>
                  </w:r>
                </w:p>
              </w:tc>
              <w:tc>
                <w:tcPr>
                  <w:tcW w:w="1030" w:type="dxa"/>
                  <w:tcBorders>
                    <w:top w:val="nil"/>
                    <w:left w:val="single" w:sz="8" w:space="0" w:color="E0E0E0"/>
                    <w:bottom w:val="single" w:sz="8" w:space="0" w:color="152935"/>
                    <w:right w:val="nil"/>
                  </w:tcBorders>
                  <w:shd w:val="clear" w:color="auto" w:fill="FFFFFF"/>
                  <w:vAlign w:val="bottom"/>
                </w:tcPr>
                <w:p w14:paraId="3BACC596" w14:textId="77777777" w:rsidR="007F596B" w:rsidRPr="00F6085E" w:rsidRDefault="007F596B" w:rsidP="007F596B">
                  <w:pPr>
                    <w:autoSpaceDE w:val="0"/>
                    <w:autoSpaceDN w:val="0"/>
                    <w:adjustRightInd w:val="0"/>
                    <w:spacing w:line="320" w:lineRule="atLeast"/>
                    <w:ind w:left="60" w:right="60"/>
                    <w:jc w:val="center"/>
                    <w:rPr>
                      <w:rFonts w:ascii="Arial" w:hAnsi="Arial" w:cs="Arial"/>
                      <w:color w:val="264A60"/>
                      <w:sz w:val="16"/>
                      <w:szCs w:val="16"/>
                      <w:lang w:val="en-US"/>
                    </w:rPr>
                  </w:pPr>
                  <w:r w:rsidRPr="00F6085E">
                    <w:rPr>
                      <w:rFonts w:ascii="Arial" w:hAnsi="Arial" w:cs="Arial"/>
                      <w:color w:val="264A60"/>
                      <w:sz w:val="16"/>
                      <w:szCs w:val="16"/>
                      <w:lang w:val="en-US"/>
                    </w:rPr>
                    <w:t>Sig.</w:t>
                  </w:r>
                </w:p>
              </w:tc>
            </w:tr>
            <w:tr w:rsidR="007F596B" w:rsidRPr="00F6085E" w14:paraId="469D6C76" w14:textId="77777777" w:rsidTr="00805503">
              <w:trPr>
                <w:cantSplit/>
              </w:trPr>
              <w:tc>
                <w:tcPr>
                  <w:tcW w:w="736" w:type="dxa"/>
                  <w:vMerge w:val="restart"/>
                  <w:tcBorders>
                    <w:top w:val="single" w:sz="8" w:space="0" w:color="152935"/>
                    <w:left w:val="nil"/>
                    <w:bottom w:val="nil"/>
                    <w:right w:val="nil"/>
                  </w:tcBorders>
                  <w:shd w:val="clear" w:color="auto" w:fill="E0E0E0"/>
                </w:tcPr>
                <w:p w14:paraId="164E38C6" w14:textId="77777777" w:rsidR="007F596B" w:rsidRPr="00F6085E"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F6085E">
                    <w:rPr>
                      <w:rFonts w:ascii="Arial" w:hAnsi="Arial" w:cs="Arial"/>
                      <w:color w:val="264A60"/>
                      <w:sz w:val="16"/>
                      <w:szCs w:val="16"/>
                      <w:lang w:val="en-US"/>
                    </w:rPr>
                    <w:t>1</w:t>
                  </w:r>
                </w:p>
              </w:tc>
              <w:tc>
                <w:tcPr>
                  <w:tcW w:w="1261" w:type="dxa"/>
                  <w:tcBorders>
                    <w:top w:val="single" w:sz="8" w:space="0" w:color="152935"/>
                    <w:left w:val="nil"/>
                    <w:bottom w:val="single" w:sz="8" w:space="0" w:color="AEAEAE"/>
                    <w:right w:val="nil"/>
                  </w:tcBorders>
                  <w:shd w:val="clear" w:color="auto" w:fill="E0E0E0"/>
                </w:tcPr>
                <w:p w14:paraId="51E4B502" w14:textId="77777777" w:rsidR="007F596B" w:rsidRPr="00F6085E"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F6085E">
                    <w:rPr>
                      <w:rFonts w:ascii="Arial" w:hAnsi="Arial" w:cs="Arial"/>
                      <w:color w:val="264A60"/>
                      <w:sz w:val="16"/>
                      <w:szCs w:val="16"/>
                      <w:lang w:val="en-US"/>
                    </w:rPr>
                    <w:t>Regression</w:t>
                  </w:r>
                </w:p>
              </w:tc>
              <w:tc>
                <w:tcPr>
                  <w:tcW w:w="1476" w:type="dxa"/>
                  <w:tcBorders>
                    <w:top w:val="single" w:sz="8" w:space="0" w:color="152935"/>
                    <w:left w:val="nil"/>
                    <w:bottom w:val="single" w:sz="8" w:space="0" w:color="AEAEAE"/>
                    <w:right w:val="single" w:sz="8" w:space="0" w:color="E0E0E0"/>
                  </w:tcBorders>
                  <w:shd w:val="clear" w:color="auto" w:fill="FFFFFF"/>
                </w:tcPr>
                <w:p w14:paraId="4E00E697"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2524.209</w:t>
                  </w:r>
                </w:p>
              </w:tc>
              <w:tc>
                <w:tcPr>
                  <w:tcW w:w="1030" w:type="dxa"/>
                  <w:tcBorders>
                    <w:top w:val="single" w:sz="8" w:space="0" w:color="152935"/>
                    <w:left w:val="single" w:sz="8" w:space="0" w:color="E0E0E0"/>
                    <w:bottom w:val="single" w:sz="8" w:space="0" w:color="AEAEAE"/>
                    <w:right w:val="single" w:sz="8" w:space="0" w:color="E0E0E0"/>
                  </w:tcBorders>
                  <w:shd w:val="clear" w:color="auto" w:fill="FFFFFF"/>
                </w:tcPr>
                <w:p w14:paraId="139B1908"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2</w:t>
                  </w:r>
                </w:p>
              </w:tc>
              <w:tc>
                <w:tcPr>
                  <w:tcW w:w="1446" w:type="dxa"/>
                  <w:tcBorders>
                    <w:top w:val="single" w:sz="8" w:space="0" w:color="152935"/>
                    <w:left w:val="single" w:sz="8" w:space="0" w:color="E0E0E0"/>
                    <w:bottom w:val="single" w:sz="8" w:space="0" w:color="AEAEAE"/>
                    <w:right w:val="single" w:sz="8" w:space="0" w:color="E0E0E0"/>
                  </w:tcBorders>
                  <w:shd w:val="clear" w:color="auto" w:fill="FFFFFF"/>
                </w:tcPr>
                <w:p w14:paraId="401C0A25"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1262.104</w:t>
                  </w:r>
                </w:p>
              </w:tc>
              <w:tc>
                <w:tcPr>
                  <w:tcW w:w="1030" w:type="dxa"/>
                  <w:tcBorders>
                    <w:top w:val="single" w:sz="8" w:space="0" w:color="152935"/>
                    <w:left w:val="single" w:sz="8" w:space="0" w:color="E0E0E0"/>
                    <w:bottom w:val="single" w:sz="8" w:space="0" w:color="AEAEAE"/>
                    <w:right w:val="single" w:sz="8" w:space="0" w:color="E0E0E0"/>
                  </w:tcBorders>
                  <w:shd w:val="clear" w:color="auto" w:fill="FFFFFF"/>
                </w:tcPr>
                <w:p w14:paraId="0EBDF6CD"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3.572</w:t>
                  </w:r>
                </w:p>
              </w:tc>
              <w:tc>
                <w:tcPr>
                  <w:tcW w:w="1030" w:type="dxa"/>
                  <w:tcBorders>
                    <w:top w:val="single" w:sz="8" w:space="0" w:color="152935"/>
                    <w:left w:val="single" w:sz="8" w:space="0" w:color="E0E0E0"/>
                    <w:bottom w:val="single" w:sz="8" w:space="0" w:color="AEAEAE"/>
                    <w:right w:val="nil"/>
                  </w:tcBorders>
                  <w:shd w:val="clear" w:color="auto" w:fill="FFFFFF"/>
                </w:tcPr>
                <w:p w14:paraId="28B1C348"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highlight w:val="yellow"/>
                      <w:lang w:val="en-US"/>
                    </w:rPr>
                  </w:pPr>
                  <w:r w:rsidRPr="0054314B">
                    <w:rPr>
                      <w:rFonts w:ascii="Arial" w:hAnsi="Arial" w:cs="Arial"/>
                      <w:color w:val="010205"/>
                      <w:sz w:val="16"/>
                      <w:szCs w:val="16"/>
                      <w:lang w:val="en-US"/>
                    </w:rPr>
                    <w:t>.030</w:t>
                  </w:r>
                  <w:r w:rsidRPr="0054314B">
                    <w:rPr>
                      <w:rFonts w:ascii="Arial" w:hAnsi="Arial" w:cs="Arial"/>
                      <w:color w:val="010205"/>
                      <w:sz w:val="16"/>
                      <w:szCs w:val="16"/>
                      <w:vertAlign w:val="superscript"/>
                      <w:lang w:val="en-US"/>
                    </w:rPr>
                    <w:t>b</w:t>
                  </w:r>
                </w:p>
              </w:tc>
            </w:tr>
            <w:tr w:rsidR="007F596B" w:rsidRPr="00F6085E" w14:paraId="641D2204" w14:textId="77777777" w:rsidTr="00805503">
              <w:trPr>
                <w:cantSplit/>
              </w:trPr>
              <w:tc>
                <w:tcPr>
                  <w:tcW w:w="736" w:type="dxa"/>
                  <w:vMerge/>
                  <w:tcBorders>
                    <w:top w:val="single" w:sz="8" w:space="0" w:color="152935"/>
                    <w:left w:val="nil"/>
                    <w:bottom w:val="nil"/>
                    <w:right w:val="nil"/>
                  </w:tcBorders>
                  <w:shd w:val="clear" w:color="auto" w:fill="E0E0E0"/>
                </w:tcPr>
                <w:p w14:paraId="2056B366" w14:textId="77777777" w:rsidR="007F596B" w:rsidRPr="00F6085E" w:rsidRDefault="007F596B" w:rsidP="007F596B">
                  <w:pPr>
                    <w:autoSpaceDE w:val="0"/>
                    <w:autoSpaceDN w:val="0"/>
                    <w:adjustRightInd w:val="0"/>
                    <w:rPr>
                      <w:rFonts w:ascii="Arial" w:hAnsi="Arial" w:cs="Arial"/>
                      <w:color w:val="010205"/>
                      <w:sz w:val="16"/>
                      <w:szCs w:val="16"/>
                      <w:lang w:val="en-US"/>
                    </w:rPr>
                  </w:pPr>
                </w:p>
              </w:tc>
              <w:tc>
                <w:tcPr>
                  <w:tcW w:w="1261" w:type="dxa"/>
                  <w:tcBorders>
                    <w:top w:val="single" w:sz="8" w:space="0" w:color="AEAEAE"/>
                    <w:left w:val="nil"/>
                    <w:bottom w:val="single" w:sz="8" w:space="0" w:color="AEAEAE"/>
                    <w:right w:val="nil"/>
                  </w:tcBorders>
                  <w:shd w:val="clear" w:color="auto" w:fill="E0E0E0"/>
                </w:tcPr>
                <w:p w14:paraId="392D234D" w14:textId="77777777" w:rsidR="007F596B" w:rsidRPr="00F6085E"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F6085E">
                    <w:rPr>
                      <w:rFonts w:ascii="Arial" w:hAnsi="Arial" w:cs="Arial"/>
                      <w:color w:val="264A60"/>
                      <w:sz w:val="16"/>
                      <w:szCs w:val="16"/>
                      <w:lang w:val="en-US"/>
                    </w:rPr>
                    <w:t>Residual</w:t>
                  </w:r>
                </w:p>
              </w:tc>
              <w:tc>
                <w:tcPr>
                  <w:tcW w:w="1476" w:type="dxa"/>
                  <w:tcBorders>
                    <w:top w:val="single" w:sz="8" w:space="0" w:color="AEAEAE"/>
                    <w:left w:val="nil"/>
                    <w:bottom w:val="single" w:sz="8" w:space="0" w:color="AEAEAE"/>
                    <w:right w:val="single" w:sz="8" w:space="0" w:color="E0E0E0"/>
                  </w:tcBorders>
                  <w:shd w:val="clear" w:color="auto" w:fill="FFFFFF"/>
                </w:tcPr>
                <w:p w14:paraId="13B0133F"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68906.901</w:t>
                  </w:r>
                </w:p>
              </w:tc>
              <w:tc>
                <w:tcPr>
                  <w:tcW w:w="1030" w:type="dxa"/>
                  <w:tcBorders>
                    <w:top w:val="single" w:sz="8" w:space="0" w:color="AEAEAE"/>
                    <w:left w:val="single" w:sz="8" w:space="0" w:color="E0E0E0"/>
                    <w:bottom w:val="single" w:sz="8" w:space="0" w:color="AEAEAE"/>
                    <w:right w:val="single" w:sz="8" w:space="0" w:color="E0E0E0"/>
                  </w:tcBorders>
                  <w:shd w:val="clear" w:color="auto" w:fill="FFFFFF"/>
                </w:tcPr>
                <w:p w14:paraId="64DF1C4B"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195</w:t>
                  </w:r>
                </w:p>
              </w:tc>
              <w:tc>
                <w:tcPr>
                  <w:tcW w:w="1446" w:type="dxa"/>
                  <w:tcBorders>
                    <w:top w:val="single" w:sz="8" w:space="0" w:color="AEAEAE"/>
                    <w:left w:val="single" w:sz="8" w:space="0" w:color="E0E0E0"/>
                    <w:bottom w:val="single" w:sz="8" w:space="0" w:color="AEAEAE"/>
                    <w:right w:val="single" w:sz="8" w:space="0" w:color="E0E0E0"/>
                  </w:tcBorders>
                  <w:shd w:val="clear" w:color="auto" w:fill="FFFFFF"/>
                </w:tcPr>
                <w:p w14:paraId="5E4D633A"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353.369</w:t>
                  </w:r>
                </w:p>
              </w:tc>
              <w:tc>
                <w:tcPr>
                  <w:tcW w:w="1030"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59E49D2F" w14:textId="77777777" w:rsidR="007F596B" w:rsidRPr="00F6085E" w:rsidRDefault="007F596B" w:rsidP="007F596B">
                  <w:pPr>
                    <w:autoSpaceDE w:val="0"/>
                    <w:autoSpaceDN w:val="0"/>
                    <w:adjustRightInd w:val="0"/>
                    <w:rPr>
                      <w:rFonts w:ascii="Times New Roman" w:hAnsi="Times New Roman" w:cs="Times New Roman"/>
                      <w:sz w:val="16"/>
                      <w:szCs w:val="16"/>
                      <w:lang w:val="en-US"/>
                    </w:rPr>
                  </w:pPr>
                </w:p>
              </w:tc>
              <w:tc>
                <w:tcPr>
                  <w:tcW w:w="1030" w:type="dxa"/>
                  <w:tcBorders>
                    <w:top w:val="single" w:sz="8" w:space="0" w:color="AEAEAE"/>
                    <w:left w:val="single" w:sz="8" w:space="0" w:color="E0E0E0"/>
                    <w:bottom w:val="single" w:sz="8" w:space="0" w:color="AEAEAE"/>
                    <w:right w:val="nil"/>
                  </w:tcBorders>
                  <w:shd w:val="clear" w:color="auto" w:fill="FFFFFF"/>
                  <w:vAlign w:val="center"/>
                </w:tcPr>
                <w:p w14:paraId="326EEA3E" w14:textId="77777777" w:rsidR="007F596B" w:rsidRPr="00F6085E" w:rsidRDefault="007F596B" w:rsidP="007F596B">
                  <w:pPr>
                    <w:autoSpaceDE w:val="0"/>
                    <w:autoSpaceDN w:val="0"/>
                    <w:adjustRightInd w:val="0"/>
                    <w:rPr>
                      <w:rFonts w:ascii="Times New Roman" w:hAnsi="Times New Roman" w:cs="Times New Roman"/>
                      <w:sz w:val="16"/>
                      <w:szCs w:val="16"/>
                      <w:highlight w:val="yellow"/>
                      <w:lang w:val="en-US"/>
                    </w:rPr>
                  </w:pPr>
                </w:p>
              </w:tc>
            </w:tr>
            <w:tr w:rsidR="007F596B" w:rsidRPr="00F6085E" w14:paraId="11074CA4" w14:textId="77777777" w:rsidTr="00805503">
              <w:trPr>
                <w:cantSplit/>
              </w:trPr>
              <w:tc>
                <w:tcPr>
                  <w:tcW w:w="736" w:type="dxa"/>
                  <w:vMerge/>
                  <w:tcBorders>
                    <w:top w:val="single" w:sz="8" w:space="0" w:color="152935"/>
                    <w:left w:val="nil"/>
                    <w:bottom w:val="nil"/>
                    <w:right w:val="nil"/>
                  </w:tcBorders>
                  <w:shd w:val="clear" w:color="auto" w:fill="E0E0E0"/>
                </w:tcPr>
                <w:p w14:paraId="4CAED6F5" w14:textId="77777777" w:rsidR="007F596B" w:rsidRPr="00F6085E" w:rsidRDefault="007F596B" w:rsidP="007F596B">
                  <w:pPr>
                    <w:autoSpaceDE w:val="0"/>
                    <w:autoSpaceDN w:val="0"/>
                    <w:adjustRightInd w:val="0"/>
                    <w:rPr>
                      <w:rFonts w:ascii="Times New Roman" w:hAnsi="Times New Roman" w:cs="Times New Roman"/>
                      <w:sz w:val="16"/>
                      <w:szCs w:val="16"/>
                      <w:lang w:val="en-US"/>
                    </w:rPr>
                  </w:pPr>
                </w:p>
              </w:tc>
              <w:tc>
                <w:tcPr>
                  <w:tcW w:w="1261" w:type="dxa"/>
                  <w:tcBorders>
                    <w:top w:val="single" w:sz="8" w:space="0" w:color="AEAEAE"/>
                    <w:left w:val="nil"/>
                    <w:bottom w:val="nil"/>
                    <w:right w:val="nil"/>
                  </w:tcBorders>
                  <w:shd w:val="clear" w:color="auto" w:fill="E0E0E0"/>
                </w:tcPr>
                <w:p w14:paraId="6A79573C" w14:textId="77777777" w:rsidR="007F596B" w:rsidRPr="00F6085E"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F6085E">
                    <w:rPr>
                      <w:rFonts w:ascii="Arial" w:hAnsi="Arial" w:cs="Arial"/>
                      <w:color w:val="264A60"/>
                      <w:sz w:val="16"/>
                      <w:szCs w:val="16"/>
                      <w:lang w:val="en-US"/>
                    </w:rPr>
                    <w:t>Total</w:t>
                  </w:r>
                </w:p>
              </w:tc>
              <w:tc>
                <w:tcPr>
                  <w:tcW w:w="1476" w:type="dxa"/>
                  <w:tcBorders>
                    <w:top w:val="single" w:sz="8" w:space="0" w:color="AEAEAE"/>
                    <w:left w:val="nil"/>
                    <w:bottom w:val="nil"/>
                    <w:right w:val="single" w:sz="8" w:space="0" w:color="E0E0E0"/>
                  </w:tcBorders>
                  <w:shd w:val="clear" w:color="auto" w:fill="FFFFFF"/>
                </w:tcPr>
                <w:p w14:paraId="4C1477A8"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71431.110</w:t>
                  </w:r>
                </w:p>
              </w:tc>
              <w:tc>
                <w:tcPr>
                  <w:tcW w:w="1030" w:type="dxa"/>
                  <w:tcBorders>
                    <w:top w:val="single" w:sz="8" w:space="0" w:color="AEAEAE"/>
                    <w:left w:val="single" w:sz="8" w:space="0" w:color="E0E0E0"/>
                    <w:bottom w:val="nil"/>
                    <w:right w:val="single" w:sz="8" w:space="0" w:color="E0E0E0"/>
                  </w:tcBorders>
                  <w:shd w:val="clear" w:color="auto" w:fill="FFFFFF"/>
                </w:tcPr>
                <w:p w14:paraId="483F4039"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197</w:t>
                  </w:r>
                </w:p>
              </w:tc>
              <w:tc>
                <w:tcPr>
                  <w:tcW w:w="1446" w:type="dxa"/>
                  <w:tcBorders>
                    <w:top w:val="single" w:sz="8" w:space="0" w:color="AEAEAE"/>
                    <w:left w:val="single" w:sz="8" w:space="0" w:color="E0E0E0"/>
                    <w:bottom w:val="nil"/>
                    <w:right w:val="single" w:sz="8" w:space="0" w:color="E0E0E0"/>
                  </w:tcBorders>
                  <w:shd w:val="clear" w:color="auto" w:fill="FFFFFF"/>
                  <w:vAlign w:val="center"/>
                </w:tcPr>
                <w:p w14:paraId="3D8F9C87" w14:textId="77777777" w:rsidR="007F596B" w:rsidRPr="00F6085E" w:rsidRDefault="007F596B" w:rsidP="007F596B">
                  <w:pPr>
                    <w:autoSpaceDE w:val="0"/>
                    <w:autoSpaceDN w:val="0"/>
                    <w:adjustRightInd w:val="0"/>
                    <w:rPr>
                      <w:rFonts w:ascii="Times New Roman" w:hAnsi="Times New Roman" w:cs="Times New Roman"/>
                      <w:sz w:val="16"/>
                      <w:szCs w:val="16"/>
                      <w:lang w:val="en-US"/>
                    </w:rPr>
                  </w:pPr>
                </w:p>
              </w:tc>
              <w:tc>
                <w:tcPr>
                  <w:tcW w:w="1030" w:type="dxa"/>
                  <w:tcBorders>
                    <w:top w:val="single" w:sz="8" w:space="0" w:color="AEAEAE"/>
                    <w:left w:val="single" w:sz="8" w:space="0" w:color="E0E0E0"/>
                    <w:bottom w:val="nil"/>
                    <w:right w:val="single" w:sz="8" w:space="0" w:color="E0E0E0"/>
                  </w:tcBorders>
                  <w:shd w:val="clear" w:color="auto" w:fill="FFFFFF"/>
                  <w:vAlign w:val="center"/>
                </w:tcPr>
                <w:p w14:paraId="4974CE5E" w14:textId="77777777" w:rsidR="007F596B" w:rsidRPr="00F6085E" w:rsidRDefault="007F596B" w:rsidP="007F596B">
                  <w:pPr>
                    <w:autoSpaceDE w:val="0"/>
                    <w:autoSpaceDN w:val="0"/>
                    <w:adjustRightInd w:val="0"/>
                    <w:rPr>
                      <w:rFonts w:ascii="Times New Roman" w:hAnsi="Times New Roman" w:cs="Times New Roman"/>
                      <w:sz w:val="16"/>
                      <w:szCs w:val="16"/>
                      <w:lang w:val="en-US"/>
                    </w:rPr>
                  </w:pPr>
                </w:p>
              </w:tc>
              <w:tc>
                <w:tcPr>
                  <w:tcW w:w="1030" w:type="dxa"/>
                  <w:tcBorders>
                    <w:top w:val="single" w:sz="8" w:space="0" w:color="AEAEAE"/>
                    <w:left w:val="single" w:sz="8" w:space="0" w:color="E0E0E0"/>
                    <w:bottom w:val="nil"/>
                    <w:right w:val="nil"/>
                  </w:tcBorders>
                  <w:shd w:val="clear" w:color="auto" w:fill="FFFFFF"/>
                  <w:vAlign w:val="center"/>
                </w:tcPr>
                <w:p w14:paraId="211DD87F" w14:textId="77777777" w:rsidR="007F596B" w:rsidRPr="00F6085E" w:rsidRDefault="007F596B" w:rsidP="007F596B">
                  <w:pPr>
                    <w:autoSpaceDE w:val="0"/>
                    <w:autoSpaceDN w:val="0"/>
                    <w:adjustRightInd w:val="0"/>
                    <w:rPr>
                      <w:rFonts w:ascii="Times New Roman" w:hAnsi="Times New Roman" w:cs="Times New Roman"/>
                      <w:sz w:val="16"/>
                      <w:szCs w:val="16"/>
                      <w:highlight w:val="yellow"/>
                      <w:lang w:val="en-US"/>
                    </w:rPr>
                  </w:pPr>
                </w:p>
              </w:tc>
            </w:tr>
            <w:tr w:rsidR="007F596B" w:rsidRPr="0054314B" w14:paraId="05758195" w14:textId="77777777" w:rsidTr="00805503">
              <w:trPr>
                <w:cantSplit/>
              </w:trPr>
              <w:tc>
                <w:tcPr>
                  <w:tcW w:w="736" w:type="dxa"/>
                  <w:vMerge w:val="restart"/>
                  <w:tcBorders>
                    <w:top w:val="single" w:sz="8" w:space="0" w:color="AEAEAE"/>
                    <w:left w:val="nil"/>
                    <w:bottom w:val="nil"/>
                    <w:right w:val="nil"/>
                  </w:tcBorders>
                  <w:shd w:val="clear" w:color="auto" w:fill="E0E0E0"/>
                </w:tcPr>
                <w:p w14:paraId="6013F483" w14:textId="77777777" w:rsidR="007F596B" w:rsidRPr="00F6085E"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F6085E">
                    <w:rPr>
                      <w:rFonts w:ascii="Arial" w:hAnsi="Arial" w:cs="Arial"/>
                      <w:color w:val="264A60"/>
                      <w:sz w:val="16"/>
                      <w:szCs w:val="16"/>
                      <w:lang w:val="en-US"/>
                    </w:rPr>
                    <w:t>2</w:t>
                  </w:r>
                </w:p>
              </w:tc>
              <w:tc>
                <w:tcPr>
                  <w:tcW w:w="1261" w:type="dxa"/>
                  <w:tcBorders>
                    <w:top w:val="single" w:sz="8" w:space="0" w:color="AEAEAE"/>
                    <w:left w:val="nil"/>
                    <w:bottom w:val="single" w:sz="8" w:space="0" w:color="AEAEAE"/>
                    <w:right w:val="nil"/>
                  </w:tcBorders>
                  <w:shd w:val="clear" w:color="auto" w:fill="E0E0E0"/>
                </w:tcPr>
                <w:p w14:paraId="7898239F" w14:textId="77777777" w:rsidR="007F596B" w:rsidRPr="00F6085E"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F6085E">
                    <w:rPr>
                      <w:rFonts w:ascii="Arial" w:hAnsi="Arial" w:cs="Arial"/>
                      <w:color w:val="264A60"/>
                      <w:sz w:val="16"/>
                      <w:szCs w:val="16"/>
                      <w:lang w:val="en-US"/>
                    </w:rPr>
                    <w:t>Regression</w:t>
                  </w:r>
                </w:p>
              </w:tc>
              <w:tc>
                <w:tcPr>
                  <w:tcW w:w="1476" w:type="dxa"/>
                  <w:tcBorders>
                    <w:top w:val="single" w:sz="8" w:space="0" w:color="AEAEAE"/>
                    <w:left w:val="nil"/>
                    <w:bottom w:val="single" w:sz="8" w:space="0" w:color="AEAEAE"/>
                    <w:right w:val="single" w:sz="8" w:space="0" w:color="E0E0E0"/>
                  </w:tcBorders>
                  <w:shd w:val="clear" w:color="auto" w:fill="FFFFFF"/>
                </w:tcPr>
                <w:p w14:paraId="7F9B8963"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3013.952</w:t>
                  </w:r>
                </w:p>
              </w:tc>
              <w:tc>
                <w:tcPr>
                  <w:tcW w:w="1030" w:type="dxa"/>
                  <w:tcBorders>
                    <w:top w:val="single" w:sz="8" w:space="0" w:color="AEAEAE"/>
                    <w:left w:val="single" w:sz="8" w:space="0" w:color="E0E0E0"/>
                    <w:bottom w:val="single" w:sz="8" w:space="0" w:color="AEAEAE"/>
                    <w:right w:val="single" w:sz="8" w:space="0" w:color="E0E0E0"/>
                  </w:tcBorders>
                  <w:shd w:val="clear" w:color="auto" w:fill="FFFFFF"/>
                </w:tcPr>
                <w:p w14:paraId="0CF29A45"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3</w:t>
                  </w:r>
                </w:p>
              </w:tc>
              <w:tc>
                <w:tcPr>
                  <w:tcW w:w="1446" w:type="dxa"/>
                  <w:tcBorders>
                    <w:top w:val="single" w:sz="8" w:space="0" w:color="AEAEAE"/>
                    <w:left w:val="single" w:sz="8" w:space="0" w:color="E0E0E0"/>
                    <w:bottom w:val="single" w:sz="8" w:space="0" w:color="AEAEAE"/>
                    <w:right w:val="single" w:sz="8" w:space="0" w:color="E0E0E0"/>
                  </w:tcBorders>
                  <w:shd w:val="clear" w:color="auto" w:fill="FFFFFF"/>
                </w:tcPr>
                <w:p w14:paraId="521513EB"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1004.651</w:t>
                  </w:r>
                </w:p>
              </w:tc>
              <w:tc>
                <w:tcPr>
                  <w:tcW w:w="1030" w:type="dxa"/>
                  <w:tcBorders>
                    <w:top w:val="single" w:sz="8" w:space="0" w:color="AEAEAE"/>
                    <w:left w:val="single" w:sz="8" w:space="0" w:color="E0E0E0"/>
                    <w:bottom w:val="single" w:sz="8" w:space="0" w:color="AEAEAE"/>
                    <w:right w:val="single" w:sz="8" w:space="0" w:color="E0E0E0"/>
                  </w:tcBorders>
                  <w:shd w:val="clear" w:color="auto" w:fill="FFFFFF"/>
                </w:tcPr>
                <w:p w14:paraId="0DAA09D2"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2.849</w:t>
                  </w:r>
                </w:p>
              </w:tc>
              <w:tc>
                <w:tcPr>
                  <w:tcW w:w="1030" w:type="dxa"/>
                  <w:tcBorders>
                    <w:top w:val="single" w:sz="8" w:space="0" w:color="AEAEAE"/>
                    <w:left w:val="single" w:sz="8" w:space="0" w:color="E0E0E0"/>
                    <w:bottom w:val="single" w:sz="8" w:space="0" w:color="AEAEAE"/>
                    <w:right w:val="nil"/>
                  </w:tcBorders>
                  <w:shd w:val="clear" w:color="auto" w:fill="FFFFFF"/>
                </w:tcPr>
                <w:p w14:paraId="4F4782E6" w14:textId="77777777" w:rsidR="007F596B" w:rsidRPr="0054314B"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54314B">
                    <w:rPr>
                      <w:rFonts w:ascii="Arial" w:hAnsi="Arial" w:cs="Arial"/>
                      <w:color w:val="010205"/>
                      <w:sz w:val="16"/>
                      <w:szCs w:val="16"/>
                      <w:lang w:val="en-US"/>
                    </w:rPr>
                    <w:t>.039</w:t>
                  </w:r>
                  <w:r w:rsidRPr="0054314B">
                    <w:rPr>
                      <w:rFonts w:ascii="Arial" w:hAnsi="Arial" w:cs="Arial"/>
                      <w:color w:val="010205"/>
                      <w:sz w:val="16"/>
                      <w:szCs w:val="16"/>
                      <w:vertAlign w:val="superscript"/>
                      <w:lang w:val="en-US"/>
                    </w:rPr>
                    <w:t>c</w:t>
                  </w:r>
                </w:p>
              </w:tc>
            </w:tr>
            <w:tr w:rsidR="007F596B" w:rsidRPr="00F6085E" w14:paraId="4AC8E6CC" w14:textId="77777777" w:rsidTr="00805503">
              <w:trPr>
                <w:cantSplit/>
              </w:trPr>
              <w:tc>
                <w:tcPr>
                  <w:tcW w:w="736" w:type="dxa"/>
                  <w:vMerge/>
                  <w:tcBorders>
                    <w:top w:val="single" w:sz="8" w:space="0" w:color="AEAEAE"/>
                    <w:left w:val="nil"/>
                    <w:bottom w:val="nil"/>
                    <w:right w:val="nil"/>
                  </w:tcBorders>
                  <w:shd w:val="clear" w:color="auto" w:fill="E0E0E0"/>
                </w:tcPr>
                <w:p w14:paraId="07F8E44F" w14:textId="77777777" w:rsidR="007F596B" w:rsidRPr="00F6085E" w:rsidRDefault="007F596B" w:rsidP="007F596B">
                  <w:pPr>
                    <w:autoSpaceDE w:val="0"/>
                    <w:autoSpaceDN w:val="0"/>
                    <w:adjustRightInd w:val="0"/>
                    <w:rPr>
                      <w:rFonts w:ascii="Arial" w:hAnsi="Arial" w:cs="Arial"/>
                      <w:color w:val="010205"/>
                      <w:sz w:val="16"/>
                      <w:szCs w:val="16"/>
                      <w:lang w:val="en-US"/>
                    </w:rPr>
                  </w:pPr>
                </w:p>
              </w:tc>
              <w:tc>
                <w:tcPr>
                  <w:tcW w:w="1261" w:type="dxa"/>
                  <w:tcBorders>
                    <w:top w:val="single" w:sz="8" w:space="0" w:color="AEAEAE"/>
                    <w:left w:val="nil"/>
                    <w:bottom w:val="single" w:sz="8" w:space="0" w:color="AEAEAE"/>
                    <w:right w:val="nil"/>
                  </w:tcBorders>
                  <w:shd w:val="clear" w:color="auto" w:fill="E0E0E0"/>
                </w:tcPr>
                <w:p w14:paraId="725B607F" w14:textId="77777777" w:rsidR="007F596B" w:rsidRPr="00F6085E"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F6085E">
                    <w:rPr>
                      <w:rFonts w:ascii="Arial" w:hAnsi="Arial" w:cs="Arial"/>
                      <w:color w:val="264A60"/>
                      <w:sz w:val="16"/>
                      <w:szCs w:val="16"/>
                      <w:lang w:val="en-US"/>
                    </w:rPr>
                    <w:t>Residual</w:t>
                  </w:r>
                </w:p>
              </w:tc>
              <w:tc>
                <w:tcPr>
                  <w:tcW w:w="1476" w:type="dxa"/>
                  <w:tcBorders>
                    <w:top w:val="single" w:sz="8" w:space="0" w:color="AEAEAE"/>
                    <w:left w:val="nil"/>
                    <w:bottom w:val="single" w:sz="8" w:space="0" w:color="AEAEAE"/>
                    <w:right w:val="single" w:sz="8" w:space="0" w:color="E0E0E0"/>
                  </w:tcBorders>
                  <w:shd w:val="clear" w:color="auto" w:fill="FFFFFF"/>
                </w:tcPr>
                <w:p w14:paraId="3691D203"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68417.159</w:t>
                  </w:r>
                </w:p>
              </w:tc>
              <w:tc>
                <w:tcPr>
                  <w:tcW w:w="1030" w:type="dxa"/>
                  <w:tcBorders>
                    <w:top w:val="single" w:sz="8" w:space="0" w:color="AEAEAE"/>
                    <w:left w:val="single" w:sz="8" w:space="0" w:color="E0E0E0"/>
                    <w:bottom w:val="single" w:sz="8" w:space="0" w:color="AEAEAE"/>
                    <w:right w:val="single" w:sz="8" w:space="0" w:color="E0E0E0"/>
                  </w:tcBorders>
                  <w:shd w:val="clear" w:color="auto" w:fill="FFFFFF"/>
                </w:tcPr>
                <w:p w14:paraId="133289E5"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194</w:t>
                  </w:r>
                </w:p>
              </w:tc>
              <w:tc>
                <w:tcPr>
                  <w:tcW w:w="1446" w:type="dxa"/>
                  <w:tcBorders>
                    <w:top w:val="single" w:sz="8" w:space="0" w:color="AEAEAE"/>
                    <w:left w:val="single" w:sz="8" w:space="0" w:color="E0E0E0"/>
                    <w:bottom w:val="single" w:sz="8" w:space="0" w:color="AEAEAE"/>
                    <w:right w:val="single" w:sz="8" w:space="0" w:color="E0E0E0"/>
                  </w:tcBorders>
                  <w:shd w:val="clear" w:color="auto" w:fill="FFFFFF"/>
                </w:tcPr>
                <w:p w14:paraId="14E0D0A3"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352.666</w:t>
                  </w:r>
                </w:p>
              </w:tc>
              <w:tc>
                <w:tcPr>
                  <w:tcW w:w="1030"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0FB0CAC5" w14:textId="77777777" w:rsidR="007F596B" w:rsidRPr="00F6085E" w:rsidRDefault="007F596B" w:rsidP="007F596B">
                  <w:pPr>
                    <w:autoSpaceDE w:val="0"/>
                    <w:autoSpaceDN w:val="0"/>
                    <w:adjustRightInd w:val="0"/>
                    <w:rPr>
                      <w:rFonts w:ascii="Times New Roman" w:hAnsi="Times New Roman" w:cs="Times New Roman"/>
                      <w:sz w:val="16"/>
                      <w:szCs w:val="16"/>
                      <w:lang w:val="en-US"/>
                    </w:rPr>
                  </w:pPr>
                </w:p>
              </w:tc>
              <w:tc>
                <w:tcPr>
                  <w:tcW w:w="1030" w:type="dxa"/>
                  <w:tcBorders>
                    <w:top w:val="single" w:sz="8" w:space="0" w:color="AEAEAE"/>
                    <w:left w:val="single" w:sz="8" w:space="0" w:color="E0E0E0"/>
                    <w:bottom w:val="single" w:sz="8" w:space="0" w:color="AEAEAE"/>
                    <w:right w:val="nil"/>
                  </w:tcBorders>
                  <w:shd w:val="clear" w:color="auto" w:fill="FFFFFF"/>
                  <w:vAlign w:val="center"/>
                </w:tcPr>
                <w:p w14:paraId="0C5F9AF8" w14:textId="77777777" w:rsidR="007F596B" w:rsidRPr="00F6085E" w:rsidRDefault="007F596B" w:rsidP="007F596B">
                  <w:pPr>
                    <w:autoSpaceDE w:val="0"/>
                    <w:autoSpaceDN w:val="0"/>
                    <w:adjustRightInd w:val="0"/>
                    <w:rPr>
                      <w:rFonts w:ascii="Times New Roman" w:hAnsi="Times New Roman" w:cs="Times New Roman"/>
                      <w:sz w:val="16"/>
                      <w:szCs w:val="16"/>
                      <w:highlight w:val="yellow"/>
                      <w:lang w:val="en-US"/>
                    </w:rPr>
                  </w:pPr>
                </w:p>
              </w:tc>
            </w:tr>
            <w:tr w:rsidR="007F596B" w:rsidRPr="00F6085E" w14:paraId="3DB8C492" w14:textId="77777777" w:rsidTr="00805503">
              <w:trPr>
                <w:cantSplit/>
              </w:trPr>
              <w:tc>
                <w:tcPr>
                  <w:tcW w:w="736" w:type="dxa"/>
                  <w:vMerge/>
                  <w:tcBorders>
                    <w:top w:val="single" w:sz="8" w:space="0" w:color="AEAEAE"/>
                    <w:left w:val="nil"/>
                    <w:bottom w:val="nil"/>
                    <w:right w:val="nil"/>
                  </w:tcBorders>
                  <w:shd w:val="clear" w:color="auto" w:fill="E0E0E0"/>
                </w:tcPr>
                <w:p w14:paraId="184AFD9F" w14:textId="77777777" w:rsidR="007F596B" w:rsidRPr="00F6085E" w:rsidRDefault="007F596B" w:rsidP="007F596B">
                  <w:pPr>
                    <w:autoSpaceDE w:val="0"/>
                    <w:autoSpaceDN w:val="0"/>
                    <w:adjustRightInd w:val="0"/>
                    <w:rPr>
                      <w:rFonts w:ascii="Times New Roman" w:hAnsi="Times New Roman" w:cs="Times New Roman"/>
                      <w:sz w:val="16"/>
                      <w:szCs w:val="16"/>
                      <w:lang w:val="en-US"/>
                    </w:rPr>
                  </w:pPr>
                </w:p>
              </w:tc>
              <w:tc>
                <w:tcPr>
                  <w:tcW w:w="1261" w:type="dxa"/>
                  <w:tcBorders>
                    <w:top w:val="single" w:sz="8" w:space="0" w:color="AEAEAE"/>
                    <w:left w:val="nil"/>
                    <w:bottom w:val="nil"/>
                    <w:right w:val="nil"/>
                  </w:tcBorders>
                  <w:shd w:val="clear" w:color="auto" w:fill="E0E0E0"/>
                </w:tcPr>
                <w:p w14:paraId="0FF08A9E" w14:textId="77777777" w:rsidR="007F596B" w:rsidRPr="00F6085E"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F6085E">
                    <w:rPr>
                      <w:rFonts w:ascii="Arial" w:hAnsi="Arial" w:cs="Arial"/>
                      <w:color w:val="264A60"/>
                      <w:sz w:val="16"/>
                      <w:szCs w:val="16"/>
                      <w:lang w:val="en-US"/>
                    </w:rPr>
                    <w:t>Total</w:t>
                  </w:r>
                </w:p>
              </w:tc>
              <w:tc>
                <w:tcPr>
                  <w:tcW w:w="1476" w:type="dxa"/>
                  <w:tcBorders>
                    <w:top w:val="single" w:sz="8" w:space="0" w:color="AEAEAE"/>
                    <w:left w:val="nil"/>
                    <w:bottom w:val="nil"/>
                    <w:right w:val="single" w:sz="8" w:space="0" w:color="E0E0E0"/>
                  </w:tcBorders>
                  <w:shd w:val="clear" w:color="auto" w:fill="FFFFFF"/>
                </w:tcPr>
                <w:p w14:paraId="1A027850"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71431.110</w:t>
                  </w:r>
                </w:p>
              </w:tc>
              <w:tc>
                <w:tcPr>
                  <w:tcW w:w="1030" w:type="dxa"/>
                  <w:tcBorders>
                    <w:top w:val="single" w:sz="8" w:space="0" w:color="AEAEAE"/>
                    <w:left w:val="single" w:sz="8" w:space="0" w:color="E0E0E0"/>
                    <w:bottom w:val="nil"/>
                    <w:right w:val="single" w:sz="8" w:space="0" w:color="E0E0E0"/>
                  </w:tcBorders>
                  <w:shd w:val="clear" w:color="auto" w:fill="FFFFFF"/>
                </w:tcPr>
                <w:p w14:paraId="6BCE4F48"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197</w:t>
                  </w:r>
                </w:p>
              </w:tc>
              <w:tc>
                <w:tcPr>
                  <w:tcW w:w="1446" w:type="dxa"/>
                  <w:tcBorders>
                    <w:top w:val="single" w:sz="8" w:space="0" w:color="AEAEAE"/>
                    <w:left w:val="single" w:sz="8" w:space="0" w:color="E0E0E0"/>
                    <w:bottom w:val="nil"/>
                    <w:right w:val="single" w:sz="8" w:space="0" w:color="E0E0E0"/>
                  </w:tcBorders>
                  <w:shd w:val="clear" w:color="auto" w:fill="FFFFFF"/>
                  <w:vAlign w:val="center"/>
                </w:tcPr>
                <w:p w14:paraId="64C45C2A" w14:textId="77777777" w:rsidR="007F596B" w:rsidRPr="00F6085E" w:rsidRDefault="007F596B" w:rsidP="007F596B">
                  <w:pPr>
                    <w:autoSpaceDE w:val="0"/>
                    <w:autoSpaceDN w:val="0"/>
                    <w:adjustRightInd w:val="0"/>
                    <w:rPr>
                      <w:rFonts w:ascii="Times New Roman" w:hAnsi="Times New Roman" w:cs="Times New Roman"/>
                      <w:sz w:val="16"/>
                      <w:szCs w:val="16"/>
                      <w:lang w:val="en-US"/>
                    </w:rPr>
                  </w:pPr>
                </w:p>
              </w:tc>
              <w:tc>
                <w:tcPr>
                  <w:tcW w:w="1030" w:type="dxa"/>
                  <w:tcBorders>
                    <w:top w:val="single" w:sz="8" w:space="0" w:color="AEAEAE"/>
                    <w:left w:val="single" w:sz="8" w:space="0" w:color="E0E0E0"/>
                    <w:bottom w:val="nil"/>
                    <w:right w:val="single" w:sz="8" w:space="0" w:color="E0E0E0"/>
                  </w:tcBorders>
                  <w:shd w:val="clear" w:color="auto" w:fill="FFFFFF"/>
                  <w:vAlign w:val="center"/>
                </w:tcPr>
                <w:p w14:paraId="5C109D62" w14:textId="77777777" w:rsidR="007F596B" w:rsidRPr="00F6085E" w:rsidRDefault="007F596B" w:rsidP="007F596B">
                  <w:pPr>
                    <w:autoSpaceDE w:val="0"/>
                    <w:autoSpaceDN w:val="0"/>
                    <w:adjustRightInd w:val="0"/>
                    <w:rPr>
                      <w:rFonts w:ascii="Times New Roman" w:hAnsi="Times New Roman" w:cs="Times New Roman"/>
                      <w:sz w:val="16"/>
                      <w:szCs w:val="16"/>
                      <w:lang w:val="en-US"/>
                    </w:rPr>
                  </w:pPr>
                </w:p>
              </w:tc>
              <w:tc>
                <w:tcPr>
                  <w:tcW w:w="1030" w:type="dxa"/>
                  <w:tcBorders>
                    <w:top w:val="single" w:sz="8" w:space="0" w:color="AEAEAE"/>
                    <w:left w:val="single" w:sz="8" w:space="0" w:color="E0E0E0"/>
                    <w:bottom w:val="nil"/>
                    <w:right w:val="nil"/>
                  </w:tcBorders>
                  <w:shd w:val="clear" w:color="auto" w:fill="FFFFFF"/>
                  <w:vAlign w:val="center"/>
                </w:tcPr>
                <w:p w14:paraId="0472A88C" w14:textId="77777777" w:rsidR="007F596B" w:rsidRPr="00F6085E" w:rsidRDefault="007F596B" w:rsidP="007F596B">
                  <w:pPr>
                    <w:autoSpaceDE w:val="0"/>
                    <w:autoSpaceDN w:val="0"/>
                    <w:adjustRightInd w:val="0"/>
                    <w:rPr>
                      <w:rFonts w:ascii="Times New Roman" w:hAnsi="Times New Roman" w:cs="Times New Roman"/>
                      <w:sz w:val="16"/>
                      <w:szCs w:val="16"/>
                      <w:highlight w:val="yellow"/>
                      <w:lang w:val="en-US"/>
                    </w:rPr>
                  </w:pPr>
                </w:p>
              </w:tc>
            </w:tr>
            <w:tr w:rsidR="007F596B" w:rsidRPr="00F6085E" w14:paraId="444CD101" w14:textId="77777777" w:rsidTr="00805503">
              <w:trPr>
                <w:cantSplit/>
              </w:trPr>
              <w:tc>
                <w:tcPr>
                  <w:tcW w:w="736" w:type="dxa"/>
                  <w:vMerge w:val="restart"/>
                  <w:tcBorders>
                    <w:top w:val="single" w:sz="8" w:space="0" w:color="AEAEAE"/>
                    <w:left w:val="nil"/>
                    <w:bottom w:val="nil"/>
                    <w:right w:val="nil"/>
                  </w:tcBorders>
                  <w:shd w:val="clear" w:color="auto" w:fill="E0E0E0"/>
                </w:tcPr>
                <w:p w14:paraId="7459FA57" w14:textId="77777777" w:rsidR="007F596B" w:rsidRPr="00F6085E"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F6085E">
                    <w:rPr>
                      <w:rFonts w:ascii="Arial" w:hAnsi="Arial" w:cs="Arial"/>
                      <w:color w:val="264A60"/>
                      <w:sz w:val="16"/>
                      <w:szCs w:val="16"/>
                      <w:lang w:val="en-US"/>
                    </w:rPr>
                    <w:t>3</w:t>
                  </w:r>
                </w:p>
              </w:tc>
              <w:tc>
                <w:tcPr>
                  <w:tcW w:w="1261" w:type="dxa"/>
                  <w:tcBorders>
                    <w:top w:val="single" w:sz="8" w:space="0" w:color="AEAEAE"/>
                    <w:left w:val="nil"/>
                    <w:bottom w:val="single" w:sz="8" w:space="0" w:color="AEAEAE"/>
                    <w:right w:val="nil"/>
                  </w:tcBorders>
                  <w:shd w:val="clear" w:color="auto" w:fill="E0E0E0"/>
                </w:tcPr>
                <w:p w14:paraId="3AE5CBA0" w14:textId="77777777" w:rsidR="007F596B" w:rsidRPr="00F6085E"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F6085E">
                    <w:rPr>
                      <w:rFonts w:ascii="Arial" w:hAnsi="Arial" w:cs="Arial"/>
                      <w:color w:val="264A60"/>
                      <w:sz w:val="16"/>
                      <w:szCs w:val="16"/>
                      <w:lang w:val="en-US"/>
                    </w:rPr>
                    <w:t>Regression</w:t>
                  </w:r>
                </w:p>
              </w:tc>
              <w:tc>
                <w:tcPr>
                  <w:tcW w:w="1476" w:type="dxa"/>
                  <w:tcBorders>
                    <w:top w:val="single" w:sz="8" w:space="0" w:color="AEAEAE"/>
                    <w:left w:val="nil"/>
                    <w:bottom w:val="single" w:sz="8" w:space="0" w:color="AEAEAE"/>
                    <w:right w:val="single" w:sz="8" w:space="0" w:color="E0E0E0"/>
                  </w:tcBorders>
                  <w:shd w:val="clear" w:color="auto" w:fill="FFFFFF"/>
                </w:tcPr>
                <w:p w14:paraId="1CC181E2"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3043.715</w:t>
                  </w:r>
                </w:p>
              </w:tc>
              <w:tc>
                <w:tcPr>
                  <w:tcW w:w="1030" w:type="dxa"/>
                  <w:tcBorders>
                    <w:top w:val="single" w:sz="8" w:space="0" w:color="AEAEAE"/>
                    <w:left w:val="single" w:sz="8" w:space="0" w:color="E0E0E0"/>
                    <w:bottom w:val="single" w:sz="8" w:space="0" w:color="AEAEAE"/>
                    <w:right w:val="single" w:sz="8" w:space="0" w:color="E0E0E0"/>
                  </w:tcBorders>
                  <w:shd w:val="clear" w:color="auto" w:fill="FFFFFF"/>
                </w:tcPr>
                <w:p w14:paraId="46A07CE3"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4</w:t>
                  </w:r>
                </w:p>
              </w:tc>
              <w:tc>
                <w:tcPr>
                  <w:tcW w:w="1446" w:type="dxa"/>
                  <w:tcBorders>
                    <w:top w:val="single" w:sz="8" w:space="0" w:color="AEAEAE"/>
                    <w:left w:val="single" w:sz="8" w:space="0" w:color="E0E0E0"/>
                    <w:bottom w:val="single" w:sz="8" w:space="0" w:color="AEAEAE"/>
                    <w:right w:val="single" w:sz="8" w:space="0" w:color="E0E0E0"/>
                  </w:tcBorders>
                  <w:shd w:val="clear" w:color="auto" w:fill="FFFFFF"/>
                </w:tcPr>
                <w:p w14:paraId="15E3FCBD"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760.929</w:t>
                  </w:r>
                </w:p>
              </w:tc>
              <w:tc>
                <w:tcPr>
                  <w:tcW w:w="1030" w:type="dxa"/>
                  <w:tcBorders>
                    <w:top w:val="single" w:sz="8" w:space="0" w:color="AEAEAE"/>
                    <w:left w:val="single" w:sz="8" w:space="0" w:color="E0E0E0"/>
                    <w:bottom w:val="single" w:sz="8" w:space="0" w:color="AEAEAE"/>
                    <w:right w:val="single" w:sz="8" w:space="0" w:color="E0E0E0"/>
                  </w:tcBorders>
                  <w:shd w:val="clear" w:color="auto" w:fill="FFFFFF"/>
                </w:tcPr>
                <w:p w14:paraId="6663A431"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2.147</w:t>
                  </w:r>
                </w:p>
              </w:tc>
              <w:tc>
                <w:tcPr>
                  <w:tcW w:w="1030" w:type="dxa"/>
                  <w:tcBorders>
                    <w:top w:val="single" w:sz="8" w:space="0" w:color="AEAEAE"/>
                    <w:left w:val="single" w:sz="8" w:space="0" w:color="E0E0E0"/>
                    <w:bottom w:val="single" w:sz="8" w:space="0" w:color="AEAEAE"/>
                    <w:right w:val="nil"/>
                  </w:tcBorders>
                  <w:shd w:val="clear" w:color="auto" w:fill="FFFFFF"/>
                </w:tcPr>
                <w:p w14:paraId="179EDB39"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highlight w:val="yellow"/>
                      <w:lang w:val="en-US"/>
                    </w:rPr>
                  </w:pPr>
                  <w:r w:rsidRPr="0054314B">
                    <w:rPr>
                      <w:rFonts w:ascii="Arial" w:hAnsi="Arial" w:cs="Arial"/>
                      <w:color w:val="010205"/>
                      <w:sz w:val="16"/>
                      <w:szCs w:val="16"/>
                      <w:lang w:val="en-US"/>
                    </w:rPr>
                    <w:t>.076</w:t>
                  </w:r>
                  <w:r w:rsidRPr="0054314B">
                    <w:rPr>
                      <w:rFonts w:ascii="Arial" w:hAnsi="Arial" w:cs="Arial"/>
                      <w:color w:val="010205"/>
                      <w:sz w:val="16"/>
                      <w:szCs w:val="16"/>
                      <w:vertAlign w:val="superscript"/>
                      <w:lang w:val="en-US"/>
                    </w:rPr>
                    <w:t>d</w:t>
                  </w:r>
                </w:p>
              </w:tc>
            </w:tr>
            <w:tr w:rsidR="007F596B" w:rsidRPr="00F6085E" w14:paraId="10503EAD" w14:textId="77777777" w:rsidTr="00805503">
              <w:trPr>
                <w:cantSplit/>
              </w:trPr>
              <w:tc>
                <w:tcPr>
                  <w:tcW w:w="736" w:type="dxa"/>
                  <w:vMerge/>
                  <w:tcBorders>
                    <w:top w:val="single" w:sz="8" w:space="0" w:color="AEAEAE"/>
                    <w:left w:val="nil"/>
                    <w:bottom w:val="nil"/>
                    <w:right w:val="nil"/>
                  </w:tcBorders>
                  <w:shd w:val="clear" w:color="auto" w:fill="E0E0E0"/>
                </w:tcPr>
                <w:p w14:paraId="51FAEF26" w14:textId="77777777" w:rsidR="007F596B" w:rsidRPr="00F6085E" w:rsidRDefault="007F596B" w:rsidP="007F596B">
                  <w:pPr>
                    <w:autoSpaceDE w:val="0"/>
                    <w:autoSpaceDN w:val="0"/>
                    <w:adjustRightInd w:val="0"/>
                    <w:rPr>
                      <w:rFonts w:ascii="Arial" w:hAnsi="Arial" w:cs="Arial"/>
                      <w:color w:val="010205"/>
                      <w:sz w:val="16"/>
                      <w:szCs w:val="16"/>
                      <w:lang w:val="en-US"/>
                    </w:rPr>
                  </w:pPr>
                </w:p>
              </w:tc>
              <w:tc>
                <w:tcPr>
                  <w:tcW w:w="1261" w:type="dxa"/>
                  <w:tcBorders>
                    <w:top w:val="single" w:sz="8" w:space="0" w:color="AEAEAE"/>
                    <w:left w:val="nil"/>
                    <w:bottom w:val="single" w:sz="8" w:space="0" w:color="AEAEAE"/>
                    <w:right w:val="nil"/>
                  </w:tcBorders>
                  <w:shd w:val="clear" w:color="auto" w:fill="E0E0E0"/>
                </w:tcPr>
                <w:p w14:paraId="22B57234" w14:textId="77777777" w:rsidR="007F596B" w:rsidRPr="00F6085E"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F6085E">
                    <w:rPr>
                      <w:rFonts w:ascii="Arial" w:hAnsi="Arial" w:cs="Arial"/>
                      <w:color w:val="264A60"/>
                      <w:sz w:val="16"/>
                      <w:szCs w:val="16"/>
                      <w:lang w:val="en-US"/>
                    </w:rPr>
                    <w:t>Residual</w:t>
                  </w:r>
                </w:p>
              </w:tc>
              <w:tc>
                <w:tcPr>
                  <w:tcW w:w="1476" w:type="dxa"/>
                  <w:tcBorders>
                    <w:top w:val="single" w:sz="8" w:space="0" w:color="AEAEAE"/>
                    <w:left w:val="nil"/>
                    <w:bottom w:val="single" w:sz="8" w:space="0" w:color="AEAEAE"/>
                    <w:right w:val="single" w:sz="8" w:space="0" w:color="E0E0E0"/>
                  </w:tcBorders>
                  <w:shd w:val="clear" w:color="auto" w:fill="FFFFFF"/>
                </w:tcPr>
                <w:p w14:paraId="25EAEFDC"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68387.395</w:t>
                  </w:r>
                </w:p>
              </w:tc>
              <w:tc>
                <w:tcPr>
                  <w:tcW w:w="1030" w:type="dxa"/>
                  <w:tcBorders>
                    <w:top w:val="single" w:sz="8" w:space="0" w:color="AEAEAE"/>
                    <w:left w:val="single" w:sz="8" w:space="0" w:color="E0E0E0"/>
                    <w:bottom w:val="single" w:sz="8" w:space="0" w:color="AEAEAE"/>
                    <w:right w:val="single" w:sz="8" w:space="0" w:color="E0E0E0"/>
                  </w:tcBorders>
                  <w:shd w:val="clear" w:color="auto" w:fill="FFFFFF"/>
                </w:tcPr>
                <w:p w14:paraId="4100A2E3"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193</w:t>
                  </w:r>
                </w:p>
              </w:tc>
              <w:tc>
                <w:tcPr>
                  <w:tcW w:w="1446" w:type="dxa"/>
                  <w:tcBorders>
                    <w:top w:val="single" w:sz="8" w:space="0" w:color="AEAEAE"/>
                    <w:left w:val="single" w:sz="8" w:space="0" w:color="E0E0E0"/>
                    <w:bottom w:val="single" w:sz="8" w:space="0" w:color="AEAEAE"/>
                    <w:right w:val="single" w:sz="8" w:space="0" w:color="E0E0E0"/>
                  </w:tcBorders>
                  <w:shd w:val="clear" w:color="auto" w:fill="FFFFFF"/>
                </w:tcPr>
                <w:p w14:paraId="5075C1BF"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354.339</w:t>
                  </w:r>
                </w:p>
              </w:tc>
              <w:tc>
                <w:tcPr>
                  <w:tcW w:w="1030"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509689B6" w14:textId="77777777" w:rsidR="007F596B" w:rsidRPr="00F6085E" w:rsidRDefault="007F596B" w:rsidP="007F596B">
                  <w:pPr>
                    <w:autoSpaceDE w:val="0"/>
                    <w:autoSpaceDN w:val="0"/>
                    <w:adjustRightInd w:val="0"/>
                    <w:rPr>
                      <w:rFonts w:ascii="Times New Roman" w:hAnsi="Times New Roman" w:cs="Times New Roman"/>
                      <w:sz w:val="16"/>
                      <w:szCs w:val="16"/>
                      <w:lang w:val="en-US"/>
                    </w:rPr>
                  </w:pPr>
                </w:p>
              </w:tc>
              <w:tc>
                <w:tcPr>
                  <w:tcW w:w="1030" w:type="dxa"/>
                  <w:tcBorders>
                    <w:top w:val="single" w:sz="8" w:space="0" w:color="AEAEAE"/>
                    <w:left w:val="single" w:sz="8" w:space="0" w:color="E0E0E0"/>
                    <w:bottom w:val="single" w:sz="8" w:space="0" w:color="AEAEAE"/>
                    <w:right w:val="nil"/>
                  </w:tcBorders>
                  <w:shd w:val="clear" w:color="auto" w:fill="FFFFFF"/>
                  <w:vAlign w:val="center"/>
                </w:tcPr>
                <w:p w14:paraId="3A2DF657" w14:textId="77777777" w:rsidR="007F596B" w:rsidRPr="00F6085E" w:rsidRDefault="007F596B" w:rsidP="007F596B">
                  <w:pPr>
                    <w:autoSpaceDE w:val="0"/>
                    <w:autoSpaceDN w:val="0"/>
                    <w:adjustRightInd w:val="0"/>
                    <w:rPr>
                      <w:rFonts w:ascii="Times New Roman" w:hAnsi="Times New Roman" w:cs="Times New Roman"/>
                      <w:sz w:val="16"/>
                      <w:szCs w:val="16"/>
                      <w:highlight w:val="yellow"/>
                      <w:lang w:val="en-US"/>
                    </w:rPr>
                  </w:pPr>
                </w:p>
              </w:tc>
            </w:tr>
            <w:tr w:rsidR="007F596B" w:rsidRPr="00F6085E" w14:paraId="657514D9" w14:textId="77777777" w:rsidTr="00805503">
              <w:trPr>
                <w:cantSplit/>
              </w:trPr>
              <w:tc>
                <w:tcPr>
                  <w:tcW w:w="736" w:type="dxa"/>
                  <w:vMerge/>
                  <w:tcBorders>
                    <w:top w:val="single" w:sz="8" w:space="0" w:color="AEAEAE"/>
                    <w:left w:val="nil"/>
                    <w:bottom w:val="nil"/>
                    <w:right w:val="nil"/>
                  </w:tcBorders>
                  <w:shd w:val="clear" w:color="auto" w:fill="E0E0E0"/>
                </w:tcPr>
                <w:p w14:paraId="718128DE" w14:textId="77777777" w:rsidR="007F596B" w:rsidRPr="00F6085E" w:rsidRDefault="007F596B" w:rsidP="007F596B">
                  <w:pPr>
                    <w:autoSpaceDE w:val="0"/>
                    <w:autoSpaceDN w:val="0"/>
                    <w:adjustRightInd w:val="0"/>
                    <w:rPr>
                      <w:rFonts w:ascii="Times New Roman" w:hAnsi="Times New Roman" w:cs="Times New Roman"/>
                      <w:sz w:val="16"/>
                      <w:szCs w:val="16"/>
                      <w:lang w:val="en-US"/>
                    </w:rPr>
                  </w:pPr>
                </w:p>
              </w:tc>
              <w:tc>
                <w:tcPr>
                  <w:tcW w:w="1261" w:type="dxa"/>
                  <w:tcBorders>
                    <w:top w:val="single" w:sz="8" w:space="0" w:color="AEAEAE"/>
                    <w:left w:val="nil"/>
                    <w:bottom w:val="nil"/>
                    <w:right w:val="nil"/>
                  </w:tcBorders>
                  <w:shd w:val="clear" w:color="auto" w:fill="E0E0E0"/>
                </w:tcPr>
                <w:p w14:paraId="0309CB6E" w14:textId="77777777" w:rsidR="007F596B" w:rsidRPr="00F6085E"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F6085E">
                    <w:rPr>
                      <w:rFonts w:ascii="Arial" w:hAnsi="Arial" w:cs="Arial"/>
                      <w:color w:val="264A60"/>
                      <w:sz w:val="16"/>
                      <w:szCs w:val="16"/>
                      <w:lang w:val="en-US"/>
                    </w:rPr>
                    <w:t>Total</w:t>
                  </w:r>
                </w:p>
              </w:tc>
              <w:tc>
                <w:tcPr>
                  <w:tcW w:w="1476" w:type="dxa"/>
                  <w:tcBorders>
                    <w:top w:val="single" w:sz="8" w:space="0" w:color="AEAEAE"/>
                    <w:left w:val="nil"/>
                    <w:bottom w:val="nil"/>
                    <w:right w:val="single" w:sz="8" w:space="0" w:color="E0E0E0"/>
                  </w:tcBorders>
                  <w:shd w:val="clear" w:color="auto" w:fill="FFFFFF"/>
                </w:tcPr>
                <w:p w14:paraId="29CDFB53"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71431.110</w:t>
                  </w:r>
                </w:p>
              </w:tc>
              <w:tc>
                <w:tcPr>
                  <w:tcW w:w="1030" w:type="dxa"/>
                  <w:tcBorders>
                    <w:top w:val="single" w:sz="8" w:space="0" w:color="AEAEAE"/>
                    <w:left w:val="single" w:sz="8" w:space="0" w:color="E0E0E0"/>
                    <w:bottom w:val="nil"/>
                    <w:right w:val="single" w:sz="8" w:space="0" w:color="E0E0E0"/>
                  </w:tcBorders>
                  <w:shd w:val="clear" w:color="auto" w:fill="FFFFFF"/>
                </w:tcPr>
                <w:p w14:paraId="5E2F7A1E"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197</w:t>
                  </w:r>
                </w:p>
              </w:tc>
              <w:tc>
                <w:tcPr>
                  <w:tcW w:w="1446" w:type="dxa"/>
                  <w:tcBorders>
                    <w:top w:val="single" w:sz="8" w:space="0" w:color="AEAEAE"/>
                    <w:left w:val="single" w:sz="8" w:space="0" w:color="E0E0E0"/>
                    <w:bottom w:val="nil"/>
                    <w:right w:val="single" w:sz="8" w:space="0" w:color="E0E0E0"/>
                  </w:tcBorders>
                  <w:shd w:val="clear" w:color="auto" w:fill="FFFFFF"/>
                  <w:vAlign w:val="center"/>
                </w:tcPr>
                <w:p w14:paraId="5E6CAF02" w14:textId="77777777" w:rsidR="007F596B" w:rsidRPr="00F6085E" w:rsidRDefault="007F596B" w:rsidP="007F596B">
                  <w:pPr>
                    <w:autoSpaceDE w:val="0"/>
                    <w:autoSpaceDN w:val="0"/>
                    <w:adjustRightInd w:val="0"/>
                    <w:rPr>
                      <w:rFonts w:ascii="Times New Roman" w:hAnsi="Times New Roman" w:cs="Times New Roman"/>
                      <w:sz w:val="16"/>
                      <w:szCs w:val="16"/>
                      <w:lang w:val="en-US"/>
                    </w:rPr>
                  </w:pPr>
                </w:p>
              </w:tc>
              <w:tc>
                <w:tcPr>
                  <w:tcW w:w="1030" w:type="dxa"/>
                  <w:tcBorders>
                    <w:top w:val="single" w:sz="8" w:space="0" w:color="AEAEAE"/>
                    <w:left w:val="single" w:sz="8" w:space="0" w:color="E0E0E0"/>
                    <w:bottom w:val="nil"/>
                    <w:right w:val="single" w:sz="8" w:space="0" w:color="E0E0E0"/>
                  </w:tcBorders>
                  <w:shd w:val="clear" w:color="auto" w:fill="FFFFFF"/>
                  <w:vAlign w:val="center"/>
                </w:tcPr>
                <w:p w14:paraId="0A82BEF7" w14:textId="77777777" w:rsidR="007F596B" w:rsidRPr="00F6085E" w:rsidRDefault="007F596B" w:rsidP="007F596B">
                  <w:pPr>
                    <w:autoSpaceDE w:val="0"/>
                    <w:autoSpaceDN w:val="0"/>
                    <w:adjustRightInd w:val="0"/>
                    <w:rPr>
                      <w:rFonts w:ascii="Times New Roman" w:hAnsi="Times New Roman" w:cs="Times New Roman"/>
                      <w:sz w:val="16"/>
                      <w:szCs w:val="16"/>
                      <w:lang w:val="en-US"/>
                    </w:rPr>
                  </w:pPr>
                </w:p>
              </w:tc>
              <w:tc>
                <w:tcPr>
                  <w:tcW w:w="1030" w:type="dxa"/>
                  <w:tcBorders>
                    <w:top w:val="single" w:sz="8" w:space="0" w:color="AEAEAE"/>
                    <w:left w:val="single" w:sz="8" w:space="0" w:color="E0E0E0"/>
                    <w:bottom w:val="nil"/>
                    <w:right w:val="nil"/>
                  </w:tcBorders>
                  <w:shd w:val="clear" w:color="auto" w:fill="FFFFFF"/>
                  <w:vAlign w:val="center"/>
                </w:tcPr>
                <w:p w14:paraId="54E4B809" w14:textId="77777777" w:rsidR="007F596B" w:rsidRPr="00F6085E" w:rsidRDefault="007F596B" w:rsidP="007F596B">
                  <w:pPr>
                    <w:autoSpaceDE w:val="0"/>
                    <w:autoSpaceDN w:val="0"/>
                    <w:adjustRightInd w:val="0"/>
                    <w:rPr>
                      <w:rFonts w:ascii="Times New Roman" w:hAnsi="Times New Roman" w:cs="Times New Roman"/>
                      <w:sz w:val="16"/>
                      <w:szCs w:val="16"/>
                      <w:highlight w:val="yellow"/>
                      <w:lang w:val="en-US"/>
                    </w:rPr>
                  </w:pPr>
                </w:p>
              </w:tc>
            </w:tr>
            <w:tr w:rsidR="007F596B" w:rsidRPr="00F6085E" w14:paraId="1DEF12C1" w14:textId="77777777" w:rsidTr="00805503">
              <w:trPr>
                <w:cantSplit/>
              </w:trPr>
              <w:tc>
                <w:tcPr>
                  <w:tcW w:w="736" w:type="dxa"/>
                  <w:vMerge w:val="restart"/>
                  <w:tcBorders>
                    <w:top w:val="single" w:sz="8" w:space="0" w:color="AEAEAE"/>
                    <w:left w:val="nil"/>
                    <w:bottom w:val="single" w:sz="8" w:space="0" w:color="152935"/>
                    <w:right w:val="nil"/>
                  </w:tcBorders>
                  <w:shd w:val="clear" w:color="auto" w:fill="E0E0E0"/>
                </w:tcPr>
                <w:p w14:paraId="57ADB208" w14:textId="77777777" w:rsidR="007F596B" w:rsidRPr="00F6085E"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F6085E">
                    <w:rPr>
                      <w:rFonts w:ascii="Arial" w:hAnsi="Arial" w:cs="Arial"/>
                      <w:color w:val="264A60"/>
                      <w:sz w:val="16"/>
                      <w:szCs w:val="16"/>
                      <w:lang w:val="en-US"/>
                    </w:rPr>
                    <w:t>4</w:t>
                  </w:r>
                </w:p>
              </w:tc>
              <w:tc>
                <w:tcPr>
                  <w:tcW w:w="1261" w:type="dxa"/>
                  <w:tcBorders>
                    <w:top w:val="single" w:sz="8" w:space="0" w:color="AEAEAE"/>
                    <w:left w:val="nil"/>
                    <w:bottom w:val="single" w:sz="8" w:space="0" w:color="AEAEAE"/>
                    <w:right w:val="nil"/>
                  </w:tcBorders>
                  <w:shd w:val="clear" w:color="auto" w:fill="E0E0E0"/>
                </w:tcPr>
                <w:p w14:paraId="3D93B7A5" w14:textId="77777777" w:rsidR="007F596B" w:rsidRPr="00F6085E"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F6085E">
                    <w:rPr>
                      <w:rFonts w:ascii="Arial" w:hAnsi="Arial" w:cs="Arial"/>
                      <w:color w:val="264A60"/>
                      <w:sz w:val="16"/>
                      <w:szCs w:val="16"/>
                      <w:lang w:val="en-US"/>
                    </w:rPr>
                    <w:t>Regression</w:t>
                  </w:r>
                </w:p>
              </w:tc>
              <w:tc>
                <w:tcPr>
                  <w:tcW w:w="1476" w:type="dxa"/>
                  <w:tcBorders>
                    <w:top w:val="single" w:sz="8" w:space="0" w:color="AEAEAE"/>
                    <w:left w:val="nil"/>
                    <w:bottom w:val="single" w:sz="8" w:space="0" w:color="AEAEAE"/>
                    <w:right w:val="single" w:sz="8" w:space="0" w:color="E0E0E0"/>
                  </w:tcBorders>
                  <w:shd w:val="clear" w:color="auto" w:fill="FFFFFF"/>
                </w:tcPr>
                <w:p w14:paraId="66F90D81"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3063.986</w:t>
                  </w:r>
                </w:p>
              </w:tc>
              <w:tc>
                <w:tcPr>
                  <w:tcW w:w="1030" w:type="dxa"/>
                  <w:tcBorders>
                    <w:top w:val="single" w:sz="8" w:space="0" w:color="AEAEAE"/>
                    <w:left w:val="single" w:sz="8" w:space="0" w:color="E0E0E0"/>
                    <w:bottom w:val="single" w:sz="8" w:space="0" w:color="AEAEAE"/>
                    <w:right w:val="single" w:sz="8" w:space="0" w:color="E0E0E0"/>
                  </w:tcBorders>
                  <w:shd w:val="clear" w:color="auto" w:fill="FFFFFF"/>
                </w:tcPr>
                <w:p w14:paraId="7B880286"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7</w:t>
                  </w:r>
                </w:p>
              </w:tc>
              <w:tc>
                <w:tcPr>
                  <w:tcW w:w="1446" w:type="dxa"/>
                  <w:tcBorders>
                    <w:top w:val="single" w:sz="8" w:space="0" w:color="AEAEAE"/>
                    <w:left w:val="single" w:sz="8" w:space="0" w:color="E0E0E0"/>
                    <w:bottom w:val="single" w:sz="8" w:space="0" w:color="AEAEAE"/>
                    <w:right w:val="single" w:sz="8" w:space="0" w:color="E0E0E0"/>
                  </w:tcBorders>
                  <w:shd w:val="clear" w:color="auto" w:fill="FFFFFF"/>
                </w:tcPr>
                <w:p w14:paraId="2BD5C7C4"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437.712</w:t>
                  </w:r>
                </w:p>
              </w:tc>
              <w:tc>
                <w:tcPr>
                  <w:tcW w:w="1030" w:type="dxa"/>
                  <w:tcBorders>
                    <w:top w:val="single" w:sz="8" w:space="0" w:color="AEAEAE"/>
                    <w:left w:val="single" w:sz="8" w:space="0" w:color="E0E0E0"/>
                    <w:bottom w:val="single" w:sz="8" w:space="0" w:color="AEAEAE"/>
                    <w:right w:val="single" w:sz="8" w:space="0" w:color="E0E0E0"/>
                  </w:tcBorders>
                  <w:shd w:val="clear" w:color="auto" w:fill="FFFFFF"/>
                </w:tcPr>
                <w:p w14:paraId="435D720F"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1.216</w:t>
                  </w:r>
                </w:p>
              </w:tc>
              <w:tc>
                <w:tcPr>
                  <w:tcW w:w="1030" w:type="dxa"/>
                  <w:tcBorders>
                    <w:top w:val="single" w:sz="8" w:space="0" w:color="AEAEAE"/>
                    <w:left w:val="single" w:sz="8" w:space="0" w:color="E0E0E0"/>
                    <w:bottom w:val="single" w:sz="8" w:space="0" w:color="AEAEAE"/>
                    <w:right w:val="nil"/>
                  </w:tcBorders>
                  <w:shd w:val="clear" w:color="auto" w:fill="FFFFFF"/>
                </w:tcPr>
                <w:p w14:paraId="72ED8AB4"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highlight w:val="yellow"/>
                      <w:lang w:val="en-US"/>
                    </w:rPr>
                  </w:pPr>
                  <w:r w:rsidRPr="0054314B">
                    <w:rPr>
                      <w:rFonts w:ascii="Arial" w:hAnsi="Arial" w:cs="Arial"/>
                      <w:color w:val="010205"/>
                      <w:sz w:val="16"/>
                      <w:szCs w:val="16"/>
                      <w:lang w:val="en-US"/>
                    </w:rPr>
                    <w:t>.296</w:t>
                  </w:r>
                  <w:r w:rsidRPr="0054314B">
                    <w:rPr>
                      <w:rFonts w:ascii="Arial" w:hAnsi="Arial" w:cs="Arial"/>
                      <w:color w:val="010205"/>
                      <w:sz w:val="16"/>
                      <w:szCs w:val="16"/>
                      <w:vertAlign w:val="superscript"/>
                      <w:lang w:val="en-US"/>
                    </w:rPr>
                    <w:t>e</w:t>
                  </w:r>
                </w:p>
              </w:tc>
            </w:tr>
            <w:tr w:rsidR="007F596B" w:rsidRPr="00F6085E" w14:paraId="78DE6911" w14:textId="77777777" w:rsidTr="00805503">
              <w:trPr>
                <w:cantSplit/>
              </w:trPr>
              <w:tc>
                <w:tcPr>
                  <w:tcW w:w="736" w:type="dxa"/>
                  <w:vMerge/>
                  <w:tcBorders>
                    <w:top w:val="single" w:sz="8" w:space="0" w:color="AEAEAE"/>
                    <w:left w:val="nil"/>
                    <w:bottom w:val="single" w:sz="8" w:space="0" w:color="152935"/>
                    <w:right w:val="nil"/>
                  </w:tcBorders>
                  <w:shd w:val="clear" w:color="auto" w:fill="E0E0E0"/>
                </w:tcPr>
                <w:p w14:paraId="77AF3739" w14:textId="77777777" w:rsidR="007F596B" w:rsidRPr="00F6085E" w:rsidRDefault="007F596B" w:rsidP="007F596B">
                  <w:pPr>
                    <w:autoSpaceDE w:val="0"/>
                    <w:autoSpaceDN w:val="0"/>
                    <w:adjustRightInd w:val="0"/>
                    <w:rPr>
                      <w:rFonts w:ascii="Arial" w:hAnsi="Arial" w:cs="Arial"/>
                      <w:color w:val="010205"/>
                      <w:sz w:val="16"/>
                      <w:szCs w:val="16"/>
                      <w:lang w:val="en-US"/>
                    </w:rPr>
                  </w:pPr>
                </w:p>
              </w:tc>
              <w:tc>
                <w:tcPr>
                  <w:tcW w:w="1261" w:type="dxa"/>
                  <w:tcBorders>
                    <w:top w:val="single" w:sz="8" w:space="0" w:color="AEAEAE"/>
                    <w:left w:val="nil"/>
                    <w:bottom w:val="single" w:sz="8" w:space="0" w:color="AEAEAE"/>
                    <w:right w:val="nil"/>
                  </w:tcBorders>
                  <w:shd w:val="clear" w:color="auto" w:fill="E0E0E0"/>
                </w:tcPr>
                <w:p w14:paraId="17E67FFE" w14:textId="77777777" w:rsidR="007F596B" w:rsidRPr="00F6085E"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F6085E">
                    <w:rPr>
                      <w:rFonts w:ascii="Arial" w:hAnsi="Arial" w:cs="Arial"/>
                      <w:color w:val="264A60"/>
                      <w:sz w:val="16"/>
                      <w:szCs w:val="16"/>
                      <w:lang w:val="en-US"/>
                    </w:rPr>
                    <w:t>Residual</w:t>
                  </w:r>
                </w:p>
              </w:tc>
              <w:tc>
                <w:tcPr>
                  <w:tcW w:w="1476" w:type="dxa"/>
                  <w:tcBorders>
                    <w:top w:val="single" w:sz="8" w:space="0" w:color="AEAEAE"/>
                    <w:left w:val="nil"/>
                    <w:bottom w:val="single" w:sz="8" w:space="0" w:color="AEAEAE"/>
                    <w:right w:val="single" w:sz="8" w:space="0" w:color="E0E0E0"/>
                  </w:tcBorders>
                  <w:shd w:val="clear" w:color="auto" w:fill="FFFFFF"/>
                </w:tcPr>
                <w:p w14:paraId="00C8F78A"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68367.124</w:t>
                  </w:r>
                </w:p>
              </w:tc>
              <w:tc>
                <w:tcPr>
                  <w:tcW w:w="1030" w:type="dxa"/>
                  <w:tcBorders>
                    <w:top w:val="single" w:sz="8" w:space="0" w:color="AEAEAE"/>
                    <w:left w:val="single" w:sz="8" w:space="0" w:color="E0E0E0"/>
                    <w:bottom w:val="single" w:sz="8" w:space="0" w:color="AEAEAE"/>
                    <w:right w:val="single" w:sz="8" w:space="0" w:color="E0E0E0"/>
                  </w:tcBorders>
                  <w:shd w:val="clear" w:color="auto" w:fill="FFFFFF"/>
                </w:tcPr>
                <w:p w14:paraId="38CD0874"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190</w:t>
                  </w:r>
                </w:p>
              </w:tc>
              <w:tc>
                <w:tcPr>
                  <w:tcW w:w="1446" w:type="dxa"/>
                  <w:tcBorders>
                    <w:top w:val="single" w:sz="8" w:space="0" w:color="AEAEAE"/>
                    <w:left w:val="single" w:sz="8" w:space="0" w:color="E0E0E0"/>
                    <w:bottom w:val="single" w:sz="8" w:space="0" w:color="AEAEAE"/>
                    <w:right w:val="single" w:sz="8" w:space="0" w:color="E0E0E0"/>
                  </w:tcBorders>
                  <w:shd w:val="clear" w:color="auto" w:fill="FFFFFF"/>
                </w:tcPr>
                <w:p w14:paraId="2CCA2123"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359.827</w:t>
                  </w:r>
                </w:p>
              </w:tc>
              <w:tc>
                <w:tcPr>
                  <w:tcW w:w="1030"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6165F63B" w14:textId="77777777" w:rsidR="007F596B" w:rsidRPr="00F6085E" w:rsidRDefault="007F596B" w:rsidP="007F596B">
                  <w:pPr>
                    <w:autoSpaceDE w:val="0"/>
                    <w:autoSpaceDN w:val="0"/>
                    <w:adjustRightInd w:val="0"/>
                    <w:rPr>
                      <w:rFonts w:ascii="Times New Roman" w:hAnsi="Times New Roman" w:cs="Times New Roman"/>
                      <w:sz w:val="16"/>
                      <w:szCs w:val="16"/>
                      <w:lang w:val="en-US"/>
                    </w:rPr>
                  </w:pPr>
                </w:p>
              </w:tc>
              <w:tc>
                <w:tcPr>
                  <w:tcW w:w="1030" w:type="dxa"/>
                  <w:tcBorders>
                    <w:top w:val="single" w:sz="8" w:space="0" w:color="AEAEAE"/>
                    <w:left w:val="single" w:sz="8" w:space="0" w:color="E0E0E0"/>
                    <w:bottom w:val="single" w:sz="8" w:space="0" w:color="AEAEAE"/>
                    <w:right w:val="nil"/>
                  </w:tcBorders>
                  <w:shd w:val="clear" w:color="auto" w:fill="FFFFFF"/>
                  <w:vAlign w:val="center"/>
                </w:tcPr>
                <w:p w14:paraId="1FA43051" w14:textId="77777777" w:rsidR="007F596B" w:rsidRPr="00F6085E" w:rsidRDefault="007F596B" w:rsidP="007F596B">
                  <w:pPr>
                    <w:autoSpaceDE w:val="0"/>
                    <w:autoSpaceDN w:val="0"/>
                    <w:adjustRightInd w:val="0"/>
                    <w:rPr>
                      <w:rFonts w:ascii="Times New Roman" w:hAnsi="Times New Roman" w:cs="Times New Roman"/>
                      <w:sz w:val="16"/>
                      <w:szCs w:val="16"/>
                      <w:lang w:val="en-US"/>
                    </w:rPr>
                  </w:pPr>
                </w:p>
              </w:tc>
            </w:tr>
            <w:tr w:rsidR="007F596B" w:rsidRPr="00F6085E" w14:paraId="7BE66805" w14:textId="77777777" w:rsidTr="00805503">
              <w:trPr>
                <w:cantSplit/>
              </w:trPr>
              <w:tc>
                <w:tcPr>
                  <w:tcW w:w="736" w:type="dxa"/>
                  <w:vMerge/>
                  <w:tcBorders>
                    <w:top w:val="single" w:sz="8" w:space="0" w:color="AEAEAE"/>
                    <w:left w:val="nil"/>
                    <w:bottom w:val="single" w:sz="8" w:space="0" w:color="152935"/>
                    <w:right w:val="nil"/>
                  </w:tcBorders>
                  <w:shd w:val="clear" w:color="auto" w:fill="E0E0E0"/>
                </w:tcPr>
                <w:p w14:paraId="0771A29F" w14:textId="77777777" w:rsidR="007F596B" w:rsidRPr="00F6085E" w:rsidRDefault="007F596B" w:rsidP="007F596B">
                  <w:pPr>
                    <w:autoSpaceDE w:val="0"/>
                    <w:autoSpaceDN w:val="0"/>
                    <w:adjustRightInd w:val="0"/>
                    <w:rPr>
                      <w:rFonts w:ascii="Times New Roman" w:hAnsi="Times New Roman" w:cs="Times New Roman"/>
                      <w:sz w:val="16"/>
                      <w:szCs w:val="16"/>
                      <w:lang w:val="en-US"/>
                    </w:rPr>
                  </w:pPr>
                </w:p>
              </w:tc>
              <w:tc>
                <w:tcPr>
                  <w:tcW w:w="1261" w:type="dxa"/>
                  <w:tcBorders>
                    <w:top w:val="single" w:sz="8" w:space="0" w:color="AEAEAE"/>
                    <w:left w:val="nil"/>
                    <w:bottom w:val="single" w:sz="8" w:space="0" w:color="152935"/>
                    <w:right w:val="nil"/>
                  </w:tcBorders>
                  <w:shd w:val="clear" w:color="auto" w:fill="E0E0E0"/>
                </w:tcPr>
                <w:p w14:paraId="2D78618A" w14:textId="77777777" w:rsidR="007F596B" w:rsidRPr="00F6085E"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F6085E">
                    <w:rPr>
                      <w:rFonts w:ascii="Arial" w:hAnsi="Arial" w:cs="Arial"/>
                      <w:color w:val="264A60"/>
                      <w:sz w:val="16"/>
                      <w:szCs w:val="16"/>
                      <w:lang w:val="en-US"/>
                    </w:rPr>
                    <w:t>Total</w:t>
                  </w:r>
                </w:p>
              </w:tc>
              <w:tc>
                <w:tcPr>
                  <w:tcW w:w="1476" w:type="dxa"/>
                  <w:tcBorders>
                    <w:top w:val="single" w:sz="8" w:space="0" w:color="AEAEAE"/>
                    <w:left w:val="nil"/>
                    <w:bottom w:val="single" w:sz="8" w:space="0" w:color="152935"/>
                    <w:right w:val="single" w:sz="8" w:space="0" w:color="E0E0E0"/>
                  </w:tcBorders>
                  <w:shd w:val="clear" w:color="auto" w:fill="FFFFFF"/>
                </w:tcPr>
                <w:p w14:paraId="7E42B250"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71431.110</w:t>
                  </w:r>
                </w:p>
              </w:tc>
              <w:tc>
                <w:tcPr>
                  <w:tcW w:w="1030" w:type="dxa"/>
                  <w:tcBorders>
                    <w:top w:val="single" w:sz="8" w:space="0" w:color="AEAEAE"/>
                    <w:left w:val="single" w:sz="8" w:space="0" w:color="E0E0E0"/>
                    <w:bottom w:val="single" w:sz="8" w:space="0" w:color="152935"/>
                    <w:right w:val="single" w:sz="8" w:space="0" w:color="E0E0E0"/>
                  </w:tcBorders>
                  <w:shd w:val="clear" w:color="auto" w:fill="FFFFFF"/>
                </w:tcPr>
                <w:p w14:paraId="5FBF9654" w14:textId="77777777" w:rsidR="007F596B" w:rsidRPr="00F6085E"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F6085E">
                    <w:rPr>
                      <w:rFonts w:ascii="Arial" w:hAnsi="Arial" w:cs="Arial"/>
                      <w:color w:val="010205"/>
                      <w:sz w:val="16"/>
                      <w:szCs w:val="16"/>
                      <w:lang w:val="en-US"/>
                    </w:rPr>
                    <w:t>197</w:t>
                  </w:r>
                </w:p>
              </w:tc>
              <w:tc>
                <w:tcPr>
                  <w:tcW w:w="1446" w:type="dxa"/>
                  <w:tcBorders>
                    <w:top w:val="single" w:sz="8" w:space="0" w:color="AEAEAE"/>
                    <w:left w:val="single" w:sz="8" w:space="0" w:color="E0E0E0"/>
                    <w:bottom w:val="single" w:sz="8" w:space="0" w:color="152935"/>
                    <w:right w:val="single" w:sz="8" w:space="0" w:color="E0E0E0"/>
                  </w:tcBorders>
                  <w:shd w:val="clear" w:color="auto" w:fill="FFFFFF"/>
                  <w:vAlign w:val="center"/>
                </w:tcPr>
                <w:p w14:paraId="53F70AAD" w14:textId="77777777" w:rsidR="007F596B" w:rsidRPr="00F6085E" w:rsidRDefault="007F596B" w:rsidP="007F596B">
                  <w:pPr>
                    <w:autoSpaceDE w:val="0"/>
                    <w:autoSpaceDN w:val="0"/>
                    <w:adjustRightInd w:val="0"/>
                    <w:rPr>
                      <w:rFonts w:ascii="Times New Roman" w:hAnsi="Times New Roman" w:cs="Times New Roman"/>
                      <w:sz w:val="16"/>
                      <w:szCs w:val="16"/>
                      <w:lang w:val="en-US"/>
                    </w:rPr>
                  </w:pPr>
                </w:p>
              </w:tc>
              <w:tc>
                <w:tcPr>
                  <w:tcW w:w="1030" w:type="dxa"/>
                  <w:tcBorders>
                    <w:top w:val="single" w:sz="8" w:space="0" w:color="AEAEAE"/>
                    <w:left w:val="single" w:sz="8" w:space="0" w:color="E0E0E0"/>
                    <w:bottom w:val="single" w:sz="8" w:space="0" w:color="152935"/>
                    <w:right w:val="single" w:sz="8" w:space="0" w:color="E0E0E0"/>
                  </w:tcBorders>
                  <w:shd w:val="clear" w:color="auto" w:fill="FFFFFF"/>
                  <w:vAlign w:val="center"/>
                </w:tcPr>
                <w:p w14:paraId="476179D8" w14:textId="77777777" w:rsidR="007F596B" w:rsidRPr="00F6085E" w:rsidRDefault="007F596B" w:rsidP="007F596B">
                  <w:pPr>
                    <w:autoSpaceDE w:val="0"/>
                    <w:autoSpaceDN w:val="0"/>
                    <w:adjustRightInd w:val="0"/>
                    <w:rPr>
                      <w:rFonts w:ascii="Times New Roman" w:hAnsi="Times New Roman" w:cs="Times New Roman"/>
                      <w:sz w:val="16"/>
                      <w:szCs w:val="16"/>
                      <w:lang w:val="en-US"/>
                    </w:rPr>
                  </w:pPr>
                </w:p>
              </w:tc>
              <w:tc>
                <w:tcPr>
                  <w:tcW w:w="1030" w:type="dxa"/>
                  <w:tcBorders>
                    <w:top w:val="single" w:sz="8" w:space="0" w:color="AEAEAE"/>
                    <w:left w:val="single" w:sz="8" w:space="0" w:color="E0E0E0"/>
                    <w:bottom w:val="single" w:sz="8" w:space="0" w:color="152935"/>
                    <w:right w:val="nil"/>
                  </w:tcBorders>
                  <w:shd w:val="clear" w:color="auto" w:fill="FFFFFF"/>
                  <w:vAlign w:val="center"/>
                </w:tcPr>
                <w:p w14:paraId="018C3BFF" w14:textId="77777777" w:rsidR="007F596B" w:rsidRPr="00F6085E" w:rsidRDefault="007F596B" w:rsidP="007F596B">
                  <w:pPr>
                    <w:autoSpaceDE w:val="0"/>
                    <w:autoSpaceDN w:val="0"/>
                    <w:adjustRightInd w:val="0"/>
                    <w:rPr>
                      <w:rFonts w:ascii="Times New Roman" w:hAnsi="Times New Roman" w:cs="Times New Roman"/>
                      <w:sz w:val="16"/>
                      <w:szCs w:val="16"/>
                      <w:lang w:val="en-US"/>
                    </w:rPr>
                  </w:pPr>
                </w:p>
              </w:tc>
            </w:tr>
            <w:tr w:rsidR="007F596B" w:rsidRPr="00F6085E" w14:paraId="73DA497F" w14:textId="77777777" w:rsidTr="00805503">
              <w:trPr>
                <w:cantSplit/>
              </w:trPr>
              <w:tc>
                <w:tcPr>
                  <w:tcW w:w="8009" w:type="dxa"/>
                  <w:gridSpan w:val="7"/>
                  <w:tcBorders>
                    <w:top w:val="nil"/>
                    <w:left w:val="nil"/>
                    <w:bottom w:val="nil"/>
                    <w:right w:val="nil"/>
                  </w:tcBorders>
                  <w:shd w:val="clear" w:color="auto" w:fill="FFFFFF"/>
                </w:tcPr>
                <w:p w14:paraId="51318579" w14:textId="77777777" w:rsidR="007F596B" w:rsidRPr="00F6085E" w:rsidRDefault="007F596B" w:rsidP="007F596B">
                  <w:pPr>
                    <w:autoSpaceDE w:val="0"/>
                    <w:autoSpaceDN w:val="0"/>
                    <w:adjustRightInd w:val="0"/>
                    <w:spacing w:line="320" w:lineRule="atLeast"/>
                    <w:ind w:left="60" w:right="60"/>
                    <w:rPr>
                      <w:rFonts w:ascii="Arial" w:hAnsi="Arial" w:cs="Arial"/>
                      <w:color w:val="010205"/>
                      <w:sz w:val="16"/>
                      <w:szCs w:val="16"/>
                      <w:lang w:val="en-US"/>
                    </w:rPr>
                  </w:pPr>
                  <w:r w:rsidRPr="00F6085E">
                    <w:rPr>
                      <w:rFonts w:ascii="Arial" w:hAnsi="Arial" w:cs="Arial"/>
                      <w:color w:val="010205"/>
                      <w:sz w:val="16"/>
                      <w:szCs w:val="16"/>
                      <w:lang w:val="en-US"/>
                    </w:rPr>
                    <w:t>a. Dependent Variable: RR</w:t>
                  </w:r>
                </w:p>
              </w:tc>
            </w:tr>
            <w:tr w:rsidR="007F596B" w:rsidRPr="00F6085E" w14:paraId="4B074202" w14:textId="77777777" w:rsidTr="00805503">
              <w:trPr>
                <w:cantSplit/>
              </w:trPr>
              <w:tc>
                <w:tcPr>
                  <w:tcW w:w="8009" w:type="dxa"/>
                  <w:gridSpan w:val="7"/>
                  <w:tcBorders>
                    <w:top w:val="nil"/>
                    <w:left w:val="nil"/>
                    <w:bottom w:val="nil"/>
                    <w:right w:val="nil"/>
                  </w:tcBorders>
                  <w:shd w:val="clear" w:color="auto" w:fill="FFFFFF"/>
                </w:tcPr>
                <w:p w14:paraId="18428579" w14:textId="77777777" w:rsidR="007F596B" w:rsidRPr="00F6085E" w:rsidRDefault="007F596B" w:rsidP="007F596B">
                  <w:pPr>
                    <w:autoSpaceDE w:val="0"/>
                    <w:autoSpaceDN w:val="0"/>
                    <w:adjustRightInd w:val="0"/>
                    <w:spacing w:line="320" w:lineRule="atLeast"/>
                    <w:ind w:left="60" w:right="60"/>
                    <w:rPr>
                      <w:rFonts w:ascii="Arial" w:hAnsi="Arial" w:cs="Arial"/>
                      <w:color w:val="010205"/>
                      <w:sz w:val="16"/>
                      <w:szCs w:val="16"/>
                      <w:lang w:val="en-US"/>
                    </w:rPr>
                  </w:pPr>
                  <w:r w:rsidRPr="00F6085E">
                    <w:rPr>
                      <w:rFonts w:ascii="Arial" w:hAnsi="Arial" w:cs="Arial"/>
                      <w:color w:val="010205"/>
                      <w:sz w:val="16"/>
                      <w:szCs w:val="16"/>
                      <w:lang w:val="en-US"/>
                    </w:rPr>
                    <w:t>b. Predictors: (Constant), A, F</w:t>
                  </w:r>
                </w:p>
              </w:tc>
            </w:tr>
            <w:tr w:rsidR="007F596B" w:rsidRPr="00F6085E" w14:paraId="62DAE4CA" w14:textId="77777777" w:rsidTr="00805503">
              <w:trPr>
                <w:cantSplit/>
              </w:trPr>
              <w:tc>
                <w:tcPr>
                  <w:tcW w:w="8009" w:type="dxa"/>
                  <w:gridSpan w:val="7"/>
                  <w:tcBorders>
                    <w:top w:val="nil"/>
                    <w:left w:val="nil"/>
                    <w:bottom w:val="nil"/>
                    <w:right w:val="nil"/>
                  </w:tcBorders>
                  <w:shd w:val="clear" w:color="auto" w:fill="FFFFFF"/>
                </w:tcPr>
                <w:p w14:paraId="707C1267" w14:textId="77777777" w:rsidR="007F596B" w:rsidRPr="00F6085E" w:rsidRDefault="007F596B" w:rsidP="007F596B">
                  <w:pPr>
                    <w:autoSpaceDE w:val="0"/>
                    <w:autoSpaceDN w:val="0"/>
                    <w:adjustRightInd w:val="0"/>
                    <w:spacing w:line="320" w:lineRule="atLeast"/>
                    <w:ind w:left="60" w:right="60"/>
                    <w:rPr>
                      <w:rFonts w:ascii="Arial" w:hAnsi="Arial" w:cs="Arial"/>
                      <w:color w:val="010205"/>
                      <w:sz w:val="16"/>
                      <w:szCs w:val="16"/>
                      <w:lang w:val="en-US"/>
                    </w:rPr>
                  </w:pPr>
                  <w:r w:rsidRPr="00F6085E">
                    <w:rPr>
                      <w:rFonts w:ascii="Arial" w:hAnsi="Arial" w:cs="Arial"/>
                      <w:color w:val="010205"/>
                      <w:sz w:val="16"/>
                      <w:szCs w:val="16"/>
                      <w:lang w:val="en-US"/>
                    </w:rPr>
                    <w:t>c. Predictors: (Constant), A, F, YrsQual</w:t>
                  </w:r>
                </w:p>
              </w:tc>
            </w:tr>
            <w:tr w:rsidR="007F596B" w:rsidRPr="00F6085E" w14:paraId="3639CFFB" w14:textId="77777777" w:rsidTr="00805503">
              <w:trPr>
                <w:cantSplit/>
              </w:trPr>
              <w:tc>
                <w:tcPr>
                  <w:tcW w:w="8009" w:type="dxa"/>
                  <w:gridSpan w:val="7"/>
                  <w:tcBorders>
                    <w:top w:val="nil"/>
                    <w:left w:val="nil"/>
                    <w:bottom w:val="nil"/>
                    <w:right w:val="nil"/>
                  </w:tcBorders>
                  <w:shd w:val="clear" w:color="auto" w:fill="FFFFFF"/>
                </w:tcPr>
                <w:p w14:paraId="0287FE77" w14:textId="77777777" w:rsidR="007F596B" w:rsidRPr="00F6085E" w:rsidRDefault="007F596B" w:rsidP="007F596B">
                  <w:pPr>
                    <w:autoSpaceDE w:val="0"/>
                    <w:autoSpaceDN w:val="0"/>
                    <w:adjustRightInd w:val="0"/>
                    <w:spacing w:line="320" w:lineRule="atLeast"/>
                    <w:ind w:left="60" w:right="60"/>
                    <w:rPr>
                      <w:rFonts w:ascii="Arial" w:hAnsi="Arial" w:cs="Arial"/>
                      <w:color w:val="010205"/>
                      <w:sz w:val="16"/>
                      <w:szCs w:val="16"/>
                      <w:lang w:val="en-US"/>
                    </w:rPr>
                  </w:pPr>
                  <w:r w:rsidRPr="00F6085E">
                    <w:rPr>
                      <w:rFonts w:ascii="Arial" w:hAnsi="Arial" w:cs="Arial"/>
                      <w:color w:val="010205"/>
                      <w:sz w:val="16"/>
                      <w:szCs w:val="16"/>
                      <w:lang w:val="en-US"/>
                    </w:rPr>
                    <w:t>d. Predictors: (Constant), A, F, YrsQual, Profession</w:t>
                  </w:r>
                </w:p>
              </w:tc>
            </w:tr>
            <w:tr w:rsidR="007F596B" w:rsidRPr="00F6085E" w14:paraId="2EB750FB" w14:textId="77777777" w:rsidTr="00805503">
              <w:trPr>
                <w:cantSplit/>
              </w:trPr>
              <w:tc>
                <w:tcPr>
                  <w:tcW w:w="8009" w:type="dxa"/>
                  <w:gridSpan w:val="7"/>
                  <w:tcBorders>
                    <w:top w:val="nil"/>
                    <w:left w:val="nil"/>
                    <w:bottom w:val="nil"/>
                    <w:right w:val="nil"/>
                  </w:tcBorders>
                  <w:shd w:val="clear" w:color="auto" w:fill="FFFFFF"/>
                </w:tcPr>
                <w:p w14:paraId="3C01DE3B" w14:textId="4009291B" w:rsidR="007F596B" w:rsidRPr="00BB0D9A" w:rsidRDefault="007F596B" w:rsidP="00F22BB1">
                  <w:pPr>
                    <w:autoSpaceDE w:val="0"/>
                    <w:autoSpaceDN w:val="0"/>
                    <w:adjustRightInd w:val="0"/>
                    <w:spacing w:line="320" w:lineRule="atLeast"/>
                    <w:ind w:left="60" w:right="60"/>
                    <w:rPr>
                      <w:rFonts w:ascii="Arial" w:hAnsi="Arial" w:cs="Arial"/>
                      <w:color w:val="010205"/>
                      <w:lang w:val="en-US"/>
                    </w:rPr>
                  </w:pPr>
                  <w:r w:rsidRPr="00F6085E">
                    <w:rPr>
                      <w:rFonts w:ascii="Arial" w:hAnsi="Arial" w:cs="Arial"/>
                      <w:color w:val="010205"/>
                      <w:sz w:val="16"/>
                      <w:szCs w:val="16"/>
                      <w:lang w:val="en-US"/>
                    </w:rPr>
                    <w:t>e. Predictors: (Constant), A, F, YrsQual, Profession, Gender, IAPT, Age</w:t>
                  </w:r>
                </w:p>
              </w:tc>
            </w:tr>
          </w:tbl>
          <w:p w14:paraId="7AC9F258" w14:textId="77777777" w:rsidR="007F596B" w:rsidRDefault="007F596B" w:rsidP="007F596B">
            <w:pPr>
              <w:spacing w:line="320" w:lineRule="atLeast"/>
              <w:ind w:right="60"/>
              <w:rPr>
                <w:rFonts w:ascii="Arial" w:hAnsi="Arial" w:cs="Arial"/>
                <w:color w:val="010205"/>
                <w:sz w:val="16"/>
                <w:szCs w:val="16"/>
              </w:rPr>
            </w:pPr>
          </w:p>
          <w:p w14:paraId="3063245D" w14:textId="77777777" w:rsidR="007F596B" w:rsidRPr="007B71FC" w:rsidRDefault="007F596B" w:rsidP="007F596B">
            <w:pPr>
              <w:spacing w:line="320" w:lineRule="atLeast"/>
              <w:ind w:right="60"/>
              <w:rPr>
                <w:rFonts w:ascii="Arial" w:hAnsi="Arial" w:cs="Arial"/>
                <w:color w:val="010205"/>
                <w:sz w:val="16"/>
                <w:szCs w:val="16"/>
              </w:rPr>
            </w:pPr>
          </w:p>
        </w:tc>
      </w:tr>
    </w:tbl>
    <w:p w14:paraId="05A423EE" w14:textId="77777777" w:rsidR="007F596B" w:rsidRPr="00C40EBE" w:rsidRDefault="007F596B" w:rsidP="007F596B">
      <w:pPr>
        <w:autoSpaceDE w:val="0"/>
        <w:autoSpaceDN w:val="0"/>
        <w:adjustRightInd w:val="0"/>
        <w:spacing w:line="480" w:lineRule="auto"/>
        <w:ind w:right="60"/>
        <w:rPr>
          <w:rFonts w:ascii="Arial" w:hAnsi="Arial" w:cs="Arial"/>
          <w:color w:val="010205"/>
          <w:lang w:val="en-US"/>
        </w:rPr>
        <w:sectPr w:rsidR="007F596B" w:rsidRPr="00C40EBE" w:rsidSect="00AD0C03">
          <w:footerReference w:type="default" r:id="rId69"/>
          <w:pgSz w:w="11900" w:h="16840"/>
          <w:pgMar w:top="1440" w:right="1440" w:bottom="1440" w:left="1440" w:header="708" w:footer="708" w:gutter="0"/>
          <w:pgNumType w:start="1"/>
          <w:cols w:space="708"/>
          <w:docGrid w:linePitch="360"/>
        </w:sectPr>
      </w:pPr>
    </w:p>
    <w:p w14:paraId="15C630C0" w14:textId="7CE661D7" w:rsidR="00161F4A" w:rsidRDefault="00161F4A" w:rsidP="00161F4A">
      <w:pPr>
        <w:pStyle w:val="Tables"/>
      </w:pPr>
      <w:bookmarkStart w:id="381" w:name="_Toc28347787"/>
      <w:bookmarkStart w:id="382" w:name="_Toc46770988"/>
      <w:r w:rsidRPr="00CF1079">
        <w:lastRenderedPageBreak/>
        <w:t xml:space="preserve">Table 5.8 </w:t>
      </w:r>
      <w:r w:rsidR="00154FF5" w:rsidRPr="00CF1079">
        <w:rPr>
          <w:b w:val="0"/>
          <w:bCs/>
        </w:rPr>
        <w:t>Co</w:t>
      </w:r>
      <w:r w:rsidR="00096A35" w:rsidRPr="00CF1079">
        <w:rPr>
          <w:b w:val="0"/>
          <w:bCs/>
        </w:rPr>
        <w:t>efficients</w:t>
      </w:r>
      <w:r w:rsidR="00FC4378" w:rsidRPr="00CF1079">
        <w:rPr>
          <w:b w:val="0"/>
          <w:bCs/>
        </w:rPr>
        <w:t>,</w:t>
      </w:r>
      <w:r w:rsidR="007B7AC8" w:rsidRPr="00CF1079">
        <w:rPr>
          <w:b w:val="0"/>
          <w:bCs/>
        </w:rPr>
        <w:t xml:space="preserve"> confidence intervals</w:t>
      </w:r>
      <w:r w:rsidR="00FC4378" w:rsidRPr="00CF1079">
        <w:rPr>
          <w:b w:val="0"/>
          <w:bCs/>
        </w:rPr>
        <w:t xml:space="preserve"> and t test scores</w:t>
      </w:r>
      <w:r w:rsidR="00096A35" w:rsidRPr="00CF1079">
        <w:rPr>
          <w:b w:val="0"/>
          <w:bCs/>
        </w:rPr>
        <w:t xml:space="preserve"> from the</w:t>
      </w:r>
      <w:r w:rsidR="00096A35" w:rsidRPr="00CF1079">
        <w:t xml:space="preserve"> </w:t>
      </w:r>
      <w:r w:rsidR="00823147" w:rsidRPr="00CF1079">
        <w:rPr>
          <w:b w:val="0"/>
        </w:rPr>
        <w:t>Multiple</w:t>
      </w:r>
      <w:r w:rsidRPr="00CF1079">
        <w:rPr>
          <w:b w:val="0"/>
        </w:rPr>
        <w:t xml:space="preserve"> Regression Model</w:t>
      </w:r>
      <w:bookmarkEnd w:id="381"/>
      <w:r w:rsidR="00AC7653" w:rsidRPr="00CF1079">
        <w:rPr>
          <w:b w:val="0"/>
        </w:rPr>
        <w:t xml:space="preserve"> showing insignificant findings</w:t>
      </w:r>
      <w:bookmarkEnd w:id="382"/>
    </w:p>
    <w:tbl>
      <w:tblPr>
        <w:tblW w:w="136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84"/>
        <w:gridCol w:w="992"/>
        <w:gridCol w:w="992"/>
        <w:gridCol w:w="993"/>
        <w:gridCol w:w="1134"/>
        <w:gridCol w:w="850"/>
        <w:gridCol w:w="851"/>
        <w:gridCol w:w="1275"/>
        <w:gridCol w:w="1276"/>
        <w:gridCol w:w="945"/>
        <w:gridCol w:w="945"/>
        <w:gridCol w:w="945"/>
        <w:gridCol w:w="1063"/>
        <w:gridCol w:w="1063"/>
      </w:tblGrid>
      <w:tr w:rsidR="00833E5C" w:rsidRPr="00EF50D5" w14:paraId="64B933C7" w14:textId="77777777" w:rsidTr="00833E5C">
        <w:trPr>
          <w:cantSplit/>
        </w:trPr>
        <w:tc>
          <w:tcPr>
            <w:tcW w:w="1276" w:type="dxa"/>
            <w:gridSpan w:val="2"/>
            <w:vMerge w:val="restart"/>
            <w:tcBorders>
              <w:top w:val="nil"/>
              <w:left w:val="nil"/>
              <w:bottom w:val="nil"/>
              <w:right w:val="nil"/>
            </w:tcBorders>
            <w:shd w:val="clear" w:color="auto" w:fill="FFFFFF"/>
            <w:vAlign w:val="bottom"/>
          </w:tcPr>
          <w:p w14:paraId="2D531859"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Model</w:t>
            </w:r>
          </w:p>
        </w:tc>
        <w:tc>
          <w:tcPr>
            <w:tcW w:w="1985" w:type="dxa"/>
            <w:gridSpan w:val="2"/>
            <w:tcBorders>
              <w:top w:val="nil"/>
              <w:left w:val="nil"/>
              <w:bottom w:val="nil"/>
              <w:right w:val="single" w:sz="8" w:space="0" w:color="E0E0E0"/>
            </w:tcBorders>
            <w:shd w:val="clear" w:color="auto" w:fill="FFFFFF"/>
            <w:vAlign w:val="bottom"/>
          </w:tcPr>
          <w:p w14:paraId="67D9D4EA" w14:textId="77777777" w:rsidR="007F596B" w:rsidRPr="00EF50D5" w:rsidRDefault="007F596B" w:rsidP="007F596B">
            <w:pPr>
              <w:autoSpaceDE w:val="0"/>
              <w:autoSpaceDN w:val="0"/>
              <w:adjustRightInd w:val="0"/>
              <w:spacing w:line="320" w:lineRule="atLeast"/>
              <w:ind w:left="60" w:right="60"/>
              <w:jc w:val="center"/>
              <w:rPr>
                <w:rFonts w:ascii="Arial" w:hAnsi="Arial" w:cs="Arial"/>
                <w:color w:val="264A60"/>
                <w:sz w:val="16"/>
                <w:szCs w:val="16"/>
                <w:lang w:val="en-US"/>
              </w:rPr>
            </w:pPr>
            <w:r w:rsidRPr="00EF50D5">
              <w:rPr>
                <w:rFonts w:ascii="Arial" w:hAnsi="Arial" w:cs="Arial"/>
                <w:color w:val="264A60"/>
                <w:sz w:val="16"/>
                <w:szCs w:val="16"/>
                <w:lang w:val="en-US"/>
              </w:rPr>
              <w:t>Unstandardized Coefficients</w:t>
            </w:r>
          </w:p>
        </w:tc>
        <w:tc>
          <w:tcPr>
            <w:tcW w:w="1134" w:type="dxa"/>
            <w:tcBorders>
              <w:top w:val="nil"/>
              <w:left w:val="single" w:sz="8" w:space="0" w:color="E0E0E0"/>
              <w:bottom w:val="nil"/>
              <w:right w:val="single" w:sz="8" w:space="0" w:color="E0E0E0"/>
            </w:tcBorders>
            <w:shd w:val="clear" w:color="auto" w:fill="FFFFFF"/>
            <w:vAlign w:val="bottom"/>
          </w:tcPr>
          <w:p w14:paraId="2AC9F2E5" w14:textId="77777777" w:rsidR="007F596B" w:rsidRPr="00EF50D5" w:rsidRDefault="007F596B" w:rsidP="007F596B">
            <w:pPr>
              <w:autoSpaceDE w:val="0"/>
              <w:autoSpaceDN w:val="0"/>
              <w:adjustRightInd w:val="0"/>
              <w:spacing w:line="320" w:lineRule="atLeast"/>
              <w:ind w:left="60" w:right="60"/>
              <w:jc w:val="center"/>
              <w:rPr>
                <w:rFonts w:ascii="Arial" w:hAnsi="Arial" w:cs="Arial"/>
                <w:color w:val="264A60"/>
                <w:sz w:val="16"/>
                <w:szCs w:val="16"/>
                <w:lang w:val="en-US"/>
              </w:rPr>
            </w:pPr>
            <w:r w:rsidRPr="00EF50D5">
              <w:rPr>
                <w:rFonts w:ascii="Arial" w:hAnsi="Arial" w:cs="Arial"/>
                <w:color w:val="264A60"/>
                <w:sz w:val="16"/>
                <w:szCs w:val="16"/>
                <w:lang w:val="en-US"/>
              </w:rPr>
              <w:t>Standardized Coefficients</w:t>
            </w:r>
          </w:p>
        </w:tc>
        <w:tc>
          <w:tcPr>
            <w:tcW w:w="850" w:type="dxa"/>
            <w:vMerge w:val="restart"/>
            <w:tcBorders>
              <w:top w:val="nil"/>
              <w:left w:val="single" w:sz="8" w:space="0" w:color="E0E0E0"/>
              <w:bottom w:val="nil"/>
              <w:right w:val="single" w:sz="8" w:space="0" w:color="E0E0E0"/>
            </w:tcBorders>
            <w:shd w:val="clear" w:color="auto" w:fill="FFFFFF"/>
            <w:vAlign w:val="bottom"/>
          </w:tcPr>
          <w:p w14:paraId="20780586" w14:textId="77777777" w:rsidR="007F596B" w:rsidRPr="00EF50D5" w:rsidRDefault="007F596B" w:rsidP="007F596B">
            <w:pPr>
              <w:autoSpaceDE w:val="0"/>
              <w:autoSpaceDN w:val="0"/>
              <w:adjustRightInd w:val="0"/>
              <w:spacing w:line="320" w:lineRule="atLeast"/>
              <w:ind w:left="60" w:right="60"/>
              <w:jc w:val="center"/>
              <w:rPr>
                <w:rFonts w:ascii="Arial" w:hAnsi="Arial" w:cs="Arial"/>
                <w:color w:val="264A60"/>
                <w:sz w:val="16"/>
                <w:szCs w:val="16"/>
                <w:lang w:val="en-US"/>
              </w:rPr>
            </w:pPr>
            <w:r w:rsidRPr="00EF50D5">
              <w:rPr>
                <w:rFonts w:ascii="Arial" w:hAnsi="Arial" w:cs="Arial"/>
                <w:color w:val="264A60"/>
                <w:sz w:val="16"/>
                <w:szCs w:val="16"/>
                <w:lang w:val="en-US"/>
              </w:rPr>
              <w:t>t</w:t>
            </w:r>
          </w:p>
        </w:tc>
        <w:tc>
          <w:tcPr>
            <w:tcW w:w="851" w:type="dxa"/>
            <w:vMerge w:val="restart"/>
            <w:tcBorders>
              <w:top w:val="nil"/>
              <w:left w:val="single" w:sz="8" w:space="0" w:color="E0E0E0"/>
              <w:bottom w:val="nil"/>
              <w:right w:val="single" w:sz="8" w:space="0" w:color="E0E0E0"/>
            </w:tcBorders>
            <w:shd w:val="clear" w:color="auto" w:fill="FFFFFF"/>
            <w:vAlign w:val="bottom"/>
          </w:tcPr>
          <w:p w14:paraId="3778A059" w14:textId="77777777" w:rsidR="007F596B" w:rsidRPr="00EF50D5" w:rsidRDefault="007F596B" w:rsidP="007F596B">
            <w:pPr>
              <w:autoSpaceDE w:val="0"/>
              <w:autoSpaceDN w:val="0"/>
              <w:adjustRightInd w:val="0"/>
              <w:spacing w:line="320" w:lineRule="atLeast"/>
              <w:ind w:left="60" w:right="60"/>
              <w:jc w:val="center"/>
              <w:rPr>
                <w:rFonts w:ascii="Arial" w:hAnsi="Arial" w:cs="Arial"/>
                <w:color w:val="264A60"/>
                <w:sz w:val="16"/>
                <w:szCs w:val="16"/>
                <w:lang w:val="en-US"/>
              </w:rPr>
            </w:pPr>
            <w:r w:rsidRPr="00EF50D5">
              <w:rPr>
                <w:rFonts w:ascii="Arial" w:hAnsi="Arial" w:cs="Arial"/>
                <w:color w:val="264A60"/>
                <w:sz w:val="16"/>
                <w:szCs w:val="16"/>
                <w:lang w:val="en-US"/>
              </w:rPr>
              <w:t>Sig.</w:t>
            </w:r>
          </w:p>
        </w:tc>
        <w:tc>
          <w:tcPr>
            <w:tcW w:w="2551" w:type="dxa"/>
            <w:gridSpan w:val="2"/>
            <w:tcBorders>
              <w:top w:val="nil"/>
              <w:left w:val="single" w:sz="8" w:space="0" w:color="E0E0E0"/>
              <w:bottom w:val="nil"/>
              <w:right w:val="single" w:sz="8" w:space="0" w:color="E0E0E0"/>
            </w:tcBorders>
            <w:shd w:val="clear" w:color="auto" w:fill="FFFFFF"/>
            <w:vAlign w:val="bottom"/>
          </w:tcPr>
          <w:p w14:paraId="29AC58CA" w14:textId="77777777" w:rsidR="007F596B" w:rsidRPr="00EF50D5" w:rsidRDefault="007F596B" w:rsidP="007F596B">
            <w:pPr>
              <w:autoSpaceDE w:val="0"/>
              <w:autoSpaceDN w:val="0"/>
              <w:adjustRightInd w:val="0"/>
              <w:spacing w:line="320" w:lineRule="atLeast"/>
              <w:ind w:left="60" w:right="60"/>
              <w:jc w:val="center"/>
              <w:rPr>
                <w:rFonts w:ascii="Arial" w:hAnsi="Arial" w:cs="Arial"/>
                <w:color w:val="264A60"/>
                <w:sz w:val="16"/>
                <w:szCs w:val="16"/>
                <w:lang w:val="en-US"/>
              </w:rPr>
            </w:pPr>
            <w:r w:rsidRPr="00EF50D5">
              <w:rPr>
                <w:rFonts w:ascii="Arial" w:hAnsi="Arial" w:cs="Arial"/>
                <w:color w:val="264A60"/>
                <w:sz w:val="16"/>
                <w:szCs w:val="16"/>
                <w:lang w:val="en-US"/>
              </w:rPr>
              <w:t>95.0% Confidence Interval for B</w:t>
            </w:r>
          </w:p>
        </w:tc>
        <w:tc>
          <w:tcPr>
            <w:tcW w:w="2835" w:type="dxa"/>
            <w:gridSpan w:val="3"/>
            <w:tcBorders>
              <w:top w:val="nil"/>
              <w:left w:val="single" w:sz="8" w:space="0" w:color="E0E0E0"/>
              <w:bottom w:val="nil"/>
              <w:right w:val="single" w:sz="8" w:space="0" w:color="E0E0E0"/>
            </w:tcBorders>
            <w:shd w:val="clear" w:color="auto" w:fill="FFFFFF"/>
            <w:vAlign w:val="bottom"/>
          </w:tcPr>
          <w:p w14:paraId="53D70AC8" w14:textId="77777777" w:rsidR="007F596B" w:rsidRPr="00EF50D5" w:rsidRDefault="007F596B" w:rsidP="007F596B">
            <w:pPr>
              <w:autoSpaceDE w:val="0"/>
              <w:autoSpaceDN w:val="0"/>
              <w:adjustRightInd w:val="0"/>
              <w:spacing w:line="320" w:lineRule="atLeast"/>
              <w:ind w:left="60" w:right="60"/>
              <w:jc w:val="center"/>
              <w:rPr>
                <w:rFonts w:ascii="Arial" w:hAnsi="Arial" w:cs="Arial"/>
                <w:color w:val="264A60"/>
                <w:sz w:val="16"/>
                <w:szCs w:val="16"/>
                <w:lang w:val="en-US"/>
              </w:rPr>
            </w:pPr>
            <w:r w:rsidRPr="00EF50D5">
              <w:rPr>
                <w:rFonts w:ascii="Arial" w:hAnsi="Arial" w:cs="Arial"/>
                <w:color w:val="264A60"/>
                <w:sz w:val="16"/>
                <w:szCs w:val="16"/>
                <w:lang w:val="en-US"/>
              </w:rPr>
              <w:t>Correlations</w:t>
            </w:r>
          </w:p>
        </w:tc>
        <w:tc>
          <w:tcPr>
            <w:tcW w:w="2126" w:type="dxa"/>
            <w:gridSpan w:val="2"/>
            <w:tcBorders>
              <w:top w:val="nil"/>
              <w:left w:val="single" w:sz="8" w:space="0" w:color="E0E0E0"/>
              <w:bottom w:val="nil"/>
              <w:right w:val="nil"/>
            </w:tcBorders>
            <w:shd w:val="clear" w:color="auto" w:fill="FFFFFF"/>
            <w:vAlign w:val="bottom"/>
          </w:tcPr>
          <w:p w14:paraId="7BC58CD8" w14:textId="77777777" w:rsidR="007F596B" w:rsidRPr="00EF50D5" w:rsidRDefault="007F596B" w:rsidP="007F596B">
            <w:pPr>
              <w:autoSpaceDE w:val="0"/>
              <w:autoSpaceDN w:val="0"/>
              <w:adjustRightInd w:val="0"/>
              <w:spacing w:line="320" w:lineRule="atLeast"/>
              <w:ind w:left="60" w:right="60"/>
              <w:jc w:val="center"/>
              <w:rPr>
                <w:rFonts w:ascii="Arial" w:hAnsi="Arial" w:cs="Arial"/>
                <w:color w:val="264A60"/>
                <w:sz w:val="16"/>
                <w:szCs w:val="16"/>
                <w:lang w:val="en-US"/>
              </w:rPr>
            </w:pPr>
            <w:r w:rsidRPr="00EF50D5">
              <w:rPr>
                <w:rFonts w:ascii="Arial" w:hAnsi="Arial" w:cs="Arial"/>
                <w:color w:val="264A60"/>
                <w:sz w:val="16"/>
                <w:szCs w:val="16"/>
                <w:lang w:val="en-US"/>
              </w:rPr>
              <w:t>Collinearity Statistics</w:t>
            </w:r>
          </w:p>
        </w:tc>
      </w:tr>
      <w:tr w:rsidR="00833E5C" w:rsidRPr="00EF50D5" w14:paraId="4052B386" w14:textId="77777777" w:rsidTr="00833E5C">
        <w:trPr>
          <w:cantSplit/>
        </w:trPr>
        <w:tc>
          <w:tcPr>
            <w:tcW w:w="1276" w:type="dxa"/>
            <w:gridSpan w:val="2"/>
            <w:vMerge/>
            <w:tcBorders>
              <w:top w:val="nil"/>
              <w:left w:val="nil"/>
              <w:bottom w:val="nil"/>
              <w:right w:val="nil"/>
            </w:tcBorders>
            <w:shd w:val="clear" w:color="auto" w:fill="FFFFFF"/>
            <w:vAlign w:val="bottom"/>
          </w:tcPr>
          <w:p w14:paraId="30043621" w14:textId="77777777" w:rsidR="007F596B" w:rsidRPr="00EF50D5" w:rsidRDefault="007F596B" w:rsidP="007F596B">
            <w:pPr>
              <w:autoSpaceDE w:val="0"/>
              <w:autoSpaceDN w:val="0"/>
              <w:adjustRightInd w:val="0"/>
              <w:rPr>
                <w:rFonts w:ascii="Arial" w:hAnsi="Arial" w:cs="Arial"/>
                <w:color w:val="264A60"/>
                <w:sz w:val="16"/>
                <w:szCs w:val="16"/>
                <w:lang w:val="en-US"/>
              </w:rPr>
            </w:pPr>
          </w:p>
        </w:tc>
        <w:tc>
          <w:tcPr>
            <w:tcW w:w="992" w:type="dxa"/>
            <w:tcBorders>
              <w:top w:val="nil"/>
              <w:left w:val="nil"/>
              <w:bottom w:val="single" w:sz="8" w:space="0" w:color="152935"/>
              <w:right w:val="single" w:sz="8" w:space="0" w:color="E0E0E0"/>
            </w:tcBorders>
            <w:shd w:val="clear" w:color="auto" w:fill="FFFFFF"/>
            <w:vAlign w:val="bottom"/>
          </w:tcPr>
          <w:p w14:paraId="2C9D6BDA" w14:textId="77777777" w:rsidR="007F596B" w:rsidRPr="00EF50D5" w:rsidRDefault="007F596B" w:rsidP="007F596B">
            <w:pPr>
              <w:autoSpaceDE w:val="0"/>
              <w:autoSpaceDN w:val="0"/>
              <w:adjustRightInd w:val="0"/>
              <w:spacing w:line="320" w:lineRule="atLeast"/>
              <w:ind w:left="60" w:right="60"/>
              <w:jc w:val="center"/>
              <w:rPr>
                <w:rFonts w:ascii="Arial" w:hAnsi="Arial" w:cs="Arial"/>
                <w:color w:val="264A60"/>
                <w:sz w:val="16"/>
                <w:szCs w:val="16"/>
                <w:lang w:val="en-US"/>
              </w:rPr>
            </w:pPr>
            <w:r w:rsidRPr="00EF50D5">
              <w:rPr>
                <w:rFonts w:ascii="Arial" w:hAnsi="Arial" w:cs="Arial"/>
                <w:color w:val="264A60"/>
                <w:sz w:val="16"/>
                <w:szCs w:val="16"/>
                <w:lang w:val="en-US"/>
              </w:rPr>
              <w:t>B</w:t>
            </w:r>
          </w:p>
        </w:tc>
        <w:tc>
          <w:tcPr>
            <w:tcW w:w="993" w:type="dxa"/>
            <w:tcBorders>
              <w:top w:val="nil"/>
              <w:left w:val="single" w:sz="8" w:space="0" w:color="E0E0E0"/>
              <w:bottom w:val="single" w:sz="8" w:space="0" w:color="152935"/>
              <w:right w:val="single" w:sz="8" w:space="0" w:color="E0E0E0"/>
            </w:tcBorders>
            <w:shd w:val="clear" w:color="auto" w:fill="FFFFFF"/>
            <w:vAlign w:val="bottom"/>
          </w:tcPr>
          <w:p w14:paraId="2E3F5832" w14:textId="77777777" w:rsidR="007F596B" w:rsidRPr="00EF50D5" w:rsidRDefault="007F596B" w:rsidP="007F596B">
            <w:pPr>
              <w:autoSpaceDE w:val="0"/>
              <w:autoSpaceDN w:val="0"/>
              <w:adjustRightInd w:val="0"/>
              <w:spacing w:line="320" w:lineRule="atLeast"/>
              <w:ind w:left="60" w:right="60"/>
              <w:jc w:val="center"/>
              <w:rPr>
                <w:rFonts w:ascii="Arial" w:hAnsi="Arial" w:cs="Arial"/>
                <w:color w:val="264A60"/>
                <w:sz w:val="16"/>
                <w:szCs w:val="16"/>
                <w:lang w:val="en-US"/>
              </w:rPr>
            </w:pPr>
            <w:r w:rsidRPr="00EF50D5">
              <w:rPr>
                <w:rFonts w:ascii="Arial" w:hAnsi="Arial" w:cs="Arial"/>
                <w:color w:val="264A60"/>
                <w:sz w:val="16"/>
                <w:szCs w:val="16"/>
                <w:lang w:val="en-US"/>
              </w:rPr>
              <w:t>Std. Error</w:t>
            </w:r>
          </w:p>
        </w:tc>
        <w:tc>
          <w:tcPr>
            <w:tcW w:w="1134" w:type="dxa"/>
            <w:tcBorders>
              <w:top w:val="nil"/>
              <w:left w:val="single" w:sz="8" w:space="0" w:color="E0E0E0"/>
              <w:bottom w:val="single" w:sz="8" w:space="0" w:color="152935"/>
              <w:right w:val="single" w:sz="8" w:space="0" w:color="E0E0E0"/>
            </w:tcBorders>
            <w:shd w:val="clear" w:color="auto" w:fill="FFFFFF"/>
            <w:vAlign w:val="bottom"/>
          </w:tcPr>
          <w:p w14:paraId="4F275360" w14:textId="77777777" w:rsidR="007F596B" w:rsidRPr="00EF50D5" w:rsidRDefault="007F596B" w:rsidP="007F596B">
            <w:pPr>
              <w:autoSpaceDE w:val="0"/>
              <w:autoSpaceDN w:val="0"/>
              <w:adjustRightInd w:val="0"/>
              <w:spacing w:line="320" w:lineRule="atLeast"/>
              <w:ind w:left="60" w:right="60"/>
              <w:jc w:val="center"/>
              <w:rPr>
                <w:rFonts w:ascii="Arial" w:hAnsi="Arial" w:cs="Arial"/>
                <w:color w:val="264A60"/>
                <w:sz w:val="16"/>
                <w:szCs w:val="16"/>
                <w:lang w:val="en-US"/>
              </w:rPr>
            </w:pPr>
            <w:r w:rsidRPr="00EF50D5">
              <w:rPr>
                <w:rFonts w:ascii="Arial" w:hAnsi="Arial" w:cs="Arial"/>
                <w:color w:val="264A60"/>
                <w:sz w:val="16"/>
                <w:szCs w:val="16"/>
                <w:lang w:val="en-US"/>
              </w:rPr>
              <w:t>Beta</w:t>
            </w:r>
          </w:p>
        </w:tc>
        <w:tc>
          <w:tcPr>
            <w:tcW w:w="850" w:type="dxa"/>
            <w:vMerge/>
            <w:tcBorders>
              <w:top w:val="nil"/>
              <w:left w:val="single" w:sz="8" w:space="0" w:color="E0E0E0"/>
              <w:bottom w:val="nil"/>
              <w:right w:val="single" w:sz="8" w:space="0" w:color="E0E0E0"/>
            </w:tcBorders>
            <w:shd w:val="clear" w:color="auto" w:fill="FFFFFF"/>
            <w:vAlign w:val="bottom"/>
          </w:tcPr>
          <w:p w14:paraId="32B66237" w14:textId="77777777" w:rsidR="007F596B" w:rsidRPr="00EF50D5" w:rsidRDefault="007F596B" w:rsidP="007F596B">
            <w:pPr>
              <w:autoSpaceDE w:val="0"/>
              <w:autoSpaceDN w:val="0"/>
              <w:adjustRightInd w:val="0"/>
              <w:rPr>
                <w:rFonts w:ascii="Arial" w:hAnsi="Arial" w:cs="Arial"/>
                <w:color w:val="264A60"/>
                <w:sz w:val="16"/>
                <w:szCs w:val="16"/>
                <w:lang w:val="en-US"/>
              </w:rPr>
            </w:pPr>
          </w:p>
        </w:tc>
        <w:tc>
          <w:tcPr>
            <w:tcW w:w="851" w:type="dxa"/>
            <w:vMerge/>
            <w:tcBorders>
              <w:top w:val="nil"/>
              <w:left w:val="single" w:sz="8" w:space="0" w:color="E0E0E0"/>
              <w:bottom w:val="nil"/>
              <w:right w:val="single" w:sz="8" w:space="0" w:color="E0E0E0"/>
            </w:tcBorders>
            <w:shd w:val="clear" w:color="auto" w:fill="FFFFFF"/>
            <w:vAlign w:val="bottom"/>
          </w:tcPr>
          <w:p w14:paraId="19E2B7BE" w14:textId="77777777" w:rsidR="007F596B" w:rsidRPr="00EF50D5" w:rsidRDefault="007F596B" w:rsidP="007F596B">
            <w:pPr>
              <w:autoSpaceDE w:val="0"/>
              <w:autoSpaceDN w:val="0"/>
              <w:adjustRightInd w:val="0"/>
              <w:rPr>
                <w:rFonts w:ascii="Arial" w:hAnsi="Arial" w:cs="Arial"/>
                <w:color w:val="264A60"/>
                <w:sz w:val="16"/>
                <w:szCs w:val="16"/>
                <w:lang w:val="en-US"/>
              </w:rPr>
            </w:pPr>
          </w:p>
        </w:tc>
        <w:tc>
          <w:tcPr>
            <w:tcW w:w="1275" w:type="dxa"/>
            <w:tcBorders>
              <w:top w:val="nil"/>
              <w:left w:val="single" w:sz="8" w:space="0" w:color="E0E0E0"/>
              <w:bottom w:val="single" w:sz="8" w:space="0" w:color="152935"/>
              <w:right w:val="single" w:sz="8" w:space="0" w:color="E0E0E0"/>
            </w:tcBorders>
            <w:shd w:val="clear" w:color="auto" w:fill="FFFFFF"/>
            <w:vAlign w:val="bottom"/>
          </w:tcPr>
          <w:p w14:paraId="29AFACBF" w14:textId="77777777" w:rsidR="007F596B" w:rsidRPr="00EF50D5" w:rsidRDefault="007F596B" w:rsidP="007F596B">
            <w:pPr>
              <w:autoSpaceDE w:val="0"/>
              <w:autoSpaceDN w:val="0"/>
              <w:adjustRightInd w:val="0"/>
              <w:spacing w:line="320" w:lineRule="atLeast"/>
              <w:ind w:left="60" w:right="60"/>
              <w:jc w:val="center"/>
              <w:rPr>
                <w:rFonts w:ascii="Arial" w:hAnsi="Arial" w:cs="Arial"/>
                <w:color w:val="264A60"/>
                <w:sz w:val="16"/>
                <w:szCs w:val="16"/>
                <w:lang w:val="en-US"/>
              </w:rPr>
            </w:pPr>
            <w:r w:rsidRPr="00EF50D5">
              <w:rPr>
                <w:rFonts w:ascii="Arial" w:hAnsi="Arial" w:cs="Arial"/>
                <w:color w:val="264A60"/>
                <w:sz w:val="16"/>
                <w:szCs w:val="16"/>
                <w:lang w:val="en-US"/>
              </w:rPr>
              <w:t>Lower Bound</w:t>
            </w:r>
          </w:p>
        </w:tc>
        <w:tc>
          <w:tcPr>
            <w:tcW w:w="1276" w:type="dxa"/>
            <w:tcBorders>
              <w:top w:val="nil"/>
              <w:left w:val="single" w:sz="8" w:space="0" w:color="E0E0E0"/>
              <w:bottom w:val="single" w:sz="8" w:space="0" w:color="152935"/>
              <w:right w:val="single" w:sz="8" w:space="0" w:color="E0E0E0"/>
            </w:tcBorders>
            <w:shd w:val="clear" w:color="auto" w:fill="FFFFFF"/>
            <w:vAlign w:val="bottom"/>
          </w:tcPr>
          <w:p w14:paraId="5382E21E" w14:textId="77777777" w:rsidR="007F596B" w:rsidRPr="00EF50D5" w:rsidRDefault="007F596B" w:rsidP="007F596B">
            <w:pPr>
              <w:autoSpaceDE w:val="0"/>
              <w:autoSpaceDN w:val="0"/>
              <w:adjustRightInd w:val="0"/>
              <w:spacing w:line="320" w:lineRule="atLeast"/>
              <w:ind w:left="60" w:right="60"/>
              <w:jc w:val="center"/>
              <w:rPr>
                <w:rFonts w:ascii="Arial" w:hAnsi="Arial" w:cs="Arial"/>
                <w:color w:val="264A60"/>
                <w:sz w:val="16"/>
                <w:szCs w:val="16"/>
                <w:lang w:val="en-US"/>
              </w:rPr>
            </w:pPr>
            <w:r w:rsidRPr="00EF50D5">
              <w:rPr>
                <w:rFonts w:ascii="Arial" w:hAnsi="Arial" w:cs="Arial"/>
                <w:color w:val="264A60"/>
                <w:sz w:val="16"/>
                <w:szCs w:val="16"/>
                <w:lang w:val="en-US"/>
              </w:rPr>
              <w:t>Upper Bound</w:t>
            </w:r>
          </w:p>
        </w:tc>
        <w:tc>
          <w:tcPr>
            <w:tcW w:w="945" w:type="dxa"/>
            <w:tcBorders>
              <w:top w:val="nil"/>
              <w:left w:val="single" w:sz="8" w:space="0" w:color="E0E0E0"/>
              <w:bottom w:val="single" w:sz="8" w:space="0" w:color="152935"/>
              <w:right w:val="single" w:sz="8" w:space="0" w:color="E0E0E0"/>
            </w:tcBorders>
            <w:shd w:val="clear" w:color="auto" w:fill="FFFFFF"/>
            <w:vAlign w:val="bottom"/>
          </w:tcPr>
          <w:p w14:paraId="5F2984B8" w14:textId="77777777" w:rsidR="007F596B" w:rsidRPr="00EF50D5" w:rsidRDefault="007F596B" w:rsidP="007F596B">
            <w:pPr>
              <w:autoSpaceDE w:val="0"/>
              <w:autoSpaceDN w:val="0"/>
              <w:adjustRightInd w:val="0"/>
              <w:spacing w:line="320" w:lineRule="atLeast"/>
              <w:ind w:left="60" w:right="60"/>
              <w:jc w:val="center"/>
              <w:rPr>
                <w:rFonts w:ascii="Arial" w:hAnsi="Arial" w:cs="Arial"/>
                <w:color w:val="264A60"/>
                <w:sz w:val="16"/>
                <w:szCs w:val="16"/>
                <w:lang w:val="en-US"/>
              </w:rPr>
            </w:pPr>
            <w:r w:rsidRPr="00EF50D5">
              <w:rPr>
                <w:rFonts w:ascii="Arial" w:hAnsi="Arial" w:cs="Arial"/>
                <w:color w:val="264A60"/>
                <w:sz w:val="16"/>
                <w:szCs w:val="16"/>
                <w:lang w:val="en-US"/>
              </w:rPr>
              <w:t>Zero-order</w:t>
            </w:r>
          </w:p>
        </w:tc>
        <w:tc>
          <w:tcPr>
            <w:tcW w:w="945" w:type="dxa"/>
            <w:tcBorders>
              <w:top w:val="nil"/>
              <w:left w:val="single" w:sz="8" w:space="0" w:color="E0E0E0"/>
              <w:bottom w:val="single" w:sz="8" w:space="0" w:color="152935"/>
              <w:right w:val="single" w:sz="8" w:space="0" w:color="E0E0E0"/>
            </w:tcBorders>
            <w:shd w:val="clear" w:color="auto" w:fill="FFFFFF"/>
            <w:vAlign w:val="bottom"/>
          </w:tcPr>
          <w:p w14:paraId="56D56F4B" w14:textId="77777777" w:rsidR="007F596B" w:rsidRPr="00EF50D5" w:rsidRDefault="007F596B" w:rsidP="007F596B">
            <w:pPr>
              <w:autoSpaceDE w:val="0"/>
              <w:autoSpaceDN w:val="0"/>
              <w:adjustRightInd w:val="0"/>
              <w:spacing w:line="320" w:lineRule="atLeast"/>
              <w:ind w:left="60" w:right="60"/>
              <w:jc w:val="center"/>
              <w:rPr>
                <w:rFonts w:ascii="Arial" w:hAnsi="Arial" w:cs="Arial"/>
                <w:color w:val="264A60"/>
                <w:sz w:val="16"/>
                <w:szCs w:val="16"/>
                <w:lang w:val="en-US"/>
              </w:rPr>
            </w:pPr>
            <w:r w:rsidRPr="00EF50D5">
              <w:rPr>
                <w:rFonts w:ascii="Arial" w:hAnsi="Arial" w:cs="Arial"/>
                <w:color w:val="264A60"/>
                <w:sz w:val="16"/>
                <w:szCs w:val="16"/>
                <w:lang w:val="en-US"/>
              </w:rPr>
              <w:t>Partial</w:t>
            </w:r>
          </w:p>
        </w:tc>
        <w:tc>
          <w:tcPr>
            <w:tcW w:w="945" w:type="dxa"/>
            <w:tcBorders>
              <w:top w:val="nil"/>
              <w:left w:val="single" w:sz="8" w:space="0" w:color="E0E0E0"/>
              <w:bottom w:val="single" w:sz="8" w:space="0" w:color="152935"/>
              <w:right w:val="single" w:sz="8" w:space="0" w:color="E0E0E0"/>
            </w:tcBorders>
            <w:shd w:val="clear" w:color="auto" w:fill="FFFFFF"/>
            <w:vAlign w:val="bottom"/>
          </w:tcPr>
          <w:p w14:paraId="551B7207" w14:textId="77777777" w:rsidR="007F596B" w:rsidRPr="00EF50D5" w:rsidRDefault="007F596B" w:rsidP="007F596B">
            <w:pPr>
              <w:autoSpaceDE w:val="0"/>
              <w:autoSpaceDN w:val="0"/>
              <w:adjustRightInd w:val="0"/>
              <w:spacing w:line="320" w:lineRule="atLeast"/>
              <w:ind w:left="60" w:right="60"/>
              <w:jc w:val="center"/>
              <w:rPr>
                <w:rFonts w:ascii="Arial" w:hAnsi="Arial" w:cs="Arial"/>
                <w:color w:val="264A60"/>
                <w:sz w:val="16"/>
                <w:szCs w:val="16"/>
                <w:lang w:val="en-US"/>
              </w:rPr>
            </w:pPr>
            <w:r w:rsidRPr="00EF50D5">
              <w:rPr>
                <w:rFonts w:ascii="Arial" w:hAnsi="Arial" w:cs="Arial"/>
                <w:color w:val="264A60"/>
                <w:sz w:val="16"/>
                <w:szCs w:val="16"/>
                <w:lang w:val="en-US"/>
              </w:rPr>
              <w:t>Part</w:t>
            </w:r>
          </w:p>
        </w:tc>
        <w:tc>
          <w:tcPr>
            <w:tcW w:w="1063" w:type="dxa"/>
            <w:tcBorders>
              <w:top w:val="nil"/>
              <w:left w:val="single" w:sz="8" w:space="0" w:color="E0E0E0"/>
              <w:bottom w:val="single" w:sz="8" w:space="0" w:color="152935"/>
              <w:right w:val="single" w:sz="8" w:space="0" w:color="E0E0E0"/>
            </w:tcBorders>
            <w:shd w:val="clear" w:color="auto" w:fill="FFFFFF"/>
            <w:vAlign w:val="bottom"/>
          </w:tcPr>
          <w:p w14:paraId="18F251F5" w14:textId="77777777" w:rsidR="007F596B" w:rsidRPr="00EF50D5" w:rsidRDefault="007F596B" w:rsidP="007F596B">
            <w:pPr>
              <w:autoSpaceDE w:val="0"/>
              <w:autoSpaceDN w:val="0"/>
              <w:adjustRightInd w:val="0"/>
              <w:spacing w:line="320" w:lineRule="atLeast"/>
              <w:ind w:left="60" w:right="60"/>
              <w:jc w:val="center"/>
              <w:rPr>
                <w:rFonts w:ascii="Arial" w:hAnsi="Arial" w:cs="Arial"/>
                <w:color w:val="264A60"/>
                <w:sz w:val="16"/>
                <w:szCs w:val="16"/>
                <w:lang w:val="en-US"/>
              </w:rPr>
            </w:pPr>
            <w:r w:rsidRPr="00EF50D5">
              <w:rPr>
                <w:rFonts w:ascii="Arial" w:hAnsi="Arial" w:cs="Arial"/>
                <w:color w:val="264A60"/>
                <w:sz w:val="16"/>
                <w:szCs w:val="16"/>
                <w:lang w:val="en-US"/>
              </w:rPr>
              <w:t>Tolerance</w:t>
            </w:r>
          </w:p>
        </w:tc>
        <w:tc>
          <w:tcPr>
            <w:tcW w:w="1063" w:type="dxa"/>
            <w:tcBorders>
              <w:top w:val="nil"/>
              <w:left w:val="single" w:sz="8" w:space="0" w:color="E0E0E0"/>
              <w:bottom w:val="single" w:sz="8" w:space="0" w:color="152935"/>
              <w:right w:val="nil"/>
            </w:tcBorders>
            <w:shd w:val="clear" w:color="auto" w:fill="FFFFFF"/>
            <w:vAlign w:val="bottom"/>
          </w:tcPr>
          <w:p w14:paraId="233EEE8F" w14:textId="77777777" w:rsidR="007F596B" w:rsidRPr="00EF50D5" w:rsidRDefault="007F596B" w:rsidP="007F596B">
            <w:pPr>
              <w:autoSpaceDE w:val="0"/>
              <w:autoSpaceDN w:val="0"/>
              <w:adjustRightInd w:val="0"/>
              <w:spacing w:line="320" w:lineRule="atLeast"/>
              <w:ind w:left="60" w:right="60"/>
              <w:jc w:val="center"/>
              <w:rPr>
                <w:rFonts w:ascii="Arial" w:hAnsi="Arial" w:cs="Arial"/>
                <w:color w:val="264A60"/>
                <w:sz w:val="16"/>
                <w:szCs w:val="16"/>
                <w:lang w:val="en-US"/>
              </w:rPr>
            </w:pPr>
            <w:r w:rsidRPr="00EF50D5">
              <w:rPr>
                <w:rFonts w:ascii="Arial" w:hAnsi="Arial" w:cs="Arial"/>
                <w:color w:val="264A60"/>
                <w:sz w:val="16"/>
                <w:szCs w:val="16"/>
                <w:lang w:val="en-US"/>
              </w:rPr>
              <w:t>VIF</w:t>
            </w:r>
          </w:p>
        </w:tc>
      </w:tr>
      <w:tr w:rsidR="00833E5C" w:rsidRPr="00EF50D5" w14:paraId="4CFC4E90" w14:textId="77777777" w:rsidTr="00833E5C">
        <w:trPr>
          <w:cantSplit/>
        </w:trPr>
        <w:tc>
          <w:tcPr>
            <w:tcW w:w="284" w:type="dxa"/>
            <w:vMerge w:val="restart"/>
            <w:tcBorders>
              <w:top w:val="single" w:sz="8" w:space="0" w:color="152935"/>
              <w:left w:val="nil"/>
              <w:bottom w:val="nil"/>
              <w:right w:val="nil"/>
            </w:tcBorders>
            <w:shd w:val="clear" w:color="auto" w:fill="E0E0E0"/>
          </w:tcPr>
          <w:p w14:paraId="3FBDF1C6"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1</w:t>
            </w:r>
          </w:p>
        </w:tc>
        <w:tc>
          <w:tcPr>
            <w:tcW w:w="992" w:type="dxa"/>
            <w:tcBorders>
              <w:top w:val="single" w:sz="8" w:space="0" w:color="152935"/>
              <w:left w:val="nil"/>
              <w:bottom w:val="single" w:sz="8" w:space="0" w:color="AEAEAE"/>
              <w:right w:val="nil"/>
            </w:tcBorders>
            <w:shd w:val="clear" w:color="auto" w:fill="E0E0E0"/>
          </w:tcPr>
          <w:p w14:paraId="74F10774"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(Constant)</w:t>
            </w:r>
          </w:p>
        </w:tc>
        <w:tc>
          <w:tcPr>
            <w:tcW w:w="992" w:type="dxa"/>
            <w:tcBorders>
              <w:top w:val="single" w:sz="8" w:space="0" w:color="152935"/>
              <w:left w:val="nil"/>
              <w:bottom w:val="single" w:sz="8" w:space="0" w:color="AEAEAE"/>
              <w:right w:val="single" w:sz="8" w:space="0" w:color="E0E0E0"/>
            </w:tcBorders>
            <w:shd w:val="clear" w:color="auto" w:fill="FFFFFF"/>
          </w:tcPr>
          <w:p w14:paraId="5DB7D4C4"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39.163</w:t>
            </w:r>
          </w:p>
        </w:tc>
        <w:tc>
          <w:tcPr>
            <w:tcW w:w="993" w:type="dxa"/>
            <w:tcBorders>
              <w:top w:val="single" w:sz="8" w:space="0" w:color="152935"/>
              <w:left w:val="single" w:sz="8" w:space="0" w:color="E0E0E0"/>
              <w:bottom w:val="single" w:sz="8" w:space="0" w:color="AEAEAE"/>
              <w:right w:val="single" w:sz="8" w:space="0" w:color="E0E0E0"/>
            </w:tcBorders>
            <w:shd w:val="clear" w:color="auto" w:fill="FFFFFF"/>
          </w:tcPr>
          <w:p w14:paraId="706A4522"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4.843</w:t>
            </w:r>
          </w:p>
        </w:tc>
        <w:tc>
          <w:tcPr>
            <w:tcW w:w="1134" w:type="dxa"/>
            <w:tcBorders>
              <w:top w:val="single" w:sz="8" w:space="0" w:color="152935"/>
              <w:left w:val="single" w:sz="8" w:space="0" w:color="E0E0E0"/>
              <w:bottom w:val="single" w:sz="8" w:space="0" w:color="AEAEAE"/>
              <w:right w:val="single" w:sz="8" w:space="0" w:color="E0E0E0"/>
            </w:tcBorders>
            <w:shd w:val="clear" w:color="auto" w:fill="FFFFFF"/>
            <w:vAlign w:val="center"/>
          </w:tcPr>
          <w:p w14:paraId="37EB12B4" w14:textId="77777777" w:rsidR="007F596B" w:rsidRPr="00EF50D5" w:rsidRDefault="007F596B" w:rsidP="007F596B">
            <w:pPr>
              <w:autoSpaceDE w:val="0"/>
              <w:autoSpaceDN w:val="0"/>
              <w:adjustRightInd w:val="0"/>
              <w:rPr>
                <w:rFonts w:ascii="Arial" w:hAnsi="Arial" w:cs="Arial"/>
                <w:sz w:val="16"/>
                <w:szCs w:val="16"/>
                <w:lang w:val="en-US"/>
              </w:rPr>
            </w:pPr>
          </w:p>
        </w:tc>
        <w:tc>
          <w:tcPr>
            <w:tcW w:w="850" w:type="dxa"/>
            <w:tcBorders>
              <w:top w:val="single" w:sz="8" w:space="0" w:color="152935"/>
              <w:left w:val="single" w:sz="8" w:space="0" w:color="E0E0E0"/>
              <w:bottom w:val="single" w:sz="8" w:space="0" w:color="AEAEAE"/>
              <w:right w:val="single" w:sz="8" w:space="0" w:color="E0E0E0"/>
            </w:tcBorders>
            <w:shd w:val="clear" w:color="auto" w:fill="FFFFFF"/>
          </w:tcPr>
          <w:p w14:paraId="503945DA"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8.086</w:t>
            </w:r>
          </w:p>
        </w:tc>
        <w:tc>
          <w:tcPr>
            <w:tcW w:w="851" w:type="dxa"/>
            <w:tcBorders>
              <w:top w:val="single" w:sz="8" w:space="0" w:color="152935"/>
              <w:left w:val="single" w:sz="8" w:space="0" w:color="E0E0E0"/>
              <w:bottom w:val="single" w:sz="8" w:space="0" w:color="AEAEAE"/>
              <w:right w:val="single" w:sz="8" w:space="0" w:color="E0E0E0"/>
            </w:tcBorders>
            <w:shd w:val="clear" w:color="auto" w:fill="FFFFFF"/>
          </w:tcPr>
          <w:p w14:paraId="40399A75"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.000</w:t>
            </w:r>
          </w:p>
        </w:tc>
        <w:tc>
          <w:tcPr>
            <w:tcW w:w="1275" w:type="dxa"/>
            <w:tcBorders>
              <w:top w:val="single" w:sz="8" w:space="0" w:color="152935"/>
              <w:left w:val="single" w:sz="8" w:space="0" w:color="E0E0E0"/>
              <w:bottom w:val="single" w:sz="8" w:space="0" w:color="AEAEAE"/>
              <w:right w:val="single" w:sz="8" w:space="0" w:color="E0E0E0"/>
            </w:tcBorders>
            <w:shd w:val="clear" w:color="auto" w:fill="FFFFFF"/>
          </w:tcPr>
          <w:p w14:paraId="7CE7414F"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29.611</w:t>
            </w:r>
          </w:p>
        </w:tc>
        <w:tc>
          <w:tcPr>
            <w:tcW w:w="1276" w:type="dxa"/>
            <w:tcBorders>
              <w:top w:val="single" w:sz="8" w:space="0" w:color="152935"/>
              <w:left w:val="single" w:sz="8" w:space="0" w:color="E0E0E0"/>
              <w:bottom w:val="single" w:sz="8" w:space="0" w:color="AEAEAE"/>
              <w:right w:val="single" w:sz="8" w:space="0" w:color="E0E0E0"/>
            </w:tcBorders>
            <w:shd w:val="clear" w:color="auto" w:fill="FFFFFF"/>
          </w:tcPr>
          <w:p w14:paraId="4EC1667D"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48.715</w:t>
            </w:r>
          </w:p>
        </w:tc>
        <w:tc>
          <w:tcPr>
            <w:tcW w:w="945" w:type="dxa"/>
            <w:tcBorders>
              <w:top w:val="single" w:sz="8" w:space="0" w:color="152935"/>
              <w:left w:val="single" w:sz="8" w:space="0" w:color="E0E0E0"/>
              <w:bottom w:val="single" w:sz="8" w:space="0" w:color="AEAEAE"/>
              <w:right w:val="single" w:sz="8" w:space="0" w:color="E0E0E0"/>
            </w:tcBorders>
            <w:shd w:val="clear" w:color="auto" w:fill="FFFFFF"/>
            <w:vAlign w:val="center"/>
          </w:tcPr>
          <w:p w14:paraId="6C85ADBD" w14:textId="77777777" w:rsidR="007F596B" w:rsidRPr="00EF50D5" w:rsidRDefault="007F596B" w:rsidP="007F596B">
            <w:pPr>
              <w:autoSpaceDE w:val="0"/>
              <w:autoSpaceDN w:val="0"/>
              <w:adjustRightInd w:val="0"/>
              <w:rPr>
                <w:rFonts w:ascii="Arial" w:hAnsi="Arial" w:cs="Arial"/>
                <w:sz w:val="16"/>
                <w:szCs w:val="16"/>
                <w:lang w:val="en-US"/>
              </w:rPr>
            </w:pPr>
          </w:p>
        </w:tc>
        <w:tc>
          <w:tcPr>
            <w:tcW w:w="945" w:type="dxa"/>
            <w:tcBorders>
              <w:top w:val="single" w:sz="8" w:space="0" w:color="152935"/>
              <w:left w:val="single" w:sz="8" w:space="0" w:color="E0E0E0"/>
              <w:bottom w:val="single" w:sz="8" w:space="0" w:color="AEAEAE"/>
              <w:right w:val="single" w:sz="8" w:space="0" w:color="E0E0E0"/>
            </w:tcBorders>
            <w:shd w:val="clear" w:color="auto" w:fill="FFFFFF"/>
            <w:vAlign w:val="center"/>
          </w:tcPr>
          <w:p w14:paraId="5F670DD1" w14:textId="77777777" w:rsidR="007F596B" w:rsidRPr="00EF50D5" w:rsidRDefault="007F596B" w:rsidP="007F596B">
            <w:pPr>
              <w:autoSpaceDE w:val="0"/>
              <w:autoSpaceDN w:val="0"/>
              <w:adjustRightInd w:val="0"/>
              <w:rPr>
                <w:rFonts w:ascii="Arial" w:hAnsi="Arial" w:cs="Arial"/>
                <w:sz w:val="16"/>
                <w:szCs w:val="16"/>
                <w:lang w:val="en-US"/>
              </w:rPr>
            </w:pPr>
          </w:p>
        </w:tc>
        <w:tc>
          <w:tcPr>
            <w:tcW w:w="945" w:type="dxa"/>
            <w:tcBorders>
              <w:top w:val="single" w:sz="8" w:space="0" w:color="152935"/>
              <w:left w:val="single" w:sz="8" w:space="0" w:color="E0E0E0"/>
              <w:bottom w:val="single" w:sz="8" w:space="0" w:color="AEAEAE"/>
              <w:right w:val="single" w:sz="8" w:space="0" w:color="E0E0E0"/>
            </w:tcBorders>
            <w:shd w:val="clear" w:color="auto" w:fill="FFFFFF"/>
            <w:vAlign w:val="center"/>
          </w:tcPr>
          <w:p w14:paraId="0F89E2F8" w14:textId="77777777" w:rsidR="007F596B" w:rsidRPr="00EF50D5" w:rsidRDefault="007F596B" w:rsidP="007F596B">
            <w:pPr>
              <w:autoSpaceDE w:val="0"/>
              <w:autoSpaceDN w:val="0"/>
              <w:adjustRightInd w:val="0"/>
              <w:rPr>
                <w:rFonts w:ascii="Arial" w:hAnsi="Arial" w:cs="Arial"/>
                <w:sz w:val="16"/>
                <w:szCs w:val="16"/>
                <w:lang w:val="en-US"/>
              </w:rPr>
            </w:pPr>
          </w:p>
        </w:tc>
        <w:tc>
          <w:tcPr>
            <w:tcW w:w="1063" w:type="dxa"/>
            <w:tcBorders>
              <w:top w:val="single" w:sz="8" w:space="0" w:color="152935"/>
              <w:left w:val="single" w:sz="8" w:space="0" w:color="E0E0E0"/>
              <w:bottom w:val="single" w:sz="8" w:space="0" w:color="AEAEAE"/>
              <w:right w:val="single" w:sz="8" w:space="0" w:color="E0E0E0"/>
            </w:tcBorders>
            <w:shd w:val="clear" w:color="auto" w:fill="FFFFFF"/>
            <w:vAlign w:val="center"/>
          </w:tcPr>
          <w:p w14:paraId="37D507FB" w14:textId="77777777" w:rsidR="007F596B" w:rsidRPr="00EF50D5" w:rsidRDefault="007F596B" w:rsidP="007F596B">
            <w:pPr>
              <w:autoSpaceDE w:val="0"/>
              <w:autoSpaceDN w:val="0"/>
              <w:adjustRightInd w:val="0"/>
              <w:rPr>
                <w:rFonts w:ascii="Arial" w:hAnsi="Arial" w:cs="Arial"/>
                <w:sz w:val="16"/>
                <w:szCs w:val="16"/>
                <w:lang w:val="en-US"/>
              </w:rPr>
            </w:pPr>
          </w:p>
        </w:tc>
        <w:tc>
          <w:tcPr>
            <w:tcW w:w="1063" w:type="dxa"/>
            <w:tcBorders>
              <w:top w:val="single" w:sz="8" w:space="0" w:color="152935"/>
              <w:left w:val="single" w:sz="8" w:space="0" w:color="E0E0E0"/>
              <w:bottom w:val="single" w:sz="8" w:space="0" w:color="AEAEAE"/>
              <w:right w:val="nil"/>
            </w:tcBorders>
            <w:shd w:val="clear" w:color="auto" w:fill="FFFFFF"/>
            <w:vAlign w:val="center"/>
          </w:tcPr>
          <w:p w14:paraId="029FF165" w14:textId="77777777" w:rsidR="007F596B" w:rsidRPr="00EF50D5" w:rsidRDefault="007F596B" w:rsidP="007F596B">
            <w:pPr>
              <w:autoSpaceDE w:val="0"/>
              <w:autoSpaceDN w:val="0"/>
              <w:adjustRightInd w:val="0"/>
              <w:rPr>
                <w:rFonts w:ascii="Arial" w:hAnsi="Arial" w:cs="Arial"/>
                <w:sz w:val="16"/>
                <w:szCs w:val="16"/>
                <w:lang w:val="en-US"/>
              </w:rPr>
            </w:pPr>
          </w:p>
        </w:tc>
      </w:tr>
      <w:tr w:rsidR="00833E5C" w:rsidRPr="00EF50D5" w14:paraId="1E3C3B14" w14:textId="77777777" w:rsidTr="00833E5C">
        <w:trPr>
          <w:cantSplit/>
        </w:trPr>
        <w:tc>
          <w:tcPr>
            <w:tcW w:w="284" w:type="dxa"/>
            <w:vMerge/>
            <w:tcBorders>
              <w:top w:val="single" w:sz="8" w:space="0" w:color="152935"/>
              <w:left w:val="nil"/>
              <w:bottom w:val="nil"/>
              <w:right w:val="nil"/>
            </w:tcBorders>
            <w:shd w:val="clear" w:color="auto" w:fill="E0E0E0"/>
          </w:tcPr>
          <w:p w14:paraId="065EBDDD" w14:textId="77777777" w:rsidR="007F596B" w:rsidRPr="00EF50D5" w:rsidRDefault="007F596B" w:rsidP="007F596B">
            <w:pPr>
              <w:autoSpaceDE w:val="0"/>
              <w:autoSpaceDN w:val="0"/>
              <w:adjustRightInd w:val="0"/>
              <w:rPr>
                <w:rFonts w:ascii="Arial" w:hAnsi="Arial" w:cs="Arial"/>
                <w:sz w:val="16"/>
                <w:szCs w:val="16"/>
                <w:lang w:val="en-US"/>
              </w:rPr>
            </w:pPr>
          </w:p>
        </w:tc>
        <w:tc>
          <w:tcPr>
            <w:tcW w:w="992" w:type="dxa"/>
            <w:tcBorders>
              <w:top w:val="single" w:sz="8" w:space="0" w:color="AEAEAE"/>
              <w:left w:val="nil"/>
              <w:bottom w:val="single" w:sz="8" w:space="0" w:color="AEAEAE"/>
              <w:right w:val="nil"/>
            </w:tcBorders>
            <w:shd w:val="clear" w:color="auto" w:fill="E0E0E0"/>
          </w:tcPr>
          <w:p w14:paraId="7BA67FB4"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F</w:t>
            </w:r>
          </w:p>
        </w:tc>
        <w:tc>
          <w:tcPr>
            <w:tcW w:w="992" w:type="dxa"/>
            <w:tcBorders>
              <w:top w:val="single" w:sz="8" w:space="0" w:color="AEAEAE"/>
              <w:left w:val="nil"/>
              <w:bottom w:val="single" w:sz="8" w:space="0" w:color="AEAEAE"/>
              <w:right w:val="single" w:sz="8" w:space="0" w:color="E0E0E0"/>
            </w:tcBorders>
            <w:shd w:val="clear" w:color="auto" w:fill="FFFFFF"/>
          </w:tcPr>
          <w:p w14:paraId="3D7E13FA"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.177</w:t>
            </w:r>
          </w:p>
        </w:tc>
        <w:tc>
          <w:tcPr>
            <w:tcW w:w="993" w:type="dxa"/>
            <w:tcBorders>
              <w:top w:val="single" w:sz="8" w:space="0" w:color="AEAEAE"/>
              <w:left w:val="single" w:sz="8" w:space="0" w:color="E0E0E0"/>
              <w:bottom w:val="single" w:sz="8" w:space="0" w:color="AEAEAE"/>
              <w:right w:val="single" w:sz="8" w:space="0" w:color="E0E0E0"/>
            </w:tcBorders>
            <w:shd w:val="clear" w:color="auto" w:fill="FFFFFF"/>
          </w:tcPr>
          <w:p w14:paraId="28D133C4"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.156</w:t>
            </w:r>
          </w:p>
        </w:tc>
        <w:tc>
          <w:tcPr>
            <w:tcW w:w="1134" w:type="dxa"/>
            <w:tcBorders>
              <w:top w:val="single" w:sz="8" w:space="0" w:color="AEAEAE"/>
              <w:left w:val="single" w:sz="8" w:space="0" w:color="E0E0E0"/>
              <w:bottom w:val="single" w:sz="8" w:space="0" w:color="AEAEAE"/>
              <w:right w:val="single" w:sz="8" w:space="0" w:color="E0E0E0"/>
            </w:tcBorders>
            <w:shd w:val="clear" w:color="auto" w:fill="FFFFFF"/>
          </w:tcPr>
          <w:p w14:paraId="7CBBA6CA"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.109</w:t>
            </w:r>
          </w:p>
        </w:tc>
        <w:tc>
          <w:tcPr>
            <w:tcW w:w="850" w:type="dxa"/>
            <w:tcBorders>
              <w:top w:val="single" w:sz="8" w:space="0" w:color="AEAEAE"/>
              <w:left w:val="single" w:sz="8" w:space="0" w:color="E0E0E0"/>
              <w:bottom w:val="single" w:sz="8" w:space="0" w:color="AEAEAE"/>
              <w:right w:val="single" w:sz="8" w:space="0" w:color="E0E0E0"/>
            </w:tcBorders>
            <w:shd w:val="clear" w:color="auto" w:fill="FFFFFF"/>
          </w:tcPr>
          <w:p w14:paraId="45FA8340"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1.138</w:t>
            </w:r>
          </w:p>
        </w:tc>
        <w:tc>
          <w:tcPr>
            <w:tcW w:w="851" w:type="dxa"/>
            <w:tcBorders>
              <w:top w:val="single" w:sz="8" w:space="0" w:color="AEAEAE"/>
              <w:left w:val="single" w:sz="8" w:space="0" w:color="E0E0E0"/>
              <w:bottom w:val="single" w:sz="8" w:space="0" w:color="AEAEAE"/>
              <w:right w:val="single" w:sz="8" w:space="0" w:color="E0E0E0"/>
            </w:tcBorders>
            <w:shd w:val="clear" w:color="auto" w:fill="FFFFFF"/>
          </w:tcPr>
          <w:p w14:paraId="368A0F6F"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.257</w:t>
            </w:r>
          </w:p>
        </w:tc>
        <w:tc>
          <w:tcPr>
            <w:tcW w:w="1275" w:type="dxa"/>
            <w:tcBorders>
              <w:top w:val="single" w:sz="8" w:space="0" w:color="AEAEAE"/>
              <w:left w:val="single" w:sz="8" w:space="0" w:color="E0E0E0"/>
              <w:bottom w:val="single" w:sz="8" w:space="0" w:color="AEAEAE"/>
              <w:right w:val="single" w:sz="8" w:space="0" w:color="E0E0E0"/>
            </w:tcBorders>
            <w:shd w:val="clear" w:color="auto" w:fill="FFFFFF"/>
          </w:tcPr>
          <w:p w14:paraId="697EDF5A"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-.130</w:t>
            </w:r>
          </w:p>
        </w:tc>
        <w:tc>
          <w:tcPr>
            <w:tcW w:w="1276" w:type="dxa"/>
            <w:tcBorders>
              <w:top w:val="single" w:sz="8" w:space="0" w:color="AEAEAE"/>
              <w:left w:val="single" w:sz="8" w:space="0" w:color="E0E0E0"/>
              <w:bottom w:val="single" w:sz="8" w:space="0" w:color="AEAEAE"/>
              <w:right w:val="single" w:sz="8" w:space="0" w:color="E0E0E0"/>
            </w:tcBorders>
            <w:shd w:val="clear" w:color="auto" w:fill="FFFFFF"/>
          </w:tcPr>
          <w:p w14:paraId="434B6B38"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.484</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3F5D0FEC"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.174</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70389CA2"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.081</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46DDF321"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.080</w:t>
            </w:r>
          </w:p>
        </w:tc>
        <w:tc>
          <w:tcPr>
            <w:tcW w:w="1063" w:type="dxa"/>
            <w:tcBorders>
              <w:top w:val="single" w:sz="8" w:space="0" w:color="AEAEAE"/>
              <w:left w:val="single" w:sz="8" w:space="0" w:color="E0E0E0"/>
              <w:bottom w:val="single" w:sz="8" w:space="0" w:color="AEAEAE"/>
              <w:right w:val="single" w:sz="8" w:space="0" w:color="E0E0E0"/>
            </w:tcBorders>
            <w:shd w:val="clear" w:color="auto" w:fill="FFFFFF"/>
          </w:tcPr>
          <w:p w14:paraId="4BC511A1"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.542</w:t>
            </w:r>
          </w:p>
        </w:tc>
        <w:tc>
          <w:tcPr>
            <w:tcW w:w="1063" w:type="dxa"/>
            <w:tcBorders>
              <w:top w:val="single" w:sz="8" w:space="0" w:color="AEAEAE"/>
              <w:left w:val="single" w:sz="8" w:space="0" w:color="E0E0E0"/>
              <w:bottom w:val="single" w:sz="8" w:space="0" w:color="AEAEAE"/>
              <w:right w:val="nil"/>
            </w:tcBorders>
            <w:shd w:val="clear" w:color="auto" w:fill="FFFFFF"/>
          </w:tcPr>
          <w:p w14:paraId="624222C1"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1.845</w:t>
            </w:r>
          </w:p>
        </w:tc>
      </w:tr>
      <w:tr w:rsidR="00833E5C" w:rsidRPr="00EF50D5" w14:paraId="63CA777C" w14:textId="77777777" w:rsidTr="00833E5C">
        <w:trPr>
          <w:cantSplit/>
        </w:trPr>
        <w:tc>
          <w:tcPr>
            <w:tcW w:w="284" w:type="dxa"/>
            <w:vMerge/>
            <w:tcBorders>
              <w:top w:val="single" w:sz="8" w:space="0" w:color="152935"/>
              <w:left w:val="nil"/>
              <w:bottom w:val="nil"/>
              <w:right w:val="nil"/>
            </w:tcBorders>
            <w:shd w:val="clear" w:color="auto" w:fill="E0E0E0"/>
          </w:tcPr>
          <w:p w14:paraId="07B33680" w14:textId="77777777" w:rsidR="007F596B" w:rsidRPr="00EF50D5" w:rsidRDefault="007F596B" w:rsidP="007F596B">
            <w:pPr>
              <w:autoSpaceDE w:val="0"/>
              <w:autoSpaceDN w:val="0"/>
              <w:adjustRightInd w:val="0"/>
              <w:rPr>
                <w:rFonts w:ascii="Arial" w:hAnsi="Arial" w:cs="Arial"/>
                <w:color w:val="010205"/>
                <w:sz w:val="16"/>
                <w:szCs w:val="16"/>
                <w:lang w:val="en-US"/>
              </w:rPr>
            </w:pPr>
          </w:p>
        </w:tc>
        <w:tc>
          <w:tcPr>
            <w:tcW w:w="992" w:type="dxa"/>
            <w:tcBorders>
              <w:top w:val="single" w:sz="8" w:space="0" w:color="AEAEAE"/>
              <w:left w:val="nil"/>
              <w:bottom w:val="nil"/>
              <w:right w:val="nil"/>
            </w:tcBorders>
            <w:shd w:val="clear" w:color="auto" w:fill="E0E0E0"/>
          </w:tcPr>
          <w:p w14:paraId="013E83E0"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A</w:t>
            </w:r>
          </w:p>
        </w:tc>
        <w:tc>
          <w:tcPr>
            <w:tcW w:w="992" w:type="dxa"/>
            <w:tcBorders>
              <w:top w:val="single" w:sz="8" w:space="0" w:color="AEAEAE"/>
              <w:left w:val="nil"/>
              <w:bottom w:val="nil"/>
              <w:right w:val="single" w:sz="8" w:space="0" w:color="E0E0E0"/>
            </w:tcBorders>
            <w:shd w:val="clear" w:color="auto" w:fill="FFFFFF"/>
          </w:tcPr>
          <w:p w14:paraId="5655E4C4"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1.715</w:t>
            </w:r>
          </w:p>
        </w:tc>
        <w:tc>
          <w:tcPr>
            <w:tcW w:w="993" w:type="dxa"/>
            <w:tcBorders>
              <w:top w:val="single" w:sz="8" w:space="0" w:color="AEAEAE"/>
              <w:left w:val="single" w:sz="8" w:space="0" w:color="E0E0E0"/>
              <w:bottom w:val="nil"/>
              <w:right w:val="single" w:sz="8" w:space="0" w:color="E0E0E0"/>
            </w:tcBorders>
            <w:shd w:val="clear" w:color="auto" w:fill="FFFFFF"/>
          </w:tcPr>
          <w:p w14:paraId="38361C7B"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1.698</w:t>
            </w:r>
          </w:p>
        </w:tc>
        <w:tc>
          <w:tcPr>
            <w:tcW w:w="1134" w:type="dxa"/>
            <w:tcBorders>
              <w:top w:val="single" w:sz="8" w:space="0" w:color="AEAEAE"/>
              <w:left w:val="single" w:sz="8" w:space="0" w:color="E0E0E0"/>
              <w:bottom w:val="nil"/>
              <w:right w:val="single" w:sz="8" w:space="0" w:color="E0E0E0"/>
            </w:tcBorders>
            <w:shd w:val="clear" w:color="auto" w:fill="FFFFFF"/>
          </w:tcPr>
          <w:p w14:paraId="0EEF617F"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.096</w:t>
            </w:r>
          </w:p>
        </w:tc>
        <w:tc>
          <w:tcPr>
            <w:tcW w:w="850" w:type="dxa"/>
            <w:tcBorders>
              <w:top w:val="single" w:sz="8" w:space="0" w:color="AEAEAE"/>
              <w:left w:val="single" w:sz="8" w:space="0" w:color="E0E0E0"/>
              <w:bottom w:val="nil"/>
              <w:right w:val="single" w:sz="8" w:space="0" w:color="E0E0E0"/>
            </w:tcBorders>
            <w:shd w:val="clear" w:color="auto" w:fill="FFFFFF"/>
          </w:tcPr>
          <w:p w14:paraId="107BEB34"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1.010</w:t>
            </w:r>
          </w:p>
        </w:tc>
        <w:tc>
          <w:tcPr>
            <w:tcW w:w="851" w:type="dxa"/>
            <w:tcBorders>
              <w:top w:val="single" w:sz="8" w:space="0" w:color="AEAEAE"/>
              <w:left w:val="single" w:sz="8" w:space="0" w:color="E0E0E0"/>
              <w:bottom w:val="nil"/>
              <w:right w:val="single" w:sz="8" w:space="0" w:color="E0E0E0"/>
            </w:tcBorders>
            <w:shd w:val="clear" w:color="auto" w:fill="FFFFFF"/>
          </w:tcPr>
          <w:p w14:paraId="7CFAE7DA"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.314</w:t>
            </w:r>
          </w:p>
        </w:tc>
        <w:tc>
          <w:tcPr>
            <w:tcW w:w="1275" w:type="dxa"/>
            <w:tcBorders>
              <w:top w:val="single" w:sz="8" w:space="0" w:color="AEAEAE"/>
              <w:left w:val="single" w:sz="8" w:space="0" w:color="E0E0E0"/>
              <w:bottom w:val="nil"/>
              <w:right w:val="single" w:sz="8" w:space="0" w:color="E0E0E0"/>
            </w:tcBorders>
            <w:shd w:val="clear" w:color="auto" w:fill="FFFFFF"/>
          </w:tcPr>
          <w:p w14:paraId="409D9EB7"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-1.634</w:t>
            </w:r>
          </w:p>
        </w:tc>
        <w:tc>
          <w:tcPr>
            <w:tcW w:w="1276" w:type="dxa"/>
            <w:tcBorders>
              <w:top w:val="single" w:sz="8" w:space="0" w:color="AEAEAE"/>
              <w:left w:val="single" w:sz="8" w:space="0" w:color="E0E0E0"/>
              <w:bottom w:val="nil"/>
              <w:right w:val="single" w:sz="8" w:space="0" w:color="E0E0E0"/>
            </w:tcBorders>
            <w:shd w:val="clear" w:color="auto" w:fill="FFFFFF"/>
          </w:tcPr>
          <w:p w14:paraId="79DEAA85"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5.065</w:t>
            </w:r>
          </w:p>
        </w:tc>
        <w:tc>
          <w:tcPr>
            <w:tcW w:w="945" w:type="dxa"/>
            <w:tcBorders>
              <w:top w:val="single" w:sz="8" w:space="0" w:color="AEAEAE"/>
              <w:left w:val="single" w:sz="8" w:space="0" w:color="E0E0E0"/>
              <w:bottom w:val="nil"/>
              <w:right w:val="single" w:sz="8" w:space="0" w:color="E0E0E0"/>
            </w:tcBorders>
            <w:shd w:val="clear" w:color="auto" w:fill="FFFFFF"/>
          </w:tcPr>
          <w:p w14:paraId="6E409A90"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.170</w:t>
            </w:r>
          </w:p>
        </w:tc>
        <w:tc>
          <w:tcPr>
            <w:tcW w:w="945" w:type="dxa"/>
            <w:tcBorders>
              <w:top w:val="single" w:sz="8" w:space="0" w:color="AEAEAE"/>
              <w:left w:val="single" w:sz="8" w:space="0" w:color="E0E0E0"/>
              <w:bottom w:val="nil"/>
              <w:right w:val="single" w:sz="8" w:space="0" w:color="E0E0E0"/>
            </w:tcBorders>
            <w:shd w:val="clear" w:color="auto" w:fill="FFFFFF"/>
          </w:tcPr>
          <w:p w14:paraId="3F767608"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.072</w:t>
            </w:r>
          </w:p>
        </w:tc>
        <w:tc>
          <w:tcPr>
            <w:tcW w:w="945" w:type="dxa"/>
            <w:tcBorders>
              <w:top w:val="single" w:sz="8" w:space="0" w:color="AEAEAE"/>
              <w:left w:val="single" w:sz="8" w:space="0" w:color="E0E0E0"/>
              <w:bottom w:val="nil"/>
              <w:right w:val="single" w:sz="8" w:space="0" w:color="E0E0E0"/>
            </w:tcBorders>
            <w:shd w:val="clear" w:color="auto" w:fill="FFFFFF"/>
          </w:tcPr>
          <w:p w14:paraId="3E9AE427"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.071</w:t>
            </w:r>
          </w:p>
        </w:tc>
        <w:tc>
          <w:tcPr>
            <w:tcW w:w="1063" w:type="dxa"/>
            <w:tcBorders>
              <w:top w:val="single" w:sz="8" w:space="0" w:color="AEAEAE"/>
              <w:left w:val="single" w:sz="8" w:space="0" w:color="E0E0E0"/>
              <w:bottom w:val="nil"/>
              <w:right w:val="single" w:sz="8" w:space="0" w:color="E0E0E0"/>
            </w:tcBorders>
            <w:shd w:val="clear" w:color="auto" w:fill="FFFFFF"/>
          </w:tcPr>
          <w:p w14:paraId="572F7E70"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.542</w:t>
            </w:r>
          </w:p>
        </w:tc>
        <w:tc>
          <w:tcPr>
            <w:tcW w:w="1063" w:type="dxa"/>
            <w:tcBorders>
              <w:top w:val="single" w:sz="8" w:space="0" w:color="AEAEAE"/>
              <w:left w:val="single" w:sz="8" w:space="0" w:color="E0E0E0"/>
              <w:bottom w:val="nil"/>
              <w:right w:val="nil"/>
            </w:tcBorders>
            <w:shd w:val="clear" w:color="auto" w:fill="FFFFFF"/>
          </w:tcPr>
          <w:p w14:paraId="54127976"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1.845</w:t>
            </w:r>
          </w:p>
        </w:tc>
      </w:tr>
      <w:tr w:rsidR="00833E5C" w:rsidRPr="00EF50D5" w14:paraId="69F10FE2" w14:textId="77777777" w:rsidTr="00833E5C">
        <w:trPr>
          <w:cantSplit/>
        </w:trPr>
        <w:tc>
          <w:tcPr>
            <w:tcW w:w="284" w:type="dxa"/>
            <w:vMerge w:val="restart"/>
            <w:tcBorders>
              <w:top w:val="single" w:sz="8" w:space="0" w:color="AEAEAE"/>
              <w:left w:val="nil"/>
              <w:bottom w:val="nil"/>
              <w:right w:val="nil"/>
            </w:tcBorders>
            <w:shd w:val="clear" w:color="auto" w:fill="E0E0E0"/>
          </w:tcPr>
          <w:p w14:paraId="6956C528"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2</w:t>
            </w:r>
          </w:p>
        </w:tc>
        <w:tc>
          <w:tcPr>
            <w:tcW w:w="992" w:type="dxa"/>
            <w:tcBorders>
              <w:top w:val="single" w:sz="8" w:space="0" w:color="AEAEAE"/>
              <w:left w:val="nil"/>
              <w:bottom w:val="single" w:sz="8" w:space="0" w:color="AEAEAE"/>
              <w:right w:val="nil"/>
            </w:tcBorders>
            <w:shd w:val="clear" w:color="auto" w:fill="E0E0E0"/>
          </w:tcPr>
          <w:p w14:paraId="40D68C10"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(Constant)</w:t>
            </w:r>
          </w:p>
        </w:tc>
        <w:tc>
          <w:tcPr>
            <w:tcW w:w="992" w:type="dxa"/>
            <w:tcBorders>
              <w:top w:val="single" w:sz="8" w:space="0" w:color="AEAEAE"/>
              <w:left w:val="nil"/>
              <w:bottom w:val="single" w:sz="8" w:space="0" w:color="AEAEAE"/>
              <w:right w:val="single" w:sz="8" w:space="0" w:color="E0E0E0"/>
            </w:tcBorders>
            <w:shd w:val="clear" w:color="auto" w:fill="FFFFFF"/>
          </w:tcPr>
          <w:p w14:paraId="01C8174F"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35.474</w:t>
            </w:r>
          </w:p>
        </w:tc>
        <w:tc>
          <w:tcPr>
            <w:tcW w:w="993" w:type="dxa"/>
            <w:tcBorders>
              <w:top w:val="single" w:sz="8" w:space="0" w:color="AEAEAE"/>
              <w:left w:val="single" w:sz="8" w:space="0" w:color="E0E0E0"/>
              <w:bottom w:val="single" w:sz="8" w:space="0" w:color="AEAEAE"/>
              <w:right w:val="single" w:sz="8" w:space="0" w:color="E0E0E0"/>
            </w:tcBorders>
            <w:shd w:val="clear" w:color="auto" w:fill="FFFFFF"/>
          </w:tcPr>
          <w:p w14:paraId="7432EED6"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5.763</w:t>
            </w:r>
          </w:p>
        </w:tc>
        <w:tc>
          <w:tcPr>
            <w:tcW w:w="1134"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61019056" w14:textId="77777777" w:rsidR="007F596B" w:rsidRPr="00EF50D5" w:rsidRDefault="007F596B" w:rsidP="007F596B">
            <w:pPr>
              <w:autoSpaceDE w:val="0"/>
              <w:autoSpaceDN w:val="0"/>
              <w:adjustRightInd w:val="0"/>
              <w:rPr>
                <w:rFonts w:ascii="Arial" w:hAnsi="Arial" w:cs="Arial"/>
                <w:sz w:val="16"/>
                <w:szCs w:val="16"/>
                <w:lang w:val="en-US"/>
              </w:rPr>
            </w:pPr>
          </w:p>
        </w:tc>
        <w:tc>
          <w:tcPr>
            <w:tcW w:w="850" w:type="dxa"/>
            <w:tcBorders>
              <w:top w:val="single" w:sz="8" w:space="0" w:color="AEAEAE"/>
              <w:left w:val="single" w:sz="8" w:space="0" w:color="E0E0E0"/>
              <w:bottom w:val="single" w:sz="8" w:space="0" w:color="AEAEAE"/>
              <w:right w:val="single" w:sz="8" w:space="0" w:color="E0E0E0"/>
            </w:tcBorders>
            <w:shd w:val="clear" w:color="auto" w:fill="FFFFFF"/>
          </w:tcPr>
          <w:p w14:paraId="140B291B"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6.155</w:t>
            </w:r>
          </w:p>
        </w:tc>
        <w:tc>
          <w:tcPr>
            <w:tcW w:w="851" w:type="dxa"/>
            <w:tcBorders>
              <w:top w:val="single" w:sz="8" w:space="0" w:color="AEAEAE"/>
              <w:left w:val="single" w:sz="8" w:space="0" w:color="E0E0E0"/>
              <w:bottom w:val="single" w:sz="8" w:space="0" w:color="AEAEAE"/>
              <w:right w:val="single" w:sz="8" w:space="0" w:color="E0E0E0"/>
            </w:tcBorders>
            <w:shd w:val="clear" w:color="auto" w:fill="FFFFFF"/>
          </w:tcPr>
          <w:p w14:paraId="0B34BFF0"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.000</w:t>
            </w:r>
          </w:p>
        </w:tc>
        <w:tc>
          <w:tcPr>
            <w:tcW w:w="1275" w:type="dxa"/>
            <w:tcBorders>
              <w:top w:val="single" w:sz="8" w:space="0" w:color="AEAEAE"/>
              <w:left w:val="single" w:sz="8" w:space="0" w:color="E0E0E0"/>
              <w:bottom w:val="single" w:sz="8" w:space="0" w:color="AEAEAE"/>
              <w:right w:val="single" w:sz="8" w:space="0" w:color="E0E0E0"/>
            </w:tcBorders>
            <w:shd w:val="clear" w:color="auto" w:fill="FFFFFF"/>
          </w:tcPr>
          <w:p w14:paraId="01B40679"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24.107</w:t>
            </w:r>
          </w:p>
        </w:tc>
        <w:tc>
          <w:tcPr>
            <w:tcW w:w="1276" w:type="dxa"/>
            <w:tcBorders>
              <w:top w:val="single" w:sz="8" w:space="0" w:color="AEAEAE"/>
              <w:left w:val="single" w:sz="8" w:space="0" w:color="E0E0E0"/>
              <w:bottom w:val="single" w:sz="8" w:space="0" w:color="AEAEAE"/>
              <w:right w:val="single" w:sz="8" w:space="0" w:color="E0E0E0"/>
            </w:tcBorders>
            <w:shd w:val="clear" w:color="auto" w:fill="FFFFFF"/>
          </w:tcPr>
          <w:p w14:paraId="726910D8"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46.840</w:t>
            </w:r>
          </w:p>
        </w:tc>
        <w:tc>
          <w:tcPr>
            <w:tcW w:w="945"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43B813D9" w14:textId="77777777" w:rsidR="007F596B" w:rsidRPr="00EF50D5" w:rsidRDefault="007F596B" w:rsidP="007F596B">
            <w:pPr>
              <w:autoSpaceDE w:val="0"/>
              <w:autoSpaceDN w:val="0"/>
              <w:adjustRightInd w:val="0"/>
              <w:rPr>
                <w:rFonts w:ascii="Arial" w:hAnsi="Arial" w:cs="Arial"/>
                <w:sz w:val="16"/>
                <w:szCs w:val="16"/>
                <w:lang w:val="en-US"/>
              </w:rPr>
            </w:pPr>
          </w:p>
        </w:tc>
        <w:tc>
          <w:tcPr>
            <w:tcW w:w="945"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07DE5376" w14:textId="77777777" w:rsidR="007F596B" w:rsidRPr="00EF50D5" w:rsidRDefault="007F596B" w:rsidP="007F596B">
            <w:pPr>
              <w:autoSpaceDE w:val="0"/>
              <w:autoSpaceDN w:val="0"/>
              <w:adjustRightInd w:val="0"/>
              <w:rPr>
                <w:rFonts w:ascii="Arial" w:hAnsi="Arial" w:cs="Arial"/>
                <w:sz w:val="16"/>
                <w:szCs w:val="16"/>
                <w:lang w:val="en-US"/>
              </w:rPr>
            </w:pPr>
          </w:p>
        </w:tc>
        <w:tc>
          <w:tcPr>
            <w:tcW w:w="945"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7734915B" w14:textId="77777777" w:rsidR="007F596B" w:rsidRPr="00EF50D5" w:rsidRDefault="007F596B" w:rsidP="007F596B">
            <w:pPr>
              <w:autoSpaceDE w:val="0"/>
              <w:autoSpaceDN w:val="0"/>
              <w:adjustRightInd w:val="0"/>
              <w:rPr>
                <w:rFonts w:ascii="Arial" w:hAnsi="Arial" w:cs="Arial"/>
                <w:sz w:val="16"/>
                <w:szCs w:val="16"/>
                <w:lang w:val="en-US"/>
              </w:rPr>
            </w:pPr>
          </w:p>
        </w:tc>
        <w:tc>
          <w:tcPr>
            <w:tcW w:w="1063"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36B958CE" w14:textId="77777777" w:rsidR="007F596B" w:rsidRPr="00EF50D5" w:rsidRDefault="007F596B" w:rsidP="007F596B">
            <w:pPr>
              <w:autoSpaceDE w:val="0"/>
              <w:autoSpaceDN w:val="0"/>
              <w:adjustRightInd w:val="0"/>
              <w:rPr>
                <w:rFonts w:ascii="Arial" w:hAnsi="Arial" w:cs="Arial"/>
                <w:sz w:val="16"/>
                <w:szCs w:val="16"/>
                <w:lang w:val="en-US"/>
              </w:rPr>
            </w:pPr>
          </w:p>
        </w:tc>
        <w:tc>
          <w:tcPr>
            <w:tcW w:w="1063" w:type="dxa"/>
            <w:tcBorders>
              <w:top w:val="single" w:sz="8" w:space="0" w:color="AEAEAE"/>
              <w:left w:val="single" w:sz="8" w:space="0" w:color="E0E0E0"/>
              <w:bottom w:val="single" w:sz="8" w:space="0" w:color="AEAEAE"/>
              <w:right w:val="nil"/>
            </w:tcBorders>
            <w:shd w:val="clear" w:color="auto" w:fill="FFFFFF"/>
            <w:vAlign w:val="center"/>
          </w:tcPr>
          <w:p w14:paraId="7F909D57" w14:textId="77777777" w:rsidR="007F596B" w:rsidRPr="00EF50D5" w:rsidRDefault="007F596B" w:rsidP="007F596B">
            <w:pPr>
              <w:autoSpaceDE w:val="0"/>
              <w:autoSpaceDN w:val="0"/>
              <w:adjustRightInd w:val="0"/>
              <w:rPr>
                <w:rFonts w:ascii="Arial" w:hAnsi="Arial" w:cs="Arial"/>
                <w:sz w:val="16"/>
                <w:szCs w:val="16"/>
                <w:lang w:val="en-US"/>
              </w:rPr>
            </w:pPr>
          </w:p>
        </w:tc>
      </w:tr>
      <w:tr w:rsidR="00833E5C" w:rsidRPr="00EF50D5" w14:paraId="5E0607FD" w14:textId="77777777" w:rsidTr="00833E5C">
        <w:trPr>
          <w:cantSplit/>
        </w:trPr>
        <w:tc>
          <w:tcPr>
            <w:tcW w:w="284" w:type="dxa"/>
            <w:vMerge/>
            <w:tcBorders>
              <w:top w:val="single" w:sz="8" w:space="0" w:color="AEAEAE"/>
              <w:left w:val="nil"/>
              <w:bottom w:val="nil"/>
              <w:right w:val="nil"/>
            </w:tcBorders>
            <w:shd w:val="clear" w:color="auto" w:fill="E0E0E0"/>
          </w:tcPr>
          <w:p w14:paraId="5FFB45EA" w14:textId="77777777" w:rsidR="007F596B" w:rsidRPr="00EF50D5" w:rsidRDefault="007F596B" w:rsidP="007F596B">
            <w:pPr>
              <w:autoSpaceDE w:val="0"/>
              <w:autoSpaceDN w:val="0"/>
              <w:adjustRightInd w:val="0"/>
              <w:rPr>
                <w:rFonts w:ascii="Arial" w:hAnsi="Arial" w:cs="Arial"/>
                <w:sz w:val="16"/>
                <w:szCs w:val="16"/>
                <w:lang w:val="en-US"/>
              </w:rPr>
            </w:pPr>
          </w:p>
        </w:tc>
        <w:tc>
          <w:tcPr>
            <w:tcW w:w="992" w:type="dxa"/>
            <w:tcBorders>
              <w:top w:val="single" w:sz="8" w:space="0" w:color="AEAEAE"/>
              <w:left w:val="nil"/>
              <w:bottom w:val="single" w:sz="8" w:space="0" w:color="AEAEAE"/>
              <w:right w:val="nil"/>
            </w:tcBorders>
            <w:shd w:val="clear" w:color="auto" w:fill="E0E0E0"/>
          </w:tcPr>
          <w:p w14:paraId="45B602AA"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F</w:t>
            </w:r>
          </w:p>
        </w:tc>
        <w:tc>
          <w:tcPr>
            <w:tcW w:w="992" w:type="dxa"/>
            <w:tcBorders>
              <w:top w:val="single" w:sz="8" w:space="0" w:color="AEAEAE"/>
              <w:left w:val="nil"/>
              <w:bottom w:val="single" w:sz="8" w:space="0" w:color="AEAEAE"/>
              <w:right w:val="single" w:sz="8" w:space="0" w:color="E0E0E0"/>
            </w:tcBorders>
            <w:shd w:val="clear" w:color="auto" w:fill="FFFFFF"/>
          </w:tcPr>
          <w:p w14:paraId="729119BC"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.179</w:t>
            </w:r>
          </w:p>
        </w:tc>
        <w:tc>
          <w:tcPr>
            <w:tcW w:w="993" w:type="dxa"/>
            <w:tcBorders>
              <w:top w:val="single" w:sz="8" w:space="0" w:color="AEAEAE"/>
              <w:left w:val="single" w:sz="8" w:space="0" w:color="E0E0E0"/>
              <w:bottom w:val="single" w:sz="8" w:space="0" w:color="AEAEAE"/>
              <w:right w:val="single" w:sz="8" w:space="0" w:color="E0E0E0"/>
            </w:tcBorders>
            <w:shd w:val="clear" w:color="auto" w:fill="FFFFFF"/>
          </w:tcPr>
          <w:p w14:paraId="4395234E"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.156</w:t>
            </w:r>
          </w:p>
        </w:tc>
        <w:tc>
          <w:tcPr>
            <w:tcW w:w="1134" w:type="dxa"/>
            <w:tcBorders>
              <w:top w:val="single" w:sz="8" w:space="0" w:color="AEAEAE"/>
              <w:left w:val="single" w:sz="8" w:space="0" w:color="E0E0E0"/>
              <w:bottom w:val="single" w:sz="8" w:space="0" w:color="AEAEAE"/>
              <w:right w:val="single" w:sz="8" w:space="0" w:color="E0E0E0"/>
            </w:tcBorders>
            <w:shd w:val="clear" w:color="auto" w:fill="FFFFFF"/>
          </w:tcPr>
          <w:p w14:paraId="4B78314A"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.110</w:t>
            </w:r>
          </w:p>
        </w:tc>
        <w:tc>
          <w:tcPr>
            <w:tcW w:w="850" w:type="dxa"/>
            <w:tcBorders>
              <w:top w:val="single" w:sz="8" w:space="0" w:color="AEAEAE"/>
              <w:left w:val="single" w:sz="8" w:space="0" w:color="E0E0E0"/>
              <w:bottom w:val="single" w:sz="8" w:space="0" w:color="AEAEAE"/>
              <w:right w:val="single" w:sz="8" w:space="0" w:color="E0E0E0"/>
            </w:tcBorders>
            <w:shd w:val="clear" w:color="auto" w:fill="FFFFFF"/>
          </w:tcPr>
          <w:p w14:paraId="5D07C86F"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1.151</w:t>
            </w:r>
          </w:p>
        </w:tc>
        <w:tc>
          <w:tcPr>
            <w:tcW w:w="851" w:type="dxa"/>
            <w:tcBorders>
              <w:top w:val="single" w:sz="8" w:space="0" w:color="AEAEAE"/>
              <w:left w:val="single" w:sz="8" w:space="0" w:color="E0E0E0"/>
              <w:bottom w:val="single" w:sz="8" w:space="0" w:color="AEAEAE"/>
              <w:right w:val="single" w:sz="8" w:space="0" w:color="E0E0E0"/>
            </w:tcBorders>
            <w:shd w:val="clear" w:color="auto" w:fill="FFFFFF"/>
          </w:tcPr>
          <w:p w14:paraId="0EA14163"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.251</w:t>
            </w:r>
          </w:p>
        </w:tc>
        <w:tc>
          <w:tcPr>
            <w:tcW w:w="1275" w:type="dxa"/>
            <w:tcBorders>
              <w:top w:val="single" w:sz="8" w:space="0" w:color="AEAEAE"/>
              <w:left w:val="single" w:sz="8" w:space="0" w:color="E0E0E0"/>
              <w:bottom w:val="single" w:sz="8" w:space="0" w:color="AEAEAE"/>
              <w:right w:val="single" w:sz="8" w:space="0" w:color="E0E0E0"/>
            </w:tcBorders>
            <w:shd w:val="clear" w:color="auto" w:fill="FFFFFF"/>
          </w:tcPr>
          <w:p w14:paraId="5B563E7E"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-.128</w:t>
            </w:r>
          </w:p>
        </w:tc>
        <w:tc>
          <w:tcPr>
            <w:tcW w:w="1276" w:type="dxa"/>
            <w:tcBorders>
              <w:top w:val="single" w:sz="8" w:space="0" w:color="AEAEAE"/>
              <w:left w:val="single" w:sz="8" w:space="0" w:color="E0E0E0"/>
              <w:bottom w:val="single" w:sz="8" w:space="0" w:color="AEAEAE"/>
              <w:right w:val="single" w:sz="8" w:space="0" w:color="E0E0E0"/>
            </w:tcBorders>
            <w:shd w:val="clear" w:color="auto" w:fill="FFFFFF"/>
          </w:tcPr>
          <w:p w14:paraId="16A84536"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.486</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5073EF80"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.174</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0AB7D4E6"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.082</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496F3566"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.081</w:t>
            </w:r>
          </w:p>
        </w:tc>
        <w:tc>
          <w:tcPr>
            <w:tcW w:w="1063" w:type="dxa"/>
            <w:tcBorders>
              <w:top w:val="single" w:sz="8" w:space="0" w:color="AEAEAE"/>
              <w:left w:val="single" w:sz="8" w:space="0" w:color="E0E0E0"/>
              <w:bottom w:val="single" w:sz="8" w:space="0" w:color="AEAEAE"/>
              <w:right w:val="single" w:sz="8" w:space="0" w:color="E0E0E0"/>
            </w:tcBorders>
            <w:shd w:val="clear" w:color="auto" w:fill="FFFFFF"/>
          </w:tcPr>
          <w:p w14:paraId="4A606C96"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.542</w:t>
            </w:r>
          </w:p>
        </w:tc>
        <w:tc>
          <w:tcPr>
            <w:tcW w:w="1063" w:type="dxa"/>
            <w:tcBorders>
              <w:top w:val="single" w:sz="8" w:space="0" w:color="AEAEAE"/>
              <w:left w:val="single" w:sz="8" w:space="0" w:color="E0E0E0"/>
              <w:bottom w:val="single" w:sz="8" w:space="0" w:color="AEAEAE"/>
              <w:right w:val="nil"/>
            </w:tcBorders>
            <w:shd w:val="clear" w:color="auto" w:fill="FFFFFF"/>
          </w:tcPr>
          <w:p w14:paraId="70328ADC"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1.846</w:t>
            </w:r>
          </w:p>
        </w:tc>
      </w:tr>
      <w:tr w:rsidR="00833E5C" w:rsidRPr="00EF50D5" w14:paraId="032A350A" w14:textId="77777777" w:rsidTr="00833E5C">
        <w:trPr>
          <w:cantSplit/>
        </w:trPr>
        <w:tc>
          <w:tcPr>
            <w:tcW w:w="284" w:type="dxa"/>
            <w:vMerge/>
            <w:tcBorders>
              <w:top w:val="single" w:sz="8" w:space="0" w:color="AEAEAE"/>
              <w:left w:val="nil"/>
              <w:bottom w:val="nil"/>
              <w:right w:val="nil"/>
            </w:tcBorders>
            <w:shd w:val="clear" w:color="auto" w:fill="E0E0E0"/>
          </w:tcPr>
          <w:p w14:paraId="286D6EAC" w14:textId="77777777" w:rsidR="007F596B" w:rsidRPr="00EF50D5" w:rsidRDefault="007F596B" w:rsidP="007F596B">
            <w:pPr>
              <w:autoSpaceDE w:val="0"/>
              <w:autoSpaceDN w:val="0"/>
              <w:adjustRightInd w:val="0"/>
              <w:rPr>
                <w:rFonts w:ascii="Arial" w:hAnsi="Arial" w:cs="Arial"/>
                <w:color w:val="010205"/>
                <w:sz w:val="16"/>
                <w:szCs w:val="16"/>
                <w:lang w:val="en-US"/>
              </w:rPr>
            </w:pPr>
          </w:p>
        </w:tc>
        <w:tc>
          <w:tcPr>
            <w:tcW w:w="992" w:type="dxa"/>
            <w:tcBorders>
              <w:top w:val="single" w:sz="8" w:space="0" w:color="AEAEAE"/>
              <w:left w:val="nil"/>
              <w:bottom w:val="single" w:sz="8" w:space="0" w:color="AEAEAE"/>
              <w:right w:val="nil"/>
            </w:tcBorders>
            <w:shd w:val="clear" w:color="auto" w:fill="E0E0E0"/>
          </w:tcPr>
          <w:p w14:paraId="093B7655"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A</w:t>
            </w:r>
          </w:p>
        </w:tc>
        <w:tc>
          <w:tcPr>
            <w:tcW w:w="992" w:type="dxa"/>
            <w:tcBorders>
              <w:top w:val="single" w:sz="8" w:space="0" w:color="AEAEAE"/>
              <w:left w:val="nil"/>
              <w:bottom w:val="single" w:sz="8" w:space="0" w:color="AEAEAE"/>
              <w:right w:val="single" w:sz="8" w:space="0" w:color="E0E0E0"/>
            </w:tcBorders>
            <w:shd w:val="clear" w:color="auto" w:fill="FFFFFF"/>
          </w:tcPr>
          <w:p w14:paraId="4937570C"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2.046</w:t>
            </w:r>
          </w:p>
        </w:tc>
        <w:tc>
          <w:tcPr>
            <w:tcW w:w="993" w:type="dxa"/>
            <w:tcBorders>
              <w:top w:val="single" w:sz="8" w:space="0" w:color="AEAEAE"/>
              <w:left w:val="single" w:sz="8" w:space="0" w:color="E0E0E0"/>
              <w:bottom w:val="single" w:sz="8" w:space="0" w:color="AEAEAE"/>
              <w:right w:val="single" w:sz="8" w:space="0" w:color="E0E0E0"/>
            </w:tcBorders>
            <w:shd w:val="clear" w:color="auto" w:fill="FFFFFF"/>
          </w:tcPr>
          <w:p w14:paraId="6B133BBA"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1.720</w:t>
            </w:r>
          </w:p>
        </w:tc>
        <w:tc>
          <w:tcPr>
            <w:tcW w:w="1134" w:type="dxa"/>
            <w:tcBorders>
              <w:top w:val="single" w:sz="8" w:space="0" w:color="AEAEAE"/>
              <w:left w:val="single" w:sz="8" w:space="0" w:color="E0E0E0"/>
              <w:bottom w:val="single" w:sz="8" w:space="0" w:color="AEAEAE"/>
              <w:right w:val="single" w:sz="8" w:space="0" w:color="E0E0E0"/>
            </w:tcBorders>
            <w:shd w:val="clear" w:color="auto" w:fill="FFFFFF"/>
          </w:tcPr>
          <w:p w14:paraId="5BE73CA3"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.115</w:t>
            </w:r>
          </w:p>
        </w:tc>
        <w:tc>
          <w:tcPr>
            <w:tcW w:w="850" w:type="dxa"/>
            <w:tcBorders>
              <w:top w:val="single" w:sz="8" w:space="0" w:color="AEAEAE"/>
              <w:left w:val="single" w:sz="8" w:space="0" w:color="E0E0E0"/>
              <w:bottom w:val="single" w:sz="8" w:space="0" w:color="AEAEAE"/>
              <w:right w:val="single" w:sz="8" w:space="0" w:color="E0E0E0"/>
            </w:tcBorders>
            <w:shd w:val="clear" w:color="auto" w:fill="FFFFFF"/>
          </w:tcPr>
          <w:p w14:paraId="510E32F9"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1.190</w:t>
            </w:r>
          </w:p>
        </w:tc>
        <w:tc>
          <w:tcPr>
            <w:tcW w:w="851" w:type="dxa"/>
            <w:tcBorders>
              <w:top w:val="single" w:sz="8" w:space="0" w:color="AEAEAE"/>
              <w:left w:val="single" w:sz="8" w:space="0" w:color="E0E0E0"/>
              <w:bottom w:val="single" w:sz="8" w:space="0" w:color="AEAEAE"/>
              <w:right w:val="single" w:sz="8" w:space="0" w:color="E0E0E0"/>
            </w:tcBorders>
            <w:shd w:val="clear" w:color="auto" w:fill="FFFFFF"/>
          </w:tcPr>
          <w:p w14:paraId="28C65AAB"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.236</w:t>
            </w:r>
          </w:p>
        </w:tc>
        <w:tc>
          <w:tcPr>
            <w:tcW w:w="1275" w:type="dxa"/>
            <w:tcBorders>
              <w:top w:val="single" w:sz="8" w:space="0" w:color="AEAEAE"/>
              <w:left w:val="single" w:sz="8" w:space="0" w:color="E0E0E0"/>
              <w:bottom w:val="single" w:sz="8" w:space="0" w:color="AEAEAE"/>
              <w:right w:val="single" w:sz="8" w:space="0" w:color="E0E0E0"/>
            </w:tcBorders>
            <w:shd w:val="clear" w:color="auto" w:fill="FFFFFF"/>
          </w:tcPr>
          <w:p w14:paraId="5C910E49"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-1.346</w:t>
            </w:r>
          </w:p>
        </w:tc>
        <w:tc>
          <w:tcPr>
            <w:tcW w:w="1276" w:type="dxa"/>
            <w:tcBorders>
              <w:top w:val="single" w:sz="8" w:space="0" w:color="AEAEAE"/>
              <w:left w:val="single" w:sz="8" w:space="0" w:color="E0E0E0"/>
              <w:bottom w:val="single" w:sz="8" w:space="0" w:color="AEAEAE"/>
              <w:right w:val="single" w:sz="8" w:space="0" w:color="E0E0E0"/>
            </w:tcBorders>
            <w:shd w:val="clear" w:color="auto" w:fill="FFFFFF"/>
          </w:tcPr>
          <w:p w14:paraId="43DE0141"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5.439</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36E2E252"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.170</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3911371C"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.085</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647C0669"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.084</w:t>
            </w:r>
          </w:p>
        </w:tc>
        <w:tc>
          <w:tcPr>
            <w:tcW w:w="1063" w:type="dxa"/>
            <w:tcBorders>
              <w:top w:val="single" w:sz="8" w:space="0" w:color="AEAEAE"/>
              <w:left w:val="single" w:sz="8" w:space="0" w:color="E0E0E0"/>
              <w:bottom w:val="single" w:sz="8" w:space="0" w:color="AEAEAE"/>
              <w:right w:val="single" w:sz="8" w:space="0" w:color="E0E0E0"/>
            </w:tcBorders>
            <w:shd w:val="clear" w:color="auto" w:fill="FFFFFF"/>
          </w:tcPr>
          <w:p w14:paraId="050ED0CD"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.527</w:t>
            </w:r>
          </w:p>
        </w:tc>
        <w:tc>
          <w:tcPr>
            <w:tcW w:w="1063" w:type="dxa"/>
            <w:tcBorders>
              <w:top w:val="single" w:sz="8" w:space="0" w:color="AEAEAE"/>
              <w:left w:val="single" w:sz="8" w:space="0" w:color="E0E0E0"/>
              <w:bottom w:val="single" w:sz="8" w:space="0" w:color="AEAEAE"/>
              <w:right w:val="nil"/>
            </w:tcBorders>
            <w:shd w:val="clear" w:color="auto" w:fill="FFFFFF"/>
          </w:tcPr>
          <w:p w14:paraId="246CF61B"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1.896</w:t>
            </w:r>
          </w:p>
        </w:tc>
      </w:tr>
      <w:tr w:rsidR="00833E5C" w:rsidRPr="00EF50D5" w14:paraId="354CC53C" w14:textId="77777777" w:rsidTr="00833E5C">
        <w:trPr>
          <w:cantSplit/>
        </w:trPr>
        <w:tc>
          <w:tcPr>
            <w:tcW w:w="284" w:type="dxa"/>
            <w:vMerge/>
            <w:tcBorders>
              <w:top w:val="single" w:sz="8" w:space="0" w:color="AEAEAE"/>
              <w:left w:val="nil"/>
              <w:bottom w:val="nil"/>
              <w:right w:val="nil"/>
            </w:tcBorders>
            <w:shd w:val="clear" w:color="auto" w:fill="E0E0E0"/>
          </w:tcPr>
          <w:p w14:paraId="05418233" w14:textId="77777777" w:rsidR="007F596B" w:rsidRPr="00EF50D5" w:rsidRDefault="007F596B" w:rsidP="007F596B">
            <w:pPr>
              <w:autoSpaceDE w:val="0"/>
              <w:autoSpaceDN w:val="0"/>
              <w:adjustRightInd w:val="0"/>
              <w:rPr>
                <w:rFonts w:ascii="Arial" w:hAnsi="Arial" w:cs="Arial"/>
                <w:color w:val="010205"/>
                <w:sz w:val="16"/>
                <w:szCs w:val="16"/>
                <w:lang w:val="en-US"/>
              </w:rPr>
            </w:pPr>
          </w:p>
        </w:tc>
        <w:tc>
          <w:tcPr>
            <w:tcW w:w="992" w:type="dxa"/>
            <w:tcBorders>
              <w:top w:val="single" w:sz="8" w:space="0" w:color="AEAEAE"/>
              <w:left w:val="nil"/>
              <w:bottom w:val="nil"/>
              <w:right w:val="nil"/>
            </w:tcBorders>
            <w:shd w:val="clear" w:color="auto" w:fill="E0E0E0"/>
          </w:tcPr>
          <w:p w14:paraId="3D2C8F89"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YrsQual</w:t>
            </w:r>
          </w:p>
        </w:tc>
        <w:tc>
          <w:tcPr>
            <w:tcW w:w="992" w:type="dxa"/>
            <w:tcBorders>
              <w:top w:val="single" w:sz="8" w:space="0" w:color="AEAEAE"/>
              <w:left w:val="nil"/>
              <w:bottom w:val="nil"/>
              <w:right w:val="single" w:sz="8" w:space="0" w:color="E0E0E0"/>
            </w:tcBorders>
            <w:shd w:val="clear" w:color="auto" w:fill="FFFFFF"/>
          </w:tcPr>
          <w:p w14:paraId="718B3D4B"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.453</w:t>
            </w:r>
          </w:p>
        </w:tc>
        <w:tc>
          <w:tcPr>
            <w:tcW w:w="993" w:type="dxa"/>
            <w:tcBorders>
              <w:top w:val="single" w:sz="8" w:space="0" w:color="AEAEAE"/>
              <w:left w:val="single" w:sz="8" w:space="0" w:color="E0E0E0"/>
              <w:bottom w:val="nil"/>
              <w:right w:val="single" w:sz="8" w:space="0" w:color="E0E0E0"/>
            </w:tcBorders>
            <w:shd w:val="clear" w:color="auto" w:fill="FFFFFF"/>
          </w:tcPr>
          <w:p w14:paraId="05BB628E"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.385</w:t>
            </w:r>
          </w:p>
        </w:tc>
        <w:tc>
          <w:tcPr>
            <w:tcW w:w="1134" w:type="dxa"/>
            <w:tcBorders>
              <w:top w:val="single" w:sz="8" w:space="0" w:color="AEAEAE"/>
              <w:left w:val="single" w:sz="8" w:space="0" w:color="E0E0E0"/>
              <w:bottom w:val="nil"/>
              <w:right w:val="single" w:sz="8" w:space="0" w:color="E0E0E0"/>
            </w:tcBorders>
            <w:shd w:val="clear" w:color="auto" w:fill="FFFFFF"/>
          </w:tcPr>
          <w:p w14:paraId="00C0A241"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.085</w:t>
            </w:r>
          </w:p>
        </w:tc>
        <w:tc>
          <w:tcPr>
            <w:tcW w:w="850" w:type="dxa"/>
            <w:tcBorders>
              <w:top w:val="single" w:sz="8" w:space="0" w:color="AEAEAE"/>
              <w:left w:val="single" w:sz="8" w:space="0" w:color="E0E0E0"/>
              <w:bottom w:val="nil"/>
              <w:right w:val="single" w:sz="8" w:space="0" w:color="E0E0E0"/>
            </w:tcBorders>
            <w:shd w:val="clear" w:color="auto" w:fill="FFFFFF"/>
          </w:tcPr>
          <w:p w14:paraId="791D41B8"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1.178</w:t>
            </w:r>
          </w:p>
        </w:tc>
        <w:tc>
          <w:tcPr>
            <w:tcW w:w="851" w:type="dxa"/>
            <w:tcBorders>
              <w:top w:val="single" w:sz="8" w:space="0" w:color="AEAEAE"/>
              <w:left w:val="single" w:sz="8" w:space="0" w:color="E0E0E0"/>
              <w:bottom w:val="nil"/>
              <w:right w:val="single" w:sz="8" w:space="0" w:color="E0E0E0"/>
            </w:tcBorders>
            <w:shd w:val="clear" w:color="auto" w:fill="FFFFFF"/>
          </w:tcPr>
          <w:p w14:paraId="726F3331"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.240</w:t>
            </w:r>
          </w:p>
        </w:tc>
        <w:tc>
          <w:tcPr>
            <w:tcW w:w="1275" w:type="dxa"/>
            <w:tcBorders>
              <w:top w:val="single" w:sz="8" w:space="0" w:color="AEAEAE"/>
              <w:left w:val="single" w:sz="8" w:space="0" w:color="E0E0E0"/>
              <w:bottom w:val="nil"/>
              <w:right w:val="single" w:sz="8" w:space="0" w:color="E0E0E0"/>
            </w:tcBorders>
            <w:shd w:val="clear" w:color="auto" w:fill="FFFFFF"/>
          </w:tcPr>
          <w:p w14:paraId="2F0BD437"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-.305</w:t>
            </w:r>
          </w:p>
        </w:tc>
        <w:tc>
          <w:tcPr>
            <w:tcW w:w="1276" w:type="dxa"/>
            <w:tcBorders>
              <w:top w:val="single" w:sz="8" w:space="0" w:color="AEAEAE"/>
              <w:left w:val="single" w:sz="8" w:space="0" w:color="E0E0E0"/>
              <w:bottom w:val="nil"/>
              <w:right w:val="single" w:sz="8" w:space="0" w:color="E0E0E0"/>
            </w:tcBorders>
            <w:shd w:val="clear" w:color="auto" w:fill="FFFFFF"/>
          </w:tcPr>
          <w:p w14:paraId="73D90DBB"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1.212</w:t>
            </w:r>
          </w:p>
        </w:tc>
        <w:tc>
          <w:tcPr>
            <w:tcW w:w="945" w:type="dxa"/>
            <w:tcBorders>
              <w:top w:val="single" w:sz="8" w:space="0" w:color="AEAEAE"/>
              <w:left w:val="single" w:sz="8" w:space="0" w:color="E0E0E0"/>
              <w:bottom w:val="nil"/>
              <w:right w:val="single" w:sz="8" w:space="0" w:color="E0E0E0"/>
            </w:tcBorders>
            <w:shd w:val="clear" w:color="auto" w:fill="FFFFFF"/>
          </w:tcPr>
          <w:p w14:paraId="68F0B146"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.041</w:t>
            </w:r>
          </w:p>
        </w:tc>
        <w:tc>
          <w:tcPr>
            <w:tcW w:w="945" w:type="dxa"/>
            <w:tcBorders>
              <w:top w:val="single" w:sz="8" w:space="0" w:color="AEAEAE"/>
              <w:left w:val="single" w:sz="8" w:space="0" w:color="E0E0E0"/>
              <w:bottom w:val="nil"/>
              <w:right w:val="single" w:sz="8" w:space="0" w:color="E0E0E0"/>
            </w:tcBorders>
            <w:shd w:val="clear" w:color="auto" w:fill="FFFFFF"/>
          </w:tcPr>
          <w:p w14:paraId="74CDAB75"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.084</w:t>
            </w:r>
          </w:p>
        </w:tc>
        <w:tc>
          <w:tcPr>
            <w:tcW w:w="945" w:type="dxa"/>
            <w:tcBorders>
              <w:top w:val="single" w:sz="8" w:space="0" w:color="AEAEAE"/>
              <w:left w:val="single" w:sz="8" w:space="0" w:color="E0E0E0"/>
              <w:bottom w:val="nil"/>
              <w:right w:val="single" w:sz="8" w:space="0" w:color="E0E0E0"/>
            </w:tcBorders>
            <w:shd w:val="clear" w:color="auto" w:fill="FFFFFF"/>
          </w:tcPr>
          <w:p w14:paraId="1137B053"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.083</w:t>
            </w:r>
          </w:p>
        </w:tc>
        <w:tc>
          <w:tcPr>
            <w:tcW w:w="1063" w:type="dxa"/>
            <w:tcBorders>
              <w:top w:val="single" w:sz="8" w:space="0" w:color="AEAEAE"/>
              <w:left w:val="single" w:sz="8" w:space="0" w:color="E0E0E0"/>
              <w:bottom w:val="nil"/>
              <w:right w:val="single" w:sz="8" w:space="0" w:color="E0E0E0"/>
            </w:tcBorders>
            <w:shd w:val="clear" w:color="auto" w:fill="FFFFFF"/>
          </w:tcPr>
          <w:p w14:paraId="20742DB5"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.948</w:t>
            </w:r>
          </w:p>
        </w:tc>
        <w:tc>
          <w:tcPr>
            <w:tcW w:w="1063" w:type="dxa"/>
            <w:tcBorders>
              <w:top w:val="single" w:sz="8" w:space="0" w:color="AEAEAE"/>
              <w:left w:val="single" w:sz="8" w:space="0" w:color="E0E0E0"/>
              <w:bottom w:val="nil"/>
              <w:right w:val="nil"/>
            </w:tcBorders>
            <w:shd w:val="clear" w:color="auto" w:fill="FFFFFF"/>
          </w:tcPr>
          <w:p w14:paraId="240A2C28"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1.055</w:t>
            </w:r>
          </w:p>
        </w:tc>
      </w:tr>
      <w:tr w:rsidR="00833E5C" w:rsidRPr="00EF50D5" w14:paraId="07F2B6D7" w14:textId="77777777" w:rsidTr="00833E5C">
        <w:trPr>
          <w:cantSplit/>
        </w:trPr>
        <w:tc>
          <w:tcPr>
            <w:tcW w:w="284" w:type="dxa"/>
            <w:vMerge w:val="restart"/>
            <w:tcBorders>
              <w:top w:val="single" w:sz="8" w:space="0" w:color="AEAEAE"/>
              <w:left w:val="nil"/>
              <w:bottom w:val="nil"/>
              <w:right w:val="nil"/>
            </w:tcBorders>
            <w:shd w:val="clear" w:color="auto" w:fill="E0E0E0"/>
          </w:tcPr>
          <w:p w14:paraId="5D376C4E"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3</w:t>
            </w:r>
          </w:p>
        </w:tc>
        <w:tc>
          <w:tcPr>
            <w:tcW w:w="992" w:type="dxa"/>
            <w:tcBorders>
              <w:top w:val="single" w:sz="8" w:space="0" w:color="AEAEAE"/>
              <w:left w:val="nil"/>
              <w:bottom w:val="single" w:sz="8" w:space="0" w:color="AEAEAE"/>
              <w:right w:val="nil"/>
            </w:tcBorders>
            <w:shd w:val="clear" w:color="auto" w:fill="E0E0E0"/>
          </w:tcPr>
          <w:p w14:paraId="3242E08D"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(Constant)</w:t>
            </w:r>
          </w:p>
        </w:tc>
        <w:tc>
          <w:tcPr>
            <w:tcW w:w="992" w:type="dxa"/>
            <w:tcBorders>
              <w:top w:val="single" w:sz="8" w:space="0" w:color="AEAEAE"/>
              <w:left w:val="nil"/>
              <w:bottom w:val="single" w:sz="8" w:space="0" w:color="AEAEAE"/>
              <w:right w:val="single" w:sz="8" w:space="0" w:color="E0E0E0"/>
            </w:tcBorders>
            <w:shd w:val="clear" w:color="auto" w:fill="FFFFFF"/>
          </w:tcPr>
          <w:p w14:paraId="4AAD507F"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36.193</w:t>
            </w:r>
          </w:p>
        </w:tc>
        <w:tc>
          <w:tcPr>
            <w:tcW w:w="993" w:type="dxa"/>
            <w:tcBorders>
              <w:top w:val="single" w:sz="8" w:space="0" w:color="AEAEAE"/>
              <w:left w:val="single" w:sz="8" w:space="0" w:color="E0E0E0"/>
              <w:bottom w:val="single" w:sz="8" w:space="0" w:color="AEAEAE"/>
              <w:right w:val="single" w:sz="8" w:space="0" w:color="E0E0E0"/>
            </w:tcBorders>
            <w:shd w:val="clear" w:color="auto" w:fill="FFFFFF"/>
          </w:tcPr>
          <w:p w14:paraId="75F5F8B7"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6.287</w:t>
            </w:r>
          </w:p>
        </w:tc>
        <w:tc>
          <w:tcPr>
            <w:tcW w:w="1134"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785389DA" w14:textId="77777777" w:rsidR="007F596B" w:rsidRPr="00EF50D5" w:rsidRDefault="007F596B" w:rsidP="007F596B">
            <w:pPr>
              <w:autoSpaceDE w:val="0"/>
              <w:autoSpaceDN w:val="0"/>
              <w:adjustRightInd w:val="0"/>
              <w:rPr>
                <w:rFonts w:ascii="Arial" w:hAnsi="Arial" w:cs="Arial"/>
                <w:sz w:val="16"/>
                <w:szCs w:val="16"/>
                <w:lang w:val="en-US"/>
              </w:rPr>
            </w:pPr>
          </w:p>
        </w:tc>
        <w:tc>
          <w:tcPr>
            <w:tcW w:w="850" w:type="dxa"/>
            <w:tcBorders>
              <w:top w:val="single" w:sz="8" w:space="0" w:color="AEAEAE"/>
              <w:left w:val="single" w:sz="8" w:space="0" w:color="E0E0E0"/>
              <w:bottom w:val="single" w:sz="8" w:space="0" w:color="AEAEAE"/>
              <w:right w:val="single" w:sz="8" w:space="0" w:color="E0E0E0"/>
            </w:tcBorders>
            <w:shd w:val="clear" w:color="auto" w:fill="FFFFFF"/>
          </w:tcPr>
          <w:p w14:paraId="37DC5653"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5.757</w:t>
            </w:r>
          </w:p>
        </w:tc>
        <w:tc>
          <w:tcPr>
            <w:tcW w:w="851" w:type="dxa"/>
            <w:tcBorders>
              <w:top w:val="single" w:sz="8" w:space="0" w:color="AEAEAE"/>
              <w:left w:val="single" w:sz="8" w:space="0" w:color="E0E0E0"/>
              <w:bottom w:val="single" w:sz="8" w:space="0" w:color="AEAEAE"/>
              <w:right w:val="single" w:sz="8" w:space="0" w:color="E0E0E0"/>
            </w:tcBorders>
            <w:shd w:val="clear" w:color="auto" w:fill="FFFFFF"/>
          </w:tcPr>
          <w:p w14:paraId="1AE877CF"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.000</w:t>
            </w:r>
          </w:p>
        </w:tc>
        <w:tc>
          <w:tcPr>
            <w:tcW w:w="1275" w:type="dxa"/>
            <w:tcBorders>
              <w:top w:val="single" w:sz="8" w:space="0" w:color="AEAEAE"/>
              <w:left w:val="single" w:sz="8" w:space="0" w:color="E0E0E0"/>
              <w:bottom w:val="single" w:sz="8" w:space="0" w:color="AEAEAE"/>
              <w:right w:val="single" w:sz="8" w:space="0" w:color="E0E0E0"/>
            </w:tcBorders>
            <w:shd w:val="clear" w:color="auto" w:fill="FFFFFF"/>
          </w:tcPr>
          <w:p w14:paraId="634908E1"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23.792</w:t>
            </w:r>
          </w:p>
        </w:tc>
        <w:tc>
          <w:tcPr>
            <w:tcW w:w="1276" w:type="dxa"/>
            <w:tcBorders>
              <w:top w:val="single" w:sz="8" w:space="0" w:color="AEAEAE"/>
              <w:left w:val="single" w:sz="8" w:space="0" w:color="E0E0E0"/>
              <w:bottom w:val="single" w:sz="8" w:space="0" w:color="AEAEAE"/>
              <w:right w:val="single" w:sz="8" w:space="0" w:color="E0E0E0"/>
            </w:tcBorders>
            <w:shd w:val="clear" w:color="auto" w:fill="FFFFFF"/>
          </w:tcPr>
          <w:p w14:paraId="03E680ED"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48.593</w:t>
            </w:r>
          </w:p>
        </w:tc>
        <w:tc>
          <w:tcPr>
            <w:tcW w:w="945"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3CECA7C4" w14:textId="77777777" w:rsidR="007F596B" w:rsidRPr="00EF50D5" w:rsidRDefault="007F596B" w:rsidP="007F596B">
            <w:pPr>
              <w:autoSpaceDE w:val="0"/>
              <w:autoSpaceDN w:val="0"/>
              <w:adjustRightInd w:val="0"/>
              <w:rPr>
                <w:rFonts w:ascii="Arial" w:hAnsi="Arial" w:cs="Arial"/>
                <w:sz w:val="16"/>
                <w:szCs w:val="16"/>
                <w:lang w:val="en-US"/>
              </w:rPr>
            </w:pPr>
          </w:p>
        </w:tc>
        <w:tc>
          <w:tcPr>
            <w:tcW w:w="945"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5DECCF5C" w14:textId="77777777" w:rsidR="007F596B" w:rsidRPr="00EF50D5" w:rsidRDefault="007F596B" w:rsidP="007F596B">
            <w:pPr>
              <w:autoSpaceDE w:val="0"/>
              <w:autoSpaceDN w:val="0"/>
              <w:adjustRightInd w:val="0"/>
              <w:rPr>
                <w:rFonts w:ascii="Arial" w:hAnsi="Arial" w:cs="Arial"/>
                <w:sz w:val="16"/>
                <w:szCs w:val="16"/>
                <w:lang w:val="en-US"/>
              </w:rPr>
            </w:pPr>
          </w:p>
        </w:tc>
        <w:tc>
          <w:tcPr>
            <w:tcW w:w="945"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60DBEF5C" w14:textId="77777777" w:rsidR="007F596B" w:rsidRPr="00EF50D5" w:rsidRDefault="007F596B" w:rsidP="007F596B">
            <w:pPr>
              <w:autoSpaceDE w:val="0"/>
              <w:autoSpaceDN w:val="0"/>
              <w:adjustRightInd w:val="0"/>
              <w:rPr>
                <w:rFonts w:ascii="Arial" w:hAnsi="Arial" w:cs="Arial"/>
                <w:sz w:val="16"/>
                <w:szCs w:val="16"/>
                <w:lang w:val="en-US"/>
              </w:rPr>
            </w:pPr>
          </w:p>
        </w:tc>
        <w:tc>
          <w:tcPr>
            <w:tcW w:w="1063"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707A8EAF" w14:textId="77777777" w:rsidR="007F596B" w:rsidRPr="00EF50D5" w:rsidRDefault="007F596B" w:rsidP="007F596B">
            <w:pPr>
              <w:autoSpaceDE w:val="0"/>
              <w:autoSpaceDN w:val="0"/>
              <w:adjustRightInd w:val="0"/>
              <w:rPr>
                <w:rFonts w:ascii="Arial" w:hAnsi="Arial" w:cs="Arial"/>
                <w:sz w:val="16"/>
                <w:szCs w:val="16"/>
                <w:lang w:val="en-US"/>
              </w:rPr>
            </w:pPr>
          </w:p>
        </w:tc>
        <w:tc>
          <w:tcPr>
            <w:tcW w:w="1063" w:type="dxa"/>
            <w:tcBorders>
              <w:top w:val="single" w:sz="8" w:space="0" w:color="AEAEAE"/>
              <w:left w:val="single" w:sz="8" w:space="0" w:color="E0E0E0"/>
              <w:bottom w:val="single" w:sz="8" w:space="0" w:color="AEAEAE"/>
              <w:right w:val="nil"/>
            </w:tcBorders>
            <w:shd w:val="clear" w:color="auto" w:fill="FFFFFF"/>
            <w:vAlign w:val="center"/>
          </w:tcPr>
          <w:p w14:paraId="28C0CFDA" w14:textId="77777777" w:rsidR="007F596B" w:rsidRPr="00EF50D5" w:rsidRDefault="007F596B" w:rsidP="007F596B">
            <w:pPr>
              <w:autoSpaceDE w:val="0"/>
              <w:autoSpaceDN w:val="0"/>
              <w:adjustRightInd w:val="0"/>
              <w:rPr>
                <w:rFonts w:ascii="Arial" w:hAnsi="Arial" w:cs="Arial"/>
                <w:sz w:val="16"/>
                <w:szCs w:val="16"/>
                <w:lang w:val="en-US"/>
              </w:rPr>
            </w:pPr>
          </w:p>
        </w:tc>
      </w:tr>
      <w:tr w:rsidR="00833E5C" w:rsidRPr="00EF50D5" w14:paraId="293FFCF5" w14:textId="77777777" w:rsidTr="00833E5C">
        <w:trPr>
          <w:cantSplit/>
        </w:trPr>
        <w:tc>
          <w:tcPr>
            <w:tcW w:w="284" w:type="dxa"/>
            <w:vMerge/>
            <w:tcBorders>
              <w:top w:val="single" w:sz="8" w:space="0" w:color="AEAEAE"/>
              <w:left w:val="nil"/>
              <w:bottom w:val="nil"/>
              <w:right w:val="nil"/>
            </w:tcBorders>
            <w:shd w:val="clear" w:color="auto" w:fill="E0E0E0"/>
          </w:tcPr>
          <w:p w14:paraId="055D0504" w14:textId="77777777" w:rsidR="007F596B" w:rsidRPr="00EF50D5" w:rsidRDefault="007F596B" w:rsidP="007F596B">
            <w:pPr>
              <w:autoSpaceDE w:val="0"/>
              <w:autoSpaceDN w:val="0"/>
              <w:adjustRightInd w:val="0"/>
              <w:rPr>
                <w:rFonts w:ascii="Arial" w:hAnsi="Arial" w:cs="Arial"/>
                <w:sz w:val="16"/>
                <w:szCs w:val="16"/>
                <w:lang w:val="en-US"/>
              </w:rPr>
            </w:pPr>
          </w:p>
        </w:tc>
        <w:tc>
          <w:tcPr>
            <w:tcW w:w="992" w:type="dxa"/>
            <w:tcBorders>
              <w:top w:val="single" w:sz="8" w:space="0" w:color="AEAEAE"/>
              <w:left w:val="nil"/>
              <w:bottom w:val="single" w:sz="8" w:space="0" w:color="AEAEAE"/>
              <w:right w:val="nil"/>
            </w:tcBorders>
            <w:shd w:val="clear" w:color="auto" w:fill="E0E0E0"/>
          </w:tcPr>
          <w:p w14:paraId="5C9612B0"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F</w:t>
            </w:r>
          </w:p>
        </w:tc>
        <w:tc>
          <w:tcPr>
            <w:tcW w:w="992" w:type="dxa"/>
            <w:tcBorders>
              <w:top w:val="single" w:sz="8" w:space="0" w:color="AEAEAE"/>
              <w:left w:val="nil"/>
              <w:bottom w:val="single" w:sz="8" w:space="0" w:color="AEAEAE"/>
              <w:right w:val="single" w:sz="8" w:space="0" w:color="E0E0E0"/>
            </w:tcBorders>
            <w:shd w:val="clear" w:color="auto" w:fill="FFFFFF"/>
          </w:tcPr>
          <w:p w14:paraId="0457D889"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.183</w:t>
            </w:r>
          </w:p>
        </w:tc>
        <w:tc>
          <w:tcPr>
            <w:tcW w:w="993" w:type="dxa"/>
            <w:tcBorders>
              <w:top w:val="single" w:sz="8" w:space="0" w:color="AEAEAE"/>
              <w:left w:val="single" w:sz="8" w:space="0" w:color="E0E0E0"/>
              <w:bottom w:val="single" w:sz="8" w:space="0" w:color="AEAEAE"/>
              <w:right w:val="single" w:sz="8" w:space="0" w:color="E0E0E0"/>
            </w:tcBorders>
            <w:shd w:val="clear" w:color="auto" w:fill="FFFFFF"/>
          </w:tcPr>
          <w:p w14:paraId="391AB724"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.156</w:t>
            </w:r>
          </w:p>
        </w:tc>
        <w:tc>
          <w:tcPr>
            <w:tcW w:w="1134" w:type="dxa"/>
            <w:tcBorders>
              <w:top w:val="single" w:sz="8" w:space="0" w:color="AEAEAE"/>
              <w:left w:val="single" w:sz="8" w:space="0" w:color="E0E0E0"/>
              <w:bottom w:val="single" w:sz="8" w:space="0" w:color="AEAEAE"/>
              <w:right w:val="single" w:sz="8" w:space="0" w:color="E0E0E0"/>
            </w:tcBorders>
            <w:shd w:val="clear" w:color="auto" w:fill="FFFFFF"/>
          </w:tcPr>
          <w:p w14:paraId="50F0C2D5"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.112</w:t>
            </w:r>
          </w:p>
        </w:tc>
        <w:tc>
          <w:tcPr>
            <w:tcW w:w="850" w:type="dxa"/>
            <w:tcBorders>
              <w:top w:val="single" w:sz="8" w:space="0" w:color="AEAEAE"/>
              <w:left w:val="single" w:sz="8" w:space="0" w:color="E0E0E0"/>
              <w:bottom w:val="single" w:sz="8" w:space="0" w:color="AEAEAE"/>
              <w:right w:val="single" w:sz="8" w:space="0" w:color="E0E0E0"/>
            </w:tcBorders>
            <w:shd w:val="clear" w:color="auto" w:fill="FFFFFF"/>
          </w:tcPr>
          <w:p w14:paraId="3F6F4EA7"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1.169</w:t>
            </w:r>
          </w:p>
        </w:tc>
        <w:tc>
          <w:tcPr>
            <w:tcW w:w="851" w:type="dxa"/>
            <w:tcBorders>
              <w:top w:val="single" w:sz="8" w:space="0" w:color="AEAEAE"/>
              <w:left w:val="single" w:sz="8" w:space="0" w:color="E0E0E0"/>
              <w:bottom w:val="single" w:sz="8" w:space="0" w:color="AEAEAE"/>
              <w:right w:val="single" w:sz="8" w:space="0" w:color="E0E0E0"/>
            </w:tcBorders>
            <w:shd w:val="clear" w:color="auto" w:fill="FFFFFF"/>
          </w:tcPr>
          <w:p w14:paraId="2C293E60"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.244</w:t>
            </w:r>
          </w:p>
        </w:tc>
        <w:tc>
          <w:tcPr>
            <w:tcW w:w="1275" w:type="dxa"/>
            <w:tcBorders>
              <w:top w:val="single" w:sz="8" w:space="0" w:color="AEAEAE"/>
              <w:left w:val="single" w:sz="8" w:space="0" w:color="E0E0E0"/>
              <w:bottom w:val="single" w:sz="8" w:space="0" w:color="AEAEAE"/>
              <w:right w:val="single" w:sz="8" w:space="0" w:color="E0E0E0"/>
            </w:tcBorders>
            <w:shd w:val="clear" w:color="auto" w:fill="FFFFFF"/>
          </w:tcPr>
          <w:p w14:paraId="454ABD52"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-.126</w:t>
            </w:r>
          </w:p>
        </w:tc>
        <w:tc>
          <w:tcPr>
            <w:tcW w:w="1276" w:type="dxa"/>
            <w:tcBorders>
              <w:top w:val="single" w:sz="8" w:space="0" w:color="AEAEAE"/>
              <w:left w:val="single" w:sz="8" w:space="0" w:color="E0E0E0"/>
              <w:bottom w:val="single" w:sz="8" w:space="0" w:color="AEAEAE"/>
              <w:right w:val="single" w:sz="8" w:space="0" w:color="E0E0E0"/>
            </w:tcBorders>
            <w:shd w:val="clear" w:color="auto" w:fill="FFFFFF"/>
          </w:tcPr>
          <w:p w14:paraId="5F4DC176"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.491</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4503C16E"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.174</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3C207293"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.084</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43D85488"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.082</w:t>
            </w:r>
          </w:p>
        </w:tc>
        <w:tc>
          <w:tcPr>
            <w:tcW w:w="1063" w:type="dxa"/>
            <w:tcBorders>
              <w:top w:val="single" w:sz="8" w:space="0" w:color="AEAEAE"/>
              <w:left w:val="single" w:sz="8" w:space="0" w:color="E0E0E0"/>
              <w:bottom w:val="single" w:sz="8" w:space="0" w:color="AEAEAE"/>
              <w:right w:val="single" w:sz="8" w:space="0" w:color="E0E0E0"/>
            </w:tcBorders>
            <w:shd w:val="clear" w:color="auto" w:fill="FFFFFF"/>
          </w:tcPr>
          <w:p w14:paraId="5D2FCB28"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.538</w:t>
            </w:r>
          </w:p>
        </w:tc>
        <w:tc>
          <w:tcPr>
            <w:tcW w:w="1063" w:type="dxa"/>
            <w:tcBorders>
              <w:top w:val="single" w:sz="8" w:space="0" w:color="AEAEAE"/>
              <w:left w:val="single" w:sz="8" w:space="0" w:color="E0E0E0"/>
              <w:bottom w:val="single" w:sz="8" w:space="0" w:color="AEAEAE"/>
              <w:right w:val="nil"/>
            </w:tcBorders>
            <w:shd w:val="clear" w:color="auto" w:fill="FFFFFF"/>
          </w:tcPr>
          <w:p w14:paraId="0D91B100"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1.859</w:t>
            </w:r>
          </w:p>
        </w:tc>
      </w:tr>
      <w:tr w:rsidR="00833E5C" w:rsidRPr="00EF50D5" w14:paraId="01241F32" w14:textId="77777777" w:rsidTr="00833E5C">
        <w:trPr>
          <w:cantSplit/>
        </w:trPr>
        <w:tc>
          <w:tcPr>
            <w:tcW w:w="284" w:type="dxa"/>
            <w:vMerge/>
            <w:tcBorders>
              <w:top w:val="single" w:sz="8" w:space="0" w:color="AEAEAE"/>
              <w:left w:val="nil"/>
              <w:bottom w:val="nil"/>
              <w:right w:val="nil"/>
            </w:tcBorders>
            <w:shd w:val="clear" w:color="auto" w:fill="E0E0E0"/>
          </w:tcPr>
          <w:p w14:paraId="16D80013" w14:textId="77777777" w:rsidR="007F596B" w:rsidRPr="00EF50D5" w:rsidRDefault="007F596B" w:rsidP="007F596B">
            <w:pPr>
              <w:autoSpaceDE w:val="0"/>
              <w:autoSpaceDN w:val="0"/>
              <w:adjustRightInd w:val="0"/>
              <w:rPr>
                <w:rFonts w:ascii="Arial" w:hAnsi="Arial" w:cs="Arial"/>
                <w:color w:val="010205"/>
                <w:sz w:val="16"/>
                <w:szCs w:val="16"/>
                <w:lang w:val="en-US"/>
              </w:rPr>
            </w:pPr>
          </w:p>
        </w:tc>
        <w:tc>
          <w:tcPr>
            <w:tcW w:w="992" w:type="dxa"/>
            <w:tcBorders>
              <w:top w:val="single" w:sz="8" w:space="0" w:color="AEAEAE"/>
              <w:left w:val="nil"/>
              <w:bottom w:val="single" w:sz="8" w:space="0" w:color="AEAEAE"/>
              <w:right w:val="nil"/>
            </w:tcBorders>
            <w:shd w:val="clear" w:color="auto" w:fill="E0E0E0"/>
          </w:tcPr>
          <w:p w14:paraId="77878DCC"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A</w:t>
            </w:r>
          </w:p>
        </w:tc>
        <w:tc>
          <w:tcPr>
            <w:tcW w:w="992" w:type="dxa"/>
            <w:tcBorders>
              <w:top w:val="single" w:sz="8" w:space="0" w:color="AEAEAE"/>
              <w:left w:val="nil"/>
              <w:bottom w:val="single" w:sz="8" w:space="0" w:color="AEAEAE"/>
              <w:right w:val="single" w:sz="8" w:space="0" w:color="E0E0E0"/>
            </w:tcBorders>
            <w:shd w:val="clear" w:color="auto" w:fill="FFFFFF"/>
          </w:tcPr>
          <w:p w14:paraId="2657D474"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2.033</w:t>
            </w:r>
          </w:p>
        </w:tc>
        <w:tc>
          <w:tcPr>
            <w:tcW w:w="993" w:type="dxa"/>
            <w:tcBorders>
              <w:top w:val="single" w:sz="8" w:space="0" w:color="AEAEAE"/>
              <w:left w:val="single" w:sz="8" w:space="0" w:color="E0E0E0"/>
              <w:bottom w:val="single" w:sz="8" w:space="0" w:color="AEAEAE"/>
              <w:right w:val="single" w:sz="8" w:space="0" w:color="E0E0E0"/>
            </w:tcBorders>
            <w:shd w:val="clear" w:color="auto" w:fill="FFFFFF"/>
          </w:tcPr>
          <w:p w14:paraId="127E3E09"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1.725</w:t>
            </w:r>
          </w:p>
        </w:tc>
        <w:tc>
          <w:tcPr>
            <w:tcW w:w="1134" w:type="dxa"/>
            <w:tcBorders>
              <w:top w:val="single" w:sz="8" w:space="0" w:color="AEAEAE"/>
              <w:left w:val="single" w:sz="8" w:space="0" w:color="E0E0E0"/>
              <w:bottom w:val="single" w:sz="8" w:space="0" w:color="AEAEAE"/>
              <w:right w:val="single" w:sz="8" w:space="0" w:color="E0E0E0"/>
            </w:tcBorders>
            <w:shd w:val="clear" w:color="auto" w:fill="FFFFFF"/>
          </w:tcPr>
          <w:p w14:paraId="101E9539"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.114</w:t>
            </w:r>
          </w:p>
        </w:tc>
        <w:tc>
          <w:tcPr>
            <w:tcW w:w="850" w:type="dxa"/>
            <w:tcBorders>
              <w:top w:val="single" w:sz="8" w:space="0" w:color="AEAEAE"/>
              <w:left w:val="single" w:sz="8" w:space="0" w:color="E0E0E0"/>
              <w:bottom w:val="single" w:sz="8" w:space="0" w:color="AEAEAE"/>
              <w:right w:val="single" w:sz="8" w:space="0" w:color="E0E0E0"/>
            </w:tcBorders>
            <w:shd w:val="clear" w:color="auto" w:fill="FFFFFF"/>
          </w:tcPr>
          <w:p w14:paraId="004F56CC"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1.179</w:t>
            </w:r>
          </w:p>
        </w:tc>
        <w:tc>
          <w:tcPr>
            <w:tcW w:w="851" w:type="dxa"/>
            <w:tcBorders>
              <w:top w:val="single" w:sz="8" w:space="0" w:color="AEAEAE"/>
              <w:left w:val="single" w:sz="8" w:space="0" w:color="E0E0E0"/>
              <w:bottom w:val="single" w:sz="8" w:space="0" w:color="AEAEAE"/>
              <w:right w:val="single" w:sz="8" w:space="0" w:color="E0E0E0"/>
            </w:tcBorders>
            <w:shd w:val="clear" w:color="auto" w:fill="FFFFFF"/>
          </w:tcPr>
          <w:p w14:paraId="7EC16E3A"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.240</w:t>
            </w:r>
          </w:p>
        </w:tc>
        <w:tc>
          <w:tcPr>
            <w:tcW w:w="1275" w:type="dxa"/>
            <w:tcBorders>
              <w:top w:val="single" w:sz="8" w:space="0" w:color="AEAEAE"/>
              <w:left w:val="single" w:sz="8" w:space="0" w:color="E0E0E0"/>
              <w:bottom w:val="single" w:sz="8" w:space="0" w:color="AEAEAE"/>
              <w:right w:val="single" w:sz="8" w:space="0" w:color="E0E0E0"/>
            </w:tcBorders>
            <w:shd w:val="clear" w:color="auto" w:fill="FFFFFF"/>
          </w:tcPr>
          <w:p w14:paraId="5DAEA806"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-1.369</w:t>
            </w:r>
          </w:p>
        </w:tc>
        <w:tc>
          <w:tcPr>
            <w:tcW w:w="1276" w:type="dxa"/>
            <w:tcBorders>
              <w:top w:val="single" w:sz="8" w:space="0" w:color="AEAEAE"/>
              <w:left w:val="single" w:sz="8" w:space="0" w:color="E0E0E0"/>
              <w:bottom w:val="single" w:sz="8" w:space="0" w:color="AEAEAE"/>
              <w:right w:val="single" w:sz="8" w:space="0" w:color="E0E0E0"/>
            </w:tcBorders>
            <w:shd w:val="clear" w:color="auto" w:fill="FFFFFF"/>
          </w:tcPr>
          <w:p w14:paraId="1070C746"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5.434</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51997AC8"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.170</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080826E6"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.085</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3BC8E9AC"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.083</w:t>
            </w:r>
          </w:p>
        </w:tc>
        <w:tc>
          <w:tcPr>
            <w:tcW w:w="1063" w:type="dxa"/>
            <w:tcBorders>
              <w:top w:val="single" w:sz="8" w:space="0" w:color="AEAEAE"/>
              <w:left w:val="single" w:sz="8" w:space="0" w:color="E0E0E0"/>
              <w:bottom w:val="single" w:sz="8" w:space="0" w:color="AEAEAE"/>
              <w:right w:val="single" w:sz="8" w:space="0" w:color="E0E0E0"/>
            </w:tcBorders>
            <w:shd w:val="clear" w:color="auto" w:fill="FFFFFF"/>
          </w:tcPr>
          <w:p w14:paraId="25B93418"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.527</w:t>
            </w:r>
          </w:p>
        </w:tc>
        <w:tc>
          <w:tcPr>
            <w:tcW w:w="1063" w:type="dxa"/>
            <w:tcBorders>
              <w:top w:val="single" w:sz="8" w:space="0" w:color="AEAEAE"/>
              <w:left w:val="single" w:sz="8" w:space="0" w:color="E0E0E0"/>
              <w:bottom w:val="single" w:sz="8" w:space="0" w:color="AEAEAE"/>
              <w:right w:val="nil"/>
            </w:tcBorders>
            <w:shd w:val="clear" w:color="auto" w:fill="FFFFFF"/>
          </w:tcPr>
          <w:p w14:paraId="4D103092"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1.897</w:t>
            </w:r>
          </w:p>
        </w:tc>
      </w:tr>
      <w:tr w:rsidR="00833E5C" w:rsidRPr="00EF50D5" w14:paraId="66695F10" w14:textId="77777777" w:rsidTr="00833E5C">
        <w:trPr>
          <w:cantSplit/>
        </w:trPr>
        <w:tc>
          <w:tcPr>
            <w:tcW w:w="284" w:type="dxa"/>
            <w:vMerge/>
            <w:tcBorders>
              <w:top w:val="single" w:sz="8" w:space="0" w:color="AEAEAE"/>
              <w:left w:val="nil"/>
              <w:bottom w:val="nil"/>
              <w:right w:val="nil"/>
            </w:tcBorders>
            <w:shd w:val="clear" w:color="auto" w:fill="E0E0E0"/>
          </w:tcPr>
          <w:p w14:paraId="61CD5F95" w14:textId="77777777" w:rsidR="007F596B" w:rsidRPr="00EF50D5" w:rsidRDefault="007F596B" w:rsidP="007F596B">
            <w:pPr>
              <w:autoSpaceDE w:val="0"/>
              <w:autoSpaceDN w:val="0"/>
              <w:adjustRightInd w:val="0"/>
              <w:rPr>
                <w:rFonts w:ascii="Arial" w:hAnsi="Arial" w:cs="Arial"/>
                <w:color w:val="010205"/>
                <w:sz w:val="16"/>
                <w:szCs w:val="16"/>
                <w:lang w:val="en-US"/>
              </w:rPr>
            </w:pPr>
          </w:p>
        </w:tc>
        <w:tc>
          <w:tcPr>
            <w:tcW w:w="992" w:type="dxa"/>
            <w:tcBorders>
              <w:top w:val="single" w:sz="8" w:space="0" w:color="AEAEAE"/>
              <w:left w:val="nil"/>
              <w:bottom w:val="single" w:sz="8" w:space="0" w:color="AEAEAE"/>
              <w:right w:val="nil"/>
            </w:tcBorders>
            <w:shd w:val="clear" w:color="auto" w:fill="E0E0E0"/>
          </w:tcPr>
          <w:p w14:paraId="1ED8CD98"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YrsQual</w:t>
            </w:r>
          </w:p>
        </w:tc>
        <w:tc>
          <w:tcPr>
            <w:tcW w:w="992" w:type="dxa"/>
            <w:tcBorders>
              <w:top w:val="single" w:sz="8" w:space="0" w:color="AEAEAE"/>
              <w:left w:val="nil"/>
              <w:bottom w:val="single" w:sz="8" w:space="0" w:color="AEAEAE"/>
              <w:right w:val="single" w:sz="8" w:space="0" w:color="E0E0E0"/>
            </w:tcBorders>
            <w:shd w:val="clear" w:color="auto" w:fill="FFFFFF"/>
          </w:tcPr>
          <w:p w14:paraId="7E5405D3"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.448</w:t>
            </w:r>
          </w:p>
        </w:tc>
        <w:tc>
          <w:tcPr>
            <w:tcW w:w="993" w:type="dxa"/>
            <w:tcBorders>
              <w:top w:val="single" w:sz="8" w:space="0" w:color="AEAEAE"/>
              <w:left w:val="single" w:sz="8" w:space="0" w:color="E0E0E0"/>
              <w:bottom w:val="single" w:sz="8" w:space="0" w:color="AEAEAE"/>
              <w:right w:val="single" w:sz="8" w:space="0" w:color="E0E0E0"/>
            </w:tcBorders>
            <w:shd w:val="clear" w:color="auto" w:fill="FFFFFF"/>
          </w:tcPr>
          <w:p w14:paraId="78706609"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.386</w:t>
            </w:r>
          </w:p>
        </w:tc>
        <w:tc>
          <w:tcPr>
            <w:tcW w:w="1134" w:type="dxa"/>
            <w:tcBorders>
              <w:top w:val="single" w:sz="8" w:space="0" w:color="AEAEAE"/>
              <w:left w:val="single" w:sz="8" w:space="0" w:color="E0E0E0"/>
              <w:bottom w:val="single" w:sz="8" w:space="0" w:color="AEAEAE"/>
              <w:right w:val="single" w:sz="8" w:space="0" w:color="E0E0E0"/>
            </w:tcBorders>
            <w:shd w:val="clear" w:color="auto" w:fill="FFFFFF"/>
          </w:tcPr>
          <w:p w14:paraId="0B07672D"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.084</w:t>
            </w:r>
          </w:p>
        </w:tc>
        <w:tc>
          <w:tcPr>
            <w:tcW w:w="850" w:type="dxa"/>
            <w:tcBorders>
              <w:top w:val="single" w:sz="8" w:space="0" w:color="AEAEAE"/>
              <w:left w:val="single" w:sz="8" w:space="0" w:color="E0E0E0"/>
              <w:bottom w:val="single" w:sz="8" w:space="0" w:color="AEAEAE"/>
              <w:right w:val="single" w:sz="8" w:space="0" w:color="E0E0E0"/>
            </w:tcBorders>
            <w:shd w:val="clear" w:color="auto" w:fill="FFFFFF"/>
          </w:tcPr>
          <w:p w14:paraId="360DDF39"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1.160</w:t>
            </w:r>
          </w:p>
        </w:tc>
        <w:tc>
          <w:tcPr>
            <w:tcW w:w="851" w:type="dxa"/>
            <w:tcBorders>
              <w:top w:val="single" w:sz="8" w:space="0" w:color="AEAEAE"/>
              <w:left w:val="single" w:sz="8" w:space="0" w:color="E0E0E0"/>
              <w:bottom w:val="single" w:sz="8" w:space="0" w:color="AEAEAE"/>
              <w:right w:val="single" w:sz="8" w:space="0" w:color="E0E0E0"/>
            </w:tcBorders>
            <w:shd w:val="clear" w:color="auto" w:fill="FFFFFF"/>
          </w:tcPr>
          <w:p w14:paraId="4D39582F"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.248</w:t>
            </w:r>
          </w:p>
        </w:tc>
        <w:tc>
          <w:tcPr>
            <w:tcW w:w="1275" w:type="dxa"/>
            <w:tcBorders>
              <w:top w:val="single" w:sz="8" w:space="0" w:color="AEAEAE"/>
              <w:left w:val="single" w:sz="8" w:space="0" w:color="E0E0E0"/>
              <w:bottom w:val="single" w:sz="8" w:space="0" w:color="AEAEAE"/>
              <w:right w:val="single" w:sz="8" w:space="0" w:color="E0E0E0"/>
            </w:tcBorders>
            <w:shd w:val="clear" w:color="auto" w:fill="FFFFFF"/>
          </w:tcPr>
          <w:p w14:paraId="2BF8F20B"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-.314</w:t>
            </w:r>
          </w:p>
        </w:tc>
        <w:tc>
          <w:tcPr>
            <w:tcW w:w="1276" w:type="dxa"/>
            <w:tcBorders>
              <w:top w:val="single" w:sz="8" w:space="0" w:color="AEAEAE"/>
              <w:left w:val="single" w:sz="8" w:space="0" w:color="E0E0E0"/>
              <w:bottom w:val="single" w:sz="8" w:space="0" w:color="AEAEAE"/>
              <w:right w:val="single" w:sz="8" w:space="0" w:color="E0E0E0"/>
            </w:tcBorders>
            <w:shd w:val="clear" w:color="auto" w:fill="FFFFFF"/>
          </w:tcPr>
          <w:p w14:paraId="086A6A37"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1.209</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757967C4"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.041</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4D8EB55A"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.083</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76D00DF1"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.082</w:t>
            </w:r>
          </w:p>
        </w:tc>
        <w:tc>
          <w:tcPr>
            <w:tcW w:w="1063" w:type="dxa"/>
            <w:tcBorders>
              <w:top w:val="single" w:sz="8" w:space="0" w:color="AEAEAE"/>
              <w:left w:val="single" w:sz="8" w:space="0" w:color="E0E0E0"/>
              <w:bottom w:val="single" w:sz="8" w:space="0" w:color="AEAEAE"/>
              <w:right w:val="single" w:sz="8" w:space="0" w:color="E0E0E0"/>
            </w:tcBorders>
            <w:shd w:val="clear" w:color="auto" w:fill="FFFFFF"/>
          </w:tcPr>
          <w:p w14:paraId="26B3C4FF"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.946</w:t>
            </w:r>
          </w:p>
        </w:tc>
        <w:tc>
          <w:tcPr>
            <w:tcW w:w="1063" w:type="dxa"/>
            <w:tcBorders>
              <w:top w:val="single" w:sz="8" w:space="0" w:color="AEAEAE"/>
              <w:left w:val="single" w:sz="8" w:space="0" w:color="E0E0E0"/>
              <w:bottom w:val="single" w:sz="8" w:space="0" w:color="AEAEAE"/>
              <w:right w:val="nil"/>
            </w:tcBorders>
            <w:shd w:val="clear" w:color="auto" w:fill="FFFFFF"/>
          </w:tcPr>
          <w:p w14:paraId="59993A95"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1.058</w:t>
            </w:r>
          </w:p>
        </w:tc>
      </w:tr>
      <w:tr w:rsidR="00833E5C" w:rsidRPr="00EF50D5" w14:paraId="266F8E54" w14:textId="77777777" w:rsidTr="00833E5C">
        <w:trPr>
          <w:cantSplit/>
        </w:trPr>
        <w:tc>
          <w:tcPr>
            <w:tcW w:w="284" w:type="dxa"/>
            <w:vMerge/>
            <w:tcBorders>
              <w:top w:val="single" w:sz="8" w:space="0" w:color="AEAEAE"/>
              <w:left w:val="nil"/>
              <w:bottom w:val="nil"/>
              <w:right w:val="nil"/>
            </w:tcBorders>
            <w:shd w:val="clear" w:color="auto" w:fill="E0E0E0"/>
          </w:tcPr>
          <w:p w14:paraId="7370C918" w14:textId="77777777" w:rsidR="007F596B" w:rsidRPr="00EF50D5" w:rsidRDefault="007F596B" w:rsidP="007F596B">
            <w:pPr>
              <w:autoSpaceDE w:val="0"/>
              <w:autoSpaceDN w:val="0"/>
              <w:adjustRightInd w:val="0"/>
              <w:rPr>
                <w:rFonts w:ascii="Arial" w:hAnsi="Arial" w:cs="Arial"/>
                <w:color w:val="010205"/>
                <w:sz w:val="16"/>
                <w:szCs w:val="16"/>
                <w:lang w:val="en-US"/>
              </w:rPr>
            </w:pPr>
          </w:p>
        </w:tc>
        <w:tc>
          <w:tcPr>
            <w:tcW w:w="992" w:type="dxa"/>
            <w:tcBorders>
              <w:top w:val="single" w:sz="8" w:space="0" w:color="AEAEAE"/>
              <w:left w:val="nil"/>
              <w:bottom w:val="nil"/>
              <w:right w:val="nil"/>
            </w:tcBorders>
            <w:shd w:val="clear" w:color="auto" w:fill="E0E0E0"/>
          </w:tcPr>
          <w:p w14:paraId="48DF8738"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Profession</w:t>
            </w:r>
          </w:p>
        </w:tc>
        <w:tc>
          <w:tcPr>
            <w:tcW w:w="992" w:type="dxa"/>
            <w:tcBorders>
              <w:top w:val="single" w:sz="8" w:space="0" w:color="AEAEAE"/>
              <w:left w:val="nil"/>
              <w:bottom w:val="nil"/>
              <w:right w:val="single" w:sz="8" w:space="0" w:color="E0E0E0"/>
            </w:tcBorders>
            <w:shd w:val="clear" w:color="auto" w:fill="FFFFFF"/>
          </w:tcPr>
          <w:p w14:paraId="42533F98"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-.193</w:t>
            </w:r>
          </w:p>
        </w:tc>
        <w:tc>
          <w:tcPr>
            <w:tcW w:w="993" w:type="dxa"/>
            <w:tcBorders>
              <w:top w:val="single" w:sz="8" w:space="0" w:color="AEAEAE"/>
              <w:left w:val="single" w:sz="8" w:space="0" w:color="E0E0E0"/>
              <w:bottom w:val="nil"/>
              <w:right w:val="single" w:sz="8" w:space="0" w:color="E0E0E0"/>
            </w:tcBorders>
            <w:shd w:val="clear" w:color="auto" w:fill="FFFFFF"/>
          </w:tcPr>
          <w:p w14:paraId="0EBB724E"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.666</w:t>
            </w:r>
          </w:p>
        </w:tc>
        <w:tc>
          <w:tcPr>
            <w:tcW w:w="1134" w:type="dxa"/>
            <w:tcBorders>
              <w:top w:val="single" w:sz="8" w:space="0" w:color="AEAEAE"/>
              <w:left w:val="single" w:sz="8" w:space="0" w:color="E0E0E0"/>
              <w:bottom w:val="nil"/>
              <w:right w:val="single" w:sz="8" w:space="0" w:color="E0E0E0"/>
            </w:tcBorders>
            <w:shd w:val="clear" w:color="auto" w:fill="FFFFFF"/>
          </w:tcPr>
          <w:p w14:paraId="481CC3C5"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-.021</w:t>
            </w:r>
          </w:p>
        </w:tc>
        <w:tc>
          <w:tcPr>
            <w:tcW w:w="850" w:type="dxa"/>
            <w:tcBorders>
              <w:top w:val="single" w:sz="8" w:space="0" w:color="AEAEAE"/>
              <w:left w:val="single" w:sz="8" w:space="0" w:color="E0E0E0"/>
              <w:bottom w:val="nil"/>
              <w:right w:val="single" w:sz="8" w:space="0" w:color="E0E0E0"/>
            </w:tcBorders>
            <w:shd w:val="clear" w:color="auto" w:fill="FFFFFF"/>
          </w:tcPr>
          <w:p w14:paraId="128F4791"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-.290</w:t>
            </w:r>
          </w:p>
        </w:tc>
        <w:tc>
          <w:tcPr>
            <w:tcW w:w="851" w:type="dxa"/>
            <w:tcBorders>
              <w:top w:val="single" w:sz="8" w:space="0" w:color="AEAEAE"/>
              <w:left w:val="single" w:sz="8" w:space="0" w:color="E0E0E0"/>
              <w:bottom w:val="nil"/>
              <w:right w:val="single" w:sz="8" w:space="0" w:color="E0E0E0"/>
            </w:tcBorders>
            <w:shd w:val="clear" w:color="auto" w:fill="FFFFFF"/>
          </w:tcPr>
          <w:p w14:paraId="1DB947D7"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.772</w:t>
            </w:r>
          </w:p>
        </w:tc>
        <w:tc>
          <w:tcPr>
            <w:tcW w:w="1275" w:type="dxa"/>
            <w:tcBorders>
              <w:top w:val="single" w:sz="8" w:space="0" w:color="AEAEAE"/>
              <w:left w:val="single" w:sz="8" w:space="0" w:color="E0E0E0"/>
              <w:bottom w:val="nil"/>
              <w:right w:val="single" w:sz="8" w:space="0" w:color="E0E0E0"/>
            </w:tcBorders>
            <w:shd w:val="clear" w:color="auto" w:fill="FFFFFF"/>
          </w:tcPr>
          <w:p w14:paraId="6805C57D"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-1.506</w:t>
            </w:r>
          </w:p>
        </w:tc>
        <w:tc>
          <w:tcPr>
            <w:tcW w:w="1276" w:type="dxa"/>
            <w:tcBorders>
              <w:top w:val="single" w:sz="8" w:space="0" w:color="AEAEAE"/>
              <w:left w:val="single" w:sz="8" w:space="0" w:color="E0E0E0"/>
              <w:bottom w:val="nil"/>
              <w:right w:val="single" w:sz="8" w:space="0" w:color="E0E0E0"/>
            </w:tcBorders>
            <w:shd w:val="clear" w:color="auto" w:fill="FFFFFF"/>
          </w:tcPr>
          <w:p w14:paraId="40764A11"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1.120</w:t>
            </w:r>
          </w:p>
        </w:tc>
        <w:tc>
          <w:tcPr>
            <w:tcW w:w="945" w:type="dxa"/>
            <w:tcBorders>
              <w:top w:val="single" w:sz="8" w:space="0" w:color="AEAEAE"/>
              <w:left w:val="single" w:sz="8" w:space="0" w:color="E0E0E0"/>
              <w:bottom w:val="nil"/>
              <w:right w:val="single" w:sz="8" w:space="0" w:color="E0E0E0"/>
            </w:tcBorders>
            <w:shd w:val="clear" w:color="auto" w:fill="FFFFFF"/>
          </w:tcPr>
          <w:p w14:paraId="1504391B"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-.009</w:t>
            </w:r>
          </w:p>
        </w:tc>
        <w:tc>
          <w:tcPr>
            <w:tcW w:w="945" w:type="dxa"/>
            <w:tcBorders>
              <w:top w:val="single" w:sz="8" w:space="0" w:color="AEAEAE"/>
              <w:left w:val="single" w:sz="8" w:space="0" w:color="E0E0E0"/>
              <w:bottom w:val="nil"/>
              <w:right w:val="single" w:sz="8" w:space="0" w:color="E0E0E0"/>
            </w:tcBorders>
            <w:shd w:val="clear" w:color="auto" w:fill="FFFFFF"/>
          </w:tcPr>
          <w:p w14:paraId="5E0F8CDC"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-.021</w:t>
            </w:r>
          </w:p>
        </w:tc>
        <w:tc>
          <w:tcPr>
            <w:tcW w:w="945" w:type="dxa"/>
            <w:tcBorders>
              <w:top w:val="single" w:sz="8" w:space="0" w:color="AEAEAE"/>
              <w:left w:val="single" w:sz="8" w:space="0" w:color="E0E0E0"/>
              <w:bottom w:val="nil"/>
              <w:right w:val="single" w:sz="8" w:space="0" w:color="E0E0E0"/>
            </w:tcBorders>
            <w:shd w:val="clear" w:color="auto" w:fill="FFFFFF"/>
          </w:tcPr>
          <w:p w14:paraId="159BBBC7"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-.020</w:t>
            </w:r>
          </w:p>
        </w:tc>
        <w:tc>
          <w:tcPr>
            <w:tcW w:w="1063" w:type="dxa"/>
            <w:tcBorders>
              <w:top w:val="single" w:sz="8" w:space="0" w:color="AEAEAE"/>
              <w:left w:val="single" w:sz="8" w:space="0" w:color="E0E0E0"/>
              <w:bottom w:val="nil"/>
              <w:right w:val="single" w:sz="8" w:space="0" w:color="E0E0E0"/>
            </w:tcBorders>
            <w:shd w:val="clear" w:color="auto" w:fill="FFFFFF"/>
          </w:tcPr>
          <w:p w14:paraId="127F6B55"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.988</w:t>
            </w:r>
          </w:p>
        </w:tc>
        <w:tc>
          <w:tcPr>
            <w:tcW w:w="1063" w:type="dxa"/>
            <w:tcBorders>
              <w:top w:val="single" w:sz="8" w:space="0" w:color="AEAEAE"/>
              <w:left w:val="single" w:sz="8" w:space="0" w:color="E0E0E0"/>
              <w:bottom w:val="nil"/>
              <w:right w:val="nil"/>
            </w:tcBorders>
            <w:shd w:val="clear" w:color="auto" w:fill="FFFFFF"/>
          </w:tcPr>
          <w:p w14:paraId="3D454B89"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1.012</w:t>
            </w:r>
          </w:p>
        </w:tc>
      </w:tr>
      <w:tr w:rsidR="00833E5C" w:rsidRPr="00EF50D5" w14:paraId="6F3511A9" w14:textId="77777777" w:rsidTr="00833E5C">
        <w:trPr>
          <w:cantSplit/>
        </w:trPr>
        <w:tc>
          <w:tcPr>
            <w:tcW w:w="284" w:type="dxa"/>
            <w:vMerge w:val="restart"/>
            <w:tcBorders>
              <w:top w:val="single" w:sz="8" w:space="0" w:color="AEAEAE"/>
              <w:left w:val="nil"/>
              <w:bottom w:val="single" w:sz="8" w:space="0" w:color="152935"/>
              <w:right w:val="nil"/>
            </w:tcBorders>
            <w:shd w:val="clear" w:color="auto" w:fill="E0E0E0"/>
          </w:tcPr>
          <w:p w14:paraId="20B3F1E7"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4</w:t>
            </w:r>
          </w:p>
        </w:tc>
        <w:tc>
          <w:tcPr>
            <w:tcW w:w="992" w:type="dxa"/>
            <w:tcBorders>
              <w:top w:val="single" w:sz="8" w:space="0" w:color="AEAEAE"/>
              <w:left w:val="nil"/>
              <w:bottom w:val="single" w:sz="8" w:space="0" w:color="AEAEAE"/>
              <w:right w:val="nil"/>
            </w:tcBorders>
            <w:shd w:val="clear" w:color="auto" w:fill="E0E0E0"/>
          </w:tcPr>
          <w:p w14:paraId="3253E60A"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(Constant)</w:t>
            </w:r>
          </w:p>
        </w:tc>
        <w:tc>
          <w:tcPr>
            <w:tcW w:w="992" w:type="dxa"/>
            <w:tcBorders>
              <w:top w:val="single" w:sz="8" w:space="0" w:color="AEAEAE"/>
              <w:left w:val="nil"/>
              <w:bottom w:val="single" w:sz="8" w:space="0" w:color="AEAEAE"/>
              <w:right w:val="single" w:sz="8" w:space="0" w:color="E0E0E0"/>
            </w:tcBorders>
            <w:shd w:val="clear" w:color="auto" w:fill="FFFFFF"/>
          </w:tcPr>
          <w:p w14:paraId="57ACCD2C"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36.284</w:t>
            </w:r>
          </w:p>
        </w:tc>
        <w:tc>
          <w:tcPr>
            <w:tcW w:w="993" w:type="dxa"/>
            <w:tcBorders>
              <w:top w:val="single" w:sz="8" w:space="0" w:color="AEAEAE"/>
              <w:left w:val="single" w:sz="8" w:space="0" w:color="E0E0E0"/>
              <w:bottom w:val="single" w:sz="8" w:space="0" w:color="AEAEAE"/>
              <w:right w:val="single" w:sz="8" w:space="0" w:color="E0E0E0"/>
            </w:tcBorders>
            <w:shd w:val="clear" w:color="auto" w:fill="FFFFFF"/>
          </w:tcPr>
          <w:p w14:paraId="1B47EC06"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10.211</w:t>
            </w:r>
          </w:p>
        </w:tc>
        <w:tc>
          <w:tcPr>
            <w:tcW w:w="1134"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31367042" w14:textId="77777777" w:rsidR="007F596B" w:rsidRPr="00EF50D5" w:rsidRDefault="007F596B" w:rsidP="007F596B">
            <w:pPr>
              <w:autoSpaceDE w:val="0"/>
              <w:autoSpaceDN w:val="0"/>
              <w:adjustRightInd w:val="0"/>
              <w:rPr>
                <w:rFonts w:ascii="Arial" w:hAnsi="Arial" w:cs="Arial"/>
                <w:sz w:val="16"/>
                <w:szCs w:val="16"/>
                <w:lang w:val="en-US"/>
              </w:rPr>
            </w:pPr>
          </w:p>
        </w:tc>
        <w:tc>
          <w:tcPr>
            <w:tcW w:w="850" w:type="dxa"/>
            <w:tcBorders>
              <w:top w:val="single" w:sz="8" w:space="0" w:color="AEAEAE"/>
              <w:left w:val="single" w:sz="8" w:space="0" w:color="E0E0E0"/>
              <w:bottom w:val="single" w:sz="8" w:space="0" w:color="AEAEAE"/>
              <w:right w:val="single" w:sz="8" w:space="0" w:color="E0E0E0"/>
            </w:tcBorders>
            <w:shd w:val="clear" w:color="auto" w:fill="FFFFFF"/>
          </w:tcPr>
          <w:p w14:paraId="107D51CC"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3.554</w:t>
            </w:r>
          </w:p>
        </w:tc>
        <w:tc>
          <w:tcPr>
            <w:tcW w:w="851" w:type="dxa"/>
            <w:tcBorders>
              <w:top w:val="single" w:sz="8" w:space="0" w:color="AEAEAE"/>
              <w:left w:val="single" w:sz="8" w:space="0" w:color="E0E0E0"/>
              <w:bottom w:val="single" w:sz="8" w:space="0" w:color="AEAEAE"/>
              <w:right w:val="single" w:sz="8" w:space="0" w:color="E0E0E0"/>
            </w:tcBorders>
            <w:shd w:val="clear" w:color="auto" w:fill="FFFFFF"/>
          </w:tcPr>
          <w:p w14:paraId="32B7ACF7"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.000</w:t>
            </w:r>
          </w:p>
        </w:tc>
        <w:tc>
          <w:tcPr>
            <w:tcW w:w="1275" w:type="dxa"/>
            <w:tcBorders>
              <w:top w:val="single" w:sz="8" w:space="0" w:color="AEAEAE"/>
              <w:left w:val="single" w:sz="8" w:space="0" w:color="E0E0E0"/>
              <w:bottom w:val="single" w:sz="8" w:space="0" w:color="AEAEAE"/>
              <w:right w:val="single" w:sz="8" w:space="0" w:color="E0E0E0"/>
            </w:tcBorders>
            <w:shd w:val="clear" w:color="auto" w:fill="FFFFFF"/>
          </w:tcPr>
          <w:p w14:paraId="4B735FDD"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16.144</w:t>
            </w:r>
          </w:p>
        </w:tc>
        <w:tc>
          <w:tcPr>
            <w:tcW w:w="1276" w:type="dxa"/>
            <w:tcBorders>
              <w:top w:val="single" w:sz="8" w:space="0" w:color="AEAEAE"/>
              <w:left w:val="single" w:sz="8" w:space="0" w:color="E0E0E0"/>
              <w:bottom w:val="single" w:sz="8" w:space="0" w:color="AEAEAE"/>
              <w:right w:val="single" w:sz="8" w:space="0" w:color="E0E0E0"/>
            </w:tcBorders>
            <w:shd w:val="clear" w:color="auto" w:fill="FFFFFF"/>
          </w:tcPr>
          <w:p w14:paraId="24317CD9"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56.425</w:t>
            </w:r>
          </w:p>
        </w:tc>
        <w:tc>
          <w:tcPr>
            <w:tcW w:w="945"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198F6953" w14:textId="77777777" w:rsidR="007F596B" w:rsidRPr="00EF50D5" w:rsidRDefault="007F596B" w:rsidP="007F596B">
            <w:pPr>
              <w:autoSpaceDE w:val="0"/>
              <w:autoSpaceDN w:val="0"/>
              <w:adjustRightInd w:val="0"/>
              <w:rPr>
                <w:rFonts w:ascii="Arial" w:hAnsi="Arial" w:cs="Arial"/>
                <w:sz w:val="16"/>
                <w:szCs w:val="16"/>
                <w:lang w:val="en-US"/>
              </w:rPr>
            </w:pPr>
          </w:p>
        </w:tc>
        <w:tc>
          <w:tcPr>
            <w:tcW w:w="945"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2DC85C7C" w14:textId="77777777" w:rsidR="007F596B" w:rsidRPr="00EF50D5" w:rsidRDefault="007F596B" w:rsidP="007F596B">
            <w:pPr>
              <w:autoSpaceDE w:val="0"/>
              <w:autoSpaceDN w:val="0"/>
              <w:adjustRightInd w:val="0"/>
              <w:rPr>
                <w:rFonts w:ascii="Arial" w:hAnsi="Arial" w:cs="Arial"/>
                <w:sz w:val="16"/>
                <w:szCs w:val="16"/>
                <w:lang w:val="en-US"/>
              </w:rPr>
            </w:pPr>
          </w:p>
        </w:tc>
        <w:tc>
          <w:tcPr>
            <w:tcW w:w="945"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7A90D7E3" w14:textId="77777777" w:rsidR="007F596B" w:rsidRPr="00EF50D5" w:rsidRDefault="007F596B" w:rsidP="007F596B">
            <w:pPr>
              <w:autoSpaceDE w:val="0"/>
              <w:autoSpaceDN w:val="0"/>
              <w:adjustRightInd w:val="0"/>
              <w:rPr>
                <w:rFonts w:ascii="Arial" w:hAnsi="Arial" w:cs="Arial"/>
                <w:sz w:val="16"/>
                <w:szCs w:val="16"/>
                <w:lang w:val="en-US"/>
              </w:rPr>
            </w:pPr>
          </w:p>
        </w:tc>
        <w:tc>
          <w:tcPr>
            <w:tcW w:w="1063" w:type="dxa"/>
            <w:tcBorders>
              <w:top w:val="single" w:sz="8" w:space="0" w:color="AEAEAE"/>
              <w:left w:val="single" w:sz="8" w:space="0" w:color="E0E0E0"/>
              <w:bottom w:val="single" w:sz="8" w:space="0" w:color="AEAEAE"/>
              <w:right w:val="single" w:sz="8" w:space="0" w:color="E0E0E0"/>
            </w:tcBorders>
            <w:shd w:val="clear" w:color="auto" w:fill="FFFFFF"/>
            <w:vAlign w:val="center"/>
          </w:tcPr>
          <w:p w14:paraId="21B70D50" w14:textId="77777777" w:rsidR="007F596B" w:rsidRPr="00EF50D5" w:rsidRDefault="007F596B" w:rsidP="007F596B">
            <w:pPr>
              <w:autoSpaceDE w:val="0"/>
              <w:autoSpaceDN w:val="0"/>
              <w:adjustRightInd w:val="0"/>
              <w:rPr>
                <w:rFonts w:ascii="Arial" w:hAnsi="Arial" w:cs="Arial"/>
                <w:sz w:val="16"/>
                <w:szCs w:val="16"/>
                <w:lang w:val="en-US"/>
              </w:rPr>
            </w:pPr>
          </w:p>
        </w:tc>
        <w:tc>
          <w:tcPr>
            <w:tcW w:w="1063" w:type="dxa"/>
            <w:tcBorders>
              <w:top w:val="single" w:sz="8" w:space="0" w:color="AEAEAE"/>
              <w:left w:val="single" w:sz="8" w:space="0" w:color="E0E0E0"/>
              <w:bottom w:val="single" w:sz="8" w:space="0" w:color="AEAEAE"/>
              <w:right w:val="nil"/>
            </w:tcBorders>
            <w:shd w:val="clear" w:color="auto" w:fill="FFFFFF"/>
            <w:vAlign w:val="center"/>
          </w:tcPr>
          <w:p w14:paraId="068674A2" w14:textId="77777777" w:rsidR="007F596B" w:rsidRPr="00EF50D5" w:rsidRDefault="007F596B" w:rsidP="007F596B">
            <w:pPr>
              <w:autoSpaceDE w:val="0"/>
              <w:autoSpaceDN w:val="0"/>
              <w:adjustRightInd w:val="0"/>
              <w:rPr>
                <w:rFonts w:ascii="Arial" w:hAnsi="Arial" w:cs="Arial"/>
                <w:sz w:val="16"/>
                <w:szCs w:val="16"/>
                <w:lang w:val="en-US"/>
              </w:rPr>
            </w:pPr>
          </w:p>
        </w:tc>
      </w:tr>
      <w:tr w:rsidR="00833E5C" w:rsidRPr="00EF50D5" w14:paraId="22979AFE" w14:textId="77777777" w:rsidTr="00833E5C">
        <w:trPr>
          <w:cantSplit/>
        </w:trPr>
        <w:tc>
          <w:tcPr>
            <w:tcW w:w="284" w:type="dxa"/>
            <w:vMerge/>
            <w:tcBorders>
              <w:top w:val="single" w:sz="8" w:space="0" w:color="AEAEAE"/>
              <w:left w:val="nil"/>
              <w:bottom w:val="single" w:sz="8" w:space="0" w:color="152935"/>
              <w:right w:val="nil"/>
            </w:tcBorders>
            <w:shd w:val="clear" w:color="auto" w:fill="E0E0E0"/>
          </w:tcPr>
          <w:p w14:paraId="61F3840B" w14:textId="77777777" w:rsidR="007F596B" w:rsidRPr="00EF50D5" w:rsidRDefault="007F596B" w:rsidP="007F596B">
            <w:pPr>
              <w:autoSpaceDE w:val="0"/>
              <w:autoSpaceDN w:val="0"/>
              <w:adjustRightInd w:val="0"/>
              <w:rPr>
                <w:rFonts w:ascii="Arial" w:hAnsi="Arial" w:cs="Arial"/>
                <w:sz w:val="16"/>
                <w:szCs w:val="16"/>
                <w:lang w:val="en-US"/>
              </w:rPr>
            </w:pPr>
          </w:p>
        </w:tc>
        <w:tc>
          <w:tcPr>
            <w:tcW w:w="992" w:type="dxa"/>
            <w:tcBorders>
              <w:top w:val="single" w:sz="8" w:space="0" w:color="AEAEAE"/>
              <w:left w:val="nil"/>
              <w:bottom w:val="single" w:sz="8" w:space="0" w:color="AEAEAE"/>
              <w:right w:val="nil"/>
            </w:tcBorders>
            <w:shd w:val="clear" w:color="auto" w:fill="E0E0E0"/>
          </w:tcPr>
          <w:p w14:paraId="561D7961"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F</w:t>
            </w:r>
          </w:p>
        </w:tc>
        <w:tc>
          <w:tcPr>
            <w:tcW w:w="992" w:type="dxa"/>
            <w:tcBorders>
              <w:top w:val="single" w:sz="8" w:space="0" w:color="AEAEAE"/>
              <w:left w:val="nil"/>
              <w:bottom w:val="single" w:sz="8" w:space="0" w:color="AEAEAE"/>
              <w:right w:val="single" w:sz="8" w:space="0" w:color="E0E0E0"/>
            </w:tcBorders>
            <w:shd w:val="clear" w:color="auto" w:fill="FFFFFF"/>
          </w:tcPr>
          <w:p w14:paraId="43C660D8"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.180</w:t>
            </w:r>
          </w:p>
        </w:tc>
        <w:tc>
          <w:tcPr>
            <w:tcW w:w="993" w:type="dxa"/>
            <w:tcBorders>
              <w:top w:val="single" w:sz="8" w:space="0" w:color="AEAEAE"/>
              <w:left w:val="single" w:sz="8" w:space="0" w:color="E0E0E0"/>
              <w:bottom w:val="single" w:sz="8" w:space="0" w:color="AEAEAE"/>
              <w:right w:val="single" w:sz="8" w:space="0" w:color="E0E0E0"/>
            </w:tcBorders>
            <w:shd w:val="clear" w:color="auto" w:fill="FFFFFF"/>
          </w:tcPr>
          <w:p w14:paraId="2C7E19CF"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.159</w:t>
            </w:r>
          </w:p>
        </w:tc>
        <w:tc>
          <w:tcPr>
            <w:tcW w:w="1134" w:type="dxa"/>
            <w:tcBorders>
              <w:top w:val="single" w:sz="8" w:space="0" w:color="AEAEAE"/>
              <w:left w:val="single" w:sz="8" w:space="0" w:color="E0E0E0"/>
              <w:bottom w:val="single" w:sz="8" w:space="0" w:color="AEAEAE"/>
              <w:right w:val="single" w:sz="8" w:space="0" w:color="E0E0E0"/>
            </w:tcBorders>
            <w:shd w:val="clear" w:color="auto" w:fill="FFFFFF"/>
          </w:tcPr>
          <w:p w14:paraId="7CB0DDC8"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.111</w:t>
            </w:r>
          </w:p>
        </w:tc>
        <w:tc>
          <w:tcPr>
            <w:tcW w:w="850" w:type="dxa"/>
            <w:tcBorders>
              <w:top w:val="single" w:sz="8" w:space="0" w:color="AEAEAE"/>
              <w:left w:val="single" w:sz="8" w:space="0" w:color="E0E0E0"/>
              <w:bottom w:val="single" w:sz="8" w:space="0" w:color="AEAEAE"/>
              <w:right w:val="single" w:sz="8" w:space="0" w:color="E0E0E0"/>
            </w:tcBorders>
            <w:shd w:val="clear" w:color="auto" w:fill="FFFFFF"/>
          </w:tcPr>
          <w:p w14:paraId="28393BB7"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1.134</w:t>
            </w:r>
          </w:p>
        </w:tc>
        <w:tc>
          <w:tcPr>
            <w:tcW w:w="851" w:type="dxa"/>
            <w:tcBorders>
              <w:top w:val="single" w:sz="8" w:space="0" w:color="AEAEAE"/>
              <w:left w:val="single" w:sz="8" w:space="0" w:color="E0E0E0"/>
              <w:bottom w:val="single" w:sz="8" w:space="0" w:color="AEAEAE"/>
              <w:right w:val="single" w:sz="8" w:space="0" w:color="E0E0E0"/>
            </w:tcBorders>
            <w:shd w:val="clear" w:color="auto" w:fill="FFFFFF"/>
          </w:tcPr>
          <w:p w14:paraId="36B4B146"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.258</w:t>
            </w:r>
          </w:p>
        </w:tc>
        <w:tc>
          <w:tcPr>
            <w:tcW w:w="1275" w:type="dxa"/>
            <w:tcBorders>
              <w:top w:val="single" w:sz="8" w:space="0" w:color="AEAEAE"/>
              <w:left w:val="single" w:sz="8" w:space="0" w:color="E0E0E0"/>
              <w:bottom w:val="single" w:sz="8" w:space="0" w:color="AEAEAE"/>
              <w:right w:val="single" w:sz="8" w:space="0" w:color="E0E0E0"/>
            </w:tcBorders>
            <w:shd w:val="clear" w:color="auto" w:fill="FFFFFF"/>
          </w:tcPr>
          <w:p w14:paraId="4D01A372"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-.133</w:t>
            </w:r>
          </w:p>
        </w:tc>
        <w:tc>
          <w:tcPr>
            <w:tcW w:w="1276" w:type="dxa"/>
            <w:tcBorders>
              <w:top w:val="single" w:sz="8" w:space="0" w:color="AEAEAE"/>
              <w:left w:val="single" w:sz="8" w:space="0" w:color="E0E0E0"/>
              <w:bottom w:val="single" w:sz="8" w:space="0" w:color="AEAEAE"/>
              <w:right w:val="single" w:sz="8" w:space="0" w:color="E0E0E0"/>
            </w:tcBorders>
            <w:shd w:val="clear" w:color="auto" w:fill="FFFFFF"/>
          </w:tcPr>
          <w:p w14:paraId="52E81E29"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.494</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2DD9EB41"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.174</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1C22E6B8"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.082</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01F9ECFA"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.080</w:t>
            </w:r>
          </w:p>
        </w:tc>
        <w:tc>
          <w:tcPr>
            <w:tcW w:w="1063" w:type="dxa"/>
            <w:tcBorders>
              <w:top w:val="single" w:sz="8" w:space="0" w:color="AEAEAE"/>
              <w:left w:val="single" w:sz="8" w:space="0" w:color="E0E0E0"/>
              <w:bottom w:val="single" w:sz="8" w:space="0" w:color="AEAEAE"/>
              <w:right w:val="single" w:sz="8" w:space="0" w:color="E0E0E0"/>
            </w:tcBorders>
            <w:shd w:val="clear" w:color="auto" w:fill="FFFFFF"/>
          </w:tcPr>
          <w:p w14:paraId="6C04D4E9"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.529</w:t>
            </w:r>
          </w:p>
        </w:tc>
        <w:tc>
          <w:tcPr>
            <w:tcW w:w="1063" w:type="dxa"/>
            <w:tcBorders>
              <w:top w:val="single" w:sz="8" w:space="0" w:color="AEAEAE"/>
              <w:left w:val="single" w:sz="8" w:space="0" w:color="E0E0E0"/>
              <w:bottom w:val="single" w:sz="8" w:space="0" w:color="AEAEAE"/>
              <w:right w:val="nil"/>
            </w:tcBorders>
            <w:shd w:val="clear" w:color="auto" w:fill="FFFFFF"/>
          </w:tcPr>
          <w:p w14:paraId="1068E14A"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1.891</w:t>
            </w:r>
          </w:p>
        </w:tc>
      </w:tr>
      <w:tr w:rsidR="00833E5C" w:rsidRPr="00EF50D5" w14:paraId="254366C1" w14:textId="77777777" w:rsidTr="00833E5C">
        <w:trPr>
          <w:cantSplit/>
        </w:trPr>
        <w:tc>
          <w:tcPr>
            <w:tcW w:w="284" w:type="dxa"/>
            <w:vMerge/>
            <w:tcBorders>
              <w:top w:val="single" w:sz="8" w:space="0" w:color="AEAEAE"/>
              <w:left w:val="nil"/>
              <w:bottom w:val="single" w:sz="8" w:space="0" w:color="152935"/>
              <w:right w:val="nil"/>
            </w:tcBorders>
            <w:shd w:val="clear" w:color="auto" w:fill="E0E0E0"/>
          </w:tcPr>
          <w:p w14:paraId="2D21C436" w14:textId="77777777" w:rsidR="007F596B" w:rsidRPr="00EF50D5" w:rsidRDefault="007F596B" w:rsidP="007F596B">
            <w:pPr>
              <w:autoSpaceDE w:val="0"/>
              <w:autoSpaceDN w:val="0"/>
              <w:adjustRightInd w:val="0"/>
              <w:rPr>
                <w:rFonts w:ascii="Arial" w:hAnsi="Arial" w:cs="Arial"/>
                <w:color w:val="010205"/>
                <w:sz w:val="16"/>
                <w:szCs w:val="16"/>
                <w:lang w:val="en-US"/>
              </w:rPr>
            </w:pPr>
          </w:p>
        </w:tc>
        <w:tc>
          <w:tcPr>
            <w:tcW w:w="992" w:type="dxa"/>
            <w:tcBorders>
              <w:top w:val="single" w:sz="8" w:space="0" w:color="AEAEAE"/>
              <w:left w:val="nil"/>
              <w:bottom w:val="single" w:sz="8" w:space="0" w:color="AEAEAE"/>
              <w:right w:val="nil"/>
            </w:tcBorders>
            <w:shd w:val="clear" w:color="auto" w:fill="E0E0E0"/>
          </w:tcPr>
          <w:p w14:paraId="03711F77"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A</w:t>
            </w:r>
          </w:p>
        </w:tc>
        <w:tc>
          <w:tcPr>
            <w:tcW w:w="992" w:type="dxa"/>
            <w:tcBorders>
              <w:top w:val="single" w:sz="8" w:space="0" w:color="AEAEAE"/>
              <w:left w:val="nil"/>
              <w:bottom w:val="single" w:sz="8" w:space="0" w:color="AEAEAE"/>
              <w:right w:val="single" w:sz="8" w:space="0" w:color="E0E0E0"/>
            </w:tcBorders>
            <w:shd w:val="clear" w:color="auto" w:fill="FFFFFF"/>
          </w:tcPr>
          <w:p w14:paraId="25D0D586"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2.059</w:t>
            </w:r>
          </w:p>
        </w:tc>
        <w:tc>
          <w:tcPr>
            <w:tcW w:w="993" w:type="dxa"/>
            <w:tcBorders>
              <w:top w:val="single" w:sz="8" w:space="0" w:color="AEAEAE"/>
              <w:left w:val="single" w:sz="8" w:space="0" w:color="E0E0E0"/>
              <w:bottom w:val="single" w:sz="8" w:space="0" w:color="AEAEAE"/>
              <w:right w:val="single" w:sz="8" w:space="0" w:color="E0E0E0"/>
            </w:tcBorders>
            <w:shd w:val="clear" w:color="auto" w:fill="FFFFFF"/>
          </w:tcPr>
          <w:p w14:paraId="579C3F7C"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1.742</w:t>
            </w:r>
          </w:p>
        </w:tc>
        <w:tc>
          <w:tcPr>
            <w:tcW w:w="1134" w:type="dxa"/>
            <w:tcBorders>
              <w:top w:val="single" w:sz="8" w:space="0" w:color="AEAEAE"/>
              <w:left w:val="single" w:sz="8" w:space="0" w:color="E0E0E0"/>
              <w:bottom w:val="single" w:sz="8" w:space="0" w:color="AEAEAE"/>
              <w:right w:val="single" w:sz="8" w:space="0" w:color="E0E0E0"/>
            </w:tcBorders>
            <w:shd w:val="clear" w:color="auto" w:fill="FFFFFF"/>
          </w:tcPr>
          <w:p w14:paraId="203C4EAB"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.116</w:t>
            </w:r>
          </w:p>
        </w:tc>
        <w:tc>
          <w:tcPr>
            <w:tcW w:w="850" w:type="dxa"/>
            <w:tcBorders>
              <w:top w:val="single" w:sz="8" w:space="0" w:color="AEAEAE"/>
              <w:left w:val="single" w:sz="8" w:space="0" w:color="E0E0E0"/>
              <w:bottom w:val="single" w:sz="8" w:space="0" w:color="AEAEAE"/>
              <w:right w:val="single" w:sz="8" w:space="0" w:color="E0E0E0"/>
            </w:tcBorders>
            <w:shd w:val="clear" w:color="auto" w:fill="FFFFFF"/>
          </w:tcPr>
          <w:p w14:paraId="44A2A8B3"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1.181</w:t>
            </w:r>
          </w:p>
        </w:tc>
        <w:tc>
          <w:tcPr>
            <w:tcW w:w="851" w:type="dxa"/>
            <w:tcBorders>
              <w:top w:val="single" w:sz="8" w:space="0" w:color="AEAEAE"/>
              <w:left w:val="single" w:sz="8" w:space="0" w:color="E0E0E0"/>
              <w:bottom w:val="single" w:sz="8" w:space="0" w:color="AEAEAE"/>
              <w:right w:val="single" w:sz="8" w:space="0" w:color="E0E0E0"/>
            </w:tcBorders>
            <w:shd w:val="clear" w:color="auto" w:fill="FFFFFF"/>
          </w:tcPr>
          <w:p w14:paraId="2F2EA5CF"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.239</w:t>
            </w:r>
          </w:p>
        </w:tc>
        <w:tc>
          <w:tcPr>
            <w:tcW w:w="1275" w:type="dxa"/>
            <w:tcBorders>
              <w:top w:val="single" w:sz="8" w:space="0" w:color="AEAEAE"/>
              <w:left w:val="single" w:sz="8" w:space="0" w:color="E0E0E0"/>
              <w:bottom w:val="single" w:sz="8" w:space="0" w:color="AEAEAE"/>
              <w:right w:val="single" w:sz="8" w:space="0" w:color="E0E0E0"/>
            </w:tcBorders>
            <w:shd w:val="clear" w:color="auto" w:fill="FFFFFF"/>
          </w:tcPr>
          <w:p w14:paraId="2B9BB451"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-1.378</w:t>
            </w:r>
          </w:p>
        </w:tc>
        <w:tc>
          <w:tcPr>
            <w:tcW w:w="1276" w:type="dxa"/>
            <w:tcBorders>
              <w:top w:val="single" w:sz="8" w:space="0" w:color="AEAEAE"/>
              <w:left w:val="single" w:sz="8" w:space="0" w:color="E0E0E0"/>
              <w:bottom w:val="single" w:sz="8" w:space="0" w:color="AEAEAE"/>
              <w:right w:val="single" w:sz="8" w:space="0" w:color="E0E0E0"/>
            </w:tcBorders>
            <w:shd w:val="clear" w:color="auto" w:fill="FFFFFF"/>
          </w:tcPr>
          <w:p w14:paraId="0F615129"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5.496</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23733B2F"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.170</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16B230C6"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.085</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4D05E655"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.084</w:t>
            </w:r>
          </w:p>
        </w:tc>
        <w:tc>
          <w:tcPr>
            <w:tcW w:w="1063" w:type="dxa"/>
            <w:tcBorders>
              <w:top w:val="single" w:sz="8" w:space="0" w:color="AEAEAE"/>
              <w:left w:val="single" w:sz="8" w:space="0" w:color="E0E0E0"/>
              <w:bottom w:val="single" w:sz="8" w:space="0" w:color="AEAEAE"/>
              <w:right w:val="single" w:sz="8" w:space="0" w:color="E0E0E0"/>
            </w:tcBorders>
            <w:shd w:val="clear" w:color="auto" w:fill="FFFFFF"/>
          </w:tcPr>
          <w:p w14:paraId="766232E0"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.524</w:t>
            </w:r>
          </w:p>
        </w:tc>
        <w:tc>
          <w:tcPr>
            <w:tcW w:w="1063" w:type="dxa"/>
            <w:tcBorders>
              <w:top w:val="single" w:sz="8" w:space="0" w:color="AEAEAE"/>
              <w:left w:val="single" w:sz="8" w:space="0" w:color="E0E0E0"/>
              <w:bottom w:val="single" w:sz="8" w:space="0" w:color="AEAEAE"/>
              <w:right w:val="nil"/>
            </w:tcBorders>
            <w:shd w:val="clear" w:color="auto" w:fill="FFFFFF"/>
          </w:tcPr>
          <w:p w14:paraId="3046C013"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1.907</w:t>
            </w:r>
          </w:p>
        </w:tc>
      </w:tr>
      <w:tr w:rsidR="00833E5C" w:rsidRPr="00EF50D5" w14:paraId="4B7A9843" w14:textId="77777777" w:rsidTr="00833E5C">
        <w:trPr>
          <w:cantSplit/>
        </w:trPr>
        <w:tc>
          <w:tcPr>
            <w:tcW w:w="284" w:type="dxa"/>
            <w:vMerge/>
            <w:tcBorders>
              <w:top w:val="single" w:sz="8" w:space="0" w:color="AEAEAE"/>
              <w:left w:val="nil"/>
              <w:bottom w:val="single" w:sz="8" w:space="0" w:color="152935"/>
              <w:right w:val="nil"/>
            </w:tcBorders>
            <w:shd w:val="clear" w:color="auto" w:fill="E0E0E0"/>
          </w:tcPr>
          <w:p w14:paraId="25C9C964" w14:textId="77777777" w:rsidR="007F596B" w:rsidRPr="00EF50D5" w:rsidRDefault="007F596B" w:rsidP="007F596B">
            <w:pPr>
              <w:autoSpaceDE w:val="0"/>
              <w:autoSpaceDN w:val="0"/>
              <w:adjustRightInd w:val="0"/>
              <w:rPr>
                <w:rFonts w:ascii="Arial" w:hAnsi="Arial" w:cs="Arial"/>
                <w:color w:val="010205"/>
                <w:sz w:val="16"/>
                <w:szCs w:val="16"/>
                <w:lang w:val="en-US"/>
              </w:rPr>
            </w:pPr>
          </w:p>
        </w:tc>
        <w:tc>
          <w:tcPr>
            <w:tcW w:w="992" w:type="dxa"/>
            <w:tcBorders>
              <w:top w:val="single" w:sz="8" w:space="0" w:color="AEAEAE"/>
              <w:left w:val="nil"/>
              <w:bottom w:val="single" w:sz="8" w:space="0" w:color="AEAEAE"/>
              <w:right w:val="nil"/>
            </w:tcBorders>
            <w:shd w:val="clear" w:color="auto" w:fill="E0E0E0"/>
          </w:tcPr>
          <w:p w14:paraId="493FBB8C"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YrsQual</w:t>
            </w:r>
          </w:p>
        </w:tc>
        <w:tc>
          <w:tcPr>
            <w:tcW w:w="992" w:type="dxa"/>
            <w:tcBorders>
              <w:top w:val="single" w:sz="8" w:space="0" w:color="AEAEAE"/>
              <w:left w:val="nil"/>
              <w:bottom w:val="single" w:sz="8" w:space="0" w:color="AEAEAE"/>
              <w:right w:val="single" w:sz="8" w:space="0" w:color="E0E0E0"/>
            </w:tcBorders>
            <w:shd w:val="clear" w:color="auto" w:fill="FFFFFF"/>
          </w:tcPr>
          <w:p w14:paraId="2D0AC8DF"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.436</w:t>
            </w:r>
          </w:p>
        </w:tc>
        <w:tc>
          <w:tcPr>
            <w:tcW w:w="993" w:type="dxa"/>
            <w:tcBorders>
              <w:top w:val="single" w:sz="8" w:space="0" w:color="AEAEAE"/>
              <w:left w:val="single" w:sz="8" w:space="0" w:color="E0E0E0"/>
              <w:bottom w:val="single" w:sz="8" w:space="0" w:color="AEAEAE"/>
              <w:right w:val="single" w:sz="8" w:space="0" w:color="E0E0E0"/>
            </w:tcBorders>
            <w:shd w:val="clear" w:color="auto" w:fill="FFFFFF"/>
          </w:tcPr>
          <w:p w14:paraId="11C8D2C7"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.419</w:t>
            </w:r>
          </w:p>
        </w:tc>
        <w:tc>
          <w:tcPr>
            <w:tcW w:w="1134" w:type="dxa"/>
            <w:tcBorders>
              <w:top w:val="single" w:sz="8" w:space="0" w:color="AEAEAE"/>
              <w:left w:val="single" w:sz="8" w:space="0" w:color="E0E0E0"/>
              <w:bottom w:val="single" w:sz="8" w:space="0" w:color="AEAEAE"/>
              <w:right w:val="single" w:sz="8" w:space="0" w:color="E0E0E0"/>
            </w:tcBorders>
            <w:shd w:val="clear" w:color="auto" w:fill="FFFFFF"/>
          </w:tcPr>
          <w:p w14:paraId="604AE5DF"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.082</w:t>
            </w:r>
          </w:p>
        </w:tc>
        <w:tc>
          <w:tcPr>
            <w:tcW w:w="850" w:type="dxa"/>
            <w:tcBorders>
              <w:top w:val="single" w:sz="8" w:space="0" w:color="AEAEAE"/>
              <w:left w:val="single" w:sz="8" w:space="0" w:color="E0E0E0"/>
              <w:bottom w:val="single" w:sz="8" w:space="0" w:color="AEAEAE"/>
              <w:right w:val="single" w:sz="8" w:space="0" w:color="E0E0E0"/>
            </w:tcBorders>
            <w:shd w:val="clear" w:color="auto" w:fill="FFFFFF"/>
          </w:tcPr>
          <w:p w14:paraId="34618417"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1.039</w:t>
            </w:r>
          </w:p>
        </w:tc>
        <w:tc>
          <w:tcPr>
            <w:tcW w:w="851" w:type="dxa"/>
            <w:tcBorders>
              <w:top w:val="single" w:sz="8" w:space="0" w:color="AEAEAE"/>
              <w:left w:val="single" w:sz="8" w:space="0" w:color="E0E0E0"/>
              <w:bottom w:val="single" w:sz="8" w:space="0" w:color="AEAEAE"/>
              <w:right w:val="single" w:sz="8" w:space="0" w:color="E0E0E0"/>
            </w:tcBorders>
            <w:shd w:val="clear" w:color="auto" w:fill="FFFFFF"/>
          </w:tcPr>
          <w:p w14:paraId="1C15254C"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.300</w:t>
            </w:r>
          </w:p>
        </w:tc>
        <w:tc>
          <w:tcPr>
            <w:tcW w:w="1275" w:type="dxa"/>
            <w:tcBorders>
              <w:top w:val="single" w:sz="8" w:space="0" w:color="AEAEAE"/>
              <w:left w:val="single" w:sz="8" w:space="0" w:color="E0E0E0"/>
              <w:bottom w:val="single" w:sz="8" w:space="0" w:color="AEAEAE"/>
              <w:right w:val="single" w:sz="8" w:space="0" w:color="E0E0E0"/>
            </w:tcBorders>
            <w:shd w:val="clear" w:color="auto" w:fill="FFFFFF"/>
          </w:tcPr>
          <w:p w14:paraId="72449E43"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-.391</w:t>
            </w:r>
          </w:p>
        </w:tc>
        <w:tc>
          <w:tcPr>
            <w:tcW w:w="1276" w:type="dxa"/>
            <w:tcBorders>
              <w:top w:val="single" w:sz="8" w:space="0" w:color="AEAEAE"/>
              <w:left w:val="single" w:sz="8" w:space="0" w:color="E0E0E0"/>
              <w:bottom w:val="single" w:sz="8" w:space="0" w:color="AEAEAE"/>
              <w:right w:val="single" w:sz="8" w:space="0" w:color="E0E0E0"/>
            </w:tcBorders>
            <w:shd w:val="clear" w:color="auto" w:fill="FFFFFF"/>
          </w:tcPr>
          <w:p w14:paraId="4D785F62"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1.263</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1DF013F0"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.041</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1E398FCB"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.075</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214E1BAA"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.074</w:t>
            </w:r>
          </w:p>
        </w:tc>
        <w:tc>
          <w:tcPr>
            <w:tcW w:w="1063" w:type="dxa"/>
            <w:tcBorders>
              <w:top w:val="single" w:sz="8" w:space="0" w:color="AEAEAE"/>
              <w:left w:val="single" w:sz="8" w:space="0" w:color="E0E0E0"/>
              <w:bottom w:val="single" w:sz="8" w:space="0" w:color="AEAEAE"/>
              <w:right w:val="single" w:sz="8" w:space="0" w:color="E0E0E0"/>
            </w:tcBorders>
            <w:shd w:val="clear" w:color="auto" w:fill="FFFFFF"/>
          </w:tcPr>
          <w:p w14:paraId="4C881615"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.814</w:t>
            </w:r>
          </w:p>
        </w:tc>
        <w:tc>
          <w:tcPr>
            <w:tcW w:w="1063" w:type="dxa"/>
            <w:tcBorders>
              <w:top w:val="single" w:sz="8" w:space="0" w:color="AEAEAE"/>
              <w:left w:val="single" w:sz="8" w:space="0" w:color="E0E0E0"/>
              <w:bottom w:val="single" w:sz="8" w:space="0" w:color="AEAEAE"/>
              <w:right w:val="nil"/>
            </w:tcBorders>
            <w:shd w:val="clear" w:color="auto" w:fill="FFFFFF"/>
          </w:tcPr>
          <w:p w14:paraId="1BC40EDB"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1.229</w:t>
            </w:r>
          </w:p>
        </w:tc>
      </w:tr>
      <w:tr w:rsidR="00833E5C" w:rsidRPr="00EF50D5" w14:paraId="4E68468A" w14:textId="77777777" w:rsidTr="00833E5C">
        <w:trPr>
          <w:cantSplit/>
        </w:trPr>
        <w:tc>
          <w:tcPr>
            <w:tcW w:w="284" w:type="dxa"/>
            <w:vMerge/>
            <w:tcBorders>
              <w:top w:val="single" w:sz="8" w:space="0" w:color="AEAEAE"/>
              <w:left w:val="nil"/>
              <w:bottom w:val="single" w:sz="8" w:space="0" w:color="152935"/>
              <w:right w:val="nil"/>
            </w:tcBorders>
            <w:shd w:val="clear" w:color="auto" w:fill="E0E0E0"/>
          </w:tcPr>
          <w:p w14:paraId="39301EBA" w14:textId="77777777" w:rsidR="007F596B" w:rsidRPr="00EF50D5" w:rsidRDefault="007F596B" w:rsidP="007F596B">
            <w:pPr>
              <w:autoSpaceDE w:val="0"/>
              <w:autoSpaceDN w:val="0"/>
              <w:adjustRightInd w:val="0"/>
              <w:rPr>
                <w:rFonts w:ascii="Arial" w:hAnsi="Arial" w:cs="Arial"/>
                <w:color w:val="010205"/>
                <w:sz w:val="16"/>
                <w:szCs w:val="16"/>
                <w:lang w:val="en-US"/>
              </w:rPr>
            </w:pPr>
          </w:p>
        </w:tc>
        <w:tc>
          <w:tcPr>
            <w:tcW w:w="992" w:type="dxa"/>
            <w:tcBorders>
              <w:top w:val="single" w:sz="8" w:space="0" w:color="AEAEAE"/>
              <w:left w:val="nil"/>
              <w:bottom w:val="single" w:sz="8" w:space="0" w:color="AEAEAE"/>
              <w:right w:val="nil"/>
            </w:tcBorders>
            <w:shd w:val="clear" w:color="auto" w:fill="E0E0E0"/>
          </w:tcPr>
          <w:p w14:paraId="06179DFD"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Profession</w:t>
            </w:r>
          </w:p>
        </w:tc>
        <w:tc>
          <w:tcPr>
            <w:tcW w:w="992" w:type="dxa"/>
            <w:tcBorders>
              <w:top w:val="single" w:sz="8" w:space="0" w:color="AEAEAE"/>
              <w:left w:val="nil"/>
              <w:bottom w:val="single" w:sz="8" w:space="0" w:color="AEAEAE"/>
              <w:right w:val="single" w:sz="8" w:space="0" w:color="E0E0E0"/>
            </w:tcBorders>
            <w:shd w:val="clear" w:color="auto" w:fill="FFFFFF"/>
          </w:tcPr>
          <w:p w14:paraId="5314B346"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-.176</w:t>
            </w:r>
          </w:p>
        </w:tc>
        <w:tc>
          <w:tcPr>
            <w:tcW w:w="993" w:type="dxa"/>
            <w:tcBorders>
              <w:top w:val="single" w:sz="8" w:space="0" w:color="AEAEAE"/>
              <w:left w:val="single" w:sz="8" w:space="0" w:color="E0E0E0"/>
              <w:bottom w:val="single" w:sz="8" w:space="0" w:color="AEAEAE"/>
              <w:right w:val="single" w:sz="8" w:space="0" w:color="E0E0E0"/>
            </w:tcBorders>
            <w:shd w:val="clear" w:color="auto" w:fill="FFFFFF"/>
          </w:tcPr>
          <w:p w14:paraId="5C2E5F64"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.707</w:t>
            </w:r>
          </w:p>
        </w:tc>
        <w:tc>
          <w:tcPr>
            <w:tcW w:w="1134" w:type="dxa"/>
            <w:tcBorders>
              <w:top w:val="single" w:sz="8" w:space="0" w:color="AEAEAE"/>
              <w:left w:val="single" w:sz="8" w:space="0" w:color="E0E0E0"/>
              <w:bottom w:val="single" w:sz="8" w:space="0" w:color="AEAEAE"/>
              <w:right w:val="single" w:sz="8" w:space="0" w:color="E0E0E0"/>
            </w:tcBorders>
            <w:shd w:val="clear" w:color="auto" w:fill="FFFFFF"/>
          </w:tcPr>
          <w:p w14:paraId="7A0E6CCC"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-.019</w:t>
            </w:r>
          </w:p>
        </w:tc>
        <w:tc>
          <w:tcPr>
            <w:tcW w:w="850" w:type="dxa"/>
            <w:tcBorders>
              <w:top w:val="single" w:sz="8" w:space="0" w:color="AEAEAE"/>
              <w:left w:val="single" w:sz="8" w:space="0" w:color="E0E0E0"/>
              <w:bottom w:val="single" w:sz="8" w:space="0" w:color="AEAEAE"/>
              <w:right w:val="single" w:sz="8" w:space="0" w:color="E0E0E0"/>
            </w:tcBorders>
            <w:shd w:val="clear" w:color="auto" w:fill="FFFFFF"/>
          </w:tcPr>
          <w:p w14:paraId="1670B66A"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-.249</w:t>
            </w:r>
          </w:p>
        </w:tc>
        <w:tc>
          <w:tcPr>
            <w:tcW w:w="851" w:type="dxa"/>
            <w:tcBorders>
              <w:top w:val="single" w:sz="8" w:space="0" w:color="AEAEAE"/>
              <w:left w:val="single" w:sz="8" w:space="0" w:color="E0E0E0"/>
              <w:bottom w:val="single" w:sz="8" w:space="0" w:color="AEAEAE"/>
              <w:right w:val="single" w:sz="8" w:space="0" w:color="E0E0E0"/>
            </w:tcBorders>
            <w:shd w:val="clear" w:color="auto" w:fill="FFFFFF"/>
          </w:tcPr>
          <w:p w14:paraId="7D12ADFC"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.804</w:t>
            </w:r>
          </w:p>
        </w:tc>
        <w:tc>
          <w:tcPr>
            <w:tcW w:w="1275" w:type="dxa"/>
            <w:tcBorders>
              <w:top w:val="single" w:sz="8" w:space="0" w:color="AEAEAE"/>
              <w:left w:val="single" w:sz="8" w:space="0" w:color="E0E0E0"/>
              <w:bottom w:val="single" w:sz="8" w:space="0" w:color="AEAEAE"/>
              <w:right w:val="single" w:sz="8" w:space="0" w:color="E0E0E0"/>
            </w:tcBorders>
            <w:shd w:val="clear" w:color="auto" w:fill="FFFFFF"/>
          </w:tcPr>
          <w:p w14:paraId="50A9A690"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-1.571</w:t>
            </w:r>
          </w:p>
        </w:tc>
        <w:tc>
          <w:tcPr>
            <w:tcW w:w="1276" w:type="dxa"/>
            <w:tcBorders>
              <w:top w:val="single" w:sz="8" w:space="0" w:color="AEAEAE"/>
              <w:left w:val="single" w:sz="8" w:space="0" w:color="E0E0E0"/>
              <w:bottom w:val="single" w:sz="8" w:space="0" w:color="AEAEAE"/>
              <w:right w:val="single" w:sz="8" w:space="0" w:color="E0E0E0"/>
            </w:tcBorders>
            <w:shd w:val="clear" w:color="auto" w:fill="FFFFFF"/>
          </w:tcPr>
          <w:p w14:paraId="1767D2A2"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1.219</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05084F0C"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-.009</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2ACD29B2"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-.018</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1BC55D32"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-.018</w:t>
            </w:r>
          </w:p>
        </w:tc>
        <w:tc>
          <w:tcPr>
            <w:tcW w:w="1063" w:type="dxa"/>
            <w:tcBorders>
              <w:top w:val="single" w:sz="8" w:space="0" w:color="AEAEAE"/>
              <w:left w:val="single" w:sz="8" w:space="0" w:color="E0E0E0"/>
              <w:bottom w:val="single" w:sz="8" w:space="0" w:color="AEAEAE"/>
              <w:right w:val="single" w:sz="8" w:space="0" w:color="E0E0E0"/>
            </w:tcBorders>
            <w:shd w:val="clear" w:color="auto" w:fill="FFFFFF"/>
          </w:tcPr>
          <w:p w14:paraId="7D94FE3C"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.889</w:t>
            </w:r>
          </w:p>
        </w:tc>
        <w:tc>
          <w:tcPr>
            <w:tcW w:w="1063" w:type="dxa"/>
            <w:tcBorders>
              <w:top w:val="single" w:sz="8" w:space="0" w:color="AEAEAE"/>
              <w:left w:val="single" w:sz="8" w:space="0" w:color="E0E0E0"/>
              <w:bottom w:val="single" w:sz="8" w:space="0" w:color="AEAEAE"/>
              <w:right w:val="nil"/>
            </w:tcBorders>
            <w:shd w:val="clear" w:color="auto" w:fill="FFFFFF"/>
          </w:tcPr>
          <w:p w14:paraId="57EA310B"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1.125</w:t>
            </w:r>
          </w:p>
        </w:tc>
      </w:tr>
      <w:tr w:rsidR="00833E5C" w:rsidRPr="00EF50D5" w14:paraId="1A09E8A6" w14:textId="77777777" w:rsidTr="00833E5C">
        <w:trPr>
          <w:cantSplit/>
        </w:trPr>
        <w:tc>
          <w:tcPr>
            <w:tcW w:w="284" w:type="dxa"/>
            <w:vMerge/>
            <w:tcBorders>
              <w:top w:val="single" w:sz="8" w:space="0" w:color="AEAEAE"/>
              <w:left w:val="nil"/>
              <w:bottom w:val="single" w:sz="8" w:space="0" w:color="152935"/>
              <w:right w:val="nil"/>
            </w:tcBorders>
            <w:shd w:val="clear" w:color="auto" w:fill="E0E0E0"/>
          </w:tcPr>
          <w:p w14:paraId="11670A48" w14:textId="77777777" w:rsidR="007F596B" w:rsidRPr="00EF50D5" w:rsidRDefault="007F596B" w:rsidP="007F596B">
            <w:pPr>
              <w:autoSpaceDE w:val="0"/>
              <w:autoSpaceDN w:val="0"/>
              <w:adjustRightInd w:val="0"/>
              <w:rPr>
                <w:rFonts w:ascii="Arial" w:hAnsi="Arial" w:cs="Arial"/>
                <w:color w:val="010205"/>
                <w:sz w:val="16"/>
                <w:szCs w:val="16"/>
                <w:lang w:val="en-US"/>
              </w:rPr>
            </w:pPr>
          </w:p>
        </w:tc>
        <w:tc>
          <w:tcPr>
            <w:tcW w:w="992" w:type="dxa"/>
            <w:tcBorders>
              <w:top w:val="single" w:sz="8" w:space="0" w:color="AEAEAE"/>
              <w:left w:val="nil"/>
              <w:bottom w:val="single" w:sz="8" w:space="0" w:color="AEAEAE"/>
              <w:right w:val="nil"/>
            </w:tcBorders>
            <w:shd w:val="clear" w:color="auto" w:fill="E0E0E0"/>
          </w:tcPr>
          <w:p w14:paraId="39022015"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Age</w:t>
            </w:r>
          </w:p>
        </w:tc>
        <w:tc>
          <w:tcPr>
            <w:tcW w:w="992" w:type="dxa"/>
            <w:tcBorders>
              <w:top w:val="single" w:sz="8" w:space="0" w:color="AEAEAE"/>
              <w:left w:val="nil"/>
              <w:bottom w:val="single" w:sz="8" w:space="0" w:color="AEAEAE"/>
              <w:right w:val="single" w:sz="8" w:space="0" w:color="E0E0E0"/>
            </w:tcBorders>
            <w:shd w:val="clear" w:color="auto" w:fill="FFFFFF"/>
          </w:tcPr>
          <w:p w14:paraId="21959AC0"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.210</w:t>
            </w:r>
          </w:p>
        </w:tc>
        <w:tc>
          <w:tcPr>
            <w:tcW w:w="993" w:type="dxa"/>
            <w:tcBorders>
              <w:top w:val="single" w:sz="8" w:space="0" w:color="AEAEAE"/>
              <w:left w:val="single" w:sz="8" w:space="0" w:color="E0E0E0"/>
              <w:bottom w:val="single" w:sz="8" w:space="0" w:color="AEAEAE"/>
              <w:right w:val="single" w:sz="8" w:space="0" w:color="E0E0E0"/>
            </w:tcBorders>
            <w:shd w:val="clear" w:color="auto" w:fill="FFFFFF"/>
          </w:tcPr>
          <w:p w14:paraId="035E786B"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1.539</w:t>
            </w:r>
          </w:p>
        </w:tc>
        <w:tc>
          <w:tcPr>
            <w:tcW w:w="1134" w:type="dxa"/>
            <w:tcBorders>
              <w:top w:val="single" w:sz="8" w:space="0" w:color="AEAEAE"/>
              <w:left w:val="single" w:sz="8" w:space="0" w:color="E0E0E0"/>
              <w:bottom w:val="single" w:sz="8" w:space="0" w:color="AEAEAE"/>
              <w:right w:val="single" w:sz="8" w:space="0" w:color="E0E0E0"/>
            </w:tcBorders>
            <w:shd w:val="clear" w:color="auto" w:fill="FFFFFF"/>
          </w:tcPr>
          <w:p w14:paraId="5A3E4AFB"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.011</w:t>
            </w:r>
          </w:p>
        </w:tc>
        <w:tc>
          <w:tcPr>
            <w:tcW w:w="850" w:type="dxa"/>
            <w:tcBorders>
              <w:top w:val="single" w:sz="8" w:space="0" w:color="AEAEAE"/>
              <w:left w:val="single" w:sz="8" w:space="0" w:color="E0E0E0"/>
              <w:bottom w:val="single" w:sz="8" w:space="0" w:color="AEAEAE"/>
              <w:right w:val="single" w:sz="8" w:space="0" w:color="E0E0E0"/>
            </w:tcBorders>
            <w:shd w:val="clear" w:color="auto" w:fill="FFFFFF"/>
          </w:tcPr>
          <w:p w14:paraId="22CF5C2C"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.136</w:t>
            </w:r>
          </w:p>
        </w:tc>
        <w:tc>
          <w:tcPr>
            <w:tcW w:w="851" w:type="dxa"/>
            <w:tcBorders>
              <w:top w:val="single" w:sz="8" w:space="0" w:color="AEAEAE"/>
              <w:left w:val="single" w:sz="8" w:space="0" w:color="E0E0E0"/>
              <w:bottom w:val="single" w:sz="8" w:space="0" w:color="AEAEAE"/>
              <w:right w:val="single" w:sz="8" w:space="0" w:color="E0E0E0"/>
            </w:tcBorders>
            <w:shd w:val="clear" w:color="auto" w:fill="FFFFFF"/>
          </w:tcPr>
          <w:p w14:paraId="080FC76C"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.892</w:t>
            </w:r>
          </w:p>
        </w:tc>
        <w:tc>
          <w:tcPr>
            <w:tcW w:w="1275" w:type="dxa"/>
            <w:tcBorders>
              <w:top w:val="single" w:sz="8" w:space="0" w:color="AEAEAE"/>
              <w:left w:val="single" w:sz="8" w:space="0" w:color="E0E0E0"/>
              <w:bottom w:val="single" w:sz="8" w:space="0" w:color="AEAEAE"/>
              <w:right w:val="single" w:sz="8" w:space="0" w:color="E0E0E0"/>
            </w:tcBorders>
            <w:shd w:val="clear" w:color="auto" w:fill="FFFFFF"/>
          </w:tcPr>
          <w:p w14:paraId="60623FFE"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-2.826</w:t>
            </w:r>
          </w:p>
        </w:tc>
        <w:tc>
          <w:tcPr>
            <w:tcW w:w="1276" w:type="dxa"/>
            <w:tcBorders>
              <w:top w:val="single" w:sz="8" w:space="0" w:color="AEAEAE"/>
              <w:left w:val="single" w:sz="8" w:space="0" w:color="E0E0E0"/>
              <w:bottom w:val="single" w:sz="8" w:space="0" w:color="AEAEAE"/>
              <w:right w:val="single" w:sz="8" w:space="0" w:color="E0E0E0"/>
            </w:tcBorders>
            <w:shd w:val="clear" w:color="auto" w:fill="FFFFFF"/>
          </w:tcPr>
          <w:p w14:paraId="343DD13C"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3.245</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4290BC18"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.005</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458CC1A1"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.010</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43ED2052"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.010</w:t>
            </w:r>
          </w:p>
        </w:tc>
        <w:tc>
          <w:tcPr>
            <w:tcW w:w="1063" w:type="dxa"/>
            <w:tcBorders>
              <w:top w:val="single" w:sz="8" w:space="0" w:color="AEAEAE"/>
              <w:left w:val="single" w:sz="8" w:space="0" w:color="E0E0E0"/>
              <w:bottom w:val="single" w:sz="8" w:space="0" w:color="AEAEAE"/>
              <w:right w:val="single" w:sz="8" w:space="0" w:color="E0E0E0"/>
            </w:tcBorders>
            <w:shd w:val="clear" w:color="auto" w:fill="FFFFFF"/>
          </w:tcPr>
          <w:p w14:paraId="7AFDB3AA"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.790</w:t>
            </w:r>
          </w:p>
        </w:tc>
        <w:tc>
          <w:tcPr>
            <w:tcW w:w="1063" w:type="dxa"/>
            <w:tcBorders>
              <w:top w:val="single" w:sz="8" w:space="0" w:color="AEAEAE"/>
              <w:left w:val="single" w:sz="8" w:space="0" w:color="E0E0E0"/>
              <w:bottom w:val="single" w:sz="8" w:space="0" w:color="AEAEAE"/>
              <w:right w:val="nil"/>
            </w:tcBorders>
            <w:shd w:val="clear" w:color="auto" w:fill="FFFFFF"/>
          </w:tcPr>
          <w:p w14:paraId="71E284B4"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1.266</w:t>
            </w:r>
          </w:p>
        </w:tc>
      </w:tr>
      <w:tr w:rsidR="00833E5C" w:rsidRPr="00EF50D5" w14:paraId="6756142F" w14:textId="77777777" w:rsidTr="00833E5C">
        <w:trPr>
          <w:cantSplit/>
        </w:trPr>
        <w:tc>
          <w:tcPr>
            <w:tcW w:w="284" w:type="dxa"/>
            <w:vMerge/>
            <w:tcBorders>
              <w:top w:val="single" w:sz="8" w:space="0" w:color="AEAEAE"/>
              <w:left w:val="nil"/>
              <w:bottom w:val="single" w:sz="8" w:space="0" w:color="152935"/>
              <w:right w:val="nil"/>
            </w:tcBorders>
            <w:shd w:val="clear" w:color="auto" w:fill="E0E0E0"/>
          </w:tcPr>
          <w:p w14:paraId="092EFA81" w14:textId="77777777" w:rsidR="007F596B" w:rsidRPr="00EF50D5" w:rsidRDefault="007F596B" w:rsidP="007F596B">
            <w:pPr>
              <w:autoSpaceDE w:val="0"/>
              <w:autoSpaceDN w:val="0"/>
              <w:adjustRightInd w:val="0"/>
              <w:rPr>
                <w:rFonts w:ascii="Arial" w:hAnsi="Arial" w:cs="Arial"/>
                <w:color w:val="010205"/>
                <w:sz w:val="16"/>
                <w:szCs w:val="16"/>
                <w:lang w:val="en-US"/>
              </w:rPr>
            </w:pPr>
          </w:p>
        </w:tc>
        <w:tc>
          <w:tcPr>
            <w:tcW w:w="992" w:type="dxa"/>
            <w:tcBorders>
              <w:top w:val="single" w:sz="8" w:space="0" w:color="AEAEAE"/>
              <w:left w:val="nil"/>
              <w:bottom w:val="single" w:sz="8" w:space="0" w:color="AEAEAE"/>
              <w:right w:val="nil"/>
            </w:tcBorders>
            <w:shd w:val="clear" w:color="auto" w:fill="E0E0E0"/>
          </w:tcPr>
          <w:p w14:paraId="6A4CE44D"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Gender</w:t>
            </w:r>
          </w:p>
        </w:tc>
        <w:tc>
          <w:tcPr>
            <w:tcW w:w="992" w:type="dxa"/>
            <w:tcBorders>
              <w:top w:val="single" w:sz="8" w:space="0" w:color="AEAEAE"/>
              <w:left w:val="nil"/>
              <w:bottom w:val="single" w:sz="8" w:space="0" w:color="AEAEAE"/>
              <w:right w:val="single" w:sz="8" w:space="0" w:color="E0E0E0"/>
            </w:tcBorders>
            <w:shd w:val="clear" w:color="auto" w:fill="FFFFFF"/>
          </w:tcPr>
          <w:p w14:paraId="22DF5C14"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-.668</w:t>
            </w:r>
          </w:p>
        </w:tc>
        <w:tc>
          <w:tcPr>
            <w:tcW w:w="993" w:type="dxa"/>
            <w:tcBorders>
              <w:top w:val="single" w:sz="8" w:space="0" w:color="AEAEAE"/>
              <w:left w:val="single" w:sz="8" w:space="0" w:color="E0E0E0"/>
              <w:bottom w:val="single" w:sz="8" w:space="0" w:color="AEAEAE"/>
              <w:right w:val="single" w:sz="8" w:space="0" w:color="E0E0E0"/>
            </w:tcBorders>
            <w:shd w:val="clear" w:color="auto" w:fill="FFFFFF"/>
          </w:tcPr>
          <w:p w14:paraId="6DDC39A3"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3.537</w:t>
            </w:r>
          </w:p>
        </w:tc>
        <w:tc>
          <w:tcPr>
            <w:tcW w:w="1134" w:type="dxa"/>
            <w:tcBorders>
              <w:top w:val="single" w:sz="8" w:space="0" w:color="AEAEAE"/>
              <w:left w:val="single" w:sz="8" w:space="0" w:color="E0E0E0"/>
              <w:bottom w:val="single" w:sz="8" w:space="0" w:color="AEAEAE"/>
              <w:right w:val="single" w:sz="8" w:space="0" w:color="E0E0E0"/>
            </w:tcBorders>
            <w:shd w:val="clear" w:color="auto" w:fill="FFFFFF"/>
          </w:tcPr>
          <w:p w14:paraId="349C2245"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-.014</w:t>
            </w:r>
          </w:p>
        </w:tc>
        <w:tc>
          <w:tcPr>
            <w:tcW w:w="850" w:type="dxa"/>
            <w:tcBorders>
              <w:top w:val="single" w:sz="8" w:space="0" w:color="AEAEAE"/>
              <w:left w:val="single" w:sz="8" w:space="0" w:color="E0E0E0"/>
              <w:bottom w:val="single" w:sz="8" w:space="0" w:color="AEAEAE"/>
              <w:right w:val="single" w:sz="8" w:space="0" w:color="E0E0E0"/>
            </w:tcBorders>
            <w:shd w:val="clear" w:color="auto" w:fill="FFFFFF"/>
          </w:tcPr>
          <w:p w14:paraId="64DB74E0"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-.189</w:t>
            </w:r>
          </w:p>
        </w:tc>
        <w:tc>
          <w:tcPr>
            <w:tcW w:w="851" w:type="dxa"/>
            <w:tcBorders>
              <w:top w:val="single" w:sz="8" w:space="0" w:color="AEAEAE"/>
              <w:left w:val="single" w:sz="8" w:space="0" w:color="E0E0E0"/>
              <w:bottom w:val="single" w:sz="8" w:space="0" w:color="AEAEAE"/>
              <w:right w:val="single" w:sz="8" w:space="0" w:color="E0E0E0"/>
            </w:tcBorders>
            <w:shd w:val="clear" w:color="auto" w:fill="FFFFFF"/>
          </w:tcPr>
          <w:p w14:paraId="521F9DF9"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.850</w:t>
            </w:r>
          </w:p>
        </w:tc>
        <w:tc>
          <w:tcPr>
            <w:tcW w:w="1275" w:type="dxa"/>
            <w:tcBorders>
              <w:top w:val="single" w:sz="8" w:space="0" w:color="AEAEAE"/>
              <w:left w:val="single" w:sz="8" w:space="0" w:color="E0E0E0"/>
              <w:bottom w:val="single" w:sz="8" w:space="0" w:color="AEAEAE"/>
              <w:right w:val="single" w:sz="8" w:space="0" w:color="E0E0E0"/>
            </w:tcBorders>
            <w:shd w:val="clear" w:color="auto" w:fill="FFFFFF"/>
          </w:tcPr>
          <w:p w14:paraId="21FC492D"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-7.645</w:t>
            </w:r>
          </w:p>
        </w:tc>
        <w:tc>
          <w:tcPr>
            <w:tcW w:w="1276" w:type="dxa"/>
            <w:tcBorders>
              <w:top w:val="single" w:sz="8" w:space="0" w:color="AEAEAE"/>
              <w:left w:val="single" w:sz="8" w:space="0" w:color="E0E0E0"/>
              <w:bottom w:val="single" w:sz="8" w:space="0" w:color="AEAEAE"/>
              <w:right w:val="single" w:sz="8" w:space="0" w:color="E0E0E0"/>
            </w:tcBorders>
            <w:shd w:val="clear" w:color="auto" w:fill="FFFFFF"/>
          </w:tcPr>
          <w:p w14:paraId="66901684"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6.309</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40BCB79F"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-.025</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22DD174B"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-.014</w:t>
            </w:r>
          </w:p>
        </w:tc>
        <w:tc>
          <w:tcPr>
            <w:tcW w:w="945" w:type="dxa"/>
            <w:tcBorders>
              <w:top w:val="single" w:sz="8" w:space="0" w:color="AEAEAE"/>
              <w:left w:val="single" w:sz="8" w:space="0" w:color="E0E0E0"/>
              <w:bottom w:val="single" w:sz="8" w:space="0" w:color="AEAEAE"/>
              <w:right w:val="single" w:sz="8" w:space="0" w:color="E0E0E0"/>
            </w:tcBorders>
            <w:shd w:val="clear" w:color="auto" w:fill="FFFFFF"/>
          </w:tcPr>
          <w:p w14:paraId="16D36B7F"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-.013</w:t>
            </w:r>
          </w:p>
        </w:tc>
        <w:tc>
          <w:tcPr>
            <w:tcW w:w="1063" w:type="dxa"/>
            <w:tcBorders>
              <w:top w:val="single" w:sz="8" w:space="0" w:color="AEAEAE"/>
              <w:left w:val="single" w:sz="8" w:space="0" w:color="E0E0E0"/>
              <w:bottom w:val="single" w:sz="8" w:space="0" w:color="AEAEAE"/>
              <w:right w:val="single" w:sz="8" w:space="0" w:color="E0E0E0"/>
            </w:tcBorders>
            <w:shd w:val="clear" w:color="auto" w:fill="FFFFFF"/>
          </w:tcPr>
          <w:p w14:paraId="47CF930B"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.956</w:t>
            </w:r>
          </w:p>
        </w:tc>
        <w:tc>
          <w:tcPr>
            <w:tcW w:w="1063" w:type="dxa"/>
            <w:tcBorders>
              <w:top w:val="single" w:sz="8" w:space="0" w:color="AEAEAE"/>
              <w:left w:val="single" w:sz="8" w:space="0" w:color="E0E0E0"/>
              <w:bottom w:val="single" w:sz="8" w:space="0" w:color="AEAEAE"/>
              <w:right w:val="nil"/>
            </w:tcBorders>
            <w:shd w:val="clear" w:color="auto" w:fill="FFFFFF"/>
          </w:tcPr>
          <w:p w14:paraId="0148F7C6"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1.046</w:t>
            </w:r>
          </w:p>
        </w:tc>
      </w:tr>
      <w:tr w:rsidR="00833E5C" w:rsidRPr="00EF50D5" w14:paraId="4DBE7642" w14:textId="77777777" w:rsidTr="00833E5C">
        <w:trPr>
          <w:cantSplit/>
        </w:trPr>
        <w:tc>
          <w:tcPr>
            <w:tcW w:w="284" w:type="dxa"/>
            <w:vMerge/>
            <w:tcBorders>
              <w:top w:val="single" w:sz="8" w:space="0" w:color="AEAEAE"/>
              <w:left w:val="nil"/>
              <w:bottom w:val="single" w:sz="8" w:space="0" w:color="152935"/>
              <w:right w:val="nil"/>
            </w:tcBorders>
            <w:shd w:val="clear" w:color="auto" w:fill="E0E0E0"/>
          </w:tcPr>
          <w:p w14:paraId="6C514430" w14:textId="77777777" w:rsidR="007F596B" w:rsidRPr="00EF50D5" w:rsidRDefault="007F596B" w:rsidP="007F596B">
            <w:pPr>
              <w:autoSpaceDE w:val="0"/>
              <w:autoSpaceDN w:val="0"/>
              <w:adjustRightInd w:val="0"/>
              <w:rPr>
                <w:rFonts w:ascii="Arial" w:hAnsi="Arial" w:cs="Arial"/>
                <w:color w:val="010205"/>
                <w:sz w:val="16"/>
                <w:szCs w:val="16"/>
                <w:lang w:val="en-US"/>
              </w:rPr>
            </w:pPr>
          </w:p>
        </w:tc>
        <w:tc>
          <w:tcPr>
            <w:tcW w:w="992" w:type="dxa"/>
            <w:tcBorders>
              <w:top w:val="single" w:sz="8" w:space="0" w:color="AEAEAE"/>
              <w:left w:val="nil"/>
              <w:bottom w:val="single" w:sz="8" w:space="0" w:color="152935"/>
              <w:right w:val="nil"/>
            </w:tcBorders>
            <w:shd w:val="clear" w:color="auto" w:fill="E0E0E0"/>
          </w:tcPr>
          <w:p w14:paraId="04B1C713" w14:textId="77777777" w:rsidR="007F596B" w:rsidRPr="00EF50D5" w:rsidRDefault="007F596B" w:rsidP="007F596B">
            <w:pPr>
              <w:autoSpaceDE w:val="0"/>
              <w:autoSpaceDN w:val="0"/>
              <w:adjustRightInd w:val="0"/>
              <w:spacing w:line="320" w:lineRule="atLeast"/>
              <w:ind w:left="60" w:right="60"/>
              <w:rPr>
                <w:rFonts w:ascii="Arial" w:hAnsi="Arial" w:cs="Arial"/>
                <w:color w:val="264A60"/>
                <w:sz w:val="16"/>
                <w:szCs w:val="16"/>
                <w:lang w:val="en-US"/>
              </w:rPr>
            </w:pPr>
            <w:r w:rsidRPr="00EF50D5">
              <w:rPr>
                <w:rFonts w:ascii="Arial" w:hAnsi="Arial" w:cs="Arial"/>
                <w:color w:val="264A60"/>
                <w:sz w:val="16"/>
                <w:szCs w:val="16"/>
                <w:lang w:val="en-US"/>
              </w:rPr>
              <w:t>IAPT</w:t>
            </w:r>
          </w:p>
        </w:tc>
        <w:tc>
          <w:tcPr>
            <w:tcW w:w="992" w:type="dxa"/>
            <w:tcBorders>
              <w:top w:val="single" w:sz="8" w:space="0" w:color="AEAEAE"/>
              <w:left w:val="nil"/>
              <w:bottom w:val="single" w:sz="8" w:space="0" w:color="152935"/>
              <w:right w:val="single" w:sz="8" w:space="0" w:color="E0E0E0"/>
            </w:tcBorders>
            <w:shd w:val="clear" w:color="auto" w:fill="FFFFFF"/>
          </w:tcPr>
          <w:p w14:paraId="332ECB17"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.071</w:t>
            </w:r>
          </w:p>
        </w:tc>
        <w:tc>
          <w:tcPr>
            <w:tcW w:w="993" w:type="dxa"/>
            <w:tcBorders>
              <w:top w:val="single" w:sz="8" w:space="0" w:color="AEAEAE"/>
              <w:left w:val="single" w:sz="8" w:space="0" w:color="E0E0E0"/>
              <w:bottom w:val="single" w:sz="8" w:space="0" w:color="152935"/>
              <w:right w:val="single" w:sz="8" w:space="0" w:color="E0E0E0"/>
            </w:tcBorders>
            <w:shd w:val="clear" w:color="auto" w:fill="FFFFFF"/>
          </w:tcPr>
          <w:p w14:paraId="25320B1F"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3.158</w:t>
            </w:r>
          </w:p>
        </w:tc>
        <w:tc>
          <w:tcPr>
            <w:tcW w:w="1134" w:type="dxa"/>
            <w:tcBorders>
              <w:top w:val="single" w:sz="8" w:space="0" w:color="AEAEAE"/>
              <w:left w:val="single" w:sz="8" w:space="0" w:color="E0E0E0"/>
              <w:bottom w:val="single" w:sz="8" w:space="0" w:color="152935"/>
              <w:right w:val="single" w:sz="8" w:space="0" w:color="E0E0E0"/>
            </w:tcBorders>
            <w:shd w:val="clear" w:color="auto" w:fill="FFFFFF"/>
          </w:tcPr>
          <w:p w14:paraId="0BE16EF8"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.002</w:t>
            </w:r>
          </w:p>
        </w:tc>
        <w:tc>
          <w:tcPr>
            <w:tcW w:w="850" w:type="dxa"/>
            <w:tcBorders>
              <w:top w:val="single" w:sz="8" w:space="0" w:color="AEAEAE"/>
              <w:left w:val="single" w:sz="8" w:space="0" w:color="E0E0E0"/>
              <w:bottom w:val="single" w:sz="8" w:space="0" w:color="152935"/>
              <w:right w:val="single" w:sz="8" w:space="0" w:color="E0E0E0"/>
            </w:tcBorders>
            <w:shd w:val="clear" w:color="auto" w:fill="FFFFFF"/>
          </w:tcPr>
          <w:p w14:paraId="626AD73D"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.023</w:t>
            </w:r>
          </w:p>
        </w:tc>
        <w:tc>
          <w:tcPr>
            <w:tcW w:w="851" w:type="dxa"/>
            <w:tcBorders>
              <w:top w:val="single" w:sz="8" w:space="0" w:color="AEAEAE"/>
              <w:left w:val="single" w:sz="8" w:space="0" w:color="E0E0E0"/>
              <w:bottom w:val="single" w:sz="8" w:space="0" w:color="152935"/>
              <w:right w:val="single" w:sz="8" w:space="0" w:color="E0E0E0"/>
            </w:tcBorders>
            <w:shd w:val="clear" w:color="auto" w:fill="FFFFFF"/>
          </w:tcPr>
          <w:p w14:paraId="37D03360"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.982</w:t>
            </w:r>
          </w:p>
        </w:tc>
        <w:tc>
          <w:tcPr>
            <w:tcW w:w="1275" w:type="dxa"/>
            <w:tcBorders>
              <w:top w:val="single" w:sz="8" w:space="0" w:color="AEAEAE"/>
              <w:left w:val="single" w:sz="8" w:space="0" w:color="E0E0E0"/>
              <w:bottom w:val="single" w:sz="8" w:space="0" w:color="152935"/>
              <w:right w:val="single" w:sz="8" w:space="0" w:color="E0E0E0"/>
            </w:tcBorders>
            <w:shd w:val="clear" w:color="auto" w:fill="FFFFFF"/>
          </w:tcPr>
          <w:p w14:paraId="494FB926"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-6.159</w:t>
            </w:r>
          </w:p>
        </w:tc>
        <w:tc>
          <w:tcPr>
            <w:tcW w:w="1276" w:type="dxa"/>
            <w:tcBorders>
              <w:top w:val="single" w:sz="8" w:space="0" w:color="AEAEAE"/>
              <w:left w:val="single" w:sz="8" w:space="0" w:color="E0E0E0"/>
              <w:bottom w:val="single" w:sz="8" w:space="0" w:color="152935"/>
              <w:right w:val="single" w:sz="8" w:space="0" w:color="E0E0E0"/>
            </w:tcBorders>
            <w:shd w:val="clear" w:color="auto" w:fill="FFFFFF"/>
          </w:tcPr>
          <w:p w14:paraId="127EC764"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6.302</w:t>
            </w:r>
          </w:p>
        </w:tc>
        <w:tc>
          <w:tcPr>
            <w:tcW w:w="945" w:type="dxa"/>
            <w:tcBorders>
              <w:top w:val="single" w:sz="8" w:space="0" w:color="AEAEAE"/>
              <w:left w:val="single" w:sz="8" w:space="0" w:color="E0E0E0"/>
              <w:bottom w:val="single" w:sz="8" w:space="0" w:color="152935"/>
              <w:right w:val="single" w:sz="8" w:space="0" w:color="E0E0E0"/>
            </w:tcBorders>
            <w:shd w:val="clear" w:color="auto" w:fill="FFFFFF"/>
          </w:tcPr>
          <w:p w14:paraId="24B3FFFA"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.013</w:t>
            </w:r>
          </w:p>
        </w:tc>
        <w:tc>
          <w:tcPr>
            <w:tcW w:w="945" w:type="dxa"/>
            <w:tcBorders>
              <w:top w:val="single" w:sz="8" w:space="0" w:color="AEAEAE"/>
              <w:left w:val="single" w:sz="8" w:space="0" w:color="E0E0E0"/>
              <w:bottom w:val="single" w:sz="8" w:space="0" w:color="152935"/>
              <w:right w:val="single" w:sz="8" w:space="0" w:color="E0E0E0"/>
            </w:tcBorders>
            <w:shd w:val="clear" w:color="auto" w:fill="FFFFFF"/>
          </w:tcPr>
          <w:p w14:paraId="286FD996"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.002</w:t>
            </w:r>
          </w:p>
        </w:tc>
        <w:tc>
          <w:tcPr>
            <w:tcW w:w="945" w:type="dxa"/>
            <w:tcBorders>
              <w:top w:val="single" w:sz="8" w:space="0" w:color="AEAEAE"/>
              <w:left w:val="single" w:sz="8" w:space="0" w:color="E0E0E0"/>
              <w:bottom w:val="single" w:sz="8" w:space="0" w:color="152935"/>
              <w:right w:val="single" w:sz="8" w:space="0" w:color="E0E0E0"/>
            </w:tcBorders>
            <w:shd w:val="clear" w:color="auto" w:fill="FFFFFF"/>
          </w:tcPr>
          <w:p w14:paraId="65FB1912"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.002</w:t>
            </w:r>
          </w:p>
        </w:tc>
        <w:tc>
          <w:tcPr>
            <w:tcW w:w="1063" w:type="dxa"/>
            <w:tcBorders>
              <w:top w:val="single" w:sz="8" w:space="0" w:color="AEAEAE"/>
              <w:left w:val="single" w:sz="8" w:space="0" w:color="E0E0E0"/>
              <w:bottom w:val="single" w:sz="8" w:space="0" w:color="152935"/>
              <w:right w:val="single" w:sz="8" w:space="0" w:color="E0E0E0"/>
            </w:tcBorders>
            <w:shd w:val="clear" w:color="auto" w:fill="FFFFFF"/>
          </w:tcPr>
          <w:p w14:paraId="6CFDAF9D"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.918</w:t>
            </w:r>
          </w:p>
        </w:tc>
        <w:tc>
          <w:tcPr>
            <w:tcW w:w="1063" w:type="dxa"/>
            <w:tcBorders>
              <w:top w:val="single" w:sz="8" w:space="0" w:color="AEAEAE"/>
              <w:left w:val="single" w:sz="8" w:space="0" w:color="E0E0E0"/>
              <w:bottom w:val="single" w:sz="8" w:space="0" w:color="152935"/>
              <w:right w:val="nil"/>
            </w:tcBorders>
            <w:shd w:val="clear" w:color="auto" w:fill="FFFFFF"/>
          </w:tcPr>
          <w:p w14:paraId="5B46FF56" w14:textId="77777777" w:rsidR="007F596B" w:rsidRPr="00EF50D5" w:rsidRDefault="007F596B" w:rsidP="007F596B">
            <w:pPr>
              <w:autoSpaceDE w:val="0"/>
              <w:autoSpaceDN w:val="0"/>
              <w:adjustRightInd w:val="0"/>
              <w:spacing w:line="320" w:lineRule="atLeast"/>
              <w:ind w:left="60" w:right="60"/>
              <w:jc w:val="right"/>
              <w:rPr>
                <w:rFonts w:ascii="Arial" w:hAnsi="Arial" w:cs="Arial"/>
                <w:color w:val="010205"/>
                <w:sz w:val="16"/>
                <w:szCs w:val="16"/>
                <w:lang w:val="en-US"/>
              </w:rPr>
            </w:pPr>
            <w:r w:rsidRPr="00EF50D5">
              <w:rPr>
                <w:rFonts w:ascii="Arial" w:hAnsi="Arial" w:cs="Arial"/>
                <w:color w:val="010205"/>
                <w:sz w:val="16"/>
                <w:szCs w:val="16"/>
                <w:lang w:val="en-US"/>
              </w:rPr>
              <w:t>1.089</w:t>
            </w:r>
          </w:p>
        </w:tc>
      </w:tr>
      <w:tr w:rsidR="007F596B" w:rsidRPr="00EF50D5" w14:paraId="13814008" w14:textId="77777777" w:rsidTr="00833E5C">
        <w:trPr>
          <w:cantSplit/>
        </w:trPr>
        <w:tc>
          <w:tcPr>
            <w:tcW w:w="13608" w:type="dxa"/>
            <w:gridSpan w:val="14"/>
            <w:tcBorders>
              <w:top w:val="nil"/>
              <w:left w:val="nil"/>
              <w:bottom w:val="nil"/>
              <w:right w:val="nil"/>
            </w:tcBorders>
            <w:shd w:val="clear" w:color="auto" w:fill="FFFFFF"/>
          </w:tcPr>
          <w:p w14:paraId="1ECBB106" w14:textId="77777777" w:rsidR="007F596B" w:rsidRPr="00D34C32" w:rsidRDefault="007F596B" w:rsidP="00934842">
            <w:pPr>
              <w:pStyle w:val="ListParagraph"/>
              <w:numPr>
                <w:ilvl w:val="0"/>
                <w:numId w:val="21"/>
              </w:numPr>
              <w:autoSpaceDE w:val="0"/>
              <w:autoSpaceDN w:val="0"/>
              <w:adjustRightInd w:val="0"/>
              <w:spacing w:line="320" w:lineRule="atLeast"/>
              <w:ind w:right="60"/>
              <w:rPr>
                <w:rFonts w:ascii="Arial" w:hAnsi="Arial" w:cs="Arial"/>
                <w:color w:val="010205"/>
                <w:sz w:val="16"/>
                <w:szCs w:val="16"/>
                <w:lang w:val="en-US"/>
              </w:rPr>
            </w:pPr>
            <w:r w:rsidRPr="00D34C32">
              <w:rPr>
                <w:rFonts w:ascii="Arial" w:hAnsi="Arial" w:cs="Arial"/>
                <w:color w:val="010205"/>
                <w:sz w:val="16"/>
                <w:szCs w:val="16"/>
                <w:lang w:val="en-US"/>
              </w:rPr>
              <w:t>Dependent Variable: RR</w:t>
            </w:r>
          </w:p>
          <w:p w14:paraId="0752EE01" w14:textId="77777777" w:rsidR="007F596B" w:rsidRPr="00D34C32" w:rsidRDefault="007F596B" w:rsidP="007F596B">
            <w:pPr>
              <w:pStyle w:val="ListParagraph"/>
              <w:autoSpaceDE w:val="0"/>
              <w:autoSpaceDN w:val="0"/>
              <w:adjustRightInd w:val="0"/>
              <w:spacing w:line="320" w:lineRule="atLeast"/>
              <w:ind w:left="420" w:right="60"/>
              <w:rPr>
                <w:rFonts w:ascii="Arial" w:hAnsi="Arial" w:cs="Arial"/>
                <w:color w:val="010205"/>
                <w:sz w:val="16"/>
                <w:szCs w:val="16"/>
                <w:lang w:val="en-US"/>
              </w:rPr>
            </w:pPr>
          </w:p>
        </w:tc>
      </w:tr>
    </w:tbl>
    <w:p w14:paraId="60823810" w14:textId="77777777" w:rsidR="007F596B" w:rsidRPr="00EF50D5" w:rsidRDefault="007F596B" w:rsidP="007F596B">
      <w:pPr>
        <w:spacing w:line="480" w:lineRule="auto"/>
        <w:rPr>
          <w:rFonts w:ascii="Arial" w:hAnsi="Arial" w:cs="Arial"/>
          <w:sz w:val="22"/>
          <w:szCs w:val="22"/>
        </w:rPr>
        <w:sectPr w:rsidR="007F596B" w:rsidRPr="00EF50D5" w:rsidSect="007F596B">
          <w:pgSz w:w="16840" w:h="11900" w:orient="landscape"/>
          <w:pgMar w:top="1440" w:right="1440" w:bottom="1440" w:left="1440" w:header="708" w:footer="708" w:gutter="0"/>
          <w:cols w:space="708"/>
          <w:docGrid w:linePitch="360"/>
        </w:sectPr>
      </w:pPr>
    </w:p>
    <w:p w14:paraId="7EADB0C0" w14:textId="155BB537" w:rsidR="007F596B" w:rsidRPr="00EF50D5" w:rsidRDefault="008A1595" w:rsidP="007F596B">
      <w:pPr>
        <w:pStyle w:val="Heading3"/>
        <w:rPr>
          <w:rFonts w:cs="Arial"/>
          <w:b w:val="0"/>
          <w:color w:val="000000" w:themeColor="text1"/>
          <w:szCs w:val="22"/>
        </w:rPr>
      </w:pPr>
      <w:bookmarkStart w:id="383" w:name="_Toc46770829"/>
      <w:bookmarkStart w:id="384" w:name="_Toc79414240"/>
      <w:r>
        <w:rPr>
          <w:rFonts w:cs="Arial"/>
          <w:color w:val="000000" w:themeColor="text1"/>
          <w:szCs w:val="22"/>
        </w:rPr>
        <w:lastRenderedPageBreak/>
        <w:t>5</w:t>
      </w:r>
      <w:r w:rsidR="007F596B" w:rsidRPr="00EF50D5">
        <w:rPr>
          <w:rFonts w:cs="Arial"/>
          <w:color w:val="000000" w:themeColor="text1"/>
          <w:szCs w:val="22"/>
        </w:rPr>
        <w:t>.</w:t>
      </w:r>
      <w:r w:rsidR="007146C6">
        <w:rPr>
          <w:rFonts w:cs="Arial"/>
          <w:color w:val="000000" w:themeColor="text1"/>
          <w:szCs w:val="22"/>
        </w:rPr>
        <w:t>6</w:t>
      </w:r>
      <w:r w:rsidR="007F596B">
        <w:rPr>
          <w:rFonts w:cs="Arial"/>
          <w:color w:val="000000" w:themeColor="text1"/>
          <w:szCs w:val="22"/>
        </w:rPr>
        <w:t>.1</w:t>
      </w:r>
      <w:r w:rsidR="007F596B" w:rsidRPr="00EF50D5">
        <w:rPr>
          <w:rFonts w:cs="Arial"/>
          <w:color w:val="000000" w:themeColor="text1"/>
          <w:szCs w:val="22"/>
        </w:rPr>
        <w:t xml:space="preserve"> Summary of Multiple Regression Model</w:t>
      </w:r>
      <w:bookmarkEnd w:id="383"/>
      <w:bookmarkEnd w:id="384"/>
    </w:p>
    <w:p w14:paraId="6862A803" w14:textId="77777777" w:rsidR="007F596B" w:rsidRDefault="007F596B" w:rsidP="007F596B">
      <w:pPr>
        <w:spacing w:line="480" w:lineRule="auto"/>
        <w:rPr>
          <w:rFonts w:ascii="Arial" w:hAnsi="Arial" w:cs="Arial"/>
        </w:rPr>
      </w:pPr>
    </w:p>
    <w:p w14:paraId="2BD47B72" w14:textId="6F84C74C" w:rsidR="007F596B" w:rsidRPr="00CF3187" w:rsidRDefault="007F596B" w:rsidP="007F596B">
      <w:pPr>
        <w:autoSpaceDE w:val="0"/>
        <w:autoSpaceDN w:val="0"/>
        <w:adjustRightInd w:val="0"/>
        <w:spacing w:line="480" w:lineRule="auto"/>
        <w:ind w:left="60" w:right="60"/>
        <w:rPr>
          <w:rFonts w:ascii="Arial" w:hAnsi="Arial" w:cs="Arial"/>
          <w:sz w:val="22"/>
          <w:szCs w:val="22"/>
        </w:rPr>
      </w:pPr>
      <w:r w:rsidRPr="00CF1079">
        <w:rPr>
          <w:rFonts w:ascii="Arial" w:hAnsi="Arial" w:cs="Arial"/>
          <w:color w:val="010205"/>
          <w:sz w:val="22"/>
          <w:szCs w:val="22"/>
          <w:lang w:val="en-US"/>
        </w:rPr>
        <w:t>The full model of therapist age, gender, core profession, training, experience, F score and A score was not statistically significant R</w:t>
      </w:r>
      <w:r w:rsidRPr="00CF1079">
        <w:rPr>
          <w:rFonts w:ascii="Arial" w:hAnsi="Arial" w:cs="Arial"/>
          <w:color w:val="010205"/>
          <w:sz w:val="22"/>
          <w:szCs w:val="22"/>
          <w:vertAlign w:val="superscript"/>
          <w:lang w:val="en-US"/>
        </w:rPr>
        <w:t>2</w:t>
      </w:r>
      <w:r w:rsidRPr="00CF1079">
        <w:rPr>
          <w:rFonts w:ascii="Arial" w:hAnsi="Arial" w:cs="Arial"/>
          <w:color w:val="010205"/>
          <w:sz w:val="22"/>
          <w:szCs w:val="22"/>
          <w:lang w:val="en-US"/>
        </w:rPr>
        <w:t xml:space="preserve"> = 0.</w:t>
      </w:r>
      <w:r w:rsidR="00943FB5" w:rsidRPr="00CF1079">
        <w:rPr>
          <w:rFonts w:ascii="Arial" w:hAnsi="Arial" w:cs="Arial"/>
          <w:color w:val="010205"/>
          <w:sz w:val="22"/>
          <w:szCs w:val="22"/>
          <w:lang w:val="en-US"/>
        </w:rPr>
        <w:t>0</w:t>
      </w:r>
      <w:r w:rsidRPr="00CF1079">
        <w:rPr>
          <w:rFonts w:ascii="Arial" w:hAnsi="Arial" w:cs="Arial"/>
          <w:color w:val="010205"/>
          <w:sz w:val="22"/>
          <w:szCs w:val="22"/>
          <w:lang w:val="en-US"/>
        </w:rPr>
        <w:t>43, F = 1.216, p = 0.296.</w:t>
      </w:r>
      <w:r w:rsidRPr="00CF3187">
        <w:rPr>
          <w:rFonts w:ascii="Arial" w:hAnsi="Arial" w:cs="Arial"/>
          <w:color w:val="010205"/>
          <w:sz w:val="22"/>
          <w:szCs w:val="22"/>
          <w:lang w:val="en-US"/>
        </w:rPr>
        <w:t xml:space="preserve"> However, table </w:t>
      </w:r>
      <w:r w:rsidR="00687C44">
        <w:rPr>
          <w:rFonts w:ascii="Arial" w:hAnsi="Arial" w:cs="Arial"/>
          <w:color w:val="010205"/>
          <w:sz w:val="22"/>
          <w:szCs w:val="22"/>
          <w:lang w:val="en-US"/>
        </w:rPr>
        <w:t>5.</w:t>
      </w:r>
      <w:r w:rsidR="00E772FF">
        <w:rPr>
          <w:rFonts w:ascii="Arial" w:hAnsi="Arial" w:cs="Arial"/>
          <w:color w:val="010205"/>
          <w:sz w:val="22"/>
          <w:szCs w:val="22"/>
          <w:lang w:val="en-US"/>
        </w:rPr>
        <w:t>7</w:t>
      </w:r>
      <w:r w:rsidR="00DE1F87">
        <w:rPr>
          <w:rFonts w:ascii="Arial" w:hAnsi="Arial" w:cs="Arial"/>
          <w:color w:val="010205"/>
          <w:sz w:val="22"/>
          <w:szCs w:val="22"/>
          <w:lang w:val="en-US"/>
        </w:rPr>
        <w:t xml:space="preserve"> </w:t>
      </w:r>
      <w:r w:rsidRPr="00CF3187">
        <w:rPr>
          <w:rFonts w:ascii="Arial" w:hAnsi="Arial" w:cs="Arial"/>
          <w:color w:val="010205"/>
          <w:sz w:val="22"/>
          <w:szCs w:val="22"/>
          <w:lang w:val="en-US"/>
        </w:rPr>
        <w:t xml:space="preserve">shows that model 1 (independent variables = F scores and A scores) is statistically significant at the 0.05 level </w:t>
      </w:r>
      <w:r w:rsidR="0054314B">
        <w:rPr>
          <w:rFonts w:ascii="Arial" w:hAnsi="Arial" w:cs="Arial"/>
          <w:color w:val="010205"/>
          <w:sz w:val="22"/>
          <w:szCs w:val="22"/>
          <w:lang w:val="en-US"/>
        </w:rPr>
        <w:t>(</w:t>
      </w:r>
      <w:r w:rsidRPr="00CF3187">
        <w:rPr>
          <w:rFonts w:ascii="Arial" w:hAnsi="Arial" w:cs="Arial"/>
          <w:color w:val="010205"/>
          <w:sz w:val="22"/>
          <w:szCs w:val="22"/>
          <w:lang w:val="en-US"/>
        </w:rPr>
        <w:t>p= 0.030</w:t>
      </w:r>
      <w:r w:rsidR="0054314B">
        <w:rPr>
          <w:rFonts w:ascii="Arial" w:hAnsi="Arial" w:cs="Arial"/>
          <w:color w:val="010205"/>
          <w:sz w:val="22"/>
          <w:szCs w:val="22"/>
          <w:lang w:val="en-US"/>
        </w:rPr>
        <w:t>)</w:t>
      </w:r>
      <w:r w:rsidRPr="00CF3187">
        <w:rPr>
          <w:rFonts w:ascii="Arial" w:hAnsi="Arial" w:cs="Arial"/>
          <w:color w:val="010205"/>
          <w:sz w:val="22"/>
          <w:szCs w:val="22"/>
          <w:lang w:val="en-US"/>
        </w:rPr>
        <w:t xml:space="preserve">. </w:t>
      </w:r>
      <w:r w:rsidR="00B55442" w:rsidRPr="00CF1079">
        <w:rPr>
          <w:rFonts w:ascii="Arial" w:hAnsi="Arial" w:cs="Arial"/>
          <w:color w:val="010205"/>
          <w:sz w:val="22"/>
          <w:szCs w:val="22"/>
          <w:lang w:val="en-US"/>
        </w:rPr>
        <w:t>However</w:t>
      </w:r>
      <w:r w:rsidR="00B55442">
        <w:rPr>
          <w:rFonts w:ascii="Arial" w:hAnsi="Arial" w:cs="Arial"/>
          <w:color w:val="010205"/>
          <w:sz w:val="22"/>
          <w:szCs w:val="22"/>
          <w:lang w:val="en-US"/>
        </w:rPr>
        <w:t>, i</w:t>
      </w:r>
      <w:r w:rsidRPr="00CF3187">
        <w:rPr>
          <w:rFonts w:ascii="Arial" w:hAnsi="Arial" w:cs="Arial"/>
          <w:color w:val="010205"/>
          <w:sz w:val="22"/>
          <w:szCs w:val="22"/>
          <w:lang w:val="en-US"/>
        </w:rPr>
        <w:t xml:space="preserve">n models 2, 3 and 4 the sequential addition of the other independent variables result in  </w:t>
      </w:r>
      <w:r w:rsidRPr="00CF3187">
        <w:rPr>
          <w:rFonts w:ascii="Arial" w:hAnsi="Arial" w:cs="Arial"/>
          <w:color w:val="010205"/>
          <w:sz w:val="22"/>
          <w:szCs w:val="22"/>
          <w:lang w:val="en-US"/>
        </w:rPr>
        <w:sym w:font="Symbol" w:char="F03C"/>
      </w:r>
      <w:r w:rsidRPr="00CF3187">
        <w:rPr>
          <w:rFonts w:ascii="Arial" w:hAnsi="Arial" w:cs="Arial"/>
          <w:color w:val="010205"/>
          <w:sz w:val="22"/>
          <w:szCs w:val="22"/>
          <w:lang w:val="en-US"/>
        </w:rPr>
        <w:t xml:space="preserve"> 1% change between the models and models 2, 3 and 4 are not statistically significant with; model 2 R</w:t>
      </w:r>
      <w:r w:rsidRPr="00CF3187">
        <w:rPr>
          <w:rFonts w:ascii="Arial" w:hAnsi="Arial" w:cs="Arial"/>
          <w:color w:val="010205"/>
          <w:sz w:val="22"/>
          <w:szCs w:val="22"/>
          <w:vertAlign w:val="superscript"/>
          <w:lang w:val="en-US"/>
        </w:rPr>
        <w:t>2</w:t>
      </w:r>
      <w:r w:rsidRPr="00CF3187">
        <w:rPr>
          <w:rFonts w:ascii="Arial" w:hAnsi="Arial" w:cs="Arial"/>
          <w:color w:val="010205"/>
          <w:sz w:val="22"/>
          <w:szCs w:val="22"/>
          <w:lang w:val="en-US"/>
        </w:rPr>
        <w:t xml:space="preserve"> change = .007, p= 0.240, model 3 R</w:t>
      </w:r>
      <w:r w:rsidRPr="00CF3187">
        <w:rPr>
          <w:rFonts w:ascii="Arial" w:hAnsi="Arial" w:cs="Arial"/>
          <w:color w:val="010205"/>
          <w:sz w:val="22"/>
          <w:szCs w:val="22"/>
          <w:vertAlign w:val="superscript"/>
          <w:lang w:val="en-US"/>
        </w:rPr>
        <w:t xml:space="preserve">2 </w:t>
      </w:r>
      <w:r w:rsidRPr="00CF3187">
        <w:rPr>
          <w:rFonts w:ascii="Arial" w:hAnsi="Arial" w:cs="Arial"/>
          <w:color w:val="010205"/>
          <w:sz w:val="22"/>
          <w:szCs w:val="22"/>
          <w:lang w:val="en-US"/>
        </w:rPr>
        <w:t>change = .000, p= 0.772 and model 4, R</w:t>
      </w:r>
      <w:r w:rsidRPr="00CF3187">
        <w:rPr>
          <w:rFonts w:ascii="Arial" w:hAnsi="Arial" w:cs="Arial"/>
          <w:color w:val="010205"/>
          <w:sz w:val="22"/>
          <w:szCs w:val="22"/>
          <w:vertAlign w:val="superscript"/>
          <w:lang w:val="en-US"/>
        </w:rPr>
        <w:t>2</w:t>
      </w:r>
      <w:r w:rsidRPr="00CF3187">
        <w:rPr>
          <w:rFonts w:ascii="Arial" w:hAnsi="Arial" w:cs="Arial"/>
          <w:color w:val="010205"/>
          <w:sz w:val="22"/>
          <w:szCs w:val="22"/>
          <w:lang w:val="en-US"/>
        </w:rPr>
        <w:t xml:space="preserve"> change = 0.000, p= 0.996.  </w:t>
      </w:r>
      <w:r w:rsidRPr="00CF1079">
        <w:rPr>
          <w:rFonts w:ascii="Arial" w:hAnsi="Arial" w:cs="Arial"/>
          <w:sz w:val="22"/>
          <w:szCs w:val="22"/>
        </w:rPr>
        <w:t xml:space="preserve">Beta coefficients (see table </w:t>
      </w:r>
      <w:r w:rsidR="008A1595" w:rsidRPr="00CF1079">
        <w:rPr>
          <w:rFonts w:ascii="Arial" w:hAnsi="Arial" w:cs="Arial"/>
          <w:sz w:val="22"/>
          <w:szCs w:val="22"/>
        </w:rPr>
        <w:t>5</w:t>
      </w:r>
      <w:r w:rsidRPr="00CF1079">
        <w:rPr>
          <w:rFonts w:ascii="Arial" w:hAnsi="Arial" w:cs="Arial"/>
          <w:sz w:val="22"/>
          <w:szCs w:val="22"/>
        </w:rPr>
        <w:t>.</w:t>
      </w:r>
      <w:r w:rsidR="005E5F3B" w:rsidRPr="00CF1079">
        <w:rPr>
          <w:rFonts w:ascii="Arial" w:hAnsi="Arial" w:cs="Arial"/>
          <w:sz w:val="22"/>
          <w:szCs w:val="22"/>
        </w:rPr>
        <w:t>8</w:t>
      </w:r>
      <w:r w:rsidRPr="00CF1079">
        <w:rPr>
          <w:rFonts w:ascii="Arial" w:hAnsi="Arial" w:cs="Arial"/>
          <w:sz w:val="22"/>
          <w:szCs w:val="22"/>
        </w:rPr>
        <w:t>)</w:t>
      </w:r>
      <w:r w:rsidRPr="00CF3187">
        <w:rPr>
          <w:rFonts w:ascii="Arial" w:hAnsi="Arial" w:cs="Arial"/>
          <w:sz w:val="22"/>
          <w:szCs w:val="22"/>
        </w:rPr>
        <w:t xml:space="preserve"> for the  seven  independent variables were :   A score,  </w:t>
      </w:r>
      <w:r w:rsidRPr="00CF3187">
        <w:rPr>
          <w:rFonts w:ascii="Arial" w:hAnsi="Arial" w:cs="Arial"/>
          <w:sz w:val="22"/>
          <w:szCs w:val="22"/>
        </w:rPr>
        <w:sym w:font="Symbol" w:char="F062"/>
      </w:r>
      <w:r w:rsidRPr="00CF3187">
        <w:rPr>
          <w:rFonts w:ascii="Arial" w:hAnsi="Arial" w:cs="Arial"/>
          <w:sz w:val="22"/>
          <w:szCs w:val="22"/>
        </w:rPr>
        <w:t xml:space="preserve"> = .116, t = 1.181 , p = .239  , F score, </w:t>
      </w:r>
      <w:r w:rsidRPr="00CF3187">
        <w:rPr>
          <w:rFonts w:ascii="Arial" w:hAnsi="Arial" w:cs="Arial"/>
          <w:sz w:val="22"/>
          <w:szCs w:val="22"/>
        </w:rPr>
        <w:sym w:font="Symbol" w:char="F062"/>
      </w:r>
      <w:r w:rsidRPr="00CF3187">
        <w:rPr>
          <w:rFonts w:ascii="Arial" w:hAnsi="Arial" w:cs="Arial"/>
          <w:sz w:val="22"/>
          <w:szCs w:val="22"/>
        </w:rPr>
        <w:t xml:space="preserve"> =.111 , t = 1.134 , p= .258 , years qualified </w:t>
      </w:r>
      <w:r w:rsidRPr="00CF3187">
        <w:rPr>
          <w:rFonts w:ascii="Arial" w:hAnsi="Arial" w:cs="Arial"/>
          <w:sz w:val="22"/>
          <w:szCs w:val="22"/>
        </w:rPr>
        <w:sym w:font="Symbol" w:char="F062"/>
      </w:r>
      <w:r w:rsidRPr="00CF3187">
        <w:rPr>
          <w:rFonts w:ascii="Arial" w:hAnsi="Arial" w:cs="Arial"/>
          <w:sz w:val="22"/>
          <w:szCs w:val="22"/>
        </w:rPr>
        <w:t xml:space="preserve"> = .082 t = 1.039 p = .300, profession </w:t>
      </w:r>
      <w:r w:rsidRPr="00CF3187">
        <w:rPr>
          <w:rFonts w:ascii="Arial" w:hAnsi="Arial" w:cs="Arial"/>
          <w:sz w:val="22"/>
          <w:szCs w:val="22"/>
        </w:rPr>
        <w:sym w:font="Symbol" w:char="F062"/>
      </w:r>
      <w:r w:rsidRPr="00CF3187">
        <w:rPr>
          <w:rFonts w:ascii="Arial" w:hAnsi="Arial" w:cs="Arial"/>
          <w:sz w:val="22"/>
          <w:szCs w:val="22"/>
        </w:rPr>
        <w:t xml:space="preserve"> = -0.19,  t = -.249, p = .804, age </w:t>
      </w:r>
      <w:r w:rsidRPr="00CF3187">
        <w:rPr>
          <w:rFonts w:ascii="Arial" w:hAnsi="Arial" w:cs="Arial"/>
          <w:sz w:val="22"/>
          <w:szCs w:val="22"/>
        </w:rPr>
        <w:sym w:font="Symbol" w:char="F062"/>
      </w:r>
      <w:r w:rsidRPr="00CF3187">
        <w:rPr>
          <w:rFonts w:ascii="Arial" w:hAnsi="Arial" w:cs="Arial"/>
          <w:sz w:val="22"/>
          <w:szCs w:val="22"/>
        </w:rPr>
        <w:t xml:space="preserve"> = .011, t = .136, p = .892, gender </w:t>
      </w:r>
      <w:r w:rsidRPr="00CF3187">
        <w:rPr>
          <w:rFonts w:ascii="Arial" w:hAnsi="Arial" w:cs="Arial"/>
          <w:sz w:val="22"/>
          <w:szCs w:val="22"/>
        </w:rPr>
        <w:sym w:font="Symbol" w:char="F062"/>
      </w:r>
      <w:r w:rsidRPr="00CF3187">
        <w:rPr>
          <w:rFonts w:ascii="Arial" w:hAnsi="Arial" w:cs="Arial"/>
          <w:sz w:val="22"/>
          <w:szCs w:val="22"/>
        </w:rPr>
        <w:t xml:space="preserve"> = -0.14, t = -.189, p = .850, IAPT training, </w:t>
      </w:r>
      <w:r w:rsidRPr="00CF3187">
        <w:rPr>
          <w:rFonts w:ascii="Arial" w:hAnsi="Arial" w:cs="Arial"/>
          <w:sz w:val="22"/>
          <w:szCs w:val="22"/>
        </w:rPr>
        <w:sym w:font="Symbol" w:char="F062"/>
      </w:r>
      <w:r w:rsidRPr="00CF3187">
        <w:rPr>
          <w:rFonts w:ascii="Arial" w:hAnsi="Arial" w:cs="Arial"/>
          <w:sz w:val="22"/>
          <w:szCs w:val="22"/>
        </w:rPr>
        <w:t xml:space="preserve"> = .002, t = 0.23, p = .982.  The best fitting model for predicting recovery rate is a linear combination of A scores and F scores.  Additions of the other independent variables did not significantly improve prediction.</w:t>
      </w:r>
    </w:p>
    <w:p w14:paraId="11907DAA" w14:textId="77777777" w:rsidR="007F596B" w:rsidRDefault="007F596B" w:rsidP="007F596B">
      <w:pPr>
        <w:autoSpaceDE w:val="0"/>
        <w:autoSpaceDN w:val="0"/>
        <w:adjustRightInd w:val="0"/>
        <w:spacing w:line="480" w:lineRule="auto"/>
        <w:ind w:left="60" w:right="60"/>
        <w:rPr>
          <w:rFonts w:ascii="Arial" w:hAnsi="Arial" w:cs="Arial"/>
        </w:rPr>
      </w:pPr>
    </w:p>
    <w:p w14:paraId="5B0FDC78" w14:textId="43C0A451" w:rsidR="007F596B" w:rsidRPr="00654C3E" w:rsidRDefault="007F596B" w:rsidP="00654C3E">
      <w:pPr>
        <w:autoSpaceDE w:val="0"/>
        <w:autoSpaceDN w:val="0"/>
        <w:adjustRightInd w:val="0"/>
        <w:spacing w:line="480" w:lineRule="auto"/>
        <w:ind w:left="60" w:right="60"/>
        <w:rPr>
          <w:rFonts w:ascii="Arial" w:hAnsi="Arial" w:cs="Arial"/>
          <w:sz w:val="22"/>
          <w:szCs w:val="22"/>
        </w:rPr>
        <w:sectPr w:rsidR="007F596B" w:rsidRPr="00654C3E" w:rsidSect="007F596B">
          <w:pgSz w:w="11900" w:h="16840"/>
          <w:pgMar w:top="1440" w:right="1440" w:bottom="1440" w:left="1440" w:header="708" w:footer="708" w:gutter="0"/>
          <w:cols w:space="708"/>
          <w:docGrid w:linePitch="360"/>
        </w:sectPr>
      </w:pPr>
      <w:r w:rsidRPr="00CF3187">
        <w:rPr>
          <w:rFonts w:ascii="Arial" w:hAnsi="Arial" w:cs="Arial"/>
          <w:sz w:val="22"/>
          <w:szCs w:val="22"/>
        </w:rPr>
        <w:t>Given the findings from this model</w:t>
      </w:r>
      <w:r w:rsidR="0080634F">
        <w:rPr>
          <w:rFonts w:ascii="Arial" w:hAnsi="Arial" w:cs="Arial"/>
          <w:sz w:val="22"/>
          <w:szCs w:val="22"/>
        </w:rPr>
        <w:t>,</w:t>
      </w:r>
      <w:r w:rsidRPr="00CF3187">
        <w:rPr>
          <w:rFonts w:ascii="Arial" w:hAnsi="Arial" w:cs="Arial"/>
          <w:sz w:val="22"/>
          <w:szCs w:val="22"/>
        </w:rPr>
        <w:t xml:space="preserve"> a final model was used to determine the </w:t>
      </w:r>
      <w:r w:rsidR="005831F2">
        <w:rPr>
          <w:rFonts w:ascii="Arial" w:hAnsi="Arial" w:cs="Arial"/>
          <w:sz w:val="22"/>
          <w:szCs w:val="22"/>
        </w:rPr>
        <w:t xml:space="preserve">differing effects </w:t>
      </w:r>
      <w:r w:rsidRPr="00CF3187">
        <w:rPr>
          <w:rFonts w:ascii="Arial" w:hAnsi="Arial" w:cs="Arial"/>
          <w:sz w:val="22"/>
          <w:szCs w:val="22"/>
        </w:rPr>
        <w:t xml:space="preserve">between </w:t>
      </w:r>
      <w:r w:rsidR="00E87F32">
        <w:rPr>
          <w:rFonts w:ascii="Arial" w:hAnsi="Arial" w:cs="Arial"/>
          <w:sz w:val="22"/>
          <w:szCs w:val="22"/>
        </w:rPr>
        <w:t>patient outcomes, therapist demographics, therapist F score and A score and</w:t>
      </w:r>
      <w:r w:rsidR="00A76B44">
        <w:rPr>
          <w:rFonts w:ascii="Arial" w:hAnsi="Arial" w:cs="Arial"/>
          <w:sz w:val="22"/>
          <w:szCs w:val="22"/>
        </w:rPr>
        <w:t xml:space="preserve"> </w:t>
      </w:r>
      <w:r w:rsidRPr="00CF1079">
        <w:rPr>
          <w:rFonts w:ascii="Arial" w:hAnsi="Arial" w:cs="Arial"/>
          <w:sz w:val="22"/>
          <w:szCs w:val="22"/>
        </w:rPr>
        <w:t>three new variables; patient age, patient severity on PHQ-9 and GAD-7 and patient gender.</w:t>
      </w:r>
      <w:r w:rsidRPr="00CF3187">
        <w:rPr>
          <w:rFonts w:ascii="Arial" w:hAnsi="Arial" w:cs="Arial"/>
          <w:sz w:val="22"/>
          <w:szCs w:val="22"/>
        </w:rPr>
        <w:t xml:space="preserve"> The final section in this chapter will present the analyses and findings from a hierarchical log</w:t>
      </w:r>
      <w:r w:rsidR="000729F9">
        <w:rPr>
          <w:rFonts w:ascii="Arial" w:hAnsi="Arial" w:cs="Arial"/>
          <w:sz w:val="22"/>
          <w:szCs w:val="22"/>
        </w:rPr>
        <w:t>l</w:t>
      </w:r>
      <w:r w:rsidRPr="00CF3187">
        <w:rPr>
          <w:rFonts w:ascii="Arial" w:hAnsi="Arial" w:cs="Arial"/>
          <w:sz w:val="22"/>
          <w:szCs w:val="22"/>
        </w:rPr>
        <w:t>inear analysis.</w:t>
      </w:r>
      <w:r w:rsidR="00654C3E">
        <w:rPr>
          <w:rFonts w:ascii="Arial" w:hAnsi="Arial" w:cs="Arial"/>
          <w:sz w:val="22"/>
          <w:szCs w:val="22"/>
        </w:rPr>
        <w:t xml:space="preserve"> </w:t>
      </w:r>
      <w:r w:rsidR="00654C3E" w:rsidRPr="00654C3E">
        <w:rPr>
          <w:rFonts w:ascii="Arial" w:hAnsi="Arial" w:cs="Arial"/>
          <w:color w:val="010205"/>
          <w:sz w:val="22"/>
          <w:szCs w:val="22"/>
          <w:lang w:val="en-US"/>
        </w:rPr>
        <w:t>This final analysis was conducted</w:t>
      </w:r>
      <w:r w:rsidR="009E69B7">
        <w:rPr>
          <w:rFonts w:ascii="Arial" w:hAnsi="Arial" w:cs="Arial"/>
          <w:color w:val="010205"/>
          <w:sz w:val="22"/>
          <w:szCs w:val="22"/>
          <w:lang w:val="en-US"/>
        </w:rPr>
        <w:t xml:space="preserve"> </w:t>
      </w:r>
      <w:r w:rsidR="009E69B7">
        <w:rPr>
          <w:rFonts w:ascii="Arial" w:eastAsia="Times New Roman" w:hAnsi="Arial" w:cs="Arial"/>
          <w:color w:val="000000"/>
          <w:sz w:val="22"/>
          <w:szCs w:val="22"/>
        </w:rPr>
        <w:t xml:space="preserve">in order </w:t>
      </w:r>
      <w:r w:rsidR="009E69B7" w:rsidRPr="00D34C32">
        <w:rPr>
          <w:rFonts w:ascii="Arial" w:eastAsia="Times New Roman" w:hAnsi="Arial" w:cs="Arial"/>
          <w:color w:val="000000"/>
          <w:sz w:val="22"/>
          <w:szCs w:val="22"/>
        </w:rPr>
        <w:t>to determine a statistical model for the associations among</w:t>
      </w:r>
      <w:r w:rsidR="001B5031">
        <w:rPr>
          <w:rFonts w:ascii="Arial" w:eastAsia="Times New Roman" w:hAnsi="Arial" w:cs="Arial"/>
          <w:color w:val="000000"/>
          <w:sz w:val="22"/>
          <w:szCs w:val="22"/>
        </w:rPr>
        <w:t>st</w:t>
      </w:r>
      <w:r w:rsidR="009E69B7" w:rsidRPr="00D34C32">
        <w:rPr>
          <w:rFonts w:ascii="Arial" w:eastAsia="Times New Roman" w:hAnsi="Arial" w:cs="Arial"/>
          <w:color w:val="000000"/>
          <w:sz w:val="22"/>
          <w:szCs w:val="22"/>
        </w:rPr>
        <w:t xml:space="preserve"> </w:t>
      </w:r>
      <w:r w:rsidR="001B5031">
        <w:rPr>
          <w:rFonts w:ascii="Arial" w:eastAsia="Times New Roman" w:hAnsi="Arial" w:cs="Arial"/>
          <w:color w:val="000000"/>
          <w:sz w:val="22"/>
          <w:szCs w:val="22"/>
        </w:rPr>
        <w:t>all the therapist</w:t>
      </w:r>
      <w:r w:rsidR="009E69B7" w:rsidRPr="00D34C32">
        <w:rPr>
          <w:rFonts w:ascii="Arial" w:eastAsia="Times New Roman" w:hAnsi="Arial" w:cs="Arial"/>
          <w:color w:val="000000"/>
          <w:sz w:val="22"/>
          <w:szCs w:val="22"/>
        </w:rPr>
        <w:t xml:space="preserve"> </w:t>
      </w:r>
      <w:r w:rsidR="001B5031">
        <w:rPr>
          <w:rFonts w:ascii="Arial" w:eastAsia="Times New Roman" w:hAnsi="Arial" w:cs="Arial"/>
          <w:color w:val="000000"/>
          <w:sz w:val="22"/>
          <w:szCs w:val="22"/>
        </w:rPr>
        <w:t xml:space="preserve">variables </w:t>
      </w:r>
      <w:r w:rsidR="009E69B7" w:rsidRPr="00D34C32">
        <w:rPr>
          <w:rFonts w:ascii="Arial" w:eastAsia="Times New Roman" w:hAnsi="Arial" w:cs="Arial"/>
          <w:color w:val="000000"/>
          <w:sz w:val="22"/>
          <w:szCs w:val="22"/>
        </w:rPr>
        <w:t>and clinical outcomes (improvement, recovery)</w:t>
      </w:r>
      <w:r w:rsidR="00BD2B2D">
        <w:rPr>
          <w:rFonts w:ascii="Arial" w:eastAsia="Times New Roman" w:hAnsi="Arial" w:cs="Arial"/>
          <w:color w:val="000000"/>
          <w:sz w:val="22"/>
          <w:szCs w:val="22"/>
        </w:rPr>
        <w:t>. Unlike the other analyses this model adds</w:t>
      </w:r>
      <w:r w:rsidR="00E30299">
        <w:rPr>
          <w:rFonts w:ascii="Arial" w:eastAsia="Times New Roman" w:hAnsi="Arial" w:cs="Arial"/>
          <w:color w:val="000000"/>
          <w:sz w:val="22"/>
          <w:szCs w:val="22"/>
        </w:rPr>
        <w:t xml:space="preserve"> patient variables (age, severity and gender)</w:t>
      </w:r>
      <w:r w:rsidR="00BD2B2D">
        <w:rPr>
          <w:rFonts w:ascii="Arial" w:eastAsia="Times New Roman" w:hAnsi="Arial" w:cs="Arial"/>
          <w:color w:val="000000"/>
          <w:sz w:val="22"/>
          <w:szCs w:val="22"/>
        </w:rPr>
        <w:t xml:space="preserve"> to the model in order to </w:t>
      </w:r>
      <w:r w:rsidR="001F4FB7">
        <w:rPr>
          <w:rFonts w:ascii="Arial" w:eastAsia="Times New Roman" w:hAnsi="Arial" w:cs="Arial"/>
          <w:color w:val="000000"/>
          <w:sz w:val="22"/>
          <w:szCs w:val="22"/>
        </w:rPr>
        <w:t>understand the differing effects between all the variables.</w:t>
      </w:r>
      <w:r w:rsidR="009E69B7" w:rsidRPr="00D34C32">
        <w:rPr>
          <w:rFonts w:ascii="Arial" w:eastAsia="Times New Roman" w:hAnsi="Arial" w:cs="Arial"/>
          <w:color w:val="000000"/>
          <w:sz w:val="22"/>
          <w:szCs w:val="22"/>
        </w:rPr>
        <w:t xml:space="preserve"> Log-linear models offer a valuable systematic approach when analysing complex multi-dimensional contingency tables, allowing comparative analyses of differing effects between variables to be undertaken</w:t>
      </w:r>
      <w:r w:rsidR="00AE08C3">
        <w:rPr>
          <w:rFonts w:ascii="Arial" w:eastAsia="Times New Roman" w:hAnsi="Arial" w:cs="Arial"/>
          <w:color w:val="000000"/>
          <w:sz w:val="22"/>
          <w:szCs w:val="22"/>
        </w:rPr>
        <w:t xml:space="preserve"> (Everitt, 1977).</w:t>
      </w:r>
    </w:p>
    <w:p w14:paraId="0A89D2D2" w14:textId="090F0E4F" w:rsidR="007F596B" w:rsidRDefault="008A1595" w:rsidP="007F596B">
      <w:pPr>
        <w:pStyle w:val="Heading2"/>
        <w:rPr>
          <w:rFonts w:ascii="Arial" w:hAnsi="Arial" w:cs="Arial"/>
          <w:b w:val="0"/>
          <w:color w:val="000000" w:themeColor="text1"/>
          <w:sz w:val="22"/>
          <w:szCs w:val="22"/>
        </w:rPr>
      </w:pPr>
      <w:bookmarkStart w:id="385" w:name="_Toc46770830"/>
      <w:bookmarkStart w:id="386" w:name="_Toc79414241"/>
      <w:r>
        <w:rPr>
          <w:rFonts w:ascii="Arial" w:hAnsi="Arial" w:cs="Arial"/>
          <w:color w:val="000000" w:themeColor="text1"/>
          <w:sz w:val="22"/>
          <w:szCs w:val="22"/>
        </w:rPr>
        <w:lastRenderedPageBreak/>
        <w:t>5</w:t>
      </w:r>
      <w:r w:rsidR="007F596B" w:rsidRPr="00D34C32">
        <w:rPr>
          <w:rFonts w:ascii="Arial" w:hAnsi="Arial" w:cs="Arial"/>
          <w:color w:val="000000" w:themeColor="text1"/>
          <w:sz w:val="22"/>
          <w:szCs w:val="22"/>
        </w:rPr>
        <w:t>.</w:t>
      </w:r>
      <w:r w:rsidR="007146C6">
        <w:rPr>
          <w:rFonts w:ascii="Arial" w:hAnsi="Arial" w:cs="Arial"/>
          <w:color w:val="000000" w:themeColor="text1"/>
          <w:sz w:val="22"/>
          <w:szCs w:val="22"/>
        </w:rPr>
        <w:t>7</w:t>
      </w:r>
      <w:r w:rsidR="007F596B" w:rsidRPr="00D34C32">
        <w:rPr>
          <w:rFonts w:ascii="Arial" w:hAnsi="Arial" w:cs="Arial"/>
          <w:color w:val="000000" w:themeColor="text1"/>
          <w:sz w:val="22"/>
          <w:szCs w:val="22"/>
        </w:rPr>
        <w:t xml:space="preserve"> HIERARCHICAL LOGLINEAR ANALYSIS</w:t>
      </w:r>
      <w:bookmarkEnd w:id="385"/>
      <w:bookmarkEnd w:id="386"/>
    </w:p>
    <w:p w14:paraId="646972FE" w14:textId="77777777" w:rsidR="007F596B" w:rsidRDefault="007F596B" w:rsidP="007F596B"/>
    <w:p w14:paraId="31ED7A75" w14:textId="0CD6819E" w:rsidR="00315478" w:rsidRPr="00CF1079" w:rsidRDefault="007F596B" w:rsidP="00315478">
      <w:pPr>
        <w:spacing w:line="480" w:lineRule="auto"/>
        <w:rPr>
          <w:rFonts w:ascii="Arial" w:hAnsi="Arial" w:cs="Arial"/>
          <w:sz w:val="22"/>
          <w:szCs w:val="22"/>
        </w:rPr>
      </w:pPr>
      <w:r>
        <w:rPr>
          <w:rFonts w:ascii="Arial" w:hAnsi="Arial" w:cs="Arial"/>
          <w:sz w:val="22"/>
          <w:szCs w:val="22"/>
        </w:rPr>
        <w:t>The</w:t>
      </w:r>
      <w:r w:rsidRPr="00D34C32">
        <w:rPr>
          <w:rFonts w:ascii="Arial" w:hAnsi="Arial" w:cs="Arial"/>
          <w:sz w:val="22"/>
          <w:szCs w:val="22"/>
        </w:rPr>
        <w:t xml:space="preserve"> final </w:t>
      </w:r>
      <w:r>
        <w:rPr>
          <w:rFonts w:ascii="Arial" w:hAnsi="Arial" w:cs="Arial"/>
          <w:sz w:val="22"/>
          <w:szCs w:val="22"/>
        </w:rPr>
        <w:t>section in this chapter will present the analysis and findings from a hierarchical loglinear analysis.</w:t>
      </w:r>
      <w:r w:rsidR="00B31270">
        <w:rPr>
          <w:rFonts w:ascii="Arial" w:hAnsi="Arial" w:cs="Arial"/>
          <w:sz w:val="22"/>
          <w:szCs w:val="22"/>
        </w:rPr>
        <w:t xml:space="preserve"> </w:t>
      </w:r>
      <w:r w:rsidR="00527F5D" w:rsidRPr="00CF1079">
        <w:rPr>
          <w:rFonts w:ascii="Arial" w:hAnsi="Arial" w:cs="Arial"/>
          <w:sz w:val="22"/>
          <w:szCs w:val="22"/>
        </w:rPr>
        <w:t xml:space="preserve">The third and fourth research questions in this thesis ask whether there is a relationship between therapist fidelity to the CBT model (F score) and </w:t>
      </w:r>
      <w:r w:rsidR="00AD03C8" w:rsidRPr="00CF1079">
        <w:rPr>
          <w:rFonts w:ascii="Arial" w:hAnsi="Arial" w:cs="Arial"/>
          <w:sz w:val="22"/>
          <w:szCs w:val="22"/>
        </w:rPr>
        <w:t>clinical outcome</w:t>
      </w:r>
      <w:r w:rsidR="00527F5D" w:rsidRPr="00CF1079">
        <w:rPr>
          <w:rFonts w:ascii="Arial" w:hAnsi="Arial" w:cs="Arial"/>
          <w:sz w:val="22"/>
          <w:szCs w:val="22"/>
        </w:rPr>
        <w:t xml:space="preserve"> and whether </w:t>
      </w:r>
      <w:r w:rsidR="004262CE" w:rsidRPr="00CF1079">
        <w:rPr>
          <w:rFonts w:ascii="Arial" w:hAnsi="Arial" w:cs="Arial"/>
          <w:sz w:val="22"/>
          <w:szCs w:val="22"/>
        </w:rPr>
        <w:t>there is a relationship between</w:t>
      </w:r>
      <w:r w:rsidR="006A3783" w:rsidRPr="00CF1079">
        <w:rPr>
          <w:rFonts w:ascii="Arial" w:hAnsi="Arial" w:cs="Arial"/>
          <w:sz w:val="22"/>
          <w:szCs w:val="22"/>
        </w:rPr>
        <w:t xml:space="preserve"> </w:t>
      </w:r>
      <w:r w:rsidR="004262CE" w:rsidRPr="00CF1079">
        <w:rPr>
          <w:rFonts w:ascii="Arial" w:hAnsi="Arial" w:cs="Arial"/>
          <w:sz w:val="22"/>
          <w:szCs w:val="22"/>
        </w:rPr>
        <w:t xml:space="preserve">therapist adherence and </w:t>
      </w:r>
      <w:r w:rsidR="00AD03C8" w:rsidRPr="00CF1079">
        <w:rPr>
          <w:rFonts w:ascii="Arial" w:hAnsi="Arial" w:cs="Arial"/>
          <w:sz w:val="22"/>
          <w:szCs w:val="22"/>
        </w:rPr>
        <w:t xml:space="preserve">clinical outcome.  </w:t>
      </w:r>
      <w:r w:rsidR="0054314B" w:rsidRPr="00CF1079">
        <w:rPr>
          <w:rFonts w:ascii="Arial" w:hAnsi="Arial" w:cs="Arial"/>
          <w:sz w:val="22"/>
          <w:szCs w:val="22"/>
        </w:rPr>
        <w:t>Unlike the other analyses describe</w:t>
      </w:r>
      <w:r w:rsidR="006D18C6" w:rsidRPr="00CF1079">
        <w:rPr>
          <w:rFonts w:ascii="Arial" w:hAnsi="Arial" w:cs="Arial"/>
          <w:sz w:val="22"/>
          <w:szCs w:val="22"/>
        </w:rPr>
        <w:t>d</w:t>
      </w:r>
      <w:r w:rsidR="0054314B" w:rsidRPr="00CF1079">
        <w:rPr>
          <w:rFonts w:ascii="Arial" w:hAnsi="Arial" w:cs="Arial"/>
          <w:sz w:val="22"/>
          <w:szCs w:val="22"/>
        </w:rPr>
        <w:t xml:space="preserve"> in this chapter</w:t>
      </w:r>
      <w:r w:rsidR="00440721" w:rsidRPr="00CF1079">
        <w:rPr>
          <w:rFonts w:ascii="Arial" w:hAnsi="Arial" w:cs="Arial"/>
          <w:sz w:val="22"/>
          <w:szCs w:val="22"/>
        </w:rPr>
        <w:t>,</w:t>
      </w:r>
      <w:r w:rsidR="0054314B" w:rsidRPr="00CF1079">
        <w:rPr>
          <w:rFonts w:ascii="Arial" w:hAnsi="Arial" w:cs="Arial"/>
          <w:sz w:val="22"/>
          <w:szCs w:val="22"/>
        </w:rPr>
        <w:t xml:space="preserve"> this analysis will</w:t>
      </w:r>
      <w:r w:rsidR="00544B36" w:rsidRPr="00CF1079">
        <w:rPr>
          <w:rFonts w:ascii="Arial" w:hAnsi="Arial" w:cs="Arial"/>
          <w:sz w:val="22"/>
          <w:szCs w:val="22"/>
        </w:rPr>
        <w:t xml:space="preserve"> explore the associations between</w:t>
      </w:r>
      <w:r w:rsidR="002D35A1" w:rsidRPr="00CF1079">
        <w:rPr>
          <w:rFonts w:ascii="Arial" w:hAnsi="Arial" w:cs="Arial"/>
          <w:sz w:val="22"/>
          <w:szCs w:val="22"/>
        </w:rPr>
        <w:t xml:space="preserve"> therapist F score/A score and outcome </w:t>
      </w:r>
      <w:r w:rsidR="007945B7" w:rsidRPr="00CF1079">
        <w:rPr>
          <w:rFonts w:ascii="Arial" w:hAnsi="Arial" w:cs="Arial"/>
          <w:sz w:val="22"/>
          <w:szCs w:val="22"/>
        </w:rPr>
        <w:t>in the context of therapist demographics and three new variables</w:t>
      </w:r>
      <w:r w:rsidR="00096D38" w:rsidRPr="00CF1079">
        <w:rPr>
          <w:rFonts w:ascii="Arial" w:hAnsi="Arial" w:cs="Arial"/>
          <w:sz w:val="22"/>
          <w:szCs w:val="22"/>
        </w:rPr>
        <w:t>,</w:t>
      </w:r>
      <w:r w:rsidR="007945B7" w:rsidRPr="00CF1079">
        <w:rPr>
          <w:rFonts w:ascii="Arial" w:hAnsi="Arial" w:cs="Arial"/>
          <w:sz w:val="22"/>
          <w:szCs w:val="22"/>
        </w:rPr>
        <w:t xml:space="preserve"> p</w:t>
      </w:r>
      <w:r w:rsidR="006D2D19" w:rsidRPr="00CF1079">
        <w:rPr>
          <w:rFonts w:ascii="Arial" w:hAnsi="Arial" w:cs="Arial"/>
          <w:sz w:val="22"/>
          <w:szCs w:val="22"/>
        </w:rPr>
        <w:t xml:space="preserve">atient age, </w:t>
      </w:r>
      <w:r w:rsidR="00A00FFB" w:rsidRPr="00CF1079">
        <w:rPr>
          <w:rFonts w:ascii="Arial" w:hAnsi="Arial" w:cs="Arial"/>
          <w:sz w:val="22"/>
          <w:szCs w:val="22"/>
        </w:rPr>
        <w:t xml:space="preserve">patient </w:t>
      </w:r>
      <w:r w:rsidR="006D2D19" w:rsidRPr="00CF1079">
        <w:rPr>
          <w:rFonts w:ascii="Arial" w:hAnsi="Arial" w:cs="Arial"/>
          <w:sz w:val="22"/>
          <w:szCs w:val="22"/>
        </w:rPr>
        <w:t xml:space="preserve">gender and </w:t>
      </w:r>
      <w:r w:rsidR="00A00FFB" w:rsidRPr="00CF1079">
        <w:rPr>
          <w:rFonts w:ascii="Arial" w:hAnsi="Arial" w:cs="Arial"/>
          <w:sz w:val="22"/>
          <w:szCs w:val="22"/>
        </w:rPr>
        <w:t xml:space="preserve">patient </w:t>
      </w:r>
      <w:r w:rsidR="006D2D19" w:rsidRPr="00CF1079">
        <w:rPr>
          <w:rFonts w:ascii="Arial" w:hAnsi="Arial" w:cs="Arial"/>
          <w:sz w:val="22"/>
          <w:szCs w:val="22"/>
        </w:rPr>
        <w:t>severity, at the start of treatment, on the PHQ-9 and GAD-7</w:t>
      </w:r>
      <w:r w:rsidR="00A00FFB" w:rsidRPr="00CF1079">
        <w:rPr>
          <w:rFonts w:ascii="Arial" w:hAnsi="Arial" w:cs="Arial"/>
          <w:sz w:val="22"/>
          <w:szCs w:val="22"/>
        </w:rPr>
        <w:t xml:space="preserve">. </w:t>
      </w:r>
      <w:r w:rsidR="00364DA7" w:rsidRPr="00CF1079">
        <w:rPr>
          <w:rFonts w:ascii="Arial" w:hAnsi="Arial" w:cs="Arial"/>
          <w:sz w:val="22"/>
          <w:szCs w:val="22"/>
        </w:rPr>
        <w:t xml:space="preserve"> Whilst patient variables are not the </w:t>
      </w:r>
      <w:r w:rsidR="00011859" w:rsidRPr="00CF1079">
        <w:rPr>
          <w:rFonts w:ascii="Arial" w:hAnsi="Arial" w:cs="Arial"/>
          <w:sz w:val="22"/>
          <w:szCs w:val="22"/>
        </w:rPr>
        <w:t>focus of this research, adding them to this final analysis</w:t>
      </w:r>
      <w:r w:rsidR="00B23F26" w:rsidRPr="00CF1079">
        <w:rPr>
          <w:rFonts w:ascii="Arial" w:hAnsi="Arial" w:cs="Arial"/>
          <w:sz w:val="22"/>
          <w:szCs w:val="22"/>
        </w:rPr>
        <w:t xml:space="preserve"> </w:t>
      </w:r>
      <w:r w:rsidR="00DC5613" w:rsidRPr="00CF1079">
        <w:rPr>
          <w:rFonts w:ascii="Arial" w:hAnsi="Arial" w:cs="Arial"/>
          <w:sz w:val="22"/>
          <w:szCs w:val="22"/>
        </w:rPr>
        <w:t>further explore</w:t>
      </w:r>
      <w:r w:rsidR="006A6DE7" w:rsidRPr="00CF1079">
        <w:rPr>
          <w:rFonts w:ascii="Arial" w:hAnsi="Arial" w:cs="Arial"/>
          <w:sz w:val="22"/>
          <w:szCs w:val="22"/>
        </w:rPr>
        <w:t>s whether an association between therapist F</w:t>
      </w:r>
      <w:r w:rsidR="002B1303" w:rsidRPr="00CF1079">
        <w:rPr>
          <w:rFonts w:ascii="Arial" w:hAnsi="Arial" w:cs="Arial"/>
          <w:sz w:val="22"/>
          <w:szCs w:val="22"/>
        </w:rPr>
        <w:t xml:space="preserve"> and</w:t>
      </w:r>
      <w:r w:rsidR="006A6DE7" w:rsidRPr="00CF1079">
        <w:rPr>
          <w:rFonts w:ascii="Arial" w:hAnsi="Arial" w:cs="Arial"/>
          <w:sz w:val="22"/>
          <w:szCs w:val="22"/>
        </w:rPr>
        <w:t xml:space="preserve"> A scores</w:t>
      </w:r>
      <w:r w:rsidR="002B1303" w:rsidRPr="00CF1079">
        <w:rPr>
          <w:rFonts w:ascii="Arial" w:hAnsi="Arial" w:cs="Arial"/>
          <w:sz w:val="22"/>
          <w:szCs w:val="22"/>
        </w:rPr>
        <w:t xml:space="preserve"> and outcome remains</w:t>
      </w:r>
      <w:r w:rsidR="006A6DE7" w:rsidRPr="00CF1079">
        <w:rPr>
          <w:rFonts w:ascii="Arial" w:hAnsi="Arial" w:cs="Arial"/>
          <w:sz w:val="22"/>
          <w:szCs w:val="22"/>
        </w:rPr>
        <w:t xml:space="preserve"> </w:t>
      </w:r>
      <w:r w:rsidR="002B1303" w:rsidRPr="00CF1079">
        <w:rPr>
          <w:rFonts w:ascii="Arial" w:hAnsi="Arial" w:cs="Arial"/>
          <w:sz w:val="22"/>
          <w:szCs w:val="22"/>
        </w:rPr>
        <w:t>when</w:t>
      </w:r>
      <w:r w:rsidR="006A6DE7" w:rsidRPr="00CF1079">
        <w:rPr>
          <w:rFonts w:ascii="Arial" w:hAnsi="Arial" w:cs="Arial"/>
          <w:sz w:val="22"/>
          <w:szCs w:val="22"/>
        </w:rPr>
        <w:t xml:space="preserve"> new variables</w:t>
      </w:r>
      <w:r w:rsidR="00486425" w:rsidRPr="00CF1079">
        <w:rPr>
          <w:rFonts w:ascii="Arial" w:hAnsi="Arial" w:cs="Arial"/>
          <w:sz w:val="22"/>
          <w:szCs w:val="22"/>
        </w:rPr>
        <w:t xml:space="preserve"> are added to the model</w:t>
      </w:r>
      <w:r w:rsidR="006A6DE7" w:rsidRPr="00CF1079">
        <w:rPr>
          <w:rFonts w:ascii="Arial" w:hAnsi="Arial" w:cs="Arial"/>
          <w:sz w:val="22"/>
          <w:szCs w:val="22"/>
        </w:rPr>
        <w:t>.</w:t>
      </w:r>
      <w:r w:rsidR="00486425" w:rsidRPr="00CF1079">
        <w:rPr>
          <w:rFonts w:ascii="Arial" w:hAnsi="Arial" w:cs="Arial"/>
          <w:sz w:val="22"/>
          <w:szCs w:val="22"/>
        </w:rPr>
        <w:t xml:space="preserve"> </w:t>
      </w:r>
      <w:r w:rsidR="00FD1B26" w:rsidRPr="00CF1079">
        <w:rPr>
          <w:rFonts w:ascii="Arial" w:hAnsi="Arial" w:cs="Arial"/>
          <w:color w:val="000000"/>
          <w:sz w:val="22"/>
          <w:szCs w:val="22"/>
        </w:rPr>
        <w:t xml:space="preserve">Loglinear models offer a valuable systematic approach when analysing complex </w:t>
      </w:r>
      <w:r w:rsidR="007D6DFA" w:rsidRPr="00CF1079">
        <w:rPr>
          <w:rFonts w:ascii="Arial" w:hAnsi="Arial" w:cs="Arial"/>
          <w:color w:val="000000"/>
          <w:sz w:val="22"/>
          <w:szCs w:val="22"/>
        </w:rPr>
        <w:t>data</w:t>
      </w:r>
      <w:r w:rsidR="00FD1B26" w:rsidRPr="00CF1079">
        <w:rPr>
          <w:rFonts w:ascii="Arial" w:hAnsi="Arial" w:cs="Arial"/>
          <w:color w:val="000000"/>
          <w:sz w:val="22"/>
          <w:szCs w:val="22"/>
        </w:rPr>
        <w:t xml:space="preserve">, allowing comparative analyses of differing effects between variables to be undertaken (Everitt, 1992). </w:t>
      </w:r>
      <w:r w:rsidR="007D6DFA" w:rsidRPr="00CF1079">
        <w:rPr>
          <w:rFonts w:ascii="Arial" w:hAnsi="Arial" w:cs="Arial"/>
          <w:color w:val="000000"/>
          <w:sz w:val="22"/>
          <w:szCs w:val="22"/>
        </w:rPr>
        <w:t>Whilst l</w:t>
      </w:r>
      <w:r w:rsidR="00FD1B26" w:rsidRPr="00CF1079">
        <w:rPr>
          <w:rFonts w:ascii="Arial" w:hAnsi="Arial" w:cs="Arial"/>
          <w:color w:val="000000"/>
          <w:sz w:val="22"/>
          <w:szCs w:val="22"/>
        </w:rPr>
        <w:t xml:space="preserve">oglinear models are a novel application in psychological therapy </w:t>
      </w:r>
      <w:r w:rsidR="007D6DFA" w:rsidRPr="00CF1079">
        <w:rPr>
          <w:rFonts w:ascii="Arial" w:hAnsi="Arial" w:cs="Arial"/>
          <w:color w:val="000000"/>
          <w:sz w:val="22"/>
          <w:szCs w:val="22"/>
        </w:rPr>
        <w:t>research</w:t>
      </w:r>
      <w:r w:rsidR="00FD1B26" w:rsidRPr="00CF1079">
        <w:rPr>
          <w:rFonts w:ascii="Arial" w:hAnsi="Arial" w:cs="Arial"/>
          <w:color w:val="000000"/>
          <w:sz w:val="22"/>
          <w:szCs w:val="22"/>
        </w:rPr>
        <w:t xml:space="preserve"> </w:t>
      </w:r>
      <w:r w:rsidR="00CD2F72" w:rsidRPr="00CF1079">
        <w:rPr>
          <w:rFonts w:ascii="Arial" w:hAnsi="Arial" w:cs="Arial"/>
          <w:color w:val="000000"/>
          <w:sz w:val="22"/>
          <w:szCs w:val="22"/>
        </w:rPr>
        <w:t xml:space="preserve">they are commonly used </w:t>
      </w:r>
      <w:r w:rsidR="00FD1B26" w:rsidRPr="00CF1079">
        <w:rPr>
          <w:rFonts w:ascii="Arial" w:hAnsi="Arial" w:cs="Arial"/>
          <w:color w:val="000000"/>
          <w:sz w:val="22"/>
          <w:szCs w:val="22"/>
        </w:rPr>
        <w:t xml:space="preserve">medical </w:t>
      </w:r>
      <w:r w:rsidR="00CD2F72" w:rsidRPr="00CF1079">
        <w:rPr>
          <w:rFonts w:ascii="Arial" w:hAnsi="Arial" w:cs="Arial"/>
          <w:color w:val="000000"/>
          <w:sz w:val="22"/>
          <w:szCs w:val="22"/>
        </w:rPr>
        <w:t>research</w:t>
      </w:r>
      <w:r w:rsidR="00FD1B26" w:rsidRPr="00CF1079">
        <w:rPr>
          <w:rFonts w:ascii="Arial" w:hAnsi="Arial" w:cs="Arial"/>
          <w:color w:val="000000"/>
          <w:sz w:val="22"/>
          <w:szCs w:val="22"/>
        </w:rPr>
        <w:t xml:space="preserve"> (see Maimaris et al.,1994, Helmy et al., 2010). </w:t>
      </w:r>
      <w:r w:rsidR="000B257C" w:rsidRPr="00CF1079">
        <w:rPr>
          <w:rFonts w:ascii="Arial" w:hAnsi="Arial" w:cs="Arial"/>
          <w:color w:val="000000"/>
          <w:sz w:val="22"/>
          <w:szCs w:val="22"/>
        </w:rPr>
        <w:t>Hierarchical loglinear models</w:t>
      </w:r>
      <w:r w:rsidR="00FD1B26" w:rsidRPr="00CF1079">
        <w:rPr>
          <w:rFonts w:ascii="Arial" w:hAnsi="Arial" w:cs="Arial"/>
          <w:color w:val="000000"/>
          <w:sz w:val="22"/>
          <w:szCs w:val="22"/>
        </w:rPr>
        <w:t xml:space="preserve"> do not dis</w:t>
      </w:r>
      <w:r w:rsidR="00A35D01" w:rsidRPr="00CF1079">
        <w:rPr>
          <w:rFonts w:ascii="Arial" w:hAnsi="Arial" w:cs="Arial"/>
          <w:color w:val="000000"/>
          <w:sz w:val="22"/>
          <w:szCs w:val="22"/>
        </w:rPr>
        <w:t>criminate</w:t>
      </w:r>
      <w:r w:rsidR="00FD1B26" w:rsidRPr="00CF1079">
        <w:rPr>
          <w:rFonts w:ascii="Arial" w:hAnsi="Arial" w:cs="Arial"/>
          <w:color w:val="000000"/>
          <w:sz w:val="22"/>
          <w:szCs w:val="22"/>
        </w:rPr>
        <w:t xml:space="preserve"> between dependent and independent variables</w:t>
      </w:r>
      <w:r w:rsidR="007531E9" w:rsidRPr="00CF1079">
        <w:rPr>
          <w:rFonts w:ascii="Arial" w:hAnsi="Arial" w:cs="Arial"/>
          <w:color w:val="000000"/>
          <w:sz w:val="22"/>
          <w:szCs w:val="22"/>
        </w:rPr>
        <w:t>. The model</w:t>
      </w:r>
      <w:r w:rsidR="00FD1B26" w:rsidRPr="00CF1079">
        <w:rPr>
          <w:rFonts w:ascii="Arial" w:hAnsi="Arial" w:cs="Arial"/>
          <w:color w:val="000000"/>
          <w:sz w:val="22"/>
          <w:szCs w:val="22"/>
        </w:rPr>
        <w:t xml:space="preserve"> treats all variables as equal, thus making it possible to see which variables are associated with each other and which are not (Everitt, 1992).  Unlike other statistical analyses (such as logistic regression) that distinguish between dependent and independent variables the approach adopted has the advantages of considering all variables on an equal footing for data exploration purposes</w:t>
      </w:r>
      <w:r w:rsidR="000C7C97" w:rsidRPr="00CF1079">
        <w:rPr>
          <w:rFonts w:ascii="Arial" w:hAnsi="Arial" w:cs="Arial"/>
          <w:color w:val="000000"/>
          <w:sz w:val="22"/>
          <w:szCs w:val="22"/>
        </w:rPr>
        <w:t xml:space="preserve">. </w:t>
      </w:r>
      <w:r w:rsidR="00CC441F" w:rsidRPr="00CF1079">
        <w:rPr>
          <w:rFonts w:ascii="Arial" w:hAnsi="Arial" w:cs="Arial"/>
          <w:sz w:val="22"/>
          <w:szCs w:val="22"/>
        </w:rPr>
        <w:t>H</w:t>
      </w:r>
      <w:r w:rsidR="00315478" w:rsidRPr="00CF1079">
        <w:rPr>
          <w:rFonts w:ascii="Arial" w:hAnsi="Arial" w:cs="Arial"/>
          <w:sz w:val="22"/>
          <w:szCs w:val="22"/>
        </w:rPr>
        <w:t xml:space="preserve">ierarchical loglinear models do not deal with nested variables nor do they produce directions between factors. </w:t>
      </w:r>
    </w:p>
    <w:p w14:paraId="46578E3B" w14:textId="7E7FA115" w:rsidR="00FD1B26" w:rsidRPr="00315478" w:rsidRDefault="00315478" w:rsidP="00315478">
      <w:pPr>
        <w:spacing w:line="480" w:lineRule="auto"/>
        <w:rPr>
          <w:rFonts w:ascii="Arial" w:hAnsi="Arial" w:cs="Arial"/>
          <w:sz w:val="22"/>
          <w:szCs w:val="22"/>
        </w:rPr>
      </w:pPr>
      <w:r w:rsidRPr="00CF1079">
        <w:rPr>
          <w:rFonts w:ascii="Arial" w:hAnsi="Arial" w:cs="Arial"/>
          <w:sz w:val="22"/>
          <w:szCs w:val="22"/>
        </w:rPr>
        <w:t xml:space="preserve">Hierarchical loglinear models do, however, serve a different purpose primarily for complex data exploration and understanding by reducing high dimensional, cross-classified categorical data into a format that captures the likely generalisable features of the particular multivariate data set sampled in a way that readily allows the creation of a visual map of </w:t>
      </w:r>
      <w:r w:rsidRPr="00CF1079">
        <w:rPr>
          <w:rFonts w:ascii="Arial" w:hAnsi="Arial" w:cs="Arial"/>
          <w:sz w:val="22"/>
          <w:szCs w:val="22"/>
        </w:rPr>
        <w:lastRenderedPageBreak/>
        <w:t>significant interdependencies among the variables. For this reason, hierarchical loglinear models are sometimes known as graphical loglinear models.</w:t>
      </w:r>
      <w:r w:rsidRPr="00315478">
        <w:rPr>
          <w:rFonts w:ascii="Arial" w:hAnsi="Arial" w:cs="Arial"/>
          <w:sz w:val="22"/>
          <w:szCs w:val="22"/>
        </w:rPr>
        <w:t xml:space="preserve">  </w:t>
      </w:r>
    </w:p>
    <w:p w14:paraId="2615038F" w14:textId="77777777" w:rsidR="00091C55" w:rsidRDefault="00091C55" w:rsidP="007F596B">
      <w:pPr>
        <w:spacing w:line="480" w:lineRule="auto"/>
        <w:rPr>
          <w:rFonts w:ascii="Arial" w:hAnsi="Arial" w:cs="Arial"/>
          <w:sz w:val="22"/>
          <w:szCs w:val="22"/>
        </w:rPr>
      </w:pPr>
    </w:p>
    <w:p w14:paraId="3A2629E5" w14:textId="5FA31ED7" w:rsidR="003F63CC" w:rsidRDefault="00DF4D8F" w:rsidP="007F596B">
      <w:pPr>
        <w:spacing w:line="480" w:lineRule="auto"/>
        <w:rPr>
          <w:rFonts w:ascii="Arial" w:hAnsi="Arial" w:cs="Arial"/>
          <w:sz w:val="22"/>
          <w:szCs w:val="22"/>
        </w:rPr>
      </w:pPr>
      <w:r>
        <w:rPr>
          <w:rFonts w:ascii="Arial" w:hAnsi="Arial" w:cs="Arial"/>
          <w:sz w:val="22"/>
          <w:szCs w:val="22"/>
        </w:rPr>
        <w:t xml:space="preserve">The model requires that all </w:t>
      </w:r>
      <w:r w:rsidR="006D18C6">
        <w:rPr>
          <w:rFonts w:ascii="Arial" w:hAnsi="Arial" w:cs="Arial"/>
          <w:sz w:val="22"/>
          <w:szCs w:val="22"/>
        </w:rPr>
        <w:t>variables</w:t>
      </w:r>
      <w:r>
        <w:rPr>
          <w:rFonts w:ascii="Arial" w:hAnsi="Arial" w:cs="Arial"/>
          <w:sz w:val="22"/>
          <w:szCs w:val="22"/>
        </w:rPr>
        <w:t xml:space="preserve"> </w:t>
      </w:r>
      <w:r w:rsidR="00812D99">
        <w:rPr>
          <w:rFonts w:ascii="Arial" w:hAnsi="Arial" w:cs="Arial"/>
          <w:sz w:val="22"/>
          <w:szCs w:val="22"/>
        </w:rPr>
        <w:t xml:space="preserve">are </w:t>
      </w:r>
      <w:r w:rsidR="006D18C6">
        <w:rPr>
          <w:rFonts w:ascii="Arial" w:hAnsi="Arial" w:cs="Arial"/>
          <w:sz w:val="22"/>
          <w:szCs w:val="22"/>
        </w:rPr>
        <w:t xml:space="preserve">converted to categorical variables. </w:t>
      </w:r>
      <w:r w:rsidR="006D18C6" w:rsidRPr="00CF1079">
        <w:rPr>
          <w:rFonts w:ascii="Arial" w:hAnsi="Arial" w:cs="Arial"/>
          <w:sz w:val="22"/>
          <w:szCs w:val="22"/>
        </w:rPr>
        <w:t>Table 5.</w:t>
      </w:r>
      <w:r w:rsidR="00DE1F87" w:rsidRPr="00CF1079">
        <w:rPr>
          <w:rFonts w:ascii="Arial" w:hAnsi="Arial" w:cs="Arial"/>
          <w:sz w:val="22"/>
          <w:szCs w:val="22"/>
        </w:rPr>
        <w:t xml:space="preserve">9 </w:t>
      </w:r>
      <w:r w:rsidR="006D18C6" w:rsidRPr="00CF1079">
        <w:rPr>
          <w:rFonts w:ascii="Arial" w:hAnsi="Arial" w:cs="Arial"/>
          <w:sz w:val="22"/>
          <w:szCs w:val="22"/>
        </w:rPr>
        <w:t>shows how each variable was converted</w:t>
      </w:r>
      <w:r w:rsidR="006636DE" w:rsidRPr="00CF1079">
        <w:rPr>
          <w:rFonts w:ascii="Arial" w:hAnsi="Arial" w:cs="Arial"/>
          <w:sz w:val="22"/>
          <w:szCs w:val="22"/>
        </w:rPr>
        <w:t xml:space="preserve"> using a median split</w:t>
      </w:r>
      <w:r w:rsidR="00812D99" w:rsidRPr="00CF1079">
        <w:rPr>
          <w:rFonts w:ascii="Arial" w:hAnsi="Arial" w:cs="Arial"/>
          <w:sz w:val="22"/>
          <w:szCs w:val="22"/>
        </w:rPr>
        <w:t>.</w:t>
      </w:r>
      <w:r w:rsidR="00FB03EE" w:rsidRPr="00CF1079">
        <w:rPr>
          <w:rFonts w:ascii="Arial" w:hAnsi="Arial" w:cs="Arial"/>
          <w:sz w:val="22"/>
          <w:szCs w:val="22"/>
        </w:rPr>
        <w:t xml:space="preserve"> The median for </w:t>
      </w:r>
      <w:r w:rsidR="001A304B" w:rsidRPr="00CF1079">
        <w:rPr>
          <w:rFonts w:ascii="Arial" w:hAnsi="Arial" w:cs="Arial"/>
          <w:sz w:val="22"/>
          <w:szCs w:val="22"/>
        </w:rPr>
        <w:t>patient age, and severity on PHQ-9 and GAD-7 is shown in table 5.10.</w:t>
      </w:r>
    </w:p>
    <w:p w14:paraId="568EC94E" w14:textId="3ECD9F5C" w:rsidR="003F63CC" w:rsidRDefault="003F63CC" w:rsidP="007F596B">
      <w:pPr>
        <w:spacing w:line="480" w:lineRule="auto"/>
        <w:rPr>
          <w:rFonts w:ascii="Arial" w:hAnsi="Arial" w:cs="Arial"/>
          <w:sz w:val="22"/>
          <w:szCs w:val="22"/>
        </w:rPr>
      </w:pPr>
    </w:p>
    <w:p w14:paraId="045BD742" w14:textId="6A73E04F" w:rsidR="00336FB7" w:rsidRDefault="00336FB7" w:rsidP="00336FB7">
      <w:pPr>
        <w:pStyle w:val="Tables"/>
        <w:rPr>
          <w:b w:val="0"/>
        </w:rPr>
      </w:pPr>
      <w:bookmarkStart w:id="387" w:name="_Toc28347788"/>
      <w:bookmarkStart w:id="388" w:name="_Toc46770989"/>
      <w:r w:rsidRPr="00E06AFE">
        <w:t xml:space="preserve">Table 5.9 </w:t>
      </w:r>
      <w:r w:rsidRPr="00336FB7">
        <w:rPr>
          <w:b w:val="0"/>
        </w:rPr>
        <w:t>Conversion to categorical variables</w:t>
      </w:r>
      <w:bookmarkEnd w:id="387"/>
      <w:bookmarkEnd w:id="38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5"/>
        <w:gridCol w:w="4505"/>
      </w:tblGrid>
      <w:tr w:rsidR="003F63CC" w14:paraId="6699E502" w14:textId="77777777" w:rsidTr="0080575F">
        <w:tc>
          <w:tcPr>
            <w:tcW w:w="4505" w:type="dxa"/>
            <w:tcBorders>
              <w:top w:val="single" w:sz="4" w:space="0" w:color="auto"/>
              <w:bottom w:val="single" w:sz="4" w:space="0" w:color="auto"/>
            </w:tcBorders>
          </w:tcPr>
          <w:p w14:paraId="26EA8897" w14:textId="77777777" w:rsidR="003F63CC" w:rsidRPr="003F63CC" w:rsidRDefault="003F63CC" w:rsidP="003F63CC">
            <w:pPr>
              <w:spacing w:line="480" w:lineRule="auto"/>
              <w:rPr>
                <w:rFonts w:ascii="Arial" w:hAnsi="Arial" w:cs="Arial"/>
                <w:b/>
                <w:bCs/>
                <w:sz w:val="22"/>
                <w:szCs w:val="22"/>
              </w:rPr>
            </w:pPr>
            <w:r w:rsidRPr="003F63CC">
              <w:rPr>
                <w:rFonts w:ascii="Arial" w:hAnsi="Arial" w:cs="Arial"/>
                <w:b/>
                <w:bCs/>
                <w:sz w:val="22"/>
                <w:szCs w:val="22"/>
              </w:rPr>
              <w:t>Patient variables</w:t>
            </w:r>
          </w:p>
        </w:tc>
        <w:tc>
          <w:tcPr>
            <w:tcW w:w="4505" w:type="dxa"/>
            <w:tcBorders>
              <w:top w:val="single" w:sz="4" w:space="0" w:color="auto"/>
              <w:bottom w:val="single" w:sz="4" w:space="0" w:color="auto"/>
            </w:tcBorders>
          </w:tcPr>
          <w:p w14:paraId="0E86DB5B" w14:textId="7C98403A" w:rsidR="003F63CC" w:rsidRPr="009F0879" w:rsidRDefault="009F0879" w:rsidP="003F63CC">
            <w:pPr>
              <w:spacing w:line="480" w:lineRule="auto"/>
              <w:rPr>
                <w:rFonts w:ascii="Arial" w:hAnsi="Arial" w:cs="Arial"/>
                <w:b/>
                <w:bCs/>
                <w:sz w:val="22"/>
                <w:szCs w:val="22"/>
              </w:rPr>
            </w:pPr>
            <w:r w:rsidRPr="009F0879">
              <w:rPr>
                <w:rFonts w:ascii="Arial" w:hAnsi="Arial" w:cs="Arial"/>
                <w:b/>
                <w:bCs/>
                <w:sz w:val="22"/>
                <w:szCs w:val="22"/>
              </w:rPr>
              <w:t>Conversion to categorical data</w:t>
            </w:r>
          </w:p>
        </w:tc>
      </w:tr>
      <w:tr w:rsidR="003F63CC" w14:paraId="17568DDC" w14:textId="77777777" w:rsidTr="001232FB">
        <w:tc>
          <w:tcPr>
            <w:tcW w:w="4505" w:type="dxa"/>
            <w:tcBorders>
              <w:top w:val="single" w:sz="4" w:space="0" w:color="auto"/>
            </w:tcBorders>
          </w:tcPr>
          <w:p w14:paraId="38F36B59" w14:textId="77777777" w:rsidR="003F63CC" w:rsidRPr="003F63CC" w:rsidRDefault="003F63CC" w:rsidP="003F63CC">
            <w:pPr>
              <w:spacing w:line="480" w:lineRule="auto"/>
              <w:rPr>
                <w:rFonts w:ascii="Arial" w:hAnsi="Arial" w:cs="Arial"/>
                <w:sz w:val="22"/>
                <w:szCs w:val="22"/>
              </w:rPr>
            </w:pPr>
            <w:r w:rsidRPr="003F63CC">
              <w:rPr>
                <w:rFonts w:ascii="Arial" w:hAnsi="Arial" w:cs="Arial"/>
                <w:sz w:val="22"/>
                <w:szCs w:val="22"/>
              </w:rPr>
              <w:t>Patient age</w:t>
            </w:r>
          </w:p>
        </w:tc>
        <w:tc>
          <w:tcPr>
            <w:tcW w:w="4505" w:type="dxa"/>
            <w:tcBorders>
              <w:top w:val="single" w:sz="4" w:space="0" w:color="auto"/>
            </w:tcBorders>
          </w:tcPr>
          <w:p w14:paraId="6D6A0534" w14:textId="77777777" w:rsidR="003F63CC" w:rsidRPr="003F63CC" w:rsidRDefault="003F63CC" w:rsidP="003F63CC">
            <w:pPr>
              <w:spacing w:line="480" w:lineRule="auto"/>
              <w:rPr>
                <w:rFonts w:ascii="Arial" w:hAnsi="Arial" w:cs="Arial"/>
                <w:sz w:val="22"/>
                <w:szCs w:val="22"/>
              </w:rPr>
            </w:pPr>
            <w:r w:rsidRPr="003F63CC">
              <w:rPr>
                <w:rFonts w:ascii="Arial" w:hAnsi="Arial" w:cs="Arial"/>
                <w:sz w:val="22"/>
                <w:szCs w:val="22"/>
              </w:rPr>
              <w:t>0/1 (Older or younger than the median)</w:t>
            </w:r>
          </w:p>
        </w:tc>
      </w:tr>
      <w:tr w:rsidR="003F63CC" w14:paraId="383BEB6F" w14:textId="77777777" w:rsidTr="001232FB">
        <w:tc>
          <w:tcPr>
            <w:tcW w:w="4505" w:type="dxa"/>
          </w:tcPr>
          <w:p w14:paraId="6E8CEF09" w14:textId="77777777" w:rsidR="003F63CC" w:rsidRPr="003F63CC" w:rsidRDefault="003F63CC" w:rsidP="003F63CC">
            <w:pPr>
              <w:spacing w:line="480" w:lineRule="auto"/>
              <w:rPr>
                <w:rFonts w:ascii="Arial" w:hAnsi="Arial" w:cs="Arial"/>
                <w:sz w:val="22"/>
                <w:szCs w:val="22"/>
              </w:rPr>
            </w:pPr>
            <w:r w:rsidRPr="003F63CC">
              <w:rPr>
                <w:rFonts w:ascii="Arial" w:hAnsi="Arial" w:cs="Arial"/>
                <w:sz w:val="22"/>
                <w:szCs w:val="22"/>
              </w:rPr>
              <w:t>Patient gender</w:t>
            </w:r>
          </w:p>
        </w:tc>
        <w:tc>
          <w:tcPr>
            <w:tcW w:w="4505" w:type="dxa"/>
          </w:tcPr>
          <w:p w14:paraId="2FBB1C5D" w14:textId="77777777" w:rsidR="003F63CC" w:rsidRPr="003F63CC" w:rsidRDefault="003F63CC" w:rsidP="003F63CC">
            <w:pPr>
              <w:spacing w:line="480" w:lineRule="auto"/>
              <w:rPr>
                <w:rFonts w:ascii="Arial" w:hAnsi="Arial" w:cs="Arial"/>
                <w:sz w:val="22"/>
                <w:szCs w:val="22"/>
              </w:rPr>
            </w:pPr>
            <w:r w:rsidRPr="003F63CC">
              <w:rPr>
                <w:rFonts w:ascii="Arial" w:hAnsi="Arial" w:cs="Arial"/>
                <w:sz w:val="22"/>
                <w:szCs w:val="22"/>
              </w:rPr>
              <w:t>0/1  (male/female)</w:t>
            </w:r>
          </w:p>
        </w:tc>
      </w:tr>
      <w:tr w:rsidR="003F63CC" w14:paraId="79936C38" w14:textId="77777777" w:rsidTr="001232FB">
        <w:tc>
          <w:tcPr>
            <w:tcW w:w="4505" w:type="dxa"/>
          </w:tcPr>
          <w:p w14:paraId="6DC3DE62" w14:textId="77777777" w:rsidR="003F63CC" w:rsidRPr="003F63CC" w:rsidRDefault="003F63CC" w:rsidP="003F63CC">
            <w:pPr>
              <w:spacing w:line="480" w:lineRule="auto"/>
              <w:rPr>
                <w:rFonts w:ascii="Arial" w:hAnsi="Arial" w:cs="Arial"/>
                <w:sz w:val="22"/>
                <w:szCs w:val="22"/>
              </w:rPr>
            </w:pPr>
            <w:r w:rsidRPr="003F63CC">
              <w:rPr>
                <w:rFonts w:ascii="Arial" w:hAnsi="Arial" w:cs="Arial"/>
                <w:sz w:val="22"/>
                <w:szCs w:val="22"/>
              </w:rPr>
              <w:t>Severity PHQ-9</w:t>
            </w:r>
          </w:p>
        </w:tc>
        <w:tc>
          <w:tcPr>
            <w:tcW w:w="4505" w:type="dxa"/>
          </w:tcPr>
          <w:p w14:paraId="0E37465F" w14:textId="77777777" w:rsidR="003F63CC" w:rsidRPr="003F63CC" w:rsidRDefault="003F63CC" w:rsidP="003F63CC">
            <w:pPr>
              <w:spacing w:line="480" w:lineRule="auto"/>
              <w:rPr>
                <w:rFonts w:ascii="Arial" w:hAnsi="Arial" w:cs="Arial"/>
                <w:sz w:val="22"/>
                <w:szCs w:val="22"/>
              </w:rPr>
            </w:pPr>
            <w:r w:rsidRPr="003F63CC">
              <w:rPr>
                <w:rFonts w:ascii="Arial" w:hAnsi="Arial" w:cs="Arial"/>
                <w:sz w:val="22"/>
                <w:szCs w:val="22"/>
              </w:rPr>
              <w:t>0/1 (Above or below the median)</w:t>
            </w:r>
          </w:p>
        </w:tc>
      </w:tr>
      <w:tr w:rsidR="003F63CC" w14:paraId="1DA64012" w14:textId="77777777" w:rsidTr="001232FB">
        <w:tc>
          <w:tcPr>
            <w:tcW w:w="4505" w:type="dxa"/>
          </w:tcPr>
          <w:p w14:paraId="27ABAC03" w14:textId="77777777" w:rsidR="003F63CC" w:rsidRPr="003F63CC" w:rsidRDefault="003F63CC" w:rsidP="003F63CC">
            <w:pPr>
              <w:spacing w:line="480" w:lineRule="auto"/>
              <w:rPr>
                <w:rFonts w:ascii="Arial" w:hAnsi="Arial" w:cs="Arial"/>
                <w:sz w:val="22"/>
                <w:szCs w:val="22"/>
              </w:rPr>
            </w:pPr>
            <w:r w:rsidRPr="003F63CC">
              <w:rPr>
                <w:rFonts w:ascii="Arial" w:hAnsi="Arial" w:cs="Arial"/>
                <w:sz w:val="22"/>
                <w:szCs w:val="22"/>
              </w:rPr>
              <w:t>Severity GAD-7</w:t>
            </w:r>
          </w:p>
        </w:tc>
        <w:tc>
          <w:tcPr>
            <w:tcW w:w="4505" w:type="dxa"/>
          </w:tcPr>
          <w:p w14:paraId="7FF2B8BE" w14:textId="77777777" w:rsidR="003F63CC" w:rsidRPr="003F63CC" w:rsidRDefault="003F63CC" w:rsidP="003F63CC">
            <w:pPr>
              <w:spacing w:line="480" w:lineRule="auto"/>
              <w:rPr>
                <w:rFonts w:ascii="Arial" w:hAnsi="Arial" w:cs="Arial"/>
                <w:sz w:val="22"/>
                <w:szCs w:val="22"/>
              </w:rPr>
            </w:pPr>
            <w:r w:rsidRPr="003F63CC">
              <w:rPr>
                <w:rFonts w:ascii="Arial" w:hAnsi="Arial" w:cs="Arial"/>
                <w:sz w:val="22"/>
                <w:szCs w:val="22"/>
              </w:rPr>
              <w:t>0/1 (Above or below the median)</w:t>
            </w:r>
          </w:p>
        </w:tc>
      </w:tr>
      <w:tr w:rsidR="003F63CC" w14:paraId="6DF93714" w14:textId="77777777" w:rsidTr="001232FB">
        <w:tc>
          <w:tcPr>
            <w:tcW w:w="4505" w:type="dxa"/>
          </w:tcPr>
          <w:p w14:paraId="0DF4AD83" w14:textId="77777777" w:rsidR="003F63CC" w:rsidRPr="003F63CC" w:rsidRDefault="003F63CC" w:rsidP="003F63CC">
            <w:pPr>
              <w:spacing w:line="480" w:lineRule="auto"/>
              <w:rPr>
                <w:rFonts w:ascii="Arial" w:hAnsi="Arial" w:cs="Arial"/>
                <w:sz w:val="22"/>
                <w:szCs w:val="22"/>
              </w:rPr>
            </w:pPr>
            <w:r w:rsidRPr="003F63CC">
              <w:rPr>
                <w:rFonts w:ascii="Arial" w:hAnsi="Arial" w:cs="Arial"/>
                <w:sz w:val="22"/>
                <w:szCs w:val="22"/>
              </w:rPr>
              <w:t>Recovery</w:t>
            </w:r>
          </w:p>
        </w:tc>
        <w:tc>
          <w:tcPr>
            <w:tcW w:w="4505" w:type="dxa"/>
          </w:tcPr>
          <w:p w14:paraId="7EB12C30" w14:textId="77777777" w:rsidR="003F63CC" w:rsidRPr="003F63CC" w:rsidRDefault="003F63CC" w:rsidP="003F63CC">
            <w:pPr>
              <w:spacing w:line="480" w:lineRule="auto"/>
              <w:rPr>
                <w:rFonts w:ascii="Arial" w:hAnsi="Arial" w:cs="Arial"/>
                <w:sz w:val="22"/>
                <w:szCs w:val="22"/>
              </w:rPr>
            </w:pPr>
            <w:r w:rsidRPr="003F63CC">
              <w:rPr>
                <w:rFonts w:ascii="Arial" w:hAnsi="Arial" w:cs="Arial"/>
                <w:sz w:val="22"/>
                <w:szCs w:val="22"/>
              </w:rPr>
              <w:t>0/1 (yes/no)</w:t>
            </w:r>
          </w:p>
        </w:tc>
      </w:tr>
      <w:tr w:rsidR="003F63CC" w14:paraId="03B8031E" w14:textId="77777777" w:rsidTr="0080575F">
        <w:tc>
          <w:tcPr>
            <w:tcW w:w="4505" w:type="dxa"/>
            <w:tcBorders>
              <w:bottom w:val="single" w:sz="4" w:space="0" w:color="auto"/>
            </w:tcBorders>
          </w:tcPr>
          <w:p w14:paraId="0CC2EE09" w14:textId="77777777" w:rsidR="003F63CC" w:rsidRPr="003F63CC" w:rsidRDefault="003F63CC" w:rsidP="003F63CC">
            <w:pPr>
              <w:spacing w:line="480" w:lineRule="auto"/>
              <w:rPr>
                <w:rFonts w:ascii="Arial" w:hAnsi="Arial" w:cs="Arial"/>
                <w:sz w:val="22"/>
                <w:szCs w:val="22"/>
              </w:rPr>
            </w:pPr>
            <w:r w:rsidRPr="003F63CC">
              <w:rPr>
                <w:rFonts w:ascii="Arial" w:hAnsi="Arial" w:cs="Arial"/>
                <w:sz w:val="22"/>
                <w:szCs w:val="22"/>
              </w:rPr>
              <w:t>Reliable improvement</w:t>
            </w:r>
          </w:p>
        </w:tc>
        <w:tc>
          <w:tcPr>
            <w:tcW w:w="4505" w:type="dxa"/>
            <w:tcBorders>
              <w:bottom w:val="single" w:sz="4" w:space="0" w:color="auto"/>
            </w:tcBorders>
          </w:tcPr>
          <w:p w14:paraId="2D3274CF" w14:textId="77777777" w:rsidR="003F63CC" w:rsidRPr="003F63CC" w:rsidRDefault="003F63CC" w:rsidP="003F63CC">
            <w:pPr>
              <w:spacing w:line="480" w:lineRule="auto"/>
              <w:rPr>
                <w:rFonts w:ascii="Arial" w:hAnsi="Arial" w:cs="Arial"/>
                <w:sz w:val="22"/>
                <w:szCs w:val="22"/>
              </w:rPr>
            </w:pPr>
            <w:r w:rsidRPr="003F63CC">
              <w:rPr>
                <w:rFonts w:ascii="Arial" w:hAnsi="Arial" w:cs="Arial"/>
                <w:sz w:val="22"/>
                <w:szCs w:val="22"/>
              </w:rPr>
              <w:t>0/1 (yes/no)</w:t>
            </w:r>
          </w:p>
        </w:tc>
      </w:tr>
      <w:tr w:rsidR="003F63CC" w14:paraId="27AF6B00" w14:textId="77777777" w:rsidTr="0080575F">
        <w:tc>
          <w:tcPr>
            <w:tcW w:w="4505" w:type="dxa"/>
            <w:tcBorders>
              <w:top w:val="single" w:sz="4" w:space="0" w:color="auto"/>
              <w:bottom w:val="single" w:sz="4" w:space="0" w:color="auto"/>
            </w:tcBorders>
          </w:tcPr>
          <w:p w14:paraId="455C482D" w14:textId="77777777" w:rsidR="003F63CC" w:rsidRPr="003F63CC" w:rsidRDefault="003F63CC" w:rsidP="003F63CC">
            <w:pPr>
              <w:spacing w:line="480" w:lineRule="auto"/>
              <w:rPr>
                <w:rFonts w:ascii="Arial" w:hAnsi="Arial" w:cs="Arial"/>
                <w:b/>
                <w:bCs/>
                <w:sz w:val="22"/>
                <w:szCs w:val="22"/>
              </w:rPr>
            </w:pPr>
            <w:r w:rsidRPr="003F63CC">
              <w:rPr>
                <w:rFonts w:ascii="Arial" w:hAnsi="Arial" w:cs="Arial"/>
                <w:b/>
                <w:bCs/>
                <w:sz w:val="22"/>
                <w:szCs w:val="22"/>
              </w:rPr>
              <w:t>Therapist variables</w:t>
            </w:r>
          </w:p>
        </w:tc>
        <w:tc>
          <w:tcPr>
            <w:tcW w:w="4505" w:type="dxa"/>
            <w:tcBorders>
              <w:top w:val="single" w:sz="4" w:space="0" w:color="auto"/>
              <w:bottom w:val="single" w:sz="4" w:space="0" w:color="auto"/>
            </w:tcBorders>
          </w:tcPr>
          <w:p w14:paraId="0049BB9F" w14:textId="77777777" w:rsidR="003F63CC" w:rsidRPr="003F63CC" w:rsidRDefault="003F63CC" w:rsidP="003F63CC">
            <w:pPr>
              <w:spacing w:line="480" w:lineRule="auto"/>
              <w:rPr>
                <w:rFonts w:ascii="Arial" w:hAnsi="Arial" w:cs="Arial"/>
                <w:sz w:val="22"/>
                <w:szCs w:val="22"/>
              </w:rPr>
            </w:pPr>
          </w:p>
        </w:tc>
      </w:tr>
      <w:tr w:rsidR="003F63CC" w14:paraId="14B21B8D" w14:textId="77777777" w:rsidTr="001232FB">
        <w:tc>
          <w:tcPr>
            <w:tcW w:w="4505" w:type="dxa"/>
            <w:tcBorders>
              <w:top w:val="single" w:sz="4" w:space="0" w:color="auto"/>
            </w:tcBorders>
          </w:tcPr>
          <w:p w14:paraId="0FA8A73C" w14:textId="77777777" w:rsidR="003F63CC" w:rsidRPr="003F63CC" w:rsidRDefault="003F63CC" w:rsidP="003F63CC">
            <w:pPr>
              <w:spacing w:line="480" w:lineRule="auto"/>
              <w:rPr>
                <w:rFonts w:ascii="Arial" w:hAnsi="Arial" w:cs="Arial"/>
                <w:sz w:val="22"/>
                <w:szCs w:val="22"/>
              </w:rPr>
            </w:pPr>
            <w:r w:rsidRPr="003F63CC">
              <w:rPr>
                <w:rFonts w:ascii="Arial" w:hAnsi="Arial" w:cs="Arial"/>
                <w:sz w:val="22"/>
                <w:szCs w:val="22"/>
              </w:rPr>
              <w:t>Adherence to an evidence-based protocol</w:t>
            </w:r>
          </w:p>
        </w:tc>
        <w:tc>
          <w:tcPr>
            <w:tcW w:w="4505" w:type="dxa"/>
            <w:tcBorders>
              <w:top w:val="single" w:sz="4" w:space="0" w:color="auto"/>
            </w:tcBorders>
          </w:tcPr>
          <w:p w14:paraId="54246E8E" w14:textId="77777777" w:rsidR="003F63CC" w:rsidRPr="003F63CC" w:rsidRDefault="003F63CC" w:rsidP="003F63CC">
            <w:pPr>
              <w:spacing w:line="480" w:lineRule="auto"/>
              <w:rPr>
                <w:rFonts w:ascii="Arial" w:hAnsi="Arial" w:cs="Arial"/>
                <w:sz w:val="22"/>
                <w:szCs w:val="22"/>
              </w:rPr>
            </w:pPr>
            <w:r w:rsidRPr="003F63CC">
              <w:rPr>
                <w:rFonts w:ascii="Arial" w:hAnsi="Arial" w:cs="Arial"/>
                <w:sz w:val="22"/>
                <w:szCs w:val="22"/>
              </w:rPr>
              <w:t>0/1 (yes/no for each patient treated)</w:t>
            </w:r>
          </w:p>
        </w:tc>
      </w:tr>
      <w:tr w:rsidR="003F63CC" w14:paraId="003113E3" w14:textId="77777777" w:rsidTr="001232FB">
        <w:tc>
          <w:tcPr>
            <w:tcW w:w="4505" w:type="dxa"/>
          </w:tcPr>
          <w:p w14:paraId="0FD79B29" w14:textId="77777777" w:rsidR="003F63CC" w:rsidRPr="003F63CC" w:rsidRDefault="003F63CC" w:rsidP="003F63CC">
            <w:pPr>
              <w:spacing w:line="480" w:lineRule="auto"/>
              <w:rPr>
                <w:rFonts w:ascii="Arial" w:hAnsi="Arial" w:cs="Arial"/>
                <w:sz w:val="22"/>
                <w:szCs w:val="22"/>
              </w:rPr>
            </w:pPr>
            <w:r w:rsidRPr="003F63CC">
              <w:rPr>
                <w:rFonts w:ascii="Arial" w:hAnsi="Arial" w:cs="Arial"/>
                <w:sz w:val="22"/>
                <w:szCs w:val="22"/>
              </w:rPr>
              <w:t>F score</w:t>
            </w:r>
          </w:p>
        </w:tc>
        <w:tc>
          <w:tcPr>
            <w:tcW w:w="4505" w:type="dxa"/>
          </w:tcPr>
          <w:p w14:paraId="6C83B94B" w14:textId="77777777" w:rsidR="000364F2" w:rsidRDefault="003F63CC" w:rsidP="003F63CC">
            <w:pPr>
              <w:spacing w:line="480" w:lineRule="auto"/>
              <w:rPr>
                <w:rFonts w:ascii="Arial" w:hAnsi="Arial" w:cs="Arial"/>
                <w:sz w:val="22"/>
                <w:szCs w:val="22"/>
              </w:rPr>
            </w:pPr>
            <w:r w:rsidRPr="003F63CC">
              <w:rPr>
                <w:rFonts w:ascii="Arial" w:hAnsi="Arial" w:cs="Arial"/>
                <w:sz w:val="22"/>
                <w:szCs w:val="22"/>
              </w:rPr>
              <w:t>1-4 based on which quartile the F score fell within</w:t>
            </w:r>
          </w:p>
          <w:p w14:paraId="5D682A71" w14:textId="7AF73194" w:rsidR="000364F2" w:rsidRPr="003F63CC" w:rsidRDefault="000364F2" w:rsidP="003F63CC">
            <w:pPr>
              <w:spacing w:line="480" w:lineRule="auto"/>
              <w:rPr>
                <w:rFonts w:ascii="Arial" w:hAnsi="Arial" w:cs="Arial"/>
                <w:sz w:val="22"/>
                <w:szCs w:val="22"/>
              </w:rPr>
            </w:pPr>
          </w:p>
        </w:tc>
      </w:tr>
    </w:tbl>
    <w:p w14:paraId="71676715" w14:textId="77777777" w:rsidR="003F63CC" w:rsidRDefault="003F63CC" w:rsidP="003F63CC">
      <w:pPr>
        <w:spacing w:line="480" w:lineRule="auto"/>
        <w:rPr>
          <w:rFonts w:ascii="Arial" w:hAnsi="Arial" w:cs="Arial"/>
          <w:sz w:val="22"/>
          <w:szCs w:val="22"/>
        </w:rPr>
      </w:pPr>
    </w:p>
    <w:p w14:paraId="0E4D7F84" w14:textId="48CD61FC" w:rsidR="0054314B" w:rsidRDefault="0054314B" w:rsidP="0054314B">
      <w:pPr>
        <w:pStyle w:val="Heading3"/>
        <w:rPr>
          <w:rFonts w:cs="Arial"/>
          <w:color w:val="000000" w:themeColor="text1"/>
          <w:szCs w:val="22"/>
        </w:rPr>
      </w:pPr>
      <w:bookmarkStart w:id="389" w:name="_Toc46770831"/>
      <w:bookmarkStart w:id="390" w:name="_Toc79414242"/>
      <w:r w:rsidRPr="0054314B">
        <w:rPr>
          <w:rFonts w:cs="Arial"/>
          <w:color w:val="000000" w:themeColor="text1"/>
          <w:szCs w:val="22"/>
        </w:rPr>
        <w:t>5.</w:t>
      </w:r>
      <w:r w:rsidR="007146C6">
        <w:rPr>
          <w:rFonts w:cs="Arial"/>
          <w:color w:val="000000" w:themeColor="text1"/>
          <w:szCs w:val="22"/>
        </w:rPr>
        <w:t>7</w:t>
      </w:r>
      <w:r w:rsidRPr="0054314B">
        <w:rPr>
          <w:rFonts w:cs="Arial"/>
          <w:color w:val="000000" w:themeColor="text1"/>
          <w:szCs w:val="22"/>
        </w:rPr>
        <w:t xml:space="preserve">.1 Descriptive statistics for </w:t>
      </w:r>
      <w:r w:rsidR="009F0879">
        <w:rPr>
          <w:rFonts w:cs="Arial"/>
          <w:color w:val="000000" w:themeColor="text1"/>
          <w:szCs w:val="22"/>
        </w:rPr>
        <w:t>all categorical variables in the model</w:t>
      </w:r>
      <w:bookmarkEnd w:id="389"/>
      <w:bookmarkEnd w:id="390"/>
    </w:p>
    <w:p w14:paraId="2065074A" w14:textId="5ED571FB" w:rsidR="003F63CC" w:rsidRDefault="003F63CC" w:rsidP="003F63CC"/>
    <w:p w14:paraId="065A136B" w14:textId="407FFFA4" w:rsidR="0080575F" w:rsidRDefault="003F63CC" w:rsidP="00336FB7">
      <w:pPr>
        <w:spacing w:line="480" w:lineRule="auto"/>
        <w:rPr>
          <w:rFonts w:ascii="Arial" w:hAnsi="Arial" w:cs="Arial"/>
          <w:sz w:val="22"/>
          <w:szCs w:val="22"/>
        </w:rPr>
      </w:pPr>
      <w:r w:rsidRPr="003F63CC">
        <w:rPr>
          <w:rFonts w:ascii="Arial" w:hAnsi="Arial" w:cs="Arial"/>
          <w:sz w:val="22"/>
          <w:szCs w:val="22"/>
        </w:rPr>
        <w:t>594 patients</w:t>
      </w:r>
      <w:r w:rsidR="005152A6">
        <w:rPr>
          <w:rFonts w:ascii="Arial" w:hAnsi="Arial" w:cs="Arial"/>
          <w:sz w:val="22"/>
          <w:szCs w:val="22"/>
        </w:rPr>
        <w:t xml:space="preserve"> were</w:t>
      </w:r>
      <w:r w:rsidRPr="003F63CC">
        <w:rPr>
          <w:rFonts w:ascii="Arial" w:hAnsi="Arial" w:cs="Arial"/>
          <w:sz w:val="22"/>
          <w:szCs w:val="22"/>
        </w:rPr>
        <w:t xml:space="preserve"> included in the model</w:t>
      </w:r>
      <w:r w:rsidR="005152A6">
        <w:rPr>
          <w:rFonts w:ascii="Arial" w:hAnsi="Arial" w:cs="Arial"/>
          <w:sz w:val="22"/>
          <w:szCs w:val="22"/>
        </w:rPr>
        <w:t>, 6 patients had missing data. 53.3% were younger than the median age (</w:t>
      </w:r>
      <w:r w:rsidR="00281625">
        <w:rPr>
          <w:rFonts w:ascii="Arial" w:hAnsi="Arial" w:cs="Arial"/>
          <w:sz w:val="22"/>
          <w:szCs w:val="22"/>
        </w:rPr>
        <w:t>33</w:t>
      </w:r>
      <w:r w:rsidR="005152A6">
        <w:rPr>
          <w:rFonts w:ascii="Arial" w:hAnsi="Arial" w:cs="Arial"/>
          <w:sz w:val="22"/>
          <w:szCs w:val="22"/>
        </w:rPr>
        <w:t xml:space="preserve"> years) and 46.7% were equal to or older than the median age</w:t>
      </w:r>
      <w:r w:rsidR="00F42072">
        <w:rPr>
          <w:rFonts w:ascii="Arial" w:hAnsi="Arial" w:cs="Arial"/>
          <w:sz w:val="22"/>
          <w:szCs w:val="22"/>
        </w:rPr>
        <w:t xml:space="preserve"> </w:t>
      </w:r>
      <w:r w:rsidR="00F42072" w:rsidRPr="00CF1079">
        <w:rPr>
          <w:rFonts w:ascii="Arial" w:hAnsi="Arial" w:cs="Arial"/>
          <w:sz w:val="22"/>
          <w:szCs w:val="22"/>
        </w:rPr>
        <w:t>(median</w:t>
      </w:r>
      <w:r w:rsidR="00CD6C9D" w:rsidRPr="00CF1079">
        <w:rPr>
          <w:rFonts w:ascii="Arial" w:hAnsi="Arial" w:cs="Arial"/>
          <w:sz w:val="22"/>
          <w:szCs w:val="22"/>
        </w:rPr>
        <w:t xml:space="preserve"> =33, mean = 35</w:t>
      </w:r>
      <w:r w:rsidR="00D05ED7" w:rsidRPr="00CF1079">
        <w:rPr>
          <w:rFonts w:ascii="Arial" w:hAnsi="Arial" w:cs="Arial"/>
          <w:sz w:val="22"/>
          <w:szCs w:val="22"/>
        </w:rPr>
        <w:t>.08</w:t>
      </w:r>
      <w:r w:rsidR="00FB2EC9" w:rsidRPr="00CF1079">
        <w:rPr>
          <w:rFonts w:ascii="Arial" w:hAnsi="Arial" w:cs="Arial"/>
          <w:sz w:val="22"/>
          <w:szCs w:val="22"/>
        </w:rPr>
        <w:t>, standard deviation 11.92)</w:t>
      </w:r>
      <w:r w:rsidR="005152A6" w:rsidRPr="00CF1079">
        <w:rPr>
          <w:rFonts w:ascii="Arial" w:hAnsi="Arial" w:cs="Arial"/>
          <w:sz w:val="22"/>
          <w:szCs w:val="22"/>
        </w:rPr>
        <w:t>.</w:t>
      </w:r>
      <w:r w:rsidR="005152A6">
        <w:rPr>
          <w:rFonts w:ascii="Arial" w:hAnsi="Arial" w:cs="Arial"/>
          <w:sz w:val="22"/>
          <w:szCs w:val="22"/>
        </w:rPr>
        <w:t xml:space="preserve"> 73.8% were female and 26.2% were male. 54.% scored above the median for severity, at the start of treatment, o</w:t>
      </w:r>
      <w:r w:rsidR="00FB2EC9">
        <w:rPr>
          <w:rFonts w:ascii="Arial" w:hAnsi="Arial" w:cs="Arial"/>
          <w:sz w:val="22"/>
          <w:szCs w:val="22"/>
        </w:rPr>
        <w:t>n</w:t>
      </w:r>
      <w:r w:rsidR="005152A6">
        <w:rPr>
          <w:rFonts w:ascii="Arial" w:hAnsi="Arial" w:cs="Arial"/>
          <w:sz w:val="22"/>
          <w:szCs w:val="22"/>
        </w:rPr>
        <w:t xml:space="preserve"> the PHQ-9</w:t>
      </w:r>
      <w:r w:rsidR="00AC5339">
        <w:rPr>
          <w:rFonts w:ascii="Arial" w:hAnsi="Arial" w:cs="Arial"/>
          <w:sz w:val="22"/>
          <w:szCs w:val="22"/>
        </w:rPr>
        <w:t xml:space="preserve"> </w:t>
      </w:r>
      <w:r w:rsidR="00AC5339" w:rsidRPr="00CF1079">
        <w:rPr>
          <w:rFonts w:ascii="Arial" w:hAnsi="Arial" w:cs="Arial"/>
          <w:sz w:val="22"/>
          <w:szCs w:val="22"/>
        </w:rPr>
        <w:t xml:space="preserve">(median = 13.0, mean = 13.41, standard deviation = </w:t>
      </w:r>
      <w:r w:rsidR="003F5394" w:rsidRPr="00CF1079">
        <w:rPr>
          <w:rFonts w:ascii="Arial" w:hAnsi="Arial" w:cs="Arial"/>
          <w:sz w:val="22"/>
          <w:szCs w:val="22"/>
        </w:rPr>
        <w:t>6.18)</w:t>
      </w:r>
      <w:r w:rsidR="005152A6">
        <w:rPr>
          <w:rFonts w:ascii="Arial" w:hAnsi="Arial" w:cs="Arial"/>
          <w:sz w:val="22"/>
          <w:szCs w:val="22"/>
        </w:rPr>
        <w:t xml:space="preserve"> and 55.9% scored above the </w:t>
      </w:r>
      <w:r w:rsidR="005152A6">
        <w:rPr>
          <w:rFonts w:ascii="Arial" w:hAnsi="Arial" w:cs="Arial"/>
          <w:sz w:val="22"/>
          <w:szCs w:val="22"/>
        </w:rPr>
        <w:lastRenderedPageBreak/>
        <w:t>median for severity, at the start of treatment on the GAD-7</w:t>
      </w:r>
      <w:r w:rsidR="003F5394">
        <w:rPr>
          <w:rFonts w:ascii="Arial" w:hAnsi="Arial" w:cs="Arial"/>
          <w:sz w:val="22"/>
          <w:szCs w:val="22"/>
        </w:rPr>
        <w:t xml:space="preserve"> </w:t>
      </w:r>
      <w:r w:rsidR="003F5394" w:rsidRPr="00CF1079">
        <w:rPr>
          <w:rFonts w:ascii="Arial" w:hAnsi="Arial" w:cs="Arial"/>
          <w:sz w:val="22"/>
          <w:szCs w:val="22"/>
        </w:rPr>
        <w:t xml:space="preserve">(median = 13.0, mean = </w:t>
      </w:r>
      <w:r w:rsidR="003B460F" w:rsidRPr="00CF1079">
        <w:rPr>
          <w:rFonts w:ascii="Arial" w:hAnsi="Arial" w:cs="Arial"/>
          <w:sz w:val="22"/>
          <w:szCs w:val="22"/>
        </w:rPr>
        <w:t>12.82, standard deviation = 5.15)</w:t>
      </w:r>
      <w:r w:rsidR="005152A6" w:rsidRPr="00CF1079">
        <w:rPr>
          <w:rFonts w:ascii="Arial" w:hAnsi="Arial" w:cs="Arial"/>
          <w:sz w:val="22"/>
          <w:szCs w:val="22"/>
        </w:rPr>
        <w:t>.</w:t>
      </w:r>
      <w:r w:rsidR="005152A6">
        <w:rPr>
          <w:rFonts w:ascii="Arial" w:hAnsi="Arial" w:cs="Arial"/>
          <w:sz w:val="22"/>
          <w:szCs w:val="22"/>
        </w:rPr>
        <w:t xml:space="preserve"> 75.9% reliably improved and 54.9% recovered. Table 5.</w:t>
      </w:r>
      <w:r w:rsidR="00DE1F87">
        <w:rPr>
          <w:rFonts w:ascii="Arial" w:hAnsi="Arial" w:cs="Arial"/>
          <w:sz w:val="22"/>
          <w:szCs w:val="22"/>
        </w:rPr>
        <w:t xml:space="preserve">10 </w:t>
      </w:r>
      <w:r w:rsidR="005152A6">
        <w:rPr>
          <w:rFonts w:ascii="Arial" w:hAnsi="Arial" w:cs="Arial"/>
          <w:sz w:val="22"/>
          <w:szCs w:val="22"/>
        </w:rPr>
        <w:t>shows the frequencies for each variable in the model.</w:t>
      </w:r>
      <w:r w:rsidR="00AA226F">
        <w:rPr>
          <w:rFonts w:ascii="Arial" w:hAnsi="Arial" w:cs="Arial"/>
          <w:sz w:val="22"/>
          <w:szCs w:val="22"/>
        </w:rPr>
        <w:t xml:space="preserve"> </w:t>
      </w:r>
    </w:p>
    <w:p w14:paraId="2F9FEEAE" w14:textId="4B101AF3" w:rsidR="0080575F" w:rsidRDefault="0080575F" w:rsidP="003F63CC">
      <w:pPr>
        <w:rPr>
          <w:rFonts w:ascii="Arial" w:hAnsi="Arial" w:cs="Arial"/>
          <w:sz w:val="22"/>
          <w:szCs w:val="22"/>
        </w:rPr>
      </w:pPr>
    </w:p>
    <w:p w14:paraId="113A69AE" w14:textId="08F4FFD9" w:rsidR="0080575F" w:rsidRDefault="0080575F" w:rsidP="003F63CC">
      <w:pPr>
        <w:rPr>
          <w:rFonts w:ascii="Arial" w:hAnsi="Arial" w:cs="Arial"/>
          <w:sz w:val="22"/>
          <w:szCs w:val="22"/>
        </w:rPr>
      </w:pPr>
    </w:p>
    <w:p w14:paraId="3D45DCF4" w14:textId="4289F886" w:rsidR="00336FB7" w:rsidRDefault="00336FB7" w:rsidP="00336FB7">
      <w:pPr>
        <w:pStyle w:val="Tables"/>
        <w:rPr>
          <w:b w:val="0"/>
        </w:rPr>
      </w:pPr>
      <w:bookmarkStart w:id="391" w:name="_Toc28347789"/>
      <w:bookmarkStart w:id="392" w:name="_Toc46770990"/>
      <w:r w:rsidRPr="00E6063B">
        <w:t xml:space="preserve">Table 5.10 </w:t>
      </w:r>
      <w:r w:rsidRPr="00336FB7">
        <w:rPr>
          <w:b w:val="0"/>
        </w:rPr>
        <w:t>Frequency table for patient and therapist variables</w:t>
      </w:r>
      <w:bookmarkEnd w:id="391"/>
      <w:r w:rsidR="0094670C">
        <w:rPr>
          <w:b w:val="0"/>
        </w:rPr>
        <w:t xml:space="preserve"> </w:t>
      </w:r>
      <w:r w:rsidR="0094670C" w:rsidRPr="00CF1079">
        <w:rPr>
          <w:b w:val="0"/>
        </w:rPr>
        <w:t>showing median, mean and standard deviation</w:t>
      </w:r>
      <w:r w:rsidR="0043449C" w:rsidRPr="00CF1079">
        <w:rPr>
          <w:b w:val="0"/>
        </w:rPr>
        <w:t xml:space="preserve"> for patient age and severity (PHQ-9 and GAD-7)</w:t>
      </w:r>
      <w:bookmarkEnd w:id="392"/>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04"/>
        <w:gridCol w:w="1874"/>
        <w:gridCol w:w="1243"/>
        <w:gridCol w:w="1070"/>
        <w:gridCol w:w="943"/>
        <w:gridCol w:w="943"/>
        <w:gridCol w:w="943"/>
      </w:tblGrid>
      <w:tr w:rsidR="006F78D5" w14:paraId="69EC017C" w14:textId="77777777" w:rsidTr="000D7DDA">
        <w:tc>
          <w:tcPr>
            <w:tcW w:w="2004" w:type="dxa"/>
            <w:tcBorders>
              <w:top w:val="single" w:sz="4" w:space="0" w:color="auto"/>
              <w:bottom w:val="single" w:sz="4" w:space="0" w:color="auto"/>
            </w:tcBorders>
          </w:tcPr>
          <w:p w14:paraId="26FEC664" w14:textId="77777777" w:rsidR="006F78D5" w:rsidRPr="0080575F" w:rsidRDefault="006F78D5" w:rsidP="000D7DDA">
            <w:pPr>
              <w:rPr>
                <w:rFonts w:ascii="Arial" w:hAnsi="Arial" w:cs="Arial"/>
                <w:b/>
                <w:bCs/>
                <w:sz w:val="22"/>
                <w:szCs w:val="22"/>
              </w:rPr>
            </w:pPr>
            <w:r w:rsidRPr="0080575F">
              <w:rPr>
                <w:rFonts w:ascii="Arial" w:hAnsi="Arial" w:cs="Arial"/>
                <w:b/>
                <w:bCs/>
                <w:sz w:val="22"/>
                <w:szCs w:val="22"/>
              </w:rPr>
              <w:t>Patient variables</w:t>
            </w:r>
          </w:p>
        </w:tc>
        <w:tc>
          <w:tcPr>
            <w:tcW w:w="1874" w:type="dxa"/>
            <w:tcBorders>
              <w:top w:val="single" w:sz="4" w:space="0" w:color="auto"/>
              <w:bottom w:val="single" w:sz="4" w:space="0" w:color="auto"/>
            </w:tcBorders>
          </w:tcPr>
          <w:p w14:paraId="170DC4A8" w14:textId="77777777" w:rsidR="006F78D5" w:rsidRPr="0080575F" w:rsidRDefault="006F78D5" w:rsidP="000D7DDA">
            <w:pPr>
              <w:rPr>
                <w:rFonts w:ascii="Arial" w:hAnsi="Arial" w:cs="Arial"/>
                <w:sz w:val="22"/>
                <w:szCs w:val="22"/>
              </w:rPr>
            </w:pPr>
            <w:r w:rsidRPr="0080575F">
              <w:rPr>
                <w:rFonts w:ascii="Arial" w:hAnsi="Arial" w:cs="Arial"/>
                <w:sz w:val="22"/>
                <w:szCs w:val="22"/>
              </w:rPr>
              <w:t>Percentage %</w:t>
            </w:r>
          </w:p>
        </w:tc>
        <w:tc>
          <w:tcPr>
            <w:tcW w:w="1243" w:type="dxa"/>
            <w:tcBorders>
              <w:top w:val="single" w:sz="4" w:space="0" w:color="auto"/>
              <w:bottom w:val="single" w:sz="4" w:space="0" w:color="auto"/>
            </w:tcBorders>
          </w:tcPr>
          <w:p w14:paraId="063E2675" w14:textId="77777777" w:rsidR="006F78D5" w:rsidRPr="0080575F" w:rsidRDefault="006F78D5" w:rsidP="000D7DDA">
            <w:pPr>
              <w:rPr>
                <w:rFonts w:ascii="Arial" w:hAnsi="Arial" w:cs="Arial"/>
                <w:sz w:val="22"/>
                <w:szCs w:val="22"/>
              </w:rPr>
            </w:pPr>
            <w:r>
              <w:rPr>
                <w:rFonts w:ascii="Arial" w:hAnsi="Arial" w:cs="Arial"/>
                <w:sz w:val="22"/>
                <w:szCs w:val="22"/>
              </w:rPr>
              <w:t>Median</w:t>
            </w:r>
          </w:p>
        </w:tc>
        <w:tc>
          <w:tcPr>
            <w:tcW w:w="1070" w:type="dxa"/>
            <w:tcBorders>
              <w:top w:val="single" w:sz="4" w:space="0" w:color="auto"/>
              <w:bottom w:val="single" w:sz="4" w:space="0" w:color="auto"/>
            </w:tcBorders>
          </w:tcPr>
          <w:p w14:paraId="195601ED" w14:textId="77777777" w:rsidR="006F78D5" w:rsidRPr="0080575F" w:rsidRDefault="006F78D5" w:rsidP="000D7DDA">
            <w:pPr>
              <w:rPr>
                <w:rFonts w:ascii="Arial" w:hAnsi="Arial" w:cs="Arial"/>
                <w:sz w:val="22"/>
                <w:szCs w:val="22"/>
              </w:rPr>
            </w:pPr>
            <w:r>
              <w:rPr>
                <w:rFonts w:ascii="Arial" w:hAnsi="Arial" w:cs="Arial"/>
                <w:sz w:val="22"/>
                <w:szCs w:val="22"/>
              </w:rPr>
              <w:t>Mean</w:t>
            </w:r>
          </w:p>
        </w:tc>
        <w:tc>
          <w:tcPr>
            <w:tcW w:w="943" w:type="dxa"/>
            <w:tcBorders>
              <w:top w:val="single" w:sz="4" w:space="0" w:color="auto"/>
              <w:bottom w:val="single" w:sz="4" w:space="0" w:color="auto"/>
            </w:tcBorders>
          </w:tcPr>
          <w:p w14:paraId="1394B1C3" w14:textId="77777777" w:rsidR="006F78D5" w:rsidRPr="0080575F" w:rsidRDefault="006F78D5" w:rsidP="000D7DDA">
            <w:pPr>
              <w:rPr>
                <w:rFonts w:ascii="Arial" w:hAnsi="Arial" w:cs="Arial"/>
                <w:sz w:val="22"/>
                <w:szCs w:val="22"/>
              </w:rPr>
            </w:pPr>
            <w:r>
              <w:rPr>
                <w:rFonts w:ascii="Arial" w:hAnsi="Arial" w:cs="Arial"/>
                <w:sz w:val="22"/>
                <w:szCs w:val="22"/>
              </w:rPr>
              <w:t>SD</w:t>
            </w:r>
          </w:p>
        </w:tc>
        <w:tc>
          <w:tcPr>
            <w:tcW w:w="943" w:type="dxa"/>
            <w:tcBorders>
              <w:top w:val="single" w:sz="4" w:space="0" w:color="auto"/>
              <w:bottom w:val="single" w:sz="4" w:space="0" w:color="auto"/>
            </w:tcBorders>
          </w:tcPr>
          <w:p w14:paraId="4A743AB4" w14:textId="77777777" w:rsidR="006F78D5" w:rsidRPr="0080575F" w:rsidRDefault="006F78D5" w:rsidP="000D7DDA">
            <w:pPr>
              <w:rPr>
                <w:rFonts w:ascii="Arial" w:hAnsi="Arial" w:cs="Arial"/>
                <w:sz w:val="22"/>
                <w:szCs w:val="22"/>
              </w:rPr>
            </w:pPr>
          </w:p>
        </w:tc>
        <w:tc>
          <w:tcPr>
            <w:tcW w:w="943" w:type="dxa"/>
            <w:tcBorders>
              <w:top w:val="single" w:sz="4" w:space="0" w:color="auto"/>
              <w:bottom w:val="single" w:sz="4" w:space="0" w:color="auto"/>
            </w:tcBorders>
          </w:tcPr>
          <w:p w14:paraId="67FCD7B4" w14:textId="77777777" w:rsidR="006F78D5" w:rsidRPr="0080575F" w:rsidRDefault="006F78D5" w:rsidP="000D7DDA">
            <w:pPr>
              <w:rPr>
                <w:rFonts w:ascii="Arial" w:hAnsi="Arial" w:cs="Arial"/>
                <w:sz w:val="22"/>
                <w:szCs w:val="22"/>
              </w:rPr>
            </w:pPr>
          </w:p>
        </w:tc>
      </w:tr>
      <w:tr w:rsidR="006F78D5" w14:paraId="09331193" w14:textId="77777777" w:rsidTr="000D7DDA">
        <w:tc>
          <w:tcPr>
            <w:tcW w:w="2004" w:type="dxa"/>
            <w:tcBorders>
              <w:top w:val="single" w:sz="4" w:space="0" w:color="auto"/>
            </w:tcBorders>
          </w:tcPr>
          <w:p w14:paraId="1E01DDDF" w14:textId="77777777" w:rsidR="006F78D5" w:rsidRPr="0080575F" w:rsidRDefault="006F78D5" w:rsidP="000D7DDA">
            <w:pPr>
              <w:rPr>
                <w:rFonts w:ascii="Arial" w:hAnsi="Arial" w:cs="Arial"/>
                <w:sz w:val="22"/>
                <w:szCs w:val="22"/>
              </w:rPr>
            </w:pPr>
            <w:r w:rsidRPr="0080575F">
              <w:rPr>
                <w:rFonts w:ascii="Arial" w:hAnsi="Arial" w:cs="Arial"/>
                <w:sz w:val="22"/>
                <w:szCs w:val="22"/>
              </w:rPr>
              <w:t>Age: Younger</w:t>
            </w:r>
          </w:p>
        </w:tc>
        <w:tc>
          <w:tcPr>
            <w:tcW w:w="1874" w:type="dxa"/>
            <w:tcBorders>
              <w:top w:val="single" w:sz="4" w:space="0" w:color="auto"/>
            </w:tcBorders>
          </w:tcPr>
          <w:p w14:paraId="48A97619" w14:textId="77777777" w:rsidR="006F78D5" w:rsidRPr="0080575F" w:rsidRDefault="006F78D5" w:rsidP="000D7DDA">
            <w:pPr>
              <w:rPr>
                <w:rFonts w:ascii="Arial" w:hAnsi="Arial" w:cs="Arial"/>
                <w:sz w:val="22"/>
                <w:szCs w:val="22"/>
              </w:rPr>
            </w:pPr>
            <w:r w:rsidRPr="0080575F">
              <w:rPr>
                <w:rFonts w:ascii="Arial" w:hAnsi="Arial" w:cs="Arial"/>
                <w:sz w:val="22"/>
                <w:szCs w:val="22"/>
              </w:rPr>
              <w:t>53.3</w:t>
            </w:r>
          </w:p>
        </w:tc>
        <w:tc>
          <w:tcPr>
            <w:tcW w:w="1243" w:type="dxa"/>
            <w:tcBorders>
              <w:top w:val="single" w:sz="4" w:space="0" w:color="auto"/>
            </w:tcBorders>
          </w:tcPr>
          <w:p w14:paraId="28247EDD" w14:textId="77777777" w:rsidR="006F78D5" w:rsidRPr="0080575F" w:rsidRDefault="006F78D5" w:rsidP="000D7DDA">
            <w:pPr>
              <w:rPr>
                <w:rFonts w:ascii="Arial" w:hAnsi="Arial" w:cs="Arial"/>
                <w:sz w:val="22"/>
                <w:szCs w:val="22"/>
              </w:rPr>
            </w:pPr>
            <w:r>
              <w:rPr>
                <w:rFonts w:ascii="Arial" w:hAnsi="Arial" w:cs="Arial"/>
                <w:sz w:val="22"/>
                <w:szCs w:val="22"/>
              </w:rPr>
              <w:t>33</w:t>
            </w:r>
          </w:p>
        </w:tc>
        <w:tc>
          <w:tcPr>
            <w:tcW w:w="1070" w:type="dxa"/>
            <w:tcBorders>
              <w:top w:val="single" w:sz="4" w:space="0" w:color="auto"/>
            </w:tcBorders>
          </w:tcPr>
          <w:p w14:paraId="1B23BFB3" w14:textId="77777777" w:rsidR="006F78D5" w:rsidRPr="0080575F" w:rsidRDefault="006F78D5" w:rsidP="000D7DDA">
            <w:pPr>
              <w:rPr>
                <w:rFonts w:ascii="Arial" w:hAnsi="Arial" w:cs="Arial"/>
                <w:sz w:val="22"/>
                <w:szCs w:val="22"/>
              </w:rPr>
            </w:pPr>
            <w:r>
              <w:rPr>
                <w:rFonts w:ascii="Arial" w:hAnsi="Arial" w:cs="Arial"/>
                <w:sz w:val="22"/>
                <w:szCs w:val="22"/>
              </w:rPr>
              <w:t>35.08</w:t>
            </w:r>
          </w:p>
        </w:tc>
        <w:tc>
          <w:tcPr>
            <w:tcW w:w="943" w:type="dxa"/>
            <w:tcBorders>
              <w:top w:val="single" w:sz="4" w:space="0" w:color="auto"/>
            </w:tcBorders>
          </w:tcPr>
          <w:p w14:paraId="457E0095" w14:textId="77777777" w:rsidR="006F78D5" w:rsidRPr="0080575F" w:rsidRDefault="006F78D5" w:rsidP="000D7DDA">
            <w:pPr>
              <w:rPr>
                <w:rFonts w:ascii="Arial" w:hAnsi="Arial" w:cs="Arial"/>
                <w:sz w:val="22"/>
                <w:szCs w:val="22"/>
              </w:rPr>
            </w:pPr>
            <w:r>
              <w:rPr>
                <w:rFonts w:ascii="Arial" w:hAnsi="Arial" w:cs="Arial"/>
                <w:sz w:val="22"/>
                <w:szCs w:val="22"/>
              </w:rPr>
              <w:t>11.92</w:t>
            </w:r>
          </w:p>
        </w:tc>
        <w:tc>
          <w:tcPr>
            <w:tcW w:w="943" w:type="dxa"/>
            <w:tcBorders>
              <w:top w:val="single" w:sz="4" w:space="0" w:color="auto"/>
            </w:tcBorders>
          </w:tcPr>
          <w:p w14:paraId="0DE923B5" w14:textId="77777777" w:rsidR="006F78D5" w:rsidRPr="0080575F" w:rsidRDefault="006F78D5" w:rsidP="000D7DDA">
            <w:pPr>
              <w:rPr>
                <w:rFonts w:ascii="Arial" w:hAnsi="Arial" w:cs="Arial"/>
                <w:sz w:val="22"/>
                <w:szCs w:val="22"/>
              </w:rPr>
            </w:pPr>
          </w:p>
        </w:tc>
        <w:tc>
          <w:tcPr>
            <w:tcW w:w="943" w:type="dxa"/>
            <w:tcBorders>
              <w:top w:val="single" w:sz="4" w:space="0" w:color="auto"/>
            </w:tcBorders>
          </w:tcPr>
          <w:p w14:paraId="440B867C" w14:textId="77777777" w:rsidR="006F78D5" w:rsidRPr="0080575F" w:rsidRDefault="006F78D5" w:rsidP="000D7DDA">
            <w:pPr>
              <w:rPr>
                <w:rFonts w:ascii="Arial" w:hAnsi="Arial" w:cs="Arial"/>
                <w:sz w:val="22"/>
                <w:szCs w:val="22"/>
              </w:rPr>
            </w:pPr>
          </w:p>
        </w:tc>
      </w:tr>
      <w:tr w:rsidR="006F78D5" w14:paraId="00B4AB76" w14:textId="77777777" w:rsidTr="000D7DDA">
        <w:tc>
          <w:tcPr>
            <w:tcW w:w="2004" w:type="dxa"/>
          </w:tcPr>
          <w:p w14:paraId="0735F5AB" w14:textId="77777777" w:rsidR="006F78D5" w:rsidRPr="0080575F" w:rsidRDefault="006F78D5" w:rsidP="000D7DDA">
            <w:pPr>
              <w:rPr>
                <w:rFonts w:ascii="Arial" w:hAnsi="Arial" w:cs="Arial"/>
                <w:sz w:val="22"/>
                <w:szCs w:val="22"/>
              </w:rPr>
            </w:pPr>
            <w:r w:rsidRPr="0080575F">
              <w:rPr>
                <w:rFonts w:ascii="Arial" w:hAnsi="Arial" w:cs="Arial"/>
                <w:sz w:val="22"/>
                <w:szCs w:val="22"/>
              </w:rPr>
              <w:t>Age: Older</w:t>
            </w:r>
          </w:p>
        </w:tc>
        <w:tc>
          <w:tcPr>
            <w:tcW w:w="1874" w:type="dxa"/>
          </w:tcPr>
          <w:p w14:paraId="3C1E5C9D" w14:textId="77777777" w:rsidR="006F78D5" w:rsidRPr="0080575F" w:rsidRDefault="006F78D5" w:rsidP="000D7DDA">
            <w:pPr>
              <w:rPr>
                <w:rFonts w:ascii="Arial" w:hAnsi="Arial" w:cs="Arial"/>
                <w:sz w:val="22"/>
                <w:szCs w:val="22"/>
              </w:rPr>
            </w:pPr>
            <w:r w:rsidRPr="0080575F">
              <w:rPr>
                <w:rFonts w:ascii="Arial" w:hAnsi="Arial" w:cs="Arial"/>
                <w:sz w:val="22"/>
                <w:szCs w:val="22"/>
              </w:rPr>
              <w:t>46.7</w:t>
            </w:r>
          </w:p>
        </w:tc>
        <w:tc>
          <w:tcPr>
            <w:tcW w:w="1243" w:type="dxa"/>
          </w:tcPr>
          <w:p w14:paraId="73D3D56A" w14:textId="77777777" w:rsidR="006F78D5" w:rsidRPr="0080575F" w:rsidRDefault="006F78D5" w:rsidP="000D7DDA">
            <w:pPr>
              <w:rPr>
                <w:rFonts w:ascii="Arial" w:hAnsi="Arial" w:cs="Arial"/>
                <w:sz w:val="22"/>
                <w:szCs w:val="22"/>
              </w:rPr>
            </w:pPr>
          </w:p>
        </w:tc>
        <w:tc>
          <w:tcPr>
            <w:tcW w:w="1070" w:type="dxa"/>
          </w:tcPr>
          <w:p w14:paraId="20AF304E" w14:textId="77777777" w:rsidR="006F78D5" w:rsidRPr="0080575F" w:rsidRDefault="006F78D5" w:rsidP="000D7DDA">
            <w:pPr>
              <w:rPr>
                <w:rFonts w:ascii="Arial" w:hAnsi="Arial" w:cs="Arial"/>
                <w:sz w:val="22"/>
                <w:szCs w:val="22"/>
              </w:rPr>
            </w:pPr>
          </w:p>
        </w:tc>
        <w:tc>
          <w:tcPr>
            <w:tcW w:w="943" w:type="dxa"/>
          </w:tcPr>
          <w:p w14:paraId="7BDCF048" w14:textId="77777777" w:rsidR="006F78D5" w:rsidRPr="0080575F" w:rsidRDefault="006F78D5" w:rsidP="000D7DDA">
            <w:pPr>
              <w:rPr>
                <w:rFonts w:ascii="Arial" w:hAnsi="Arial" w:cs="Arial"/>
                <w:sz w:val="22"/>
                <w:szCs w:val="22"/>
              </w:rPr>
            </w:pPr>
          </w:p>
        </w:tc>
        <w:tc>
          <w:tcPr>
            <w:tcW w:w="943" w:type="dxa"/>
          </w:tcPr>
          <w:p w14:paraId="65FAF317" w14:textId="77777777" w:rsidR="006F78D5" w:rsidRPr="0080575F" w:rsidRDefault="006F78D5" w:rsidP="000D7DDA">
            <w:pPr>
              <w:rPr>
                <w:rFonts w:ascii="Arial" w:hAnsi="Arial" w:cs="Arial"/>
                <w:sz w:val="22"/>
                <w:szCs w:val="22"/>
              </w:rPr>
            </w:pPr>
          </w:p>
        </w:tc>
        <w:tc>
          <w:tcPr>
            <w:tcW w:w="943" w:type="dxa"/>
          </w:tcPr>
          <w:p w14:paraId="674C99C9" w14:textId="77777777" w:rsidR="006F78D5" w:rsidRPr="0080575F" w:rsidRDefault="006F78D5" w:rsidP="000D7DDA">
            <w:pPr>
              <w:rPr>
                <w:rFonts w:ascii="Arial" w:hAnsi="Arial" w:cs="Arial"/>
                <w:sz w:val="22"/>
                <w:szCs w:val="22"/>
              </w:rPr>
            </w:pPr>
          </w:p>
        </w:tc>
      </w:tr>
      <w:tr w:rsidR="006F78D5" w14:paraId="375E8F1E" w14:textId="77777777" w:rsidTr="000D7DDA">
        <w:tc>
          <w:tcPr>
            <w:tcW w:w="2004" w:type="dxa"/>
          </w:tcPr>
          <w:p w14:paraId="2E226F83" w14:textId="77777777" w:rsidR="006F78D5" w:rsidRPr="0080575F" w:rsidRDefault="006F78D5" w:rsidP="000D7DDA">
            <w:pPr>
              <w:rPr>
                <w:rFonts w:ascii="Arial" w:hAnsi="Arial" w:cs="Arial"/>
                <w:sz w:val="22"/>
                <w:szCs w:val="22"/>
              </w:rPr>
            </w:pPr>
            <w:r w:rsidRPr="0080575F">
              <w:rPr>
                <w:rFonts w:ascii="Arial" w:hAnsi="Arial" w:cs="Arial"/>
                <w:sz w:val="22"/>
                <w:szCs w:val="22"/>
              </w:rPr>
              <w:t>Gender: Male</w:t>
            </w:r>
          </w:p>
        </w:tc>
        <w:tc>
          <w:tcPr>
            <w:tcW w:w="1874" w:type="dxa"/>
          </w:tcPr>
          <w:p w14:paraId="7A1CBD6B" w14:textId="77777777" w:rsidR="006F78D5" w:rsidRPr="0080575F" w:rsidRDefault="006F78D5" w:rsidP="000D7DDA">
            <w:pPr>
              <w:rPr>
                <w:rFonts w:ascii="Arial" w:hAnsi="Arial" w:cs="Arial"/>
                <w:sz w:val="22"/>
                <w:szCs w:val="22"/>
              </w:rPr>
            </w:pPr>
            <w:r w:rsidRPr="0080575F">
              <w:rPr>
                <w:rFonts w:ascii="Arial" w:hAnsi="Arial" w:cs="Arial"/>
                <w:sz w:val="22"/>
                <w:szCs w:val="22"/>
              </w:rPr>
              <w:t>26.2</w:t>
            </w:r>
          </w:p>
        </w:tc>
        <w:tc>
          <w:tcPr>
            <w:tcW w:w="1243" w:type="dxa"/>
          </w:tcPr>
          <w:p w14:paraId="3B9BAC7E" w14:textId="77777777" w:rsidR="006F78D5" w:rsidRPr="0080575F" w:rsidRDefault="006F78D5" w:rsidP="000D7DDA">
            <w:pPr>
              <w:rPr>
                <w:rFonts w:ascii="Arial" w:hAnsi="Arial" w:cs="Arial"/>
                <w:sz w:val="22"/>
                <w:szCs w:val="22"/>
              </w:rPr>
            </w:pPr>
          </w:p>
        </w:tc>
        <w:tc>
          <w:tcPr>
            <w:tcW w:w="1070" w:type="dxa"/>
          </w:tcPr>
          <w:p w14:paraId="5E352E52" w14:textId="77777777" w:rsidR="006F78D5" w:rsidRPr="0080575F" w:rsidRDefault="006F78D5" w:rsidP="000D7DDA">
            <w:pPr>
              <w:rPr>
                <w:rFonts w:ascii="Arial" w:hAnsi="Arial" w:cs="Arial"/>
                <w:sz w:val="22"/>
                <w:szCs w:val="22"/>
              </w:rPr>
            </w:pPr>
          </w:p>
        </w:tc>
        <w:tc>
          <w:tcPr>
            <w:tcW w:w="943" w:type="dxa"/>
          </w:tcPr>
          <w:p w14:paraId="393EE3BF" w14:textId="77777777" w:rsidR="006F78D5" w:rsidRPr="0080575F" w:rsidRDefault="006F78D5" w:rsidP="000D7DDA">
            <w:pPr>
              <w:rPr>
                <w:rFonts w:ascii="Arial" w:hAnsi="Arial" w:cs="Arial"/>
                <w:sz w:val="22"/>
                <w:szCs w:val="22"/>
              </w:rPr>
            </w:pPr>
          </w:p>
        </w:tc>
        <w:tc>
          <w:tcPr>
            <w:tcW w:w="943" w:type="dxa"/>
          </w:tcPr>
          <w:p w14:paraId="3CB3D5B4" w14:textId="77777777" w:rsidR="006F78D5" w:rsidRPr="0080575F" w:rsidRDefault="006F78D5" w:rsidP="000D7DDA">
            <w:pPr>
              <w:rPr>
                <w:rFonts w:ascii="Arial" w:hAnsi="Arial" w:cs="Arial"/>
                <w:sz w:val="22"/>
                <w:szCs w:val="22"/>
              </w:rPr>
            </w:pPr>
          </w:p>
        </w:tc>
        <w:tc>
          <w:tcPr>
            <w:tcW w:w="943" w:type="dxa"/>
          </w:tcPr>
          <w:p w14:paraId="5A1A2086" w14:textId="77777777" w:rsidR="006F78D5" w:rsidRPr="0080575F" w:rsidRDefault="006F78D5" w:rsidP="000D7DDA">
            <w:pPr>
              <w:rPr>
                <w:rFonts w:ascii="Arial" w:hAnsi="Arial" w:cs="Arial"/>
                <w:sz w:val="22"/>
                <w:szCs w:val="22"/>
              </w:rPr>
            </w:pPr>
          </w:p>
        </w:tc>
      </w:tr>
      <w:tr w:rsidR="006F78D5" w14:paraId="72E9AC52" w14:textId="77777777" w:rsidTr="000D7DDA">
        <w:tc>
          <w:tcPr>
            <w:tcW w:w="2004" w:type="dxa"/>
          </w:tcPr>
          <w:p w14:paraId="41A554F4" w14:textId="77777777" w:rsidR="006F78D5" w:rsidRPr="0080575F" w:rsidRDefault="006F78D5" w:rsidP="000D7DDA">
            <w:pPr>
              <w:rPr>
                <w:rFonts w:ascii="Arial" w:hAnsi="Arial" w:cs="Arial"/>
                <w:sz w:val="22"/>
                <w:szCs w:val="22"/>
              </w:rPr>
            </w:pPr>
            <w:r w:rsidRPr="0080575F">
              <w:rPr>
                <w:rFonts w:ascii="Arial" w:hAnsi="Arial" w:cs="Arial"/>
                <w:sz w:val="22"/>
                <w:szCs w:val="22"/>
              </w:rPr>
              <w:t>Gender: Female</w:t>
            </w:r>
          </w:p>
        </w:tc>
        <w:tc>
          <w:tcPr>
            <w:tcW w:w="1874" w:type="dxa"/>
          </w:tcPr>
          <w:p w14:paraId="7EB8F36C" w14:textId="77777777" w:rsidR="006F78D5" w:rsidRPr="0080575F" w:rsidRDefault="006F78D5" w:rsidP="000D7DDA">
            <w:pPr>
              <w:rPr>
                <w:rFonts w:ascii="Arial" w:hAnsi="Arial" w:cs="Arial"/>
                <w:sz w:val="22"/>
                <w:szCs w:val="22"/>
              </w:rPr>
            </w:pPr>
            <w:r w:rsidRPr="0080575F">
              <w:rPr>
                <w:rFonts w:ascii="Arial" w:hAnsi="Arial" w:cs="Arial"/>
                <w:sz w:val="22"/>
                <w:szCs w:val="22"/>
              </w:rPr>
              <w:t>73.8</w:t>
            </w:r>
          </w:p>
        </w:tc>
        <w:tc>
          <w:tcPr>
            <w:tcW w:w="1243" w:type="dxa"/>
          </w:tcPr>
          <w:p w14:paraId="185F6DD3" w14:textId="77777777" w:rsidR="006F78D5" w:rsidRPr="0080575F" w:rsidRDefault="006F78D5" w:rsidP="000D7DDA">
            <w:pPr>
              <w:rPr>
                <w:rFonts w:ascii="Arial" w:hAnsi="Arial" w:cs="Arial"/>
                <w:sz w:val="22"/>
                <w:szCs w:val="22"/>
              </w:rPr>
            </w:pPr>
          </w:p>
        </w:tc>
        <w:tc>
          <w:tcPr>
            <w:tcW w:w="1070" w:type="dxa"/>
          </w:tcPr>
          <w:p w14:paraId="2004E73C" w14:textId="77777777" w:rsidR="006F78D5" w:rsidRPr="0080575F" w:rsidRDefault="006F78D5" w:rsidP="000D7DDA">
            <w:pPr>
              <w:rPr>
                <w:rFonts w:ascii="Arial" w:hAnsi="Arial" w:cs="Arial"/>
                <w:sz w:val="22"/>
                <w:szCs w:val="22"/>
              </w:rPr>
            </w:pPr>
          </w:p>
        </w:tc>
        <w:tc>
          <w:tcPr>
            <w:tcW w:w="943" w:type="dxa"/>
          </w:tcPr>
          <w:p w14:paraId="7727A962" w14:textId="77777777" w:rsidR="006F78D5" w:rsidRPr="0080575F" w:rsidRDefault="006F78D5" w:rsidP="000D7DDA">
            <w:pPr>
              <w:rPr>
                <w:rFonts w:ascii="Arial" w:hAnsi="Arial" w:cs="Arial"/>
                <w:sz w:val="22"/>
                <w:szCs w:val="22"/>
              </w:rPr>
            </w:pPr>
          </w:p>
        </w:tc>
        <w:tc>
          <w:tcPr>
            <w:tcW w:w="943" w:type="dxa"/>
          </w:tcPr>
          <w:p w14:paraId="479A0478" w14:textId="77777777" w:rsidR="006F78D5" w:rsidRPr="0080575F" w:rsidRDefault="006F78D5" w:rsidP="000D7DDA">
            <w:pPr>
              <w:rPr>
                <w:rFonts w:ascii="Arial" w:hAnsi="Arial" w:cs="Arial"/>
                <w:sz w:val="22"/>
                <w:szCs w:val="22"/>
              </w:rPr>
            </w:pPr>
          </w:p>
        </w:tc>
        <w:tc>
          <w:tcPr>
            <w:tcW w:w="943" w:type="dxa"/>
          </w:tcPr>
          <w:p w14:paraId="7AAA50C6" w14:textId="77777777" w:rsidR="006F78D5" w:rsidRPr="0080575F" w:rsidRDefault="006F78D5" w:rsidP="000D7DDA">
            <w:pPr>
              <w:rPr>
                <w:rFonts w:ascii="Arial" w:hAnsi="Arial" w:cs="Arial"/>
                <w:sz w:val="22"/>
                <w:szCs w:val="22"/>
              </w:rPr>
            </w:pPr>
          </w:p>
        </w:tc>
      </w:tr>
      <w:tr w:rsidR="006F78D5" w14:paraId="561C1E9E" w14:textId="77777777" w:rsidTr="000D7DDA">
        <w:tc>
          <w:tcPr>
            <w:tcW w:w="2004" w:type="dxa"/>
          </w:tcPr>
          <w:p w14:paraId="0984B151" w14:textId="77777777" w:rsidR="006F78D5" w:rsidRPr="0080575F" w:rsidRDefault="006F78D5" w:rsidP="000D7DDA">
            <w:pPr>
              <w:rPr>
                <w:rFonts w:ascii="Arial" w:hAnsi="Arial" w:cs="Arial"/>
                <w:sz w:val="22"/>
                <w:szCs w:val="22"/>
              </w:rPr>
            </w:pPr>
            <w:r w:rsidRPr="0080575F">
              <w:rPr>
                <w:rFonts w:ascii="Arial" w:hAnsi="Arial" w:cs="Arial"/>
                <w:sz w:val="22"/>
                <w:szCs w:val="22"/>
              </w:rPr>
              <w:t xml:space="preserve">Severity: PHQ-9 </w:t>
            </w:r>
            <w:r>
              <w:rPr>
                <w:rFonts w:ascii="Arial" w:hAnsi="Arial"/>
              </w:rPr>
              <w:t xml:space="preserve"> </w:t>
            </w:r>
            <w:r>
              <w:rPr>
                <w:rFonts w:ascii="Arial" w:hAnsi="Arial" w:cs="Arial"/>
              </w:rPr>
              <w:t>&lt;</w:t>
            </w:r>
            <m:oMath>
              <m:r>
                <w:rPr>
                  <w:rFonts w:ascii="Cambria Math" w:hAnsi="Cambria Math"/>
                </w:rPr>
                <m:t xml:space="preserve"> </m:t>
              </m:r>
            </m:oMath>
            <w:r w:rsidRPr="0080575F">
              <w:rPr>
                <w:rFonts w:ascii="Arial" w:hAnsi="Arial" w:cs="Arial"/>
                <w:sz w:val="22"/>
                <w:szCs w:val="22"/>
              </w:rPr>
              <w:t>median</w:t>
            </w:r>
          </w:p>
        </w:tc>
        <w:tc>
          <w:tcPr>
            <w:tcW w:w="1874" w:type="dxa"/>
          </w:tcPr>
          <w:p w14:paraId="429316B7" w14:textId="77777777" w:rsidR="006F78D5" w:rsidRPr="0080575F" w:rsidRDefault="006F78D5" w:rsidP="000D7DDA">
            <w:pPr>
              <w:rPr>
                <w:rFonts w:ascii="Arial" w:hAnsi="Arial" w:cs="Arial"/>
                <w:sz w:val="22"/>
                <w:szCs w:val="22"/>
              </w:rPr>
            </w:pPr>
            <w:r w:rsidRPr="0080575F">
              <w:rPr>
                <w:rFonts w:ascii="Arial" w:hAnsi="Arial" w:cs="Arial"/>
                <w:sz w:val="22"/>
                <w:szCs w:val="22"/>
              </w:rPr>
              <w:t>45.5</w:t>
            </w:r>
          </w:p>
        </w:tc>
        <w:tc>
          <w:tcPr>
            <w:tcW w:w="1243" w:type="dxa"/>
          </w:tcPr>
          <w:p w14:paraId="1FDB3D5A" w14:textId="77777777" w:rsidR="006F78D5" w:rsidRPr="0080575F" w:rsidRDefault="006F78D5" w:rsidP="000D7DDA">
            <w:pPr>
              <w:rPr>
                <w:rFonts w:ascii="Arial" w:hAnsi="Arial" w:cs="Arial"/>
                <w:sz w:val="22"/>
                <w:szCs w:val="22"/>
              </w:rPr>
            </w:pPr>
            <w:r>
              <w:rPr>
                <w:rFonts w:ascii="Arial" w:hAnsi="Arial" w:cs="Arial"/>
                <w:sz w:val="22"/>
                <w:szCs w:val="22"/>
              </w:rPr>
              <w:t>13.0</w:t>
            </w:r>
          </w:p>
        </w:tc>
        <w:tc>
          <w:tcPr>
            <w:tcW w:w="1070" w:type="dxa"/>
          </w:tcPr>
          <w:p w14:paraId="38CD7B7D" w14:textId="77777777" w:rsidR="006F78D5" w:rsidRPr="0080575F" w:rsidRDefault="006F78D5" w:rsidP="000D7DDA">
            <w:pPr>
              <w:rPr>
                <w:rFonts w:ascii="Arial" w:hAnsi="Arial" w:cs="Arial"/>
                <w:sz w:val="22"/>
                <w:szCs w:val="22"/>
              </w:rPr>
            </w:pPr>
            <w:r>
              <w:rPr>
                <w:rFonts w:ascii="Arial" w:hAnsi="Arial" w:cs="Arial"/>
                <w:sz w:val="22"/>
                <w:szCs w:val="22"/>
              </w:rPr>
              <w:t>13.41</w:t>
            </w:r>
          </w:p>
        </w:tc>
        <w:tc>
          <w:tcPr>
            <w:tcW w:w="943" w:type="dxa"/>
          </w:tcPr>
          <w:p w14:paraId="3E07436D" w14:textId="77777777" w:rsidR="006F78D5" w:rsidRPr="0080575F" w:rsidRDefault="006F78D5" w:rsidP="000D7DDA">
            <w:pPr>
              <w:rPr>
                <w:rFonts w:ascii="Arial" w:hAnsi="Arial" w:cs="Arial"/>
                <w:sz w:val="22"/>
                <w:szCs w:val="22"/>
              </w:rPr>
            </w:pPr>
            <w:r>
              <w:rPr>
                <w:rFonts w:ascii="Arial" w:hAnsi="Arial" w:cs="Arial"/>
                <w:sz w:val="22"/>
                <w:szCs w:val="22"/>
              </w:rPr>
              <w:t>6.18</w:t>
            </w:r>
          </w:p>
        </w:tc>
        <w:tc>
          <w:tcPr>
            <w:tcW w:w="943" w:type="dxa"/>
          </w:tcPr>
          <w:p w14:paraId="37B27E58" w14:textId="77777777" w:rsidR="006F78D5" w:rsidRPr="0080575F" w:rsidRDefault="006F78D5" w:rsidP="000D7DDA">
            <w:pPr>
              <w:rPr>
                <w:rFonts w:ascii="Arial" w:hAnsi="Arial" w:cs="Arial"/>
                <w:sz w:val="22"/>
                <w:szCs w:val="22"/>
              </w:rPr>
            </w:pPr>
          </w:p>
        </w:tc>
        <w:tc>
          <w:tcPr>
            <w:tcW w:w="943" w:type="dxa"/>
          </w:tcPr>
          <w:p w14:paraId="55A5D653" w14:textId="77777777" w:rsidR="006F78D5" w:rsidRPr="0080575F" w:rsidRDefault="006F78D5" w:rsidP="000D7DDA">
            <w:pPr>
              <w:rPr>
                <w:rFonts w:ascii="Arial" w:hAnsi="Arial" w:cs="Arial"/>
                <w:sz w:val="22"/>
                <w:szCs w:val="22"/>
              </w:rPr>
            </w:pPr>
          </w:p>
        </w:tc>
      </w:tr>
      <w:tr w:rsidR="006F78D5" w14:paraId="0AF6C085" w14:textId="77777777" w:rsidTr="000D7DDA">
        <w:trPr>
          <w:trHeight w:val="506"/>
        </w:trPr>
        <w:tc>
          <w:tcPr>
            <w:tcW w:w="2004" w:type="dxa"/>
          </w:tcPr>
          <w:p w14:paraId="0FCF85E4" w14:textId="77777777" w:rsidR="006F78D5" w:rsidRDefault="006F78D5" w:rsidP="000D7DDA">
            <w:pPr>
              <w:rPr>
                <w:rFonts w:ascii="Arial" w:hAnsi="Arial" w:cs="Arial"/>
                <w:sz w:val="22"/>
                <w:szCs w:val="22"/>
              </w:rPr>
            </w:pPr>
            <w:r w:rsidRPr="0080575F">
              <w:rPr>
                <w:rFonts w:ascii="Arial" w:hAnsi="Arial" w:cs="Arial"/>
                <w:sz w:val="22"/>
                <w:szCs w:val="22"/>
              </w:rPr>
              <w:t xml:space="preserve">Severity PHQ-9  </w:t>
            </w:r>
          </w:p>
          <w:p w14:paraId="27504449" w14:textId="77777777" w:rsidR="006F78D5" w:rsidRPr="0080575F" w:rsidRDefault="006F78D5" w:rsidP="000D7DDA">
            <w:pPr>
              <w:rPr>
                <w:rFonts w:ascii="Arial" w:hAnsi="Arial" w:cs="Arial"/>
                <w:sz w:val="22"/>
                <w:szCs w:val="22"/>
              </w:rPr>
            </w:pPr>
            <m:oMath>
              <m:r>
                <w:rPr>
                  <w:rFonts w:ascii="Cambria Math" w:hAnsi="Cambria Math" w:cs="Arial"/>
                  <w:sz w:val="22"/>
                  <w:szCs w:val="22"/>
                </w:rPr>
                <m:t>≥</m:t>
              </m:r>
            </m:oMath>
            <w:r>
              <w:rPr>
                <w:rFonts w:ascii="Arial" w:hAnsi="Arial" w:cs="Arial"/>
                <w:sz w:val="22"/>
                <w:szCs w:val="22"/>
              </w:rPr>
              <w:t xml:space="preserve"> </w:t>
            </w:r>
            <w:r w:rsidRPr="0080575F">
              <w:rPr>
                <w:rFonts w:ascii="Arial" w:hAnsi="Arial" w:cs="Arial"/>
                <w:sz w:val="22"/>
                <w:szCs w:val="22"/>
              </w:rPr>
              <w:t>median</w:t>
            </w:r>
          </w:p>
          <w:p w14:paraId="4D5870CC" w14:textId="77777777" w:rsidR="006F78D5" w:rsidRPr="0080575F" w:rsidRDefault="006F78D5" w:rsidP="000D7DDA">
            <w:pPr>
              <w:rPr>
                <w:rFonts w:ascii="Arial" w:hAnsi="Arial" w:cs="Arial"/>
                <w:sz w:val="22"/>
                <w:szCs w:val="22"/>
              </w:rPr>
            </w:pPr>
            <w:r w:rsidRPr="0080575F">
              <w:rPr>
                <w:rFonts w:ascii="Arial" w:hAnsi="Arial" w:cs="Arial"/>
                <w:sz w:val="22"/>
                <w:szCs w:val="22"/>
              </w:rPr>
              <w:t xml:space="preserve">Severity: GAD-7  </w:t>
            </w:r>
            <w:r>
              <w:rPr>
                <w:rFonts w:ascii="Arial" w:hAnsi="Arial" w:cs="Arial"/>
                <w:sz w:val="22"/>
                <w:szCs w:val="22"/>
              </w:rPr>
              <w:t>&lt;</w:t>
            </w:r>
            <m:oMath>
              <m:r>
                <w:rPr>
                  <w:rFonts w:ascii="Cambria Math" w:hAnsi="Cambria Math"/>
                </w:rPr>
                <m:t xml:space="preserve"> </m:t>
              </m:r>
            </m:oMath>
            <w:r w:rsidRPr="0080575F">
              <w:rPr>
                <w:rFonts w:ascii="Arial" w:hAnsi="Arial" w:cs="Arial"/>
                <w:sz w:val="22"/>
                <w:szCs w:val="22"/>
              </w:rPr>
              <w:t>median</w:t>
            </w:r>
          </w:p>
        </w:tc>
        <w:tc>
          <w:tcPr>
            <w:tcW w:w="1874" w:type="dxa"/>
          </w:tcPr>
          <w:p w14:paraId="54EC1880" w14:textId="77777777" w:rsidR="006F78D5" w:rsidRPr="0080575F" w:rsidRDefault="006F78D5" w:rsidP="000D7DDA">
            <w:pPr>
              <w:rPr>
                <w:rFonts w:ascii="Arial" w:hAnsi="Arial" w:cs="Arial"/>
                <w:sz w:val="22"/>
                <w:szCs w:val="22"/>
              </w:rPr>
            </w:pPr>
            <w:r w:rsidRPr="0080575F">
              <w:rPr>
                <w:rFonts w:ascii="Arial" w:hAnsi="Arial" w:cs="Arial"/>
                <w:sz w:val="22"/>
                <w:szCs w:val="22"/>
              </w:rPr>
              <w:t>54.5</w:t>
            </w:r>
          </w:p>
          <w:p w14:paraId="0074D0E7" w14:textId="77777777" w:rsidR="006F78D5" w:rsidRDefault="006F78D5" w:rsidP="000D7DDA">
            <w:pPr>
              <w:rPr>
                <w:rFonts w:ascii="Arial" w:hAnsi="Arial" w:cs="Arial"/>
                <w:sz w:val="22"/>
                <w:szCs w:val="22"/>
              </w:rPr>
            </w:pPr>
          </w:p>
          <w:p w14:paraId="1C7EDEB3" w14:textId="77777777" w:rsidR="006F78D5" w:rsidRPr="0080575F" w:rsidRDefault="006F78D5" w:rsidP="000D7DDA">
            <w:pPr>
              <w:rPr>
                <w:rFonts w:ascii="Arial" w:hAnsi="Arial" w:cs="Arial"/>
                <w:sz w:val="22"/>
                <w:szCs w:val="22"/>
              </w:rPr>
            </w:pPr>
            <w:r w:rsidRPr="0080575F">
              <w:rPr>
                <w:rFonts w:ascii="Arial" w:hAnsi="Arial" w:cs="Arial"/>
                <w:sz w:val="22"/>
                <w:szCs w:val="22"/>
              </w:rPr>
              <w:t>44.1</w:t>
            </w:r>
          </w:p>
        </w:tc>
        <w:tc>
          <w:tcPr>
            <w:tcW w:w="1243" w:type="dxa"/>
          </w:tcPr>
          <w:p w14:paraId="4A323605" w14:textId="77777777" w:rsidR="006F78D5" w:rsidRDefault="006F78D5" w:rsidP="000D7DDA">
            <w:pPr>
              <w:rPr>
                <w:rFonts w:ascii="Arial" w:hAnsi="Arial" w:cs="Arial"/>
                <w:sz w:val="22"/>
                <w:szCs w:val="22"/>
              </w:rPr>
            </w:pPr>
          </w:p>
          <w:p w14:paraId="034F3D9E" w14:textId="77777777" w:rsidR="006F78D5" w:rsidRDefault="006F78D5" w:rsidP="000D7DDA">
            <w:pPr>
              <w:rPr>
                <w:rFonts w:ascii="Arial" w:hAnsi="Arial" w:cs="Arial"/>
                <w:sz w:val="22"/>
                <w:szCs w:val="22"/>
              </w:rPr>
            </w:pPr>
          </w:p>
          <w:p w14:paraId="11FB7F76" w14:textId="77777777" w:rsidR="006F78D5" w:rsidRPr="0080575F" w:rsidRDefault="006F78D5" w:rsidP="000D7DDA">
            <w:pPr>
              <w:rPr>
                <w:rFonts w:ascii="Arial" w:hAnsi="Arial" w:cs="Arial"/>
                <w:sz w:val="22"/>
                <w:szCs w:val="22"/>
              </w:rPr>
            </w:pPr>
            <w:r>
              <w:rPr>
                <w:rFonts w:ascii="Arial" w:hAnsi="Arial" w:cs="Arial"/>
                <w:sz w:val="22"/>
                <w:szCs w:val="22"/>
              </w:rPr>
              <w:t>13.0</w:t>
            </w:r>
          </w:p>
        </w:tc>
        <w:tc>
          <w:tcPr>
            <w:tcW w:w="1070" w:type="dxa"/>
          </w:tcPr>
          <w:p w14:paraId="78559A06" w14:textId="77777777" w:rsidR="006F78D5" w:rsidRDefault="006F78D5" w:rsidP="000D7DDA">
            <w:pPr>
              <w:rPr>
                <w:rFonts w:ascii="Arial" w:hAnsi="Arial" w:cs="Arial"/>
                <w:sz w:val="22"/>
                <w:szCs w:val="22"/>
              </w:rPr>
            </w:pPr>
          </w:p>
          <w:p w14:paraId="0702C5F4" w14:textId="77777777" w:rsidR="006F78D5" w:rsidRDefault="006F78D5" w:rsidP="000D7DDA">
            <w:pPr>
              <w:rPr>
                <w:rFonts w:ascii="Arial" w:hAnsi="Arial" w:cs="Arial"/>
                <w:sz w:val="22"/>
                <w:szCs w:val="22"/>
              </w:rPr>
            </w:pPr>
          </w:p>
          <w:p w14:paraId="1070D92A" w14:textId="77777777" w:rsidR="006F78D5" w:rsidRPr="0080575F" w:rsidRDefault="006F78D5" w:rsidP="000D7DDA">
            <w:pPr>
              <w:rPr>
                <w:rFonts w:ascii="Arial" w:hAnsi="Arial" w:cs="Arial"/>
                <w:sz w:val="22"/>
                <w:szCs w:val="22"/>
              </w:rPr>
            </w:pPr>
            <w:r>
              <w:rPr>
                <w:rFonts w:ascii="Arial" w:hAnsi="Arial" w:cs="Arial"/>
                <w:sz w:val="22"/>
                <w:szCs w:val="22"/>
              </w:rPr>
              <w:t>12.82</w:t>
            </w:r>
          </w:p>
        </w:tc>
        <w:tc>
          <w:tcPr>
            <w:tcW w:w="943" w:type="dxa"/>
          </w:tcPr>
          <w:p w14:paraId="5447EA96" w14:textId="77777777" w:rsidR="006F78D5" w:rsidRDefault="006F78D5" w:rsidP="000D7DDA">
            <w:pPr>
              <w:rPr>
                <w:rFonts w:ascii="Arial" w:hAnsi="Arial" w:cs="Arial"/>
                <w:sz w:val="22"/>
                <w:szCs w:val="22"/>
              </w:rPr>
            </w:pPr>
          </w:p>
          <w:p w14:paraId="65FF5D86" w14:textId="77777777" w:rsidR="006F78D5" w:rsidRDefault="006F78D5" w:rsidP="000D7DDA">
            <w:pPr>
              <w:rPr>
                <w:rFonts w:ascii="Arial" w:hAnsi="Arial" w:cs="Arial"/>
                <w:sz w:val="22"/>
                <w:szCs w:val="22"/>
              </w:rPr>
            </w:pPr>
          </w:p>
          <w:p w14:paraId="10B3C024" w14:textId="77777777" w:rsidR="006F78D5" w:rsidRPr="0080575F" w:rsidRDefault="006F78D5" w:rsidP="000D7DDA">
            <w:pPr>
              <w:rPr>
                <w:rFonts w:ascii="Arial" w:hAnsi="Arial" w:cs="Arial"/>
                <w:sz w:val="22"/>
                <w:szCs w:val="22"/>
              </w:rPr>
            </w:pPr>
            <w:r>
              <w:rPr>
                <w:rFonts w:ascii="Arial" w:hAnsi="Arial" w:cs="Arial"/>
                <w:sz w:val="22"/>
                <w:szCs w:val="22"/>
              </w:rPr>
              <w:t>5.14</w:t>
            </w:r>
          </w:p>
        </w:tc>
        <w:tc>
          <w:tcPr>
            <w:tcW w:w="943" w:type="dxa"/>
          </w:tcPr>
          <w:p w14:paraId="5ADECC1D" w14:textId="77777777" w:rsidR="006F78D5" w:rsidRPr="0080575F" w:rsidRDefault="006F78D5" w:rsidP="000D7DDA">
            <w:pPr>
              <w:rPr>
                <w:rFonts w:ascii="Arial" w:hAnsi="Arial" w:cs="Arial"/>
                <w:sz w:val="22"/>
                <w:szCs w:val="22"/>
              </w:rPr>
            </w:pPr>
          </w:p>
        </w:tc>
        <w:tc>
          <w:tcPr>
            <w:tcW w:w="943" w:type="dxa"/>
          </w:tcPr>
          <w:p w14:paraId="304966BA" w14:textId="77777777" w:rsidR="006F78D5" w:rsidRPr="0080575F" w:rsidRDefault="006F78D5" w:rsidP="000D7DDA">
            <w:pPr>
              <w:rPr>
                <w:rFonts w:ascii="Arial" w:hAnsi="Arial" w:cs="Arial"/>
                <w:sz w:val="22"/>
                <w:szCs w:val="22"/>
              </w:rPr>
            </w:pPr>
          </w:p>
        </w:tc>
      </w:tr>
      <w:tr w:rsidR="006F78D5" w14:paraId="4632CA06" w14:textId="77777777" w:rsidTr="000D7DDA">
        <w:tc>
          <w:tcPr>
            <w:tcW w:w="2004" w:type="dxa"/>
          </w:tcPr>
          <w:p w14:paraId="374464B7" w14:textId="77777777" w:rsidR="006F78D5" w:rsidRPr="0080575F" w:rsidRDefault="006F78D5" w:rsidP="000D7DDA">
            <w:pPr>
              <w:rPr>
                <w:rFonts w:ascii="Arial" w:hAnsi="Arial" w:cs="Arial"/>
                <w:sz w:val="22"/>
                <w:szCs w:val="22"/>
              </w:rPr>
            </w:pPr>
            <w:r w:rsidRPr="0080575F">
              <w:rPr>
                <w:rFonts w:ascii="Arial" w:hAnsi="Arial" w:cs="Arial"/>
                <w:sz w:val="22"/>
                <w:szCs w:val="22"/>
              </w:rPr>
              <w:t xml:space="preserve">Severity GAD-7  </w:t>
            </w:r>
            <m:oMath>
              <m:r>
                <w:rPr>
                  <w:rFonts w:ascii="Cambria Math" w:hAnsi="Cambria Math" w:cs="Arial"/>
                  <w:sz w:val="22"/>
                  <w:szCs w:val="22"/>
                </w:rPr>
                <m:t xml:space="preserve">≥ </m:t>
              </m:r>
            </m:oMath>
            <w:r w:rsidRPr="0080575F">
              <w:rPr>
                <w:rFonts w:ascii="Arial" w:hAnsi="Arial" w:cs="Arial"/>
                <w:sz w:val="22"/>
                <w:szCs w:val="22"/>
              </w:rPr>
              <w:t>median</w:t>
            </w:r>
          </w:p>
        </w:tc>
        <w:tc>
          <w:tcPr>
            <w:tcW w:w="1874" w:type="dxa"/>
          </w:tcPr>
          <w:p w14:paraId="55D89560" w14:textId="77777777" w:rsidR="006F78D5" w:rsidRPr="0080575F" w:rsidRDefault="006F78D5" w:rsidP="000D7DDA">
            <w:pPr>
              <w:rPr>
                <w:rFonts w:ascii="Arial" w:hAnsi="Arial" w:cs="Arial"/>
                <w:sz w:val="22"/>
                <w:szCs w:val="22"/>
              </w:rPr>
            </w:pPr>
            <w:r w:rsidRPr="0080575F">
              <w:rPr>
                <w:rFonts w:ascii="Arial" w:hAnsi="Arial" w:cs="Arial"/>
                <w:sz w:val="22"/>
                <w:szCs w:val="22"/>
              </w:rPr>
              <w:t>55.9</w:t>
            </w:r>
          </w:p>
        </w:tc>
        <w:tc>
          <w:tcPr>
            <w:tcW w:w="1243" w:type="dxa"/>
          </w:tcPr>
          <w:p w14:paraId="70E755FE" w14:textId="77777777" w:rsidR="006F78D5" w:rsidRPr="0080575F" w:rsidRDefault="006F78D5" w:rsidP="000D7DDA">
            <w:pPr>
              <w:rPr>
                <w:rFonts w:ascii="Arial" w:hAnsi="Arial" w:cs="Arial"/>
                <w:sz w:val="22"/>
                <w:szCs w:val="22"/>
              </w:rPr>
            </w:pPr>
          </w:p>
        </w:tc>
        <w:tc>
          <w:tcPr>
            <w:tcW w:w="1070" w:type="dxa"/>
          </w:tcPr>
          <w:p w14:paraId="75DAF478" w14:textId="77777777" w:rsidR="006F78D5" w:rsidRPr="0080575F" w:rsidRDefault="006F78D5" w:rsidP="000D7DDA">
            <w:pPr>
              <w:rPr>
                <w:rFonts w:ascii="Arial" w:hAnsi="Arial" w:cs="Arial"/>
                <w:sz w:val="22"/>
                <w:szCs w:val="22"/>
              </w:rPr>
            </w:pPr>
          </w:p>
        </w:tc>
        <w:tc>
          <w:tcPr>
            <w:tcW w:w="943" w:type="dxa"/>
          </w:tcPr>
          <w:p w14:paraId="6BE1A1E4" w14:textId="77777777" w:rsidR="006F78D5" w:rsidRPr="0080575F" w:rsidRDefault="006F78D5" w:rsidP="000D7DDA">
            <w:pPr>
              <w:rPr>
                <w:rFonts w:ascii="Arial" w:hAnsi="Arial" w:cs="Arial"/>
                <w:sz w:val="22"/>
                <w:szCs w:val="22"/>
              </w:rPr>
            </w:pPr>
          </w:p>
        </w:tc>
        <w:tc>
          <w:tcPr>
            <w:tcW w:w="943" w:type="dxa"/>
          </w:tcPr>
          <w:p w14:paraId="4A0CA33C" w14:textId="77777777" w:rsidR="006F78D5" w:rsidRPr="0080575F" w:rsidRDefault="006F78D5" w:rsidP="000D7DDA">
            <w:pPr>
              <w:rPr>
                <w:rFonts w:ascii="Arial" w:hAnsi="Arial" w:cs="Arial"/>
                <w:sz w:val="22"/>
                <w:szCs w:val="22"/>
              </w:rPr>
            </w:pPr>
          </w:p>
        </w:tc>
        <w:tc>
          <w:tcPr>
            <w:tcW w:w="943" w:type="dxa"/>
          </w:tcPr>
          <w:p w14:paraId="61DF14EE" w14:textId="77777777" w:rsidR="006F78D5" w:rsidRPr="0080575F" w:rsidRDefault="006F78D5" w:rsidP="000D7DDA">
            <w:pPr>
              <w:rPr>
                <w:rFonts w:ascii="Arial" w:hAnsi="Arial" w:cs="Arial"/>
                <w:sz w:val="22"/>
                <w:szCs w:val="22"/>
              </w:rPr>
            </w:pPr>
          </w:p>
        </w:tc>
      </w:tr>
      <w:tr w:rsidR="006F78D5" w14:paraId="4EA63936" w14:textId="77777777" w:rsidTr="000D7DDA">
        <w:tc>
          <w:tcPr>
            <w:tcW w:w="2004" w:type="dxa"/>
            <w:vMerge w:val="restart"/>
          </w:tcPr>
          <w:p w14:paraId="257D20AC" w14:textId="77777777" w:rsidR="006F78D5" w:rsidRPr="0080575F" w:rsidRDefault="006F78D5" w:rsidP="000D7DDA">
            <w:pPr>
              <w:rPr>
                <w:rFonts w:ascii="Arial" w:hAnsi="Arial" w:cs="Arial"/>
                <w:sz w:val="22"/>
                <w:szCs w:val="22"/>
              </w:rPr>
            </w:pPr>
            <w:r w:rsidRPr="0080575F">
              <w:rPr>
                <w:rFonts w:ascii="Arial" w:hAnsi="Arial" w:cs="Arial"/>
                <w:sz w:val="22"/>
                <w:szCs w:val="22"/>
              </w:rPr>
              <w:t>Rel</w:t>
            </w:r>
            <w:r>
              <w:rPr>
                <w:rFonts w:ascii="Arial" w:hAnsi="Arial" w:cs="Arial"/>
                <w:sz w:val="22"/>
                <w:szCs w:val="22"/>
              </w:rPr>
              <w:t>.</w:t>
            </w:r>
            <w:r w:rsidRPr="0080575F">
              <w:rPr>
                <w:rFonts w:ascii="Arial" w:hAnsi="Arial" w:cs="Arial"/>
                <w:sz w:val="22"/>
                <w:szCs w:val="22"/>
              </w:rPr>
              <w:t xml:space="preserve"> Improv</w:t>
            </w:r>
            <w:r>
              <w:rPr>
                <w:rFonts w:ascii="Arial" w:hAnsi="Arial" w:cs="Arial"/>
                <w:sz w:val="22"/>
                <w:szCs w:val="22"/>
              </w:rPr>
              <w:t>.</w:t>
            </w:r>
            <w:r w:rsidRPr="0080575F">
              <w:rPr>
                <w:rFonts w:ascii="Arial" w:hAnsi="Arial" w:cs="Arial"/>
                <w:sz w:val="22"/>
                <w:szCs w:val="22"/>
              </w:rPr>
              <w:t xml:space="preserve"> Ye</w:t>
            </w:r>
            <w:r>
              <w:rPr>
                <w:rFonts w:ascii="Arial" w:hAnsi="Arial" w:cs="Arial"/>
                <w:sz w:val="22"/>
                <w:szCs w:val="22"/>
              </w:rPr>
              <w:t>s</w:t>
            </w:r>
          </w:p>
          <w:p w14:paraId="4C5B2DD1" w14:textId="77777777" w:rsidR="006F78D5" w:rsidRPr="0080575F" w:rsidRDefault="006F78D5" w:rsidP="000D7DDA">
            <w:pPr>
              <w:rPr>
                <w:rFonts w:ascii="Arial" w:hAnsi="Arial" w:cs="Arial"/>
                <w:sz w:val="22"/>
                <w:szCs w:val="22"/>
              </w:rPr>
            </w:pPr>
            <w:r w:rsidRPr="0080575F">
              <w:rPr>
                <w:rFonts w:ascii="Arial" w:hAnsi="Arial" w:cs="Arial"/>
                <w:sz w:val="22"/>
                <w:szCs w:val="22"/>
              </w:rPr>
              <w:t>Rel</w:t>
            </w:r>
            <w:r>
              <w:rPr>
                <w:rFonts w:ascii="Arial" w:hAnsi="Arial" w:cs="Arial"/>
                <w:sz w:val="22"/>
                <w:szCs w:val="22"/>
              </w:rPr>
              <w:t>.</w:t>
            </w:r>
            <w:r w:rsidRPr="0080575F">
              <w:rPr>
                <w:rFonts w:ascii="Arial" w:hAnsi="Arial" w:cs="Arial"/>
                <w:sz w:val="22"/>
                <w:szCs w:val="22"/>
              </w:rPr>
              <w:t xml:space="preserve"> </w:t>
            </w:r>
            <w:r>
              <w:rPr>
                <w:rFonts w:ascii="Arial" w:hAnsi="Arial" w:cs="Arial"/>
                <w:sz w:val="22"/>
                <w:szCs w:val="22"/>
              </w:rPr>
              <w:t>I</w:t>
            </w:r>
            <w:r w:rsidRPr="0080575F">
              <w:rPr>
                <w:rFonts w:ascii="Arial" w:hAnsi="Arial" w:cs="Arial"/>
                <w:sz w:val="22"/>
                <w:szCs w:val="22"/>
              </w:rPr>
              <w:t>mpro</w:t>
            </w:r>
            <w:r>
              <w:rPr>
                <w:rFonts w:ascii="Arial" w:hAnsi="Arial" w:cs="Arial"/>
                <w:sz w:val="22"/>
                <w:szCs w:val="22"/>
              </w:rPr>
              <w:t>v.</w:t>
            </w:r>
            <w:r w:rsidRPr="0080575F">
              <w:rPr>
                <w:rFonts w:ascii="Arial" w:hAnsi="Arial" w:cs="Arial"/>
                <w:sz w:val="22"/>
                <w:szCs w:val="22"/>
              </w:rPr>
              <w:t xml:space="preserve"> No</w:t>
            </w:r>
          </w:p>
        </w:tc>
        <w:tc>
          <w:tcPr>
            <w:tcW w:w="1874" w:type="dxa"/>
          </w:tcPr>
          <w:p w14:paraId="60F981C4" w14:textId="77777777" w:rsidR="006F78D5" w:rsidRPr="0080575F" w:rsidRDefault="006F78D5" w:rsidP="000D7DDA">
            <w:pPr>
              <w:rPr>
                <w:rFonts w:ascii="Arial" w:hAnsi="Arial" w:cs="Arial"/>
                <w:sz w:val="22"/>
                <w:szCs w:val="22"/>
              </w:rPr>
            </w:pPr>
            <w:r w:rsidRPr="0080575F">
              <w:rPr>
                <w:rFonts w:ascii="Arial" w:hAnsi="Arial" w:cs="Arial"/>
                <w:sz w:val="22"/>
                <w:szCs w:val="22"/>
              </w:rPr>
              <w:t>75.9</w:t>
            </w:r>
          </w:p>
        </w:tc>
        <w:tc>
          <w:tcPr>
            <w:tcW w:w="1243" w:type="dxa"/>
          </w:tcPr>
          <w:p w14:paraId="5EF42A0C" w14:textId="77777777" w:rsidR="006F78D5" w:rsidRPr="0080575F" w:rsidRDefault="006F78D5" w:rsidP="000D7DDA">
            <w:pPr>
              <w:rPr>
                <w:rFonts w:ascii="Arial" w:hAnsi="Arial" w:cs="Arial"/>
                <w:sz w:val="22"/>
                <w:szCs w:val="22"/>
              </w:rPr>
            </w:pPr>
          </w:p>
        </w:tc>
        <w:tc>
          <w:tcPr>
            <w:tcW w:w="1070" w:type="dxa"/>
          </w:tcPr>
          <w:p w14:paraId="57FDF323" w14:textId="77777777" w:rsidR="006F78D5" w:rsidRPr="0080575F" w:rsidRDefault="006F78D5" w:rsidP="000D7DDA">
            <w:pPr>
              <w:rPr>
                <w:rFonts w:ascii="Arial" w:hAnsi="Arial" w:cs="Arial"/>
                <w:sz w:val="22"/>
                <w:szCs w:val="22"/>
              </w:rPr>
            </w:pPr>
          </w:p>
        </w:tc>
        <w:tc>
          <w:tcPr>
            <w:tcW w:w="943" w:type="dxa"/>
          </w:tcPr>
          <w:p w14:paraId="44656B51" w14:textId="77777777" w:rsidR="006F78D5" w:rsidRPr="0080575F" w:rsidRDefault="006F78D5" w:rsidP="000D7DDA">
            <w:pPr>
              <w:rPr>
                <w:rFonts w:ascii="Arial" w:hAnsi="Arial" w:cs="Arial"/>
                <w:sz w:val="22"/>
                <w:szCs w:val="22"/>
              </w:rPr>
            </w:pPr>
          </w:p>
        </w:tc>
        <w:tc>
          <w:tcPr>
            <w:tcW w:w="943" w:type="dxa"/>
          </w:tcPr>
          <w:p w14:paraId="01D2E7F5" w14:textId="77777777" w:rsidR="006F78D5" w:rsidRPr="0080575F" w:rsidRDefault="006F78D5" w:rsidP="000D7DDA">
            <w:pPr>
              <w:rPr>
                <w:rFonts w:ascii="Arial" w:hAnsi="Arial" w:cs="Arial"/>
                <w:sz w:val="22"/>
                <w:szCs w:val="22"/>
              </w:rPr>
            </w:pPr>
          </w:p>
        </w:tc>
        <w:tc>
          <w:tcPr>
            <w:tcW w:w="943" w:type="dxa"/>
          </w:tcPr>
          <w:p w14:paraId="13195A34" w14:textId="77777777" w:rsidR="006F78D5" w:rsidRPr="0080575F" w:rsidRDefault="006F78D5" w:rsidP="000D7DDA">
            <w:pPr>
              <w:rPr>
                <w:rFonts w:ascii="Arial" w:hAnsi="Arial" w:cs="Arial"/>
                <w:sz w:val="22"/>
                <w:szCs w:val="22"/>
              </w:rPr>
            </w:pPr>
          </w:p>
        </w:tc>
      </w:tr>
      <w:tr w:rsidR="006F78D5" w14:paraId="0EAACB28" w14:textId="77777777" w:rsidTr="000D7DDA">
        <w:tc>
          <w:tcPr>
            <w:tcW w:w="2004" w:type="dxa"/>
            <w:vMerge/>
          </w:tcPr>
          <w:p w14:paraId="59ED9F90" w14:textId="77777777" w:rsidR="006F78D5" w:rsidRPr="0080575F" w:rsidRDefault="006F78D5" w:rsidP="000D7DDA">
            <w:pPr>
              <w:rPr>
                <w:rFonts w:ascii="Arial" w:hAnsi="Arial" w:cs="Arial"/>
                <w:sz w:val="22"/>
                <w:szCs w:val="22"/>
              </w:rPr>
            </w:pPr>
          </w:p>
        </w:tc>
        <w:tc>
          <w:tcPr>
            <w:tcW w:w="1874" w:type="dxa"/>
          </w:tcPr>
          <w:p w14:paraId="0C0F3414" w14:textId="77777777" w:rsidR="006F78D5" w:rsidRPr="0080575F" w:rsidRDefault="006F78D5" w:rsidP="000D7DDA">
            <w:pPr>
              <w:rPr>
                <w:rFonts w:ascii="Arial" w:hAnsi="Arial" w:cs="Arial"/>
                <w:sz w:val="22"/>
                <w:szCs w:val="22"/>
              </w:rPr>
            </w:pPr>
            <w:r w:rsidRPr="0080575F">
              <w:rPr>
                <w:rFonts w:ascii="Arial" w:hAnsi="Arial" w:cs="Arial"/>
                <w:sz w:val="22"/>
                <w:szCs w:val="22"/>
              </w:rPr>
              <w:t>24.1</w:t>
            </w:r>
          </w:p>
        </w:tc>
        <w:tc>
          <w:tcPr>
            <w:tcW w:w="1243" w:type="dxa"/>
          </w:tcPr>
          <w:p w14:paraId="3E4D91CC" w14:textId="77777777" w:rsidR="006F78D5" w:rsidRPr="0080575F" w:rsidRDefault="006F78D5" w:rsidP="000D7DDA">
            <w:pPr>
              <w:rPr>
                <w:rFonts w:ascii="Arial" w:hAnsi="Arial" w:cs="Arial"/>
                <w:sz w:val="22"/>
                <w:szCs w:val="22"/>
              </w:rPr>
            </w:pPr>
          </w:p>
        </w:tc>
        <w:tc>
          <w:tcPr>
            <w:tcW w:w="1070" w:type="dxa"/>
          </w:tcPr>
          <w:p w14:paraId="40DF113B" w14:textId="77777777" w:rsidR="006F78D5" w:rsidRPr="0080575F" w:rsidRDefault="006F78D5" w:rsidP="000D7DDA">
            <w:pPr>
              <w:rPr>
                <w:rFonts w:ascii="Arial" w:hAnsi="Arial" w:cs="Arial"/>
                <w:sz w:val="22"/>
                <w:szCs w:val="22"/>
              </w:rPr>
            </w:pPr>
          </w:p>
        </w:tc>
        <w:tc>
          <w:tcPr>
            <w:tcW w:w="943" w:type="dxa"/>
          </w:tcPr>
          <w:p w14:paraId="48A4E145" w14:textId="77777777" w:rsidR="006F78D5" w:rsidRPr="0080575F" w:rsidRDefault="006F78D5" w:rsidP="000D7DDA">
            <w:pPr>
              <w:rPr>
                <w:rFonts w:ascii="Arial" w:hAnsi="Arial" w:cs="Arial"/>
                <w:sz w:val="22"/>
                <w:szCs w:val="22"/>
              </w:rPr>
            </w:pPr>
          </w:p>
        </w:tc>
        <w:tc>
          <w:tcPr>
            <w:tcW w:w="943" w:type="dxa"/>
          </w:tcPr>
          <w:p w14:paraId="7862EFED" w14:textId="77777777" w:rsidR="006F78D5" w:rsidRPr="0080575F" w:rsidRDefault="006F78D5" w:rsidP="000D7DDA">
            <w:pPr>
              <w:rPr>
                <w:rFonts w:ascii="Arial" w:hAnsi="Arial" w:cs="Arial"/>
                <w:sz w:val="22"/>
                <w:szCs w:val="22"/>
              </w:rPr>
            </w:pPr>
          </w:p>
        </w:tc>
        <w:tc>
          <w:tcPr>
            <w:tcW w:w="943" w:type="dxa"/>
          </w:tcPr>
          <w:p w14:paraId="069B4B77" w14:textId="77777777" w:rsidR="006F78D5" w:rsidRPr="0080575F" w:rsidRDefault="006F78D5" w:rsidP="000D7DDA">
            <w:pPr>
              <w:rPr>
                <w:rFonts w:ascii="Arial" w:hAnsi="Arial" w:cs="Arial"/>
                <w:sz w:val="22"/>
                <w:szCs w:val="22"/>
              </w:rPr>
            </w:pPr>
          </w:p>
        </w:tc>
      </w:tr>
      <w:tr w:rsidR="006F78D5" w14:paraId="7991601A" w14:textId="77777777" w:rsidTr="000D7DDA">
        <w:tc>
          <w:tcPr>
            <w:tcW w:w="2004" w:type="dxa"/>
          </w:tcPr>
          <w:p w14:paraId="4940767A" w14:textId="77777777" w:rsidR="006F78D5" w:rsidRPr="0080575F" w:rsidRDefault="006F78D5" w:rsidP="000D7DDA">
            <w:pPr>
              <w:rPr>
                <w:rFonts w:ascii="Arial" w:hAnsi="Arial" w:cs="Arial"/>
                <w:sz w:val="22"/>
                <w:szCs w:val="22"/>
              </w:rPr>
            </w:pPr>
            <w:r w:rsidRPr="0080575F">
              <w:rPr>
                <w:rFonts w:ascii="Arial" w:hAnsi="Arial" w:cs="Arial"/>
                <w:sz w:val="22"/>
                <w:szCs w:val="22"/>
              </w:rPr>
              <w:t>Recovery     Yes</w:t>
            </w:r>
          </w:p>
        </w:tc>
        <w:tc>
          <w:tcPr>
            <w:tcW w:w="1874" w:type="dxa"/>
          </w:tcPr>
          <w:p w14:paraId="490E01F5" w14:textId="77777777" w:rsidR="006F78D5" w:rsidRPr="0080575F" w:rsidRDefault="006F78D5" w:rsidP="000D7DDA">
            <w:pPr>
              <w:rPr>
                <w:rFonts w:ascii="Arial" w:hAnsi="Arial" w:cs="Arial"/>
                <w:sz w:val="22"/>
                <w:szCs w:val="22"/>
              </w:rPr>
            </w:pPr>
            <w:r w:rsidRPr="0080575F">
              <w:rPr>
                <w:rFonts w:ascii="Arial" w:hAnsi="Arial" w:cs="Arial"/>
                <w:sz w:val="22"/>
                <w:szCs w:val="22"/>
              </w:rPr>
              <w:t>54.9</w:t>
            </w:r>
          </w:p>
        </w:tc>
        <w:tc>
          <w:tcPr>
            <w:tcW w:w="1243" w:type="dxa"/>
          </w:tcPr>
          <w:p w14:paraId="396DF377" w14:textId="77777777" w:rsidR="006F78D5" w:rsidRPr="0080575F" w:rsidRDefault="006F78D5" w:rsidP="000D7DDA">
            <w:pPr>
              <w:rPr>
                <w:rFonts w:ascii="Arial" w:hAnsi="Arial" w:cs="Arial"/>
                <w:sz w:val="22"/>
                <w:szCs w:val="22"/>
              </w:rPr>
            </w:pPr>
          </w:p>
        </w:tc>
        <w:tc>
          <w:tcPr>
            <w:tcW w:w="1070" w:type="dxa"/>
          </w:tcPr>
          <w:p w14:paraId="4A21DF71" w14:textId="77777777" w:rsidR="006F78D5" w:rsidRPr="0080575F" w:rsidRDefault="006F78D5" w:rsidP="000D7DDA">
            <w:pPr>
              <w:rPr>
                <w:rFonts w:ascii="Arial" w:hAnsi="Arial" w:cs="Arial"/>
                <w:sz w:val="22"/>
                <w:szCs w:val="22"/>
              </w:rPr>
            </w:pPr>
          </w:p>
        </w:tc>
        <w:tc>
          <w:tcPr>
            <w:tcW w:w="943" w:type="dxa"/>
          </w:tcPr>
          <w:p w14:paraId="1085C945" w14:textId="77777777" w:rsidR="006F78D5" w:rsidRPr="0080575F" w:rsidRDefault="006F78D5" w:rsidP="000D7DDA">
            <w:pPr>
              <w:rPr>
                <w:rFonts w:ascii="Arial" w:hAnsi="Arial" w:cs="Arial"/>
                <w:sz w:val="22"/>
                <w:szCs w:val="22"/>
              </w:rPr>
            </w:pPr>
          </w:p>
        </w:tc>
        <w:tc>
          <w:tcPr>
            <w:tcW w:w="943" w:type="dxa"/>
          </w:tcPr>
          <w:p w14:paraId="77872006" w14:textId="77777777" w:rsidR="006F78D5" w:rsidRPr="0080575F" w:rsidRDefault="006F78D5" w:rsidP="000D7DDA">
            <w:pPr>
              <w:rPr>
                <w:rFonts w:ascii="Arial" w:hAnsi="Arial" w:cs="Arial"/>
                <w:sz w:val="22"/>
                <w:szCs w:val="22"/>
              </w:rPr>
            </w:pPr>
          </w:p>
        </w:tc>
        <w:tc>
          <w:tcPr>
            <w:tcW w:w="943" w:type="dxa"/>
          </w:tcPr>
          <w:p w14:paraId="15E47CB8" w14:textId="77777777" w:rsidR="006F78D5" w:rsidRPr="0080575F" w:rsidRDefault="006F78D5" w:rsidP="000D7DDA">
            <w:pPr>
              <w:rPr>
                <w:rFonts w:ascii="Arial" w:hAnsi="Arial" w:cs="Arial"/>
                <w:sz w:val="22"/>
                <w:szCs w:val="22"/>
              </w:rPr>
            </w:pPr>
          </w:p>
        </w:tc>
      </w:tr>
      <w:tr w:rsidR="006F78D5" w14:paraId="055844FB" w14:textId="77777777" w:rsidTr="000D7DDA">
        <w:tc>
          <w:tcPr>
            <w:tcW w:w="2004" w:type="dxa"/>
            <w:tcBorders>
              <w:bottom w:val="single" w:sz="4" w:space="0" w:color="auto"/>
            </w:tcBorders>
          </w:tcPr>
          <w:p w14:paraId="5920CDAA" w14:textId="77777777" w:rsidR="006F78D5" w:rsidRPr="0080575F" w:rsidRDefault="006F78D5" w:rsidP="000D7DDA">
            <w:pPr>
              <w:rPr>
                <w:rFonts w:ascii="Arial" w:hAnsi="Arial" w:cs="Arial"/>
                <w:sz w:val="22"/>
                <w:szCs w:val="22"/>
              </w:rPr>
            </w:pPr>
            <w:r w:rsidRPr="0080575F">
              <w:rPr>
                <w:rFonts w:ascii="Arial" w:hAnsi="Arial" w:cs="Arial"/>
                <w:sz w:val="22"/>
                <w:szCs w:val="22"/>
              </w:rPr>
              <w:t>Recovery    No</w:t>
            </w:r>
          </w:p>
        </w:tc>
        <w:tc>
          <w:tcPr>
            <w:tcW w:w="1874" w:type="dxa"/>
            <w:tcBorders>
              <w:bottom w:val="single" w:sz="4" w:space="0" w:color="auto"/>
            </w:tcBorders>
          </w:tcPr>
          <w:p w14:paraId="5A7ED54A" w14:textId="77777777" w:rsidR="006F78D5" w:rsidRPr="0080575F" w:rsidRDefault="006F78D5" w:rsidP="000D7DDA">
            <w:pPr>
              <w:rPr>
                <w:rFonts w:ascii="Arial" w:hAnsi="Arial" w:cs="Arial"/>
                <w:sz w:val="22"/>
                <w:szCs w:val="22"/>
              </w:rPr>
            </w:pPr>
            <w:r w:rsidRPr="0080575F">
              <w:rPr>
                <w:rFonts w:ascii="Arial" w:hAnsi="Arial" w:cs="Arial"/>
                <w:sz w:val="22"/>
                <w:szCs w:val="22"/>
              </w:rPr>
              <w:t>45.1</w:t>
            </w:r>
          </w:p>
        </w:tc>
        <w:tc>
          <w:tcPr>
            <w:tcW w:w="1243" w:type="dxa"/>
            <w:tcBorders>
              <w:bottom w:val="single" w:sz="4" w:space="0" w:color="auto"/>
            </w:tcBorders>
          </w:tcPr>
          <w:p w14:paraId="4EC94C40" w14:textId="77777777" w:rsidR="006F78D5" w:rsidRPr="0080575F" w:rsidRDefault="006F78D5" w:rsidP="000D7DDA">
            <w:pPr>
              <w:rPr>
                <w:rFonts w:ascii="Arial" w:hAnsi="Arial" w:cs="Arial"/>
                <w:sz w:val="22"/>
                <w:szCs w:val="22"/>
              </w:rPr>
            </w:pPr>
          </w:p>
        </w:tc>
        <w:tc>
          <w:tcPr>
            <w:tcW w:w="1070" w:type="dxa"/>
            <w:tcBorders>
              <w:bottom w:val="single" w:sz="4" w:space="0" w:color="auto"/>
            </w:tcBorders>
          </w:tcPr>
          <w:p w14:paraId="1B7F2152" w14:textId="77777777" w:rsidR="006F78D5" w:rsidRPr="0080575F" w:rsidRDefault="006F78D5" w:rsidP="000D7DDA">
            <w:pPr>
              <w:rPr>
                <w:rFonts w:ascii="Arial" w:hAnsi="Arial" w:cs="Arial"/>
                <w:sz w:val="22"/>
                <w:szCs w:val="22"/>
              </w:rPr>
            </w:pPr>
          </w:p>
        </w:tc>
        <w:tc>
          <w:tcPr>
            <w:tcW w:w="943" w:type="dxa"/>
            <w:tcBorders>
              <w:bottom w:val="single" w:sz="4" w:space="0" w:color="auto"/>
            </w:tcBorders>
          </w:tcPr>
          <w:p w14:paraId="772E1A1B" w14:textId="77777777" w:rsidR="006F78D5" w:rsidRPr="0080575F" w:rsidRDefault="006F78D5" w:rsidP="000D7DDA">
            <w:pPr>
              <w:rPr>
                <w:rFonts w:ascii="Arial" w:hAnsi="Arial" w:cs="Arial"/>
                <w:sz w:val="22"/>
                <w:szCs w:val="22"/>
              </w:rPr>
            </w:pPr>
          </w:p>
        </w:tc>
        <w:tc>
          <w:tcPr>
            <w:tcW w:w="943" w:type="dxa"/>
            <w:tcBorders>
              <w:bottom w:val="single" w:sz="4" w:space="0" w:color="auto"/>
            </w:tcBorders>
          </w:tcPr>
          <w:p w14:paraId="3EAC7D69" w14:textId="77777777" w:rsidR="006F78D5" w:rsidRPr="0080575F" w:rsidRDefault="006F78D5" w:rsidP="000D7DDA">
            <w:pPr>
              <w:rPr>
                <w:rFonts w:ascii="Arial" w:hAnsi="Arial" w:cs="Arial"/>
                <w:sz w:val="22"/>
                <w:szCs w:val="22"/>
              </w:rPr>
            </w:pPr>
          </w:p>
        </w:tc>
        <w:tc>
          <w:tcPr>
            <w:tcW w:w="943" w:type="dxa"/>
            <w:tcBorders>
              <w:bottom w:val="single" w:sz="4" w:space="0" w:color="auto"/>
            </w:tcBorders>
          </w:tcPr>
          <w:p w14:paraId="7A540BDE" w14:textId="77777777" w:rsidR="006F78D5" w:rsidRPr="0080575F" w:rsidRDefault="006F78D5" w:rsidP="000D7DDA">
            <w:pPr>
              <w:rPr>
                <w:rFonts w:ascii="Arial" w:hAnsi="Arial" w:cs="Arial"/>
                <w:sz w:val="22"/>
                <w:szCs w:val="22"/>
              </w:rPr>
            </w:pPr>
          </w:p>
        </w:tc>
      </w:tr>
    </w:tbl>
    <w:p w14:paraId="265AF214" w14:textId="77777777" w:rsidR="006F78D5" w:rsidRDefault="006F78D5" w:rsidP="006F78D5"/>
    <w:p w14:paraId="4A9BCB35" w14:textId="77777777" w:rsidR="0080575F" w:rsidRDefault="0080575F" w:rsidP="0080575F"/>
    <w:p w14:paraId="062CB0B4" w14:textId="3B5411E6" w:rsidR="0054314B" w:rsidRDefault="0054314B" w:rsidP="003F63CC">
      <w:pPr>
        <w:pStyle w:val="Heading3"/>
        <w:rPr>
          <w:rFonts w:cs="Arial"/>
          <w:color w:val="000000" w:themeColor="text1"/>
          <w:szCs w:val="22"/>
        </w:rPr>
      </w:pPr>
      <w:bookmarkStart w:id="393" w:name="_Toc46770832"/>
      <w:bookmarkStart w:id="394" w:name="_Toc79414243"/>
      <w:r w:rsidRPr="003F63CC">
        <w:rPr>
          <w:rFonts w:cs="Arial"/>
          <w:color w:val="000000" w:themeColor="text1"/>
          <w:szCs w:val="22"/>
        </w:rPr>
        <w:t>5.</w:t>
      </w:r>
      <w:r w:rsidR="007146C6">
        <w:rPr>
          <w:rFonts w:cs="Arial"/>
          <w:color w:val="000000" w:themeColor="text1"/>
          <w:szCs w:val="22"/>
        </w:rPr>
        <w:t>7</w:t>
      </w:r>
      <w:r w:rsidRPr="003F63CC">
        <w:rPr>
          <w:rFonts w:cs="Arial"/>
          <w:color w:val="000000" w:themeColor="text1"/>
          <w:szCs w:val="22"/>
        </w:rPr>
        <w:t>.2</w:t>
      </w:r>
      <w:r w:rsidR="003F63CC" w:rsidRPr="003F63CC">
        <w:rPr>
          <w:rFonts w:cs="Arial"/>
          <w:color w:val="000000" w:themeColor="text1"/>
          <w:szCs w:val="22"/>
        </w:rPr>
        <w:t xml:space="preserve"> The hierarchical loglinear analysis model</w:t>
      </w:r>
      <w:bookmarkEnd w:id="393"/>
      <w:bookmarkEnd w:id="394"/>
    </w:p>
    <w:p w14:paraId="25A064A6" w14:textId="77777777" w:rsidR="003F63CC" w:rsidRPr="003F63CC" w:rsidRDefault="003F63CC" w:rsidP="003F63CC"/>
    <w:p w14:paraId="3C6D56A9" w14:textId="27B24247" w:rsidR="007F596B" w:rsidRDefault="007F596B" w:rsidP="007F596B">
      <w:pPr>
        <w:spacing w:line="480" w:lineRule="auto"/>
        <w:rPr>
          <w:rFonts w:ascii="Arial" w:eastAsia="Times New Roman" w:hAnsi="Arial" w:cs="Arial"/>
          <w:color w:val="000000"/>
          <w:sz w:val="22"/>
          <w:szCs w:val="22"/>
        </w:rPr>
      </w:pPr>
      <w:r w:rsidRPr="00D34C32">
        <w:rPr>
          <w:rFonts w:ascii="Arial" w:eastAsia="Times New Roman" w:hAnsi="Arial" w:cs="Arial"/>
          <w:color w:val="000000"/>
          <w:sz w:val="22"/>
          <w:szCs w:val="22"/>
        </w:rPr>
        <w:t xml:space="preserve">A hierarchical loglinear analysis was performed to determine a statistical model for the associations among categorical variables including therapist (fidelity score and adherence score), patient (age, gender and initial anxiety and depression severity scores) and clinical outcomes (improvement, recovery). Loglinear models offer a valuable systematic approach when analysing complex multi-dimensional contingency tables, allowing comparative analyses of differing effects between </w:t>
      </w:r>
      <w:r w:rsidR="0080634F">
        <w:rPr>
          <w:rFonts w:ascii="Arial" w:eastAsia="Times New Roman" w:hAnsi="Arial" w:cs="Arial"/>
          <w:color w:val="000000"/>
          <w:sz w:val="22"/>
          <w:szCs w:val="22"/>
        </w:rPr>
        <w:t xml:space="preserve">the </w:t>
      </w:r>
      <w:r w:rsidRPr="00D34C32">
        <w:rPr>
          <w:rFonts w:ascii="Arial" w:eastAsia="Times New Roman" w:hAnsi="Arial" w:cs="Arial"/>
          <w:color w:val="000000"/>
          <w:sz w:val="22"/>
          <w:szCs w:val="22"/>
        </w:rPr>
        <w:t>variables to be undertaken (Everitt</w:t>
      </w:r>
      <w:r w:rsidR="00AE08C3">
        <w:rPr>
          <w:rFonts w:ascii="Arial" w:eastAsia="Times New Roman" w:hAnsi="Arial" w:cs="Arial"/>
          <w:color w:val="000000"/>
          <w:sz w:val="22"/>
          <w:szCs w:val="22"/>
        </w:rPr>
        <w:t>,</w:t>
      </w:r>
      <w:r w:rsidRPr="00D34C32">
        <w:rPr>
          <w:rFonts w:ascii="Arial" w:eastAsia="Times New Roman" w:hAnsi="Arial" w:cs="Arial"/>
          <w:color w:val="000000"/>
          <w:sz w:val="22"/>
          <w:szCs w:val="22"/>
        </w:rPr>
        <w:t xml:space="preserve"> 1977).</w:t>
      </w:r>
      <w:r w:rsidR="0054314B">
        <w:rPr>
          <w:rFonts w:ascii="Arial" w:eastAsia="Times New Roman" w:hAnsi="Arial" w:cs="Arial"/>
          <w:color w:val="000000"/>
          <w:sz w:val="22"/>
          <w:szCs w:val="22"/>
        </w:rPr>
        <w:t xml:space="preserve"> </w:t>
      </w:r>
      <w:r w:rsidRPr="00D34C32">
        <w:rPr>
          <w:rFonts w:ascii="Arial" w:eastAsia="Times New Roman" w:hAnsi="Arial" w:cs="Arial"/>
          <w:color w:val="000000"/>
          <w:sz w:val="22"/>
          <w:szCs w:val="22"/>
        </w:rPr>
        <w:t xml:space="preserve">In this analysis, </w:t>
      </w:r>
      <w:r w:rsidR="006D2D19">
        <w:rPr>
          <w:rFonts w:ascii="Arial" w:eastAsia="Times New Roman" w:hAnsi="Arial" w:cs="Arial"/>
          <w:color w:val="000000"/>
          <w:sz w:val="22"/>
          <w:szCs w:val="22"/>
        </w:rPr>
        <w:t>594</w:t>
      </w:r>
      <w:r w:rsidRPr="00D34C32">
        <w:rPr>
          <w:rFonts w:ascii="Arial" w:eastAsia="Times New Roman" w:hAnsi="Arial" w:cs="Arial"/>
          <w:color w:val="000000"/>
          <w:sz w:val="22"/>
          <w:szCs w:val="22"/>
        </w:rPr>
        <w:t xml:space="preserve"> cases were included in the model, derived by a backwards elimination procedure beginning with an unsaturated model for all eight main effects and their 28 possible two-way interactions. </w:t>
      </w:r>
      <w:r w:rsidRPr="005144E4">
        <w:rPr>
          <w:rFonts w:ascii="Arial" w:eastAsia="Times New Roman" w:hAnsi="Arial" w:cs="Arial"/>
          <w:color w:val="000000"/>
          <w:sz w:val="22"/>
          <w:szCs w:val="22"/>
        </w:rPr>
        <w:t>The final model was derived using SPSS (hierarchical loglinear model selection, IBM SPSS, version 24)</w:t>
      </w:r>
      <w:r w:rsidR="003473C7" w:rsidRPr="005144E4">
        <w:rPr>
          <w:rFonts w:ascii="Arial" w:eastAsia="Times New Roman" w:hAnsi="Arial" w:cs="Arial"/>
          <w:color w:val="000000"/>
          <w:sz w:val="22"/>
          <w:szCs w:val="22"/>
        </w:rPr>
        <w:t>. T</w:t>
      </w:r>
      <w:r w:rsidR="00C7348E" w:rsidRPr="005144E4">
        <w:rPr>
          <w:rFonts w:ascii="Arial" w:eastAsia="Times New Roman" w:hAnsi="Arial" w:cs="Arial"/>
          <w:color w:val="000000"/>
          <w:sz w:val="22"/>
          <w:szCs w:val="22"/>
        </w:rPr>
        <w:t>he assumptions for the model were met</w:t>
      </w:r>
      <w:r w:rsidR="008A7598" w:rsidRPr="005144E4">
        <w:rPr>
          <w:rFonts w:ascii="Arial" w:eastAsia="Times New Roman" w:hAnsi="Arial" w:cs="Arial"/>
          <w:color w:val="000000"/>
          <w:sz w:val="22"/>
          <w:szCs w:val="22"/>
        </w:rPr>
        <w:t xml:space="preserve"> in that there were</w:t>
      </w:r>
      <w:r w:rsidRPr="00D34C32">
        <w:rPr>
          <w:rFonts w:ascii="Arial" w:eastAsia="Times New Roman" w:hAnsi="Arial" w:cs="Arial"/>
          <w:color w:val="000000"/>
          <w:sz w:val="22"/>
          <w:szCs w:val="22"/>
        </w:rPr>
        <w:t xml:space="preserve"> no outliers and approximately normally distributed residuals.</w:t>
      </w:r>
      <w:r w:rsidR="00674E42">
        <w:rPr>
          <w:rFonts w:ascii="Arial" w:eastAsia="Times New Roman" w:hAnsi="Arial" w:cs="Arial"/>
          <w:color w:val="000000"/>
          <w:sz w:val="22"/>
          <w:szCs w:val="22"/>
        </w:rPr>
        <w:t xml:space="preserve"> </w:t>
      </w:r>
      <w:r w:rsidR="00674E42" w:rsidRPr="005144E4">
        <w:rPr>
          <w:rFonts w:ascii="Arial" w:eastAsia="Times New Roman" w:hAnsi="Arial" w:cs="Arial"/>
          <w:color w:val="000000"/>
          <w:sz w:val="22"/>
          <w:szCs w:val="22"/>
        </w:rPr>
        <w:t xml:space="preserve">The SPSS </w:t>
      </w:r>
      <w:r w:rsidR="00674E42" w:rsidRPr="005144E4">
        <w:rPr>
          <w:rFonts w:ascii="Arial" w:eastAsia="Times New Roman" w:hAnsi="Arial" w:cs="Arial"/>
          <w:color w:val="000000"/>
          <w:sz w:val="22"/>
          <w:szCs w:val="22"/>
        </w:rPr>
        <w:lastRenderedPageBreak/>
        <w:t>output from the model is shown in appen</w:t>
      </w:r>
      <w:r w:rsidR="00040F9A" w:rsidRPr="005144E4">
        <w:rPr>
          <w:rFonts w:ascii="Arial" w:eastAsia="Times New Roman" w:hAnsi="Arial" w:cs="Arial"/>
          <w:color w:val="000000"/>
          <w:sz w:val="22"/>
          <w:szCs w:val="22"/>
        </w:rPr>
        <w:t>dix item 8.</w:t>
      </w:r>
      <w:r w:rsidRPr="00D34C32">
        <w:rPr>
          <w:rFonts w:ascii="Arial" w:eastAsia="Times New Roman" w:hAnsi="Arial" w:cs="Arial"/>
          <w:color w:val="000000"/>
          <w:sz w:val="22"/>
          <w:szCs w:val="22"/>
        </w:rPr>
        <w:t xml:space="preserve"> This computer-generated model included gender as main effect only and the two-way interactions between A score*F score, age*GAD-7 at start of treatment, age* recovery, F score*recovery, GAD-7*improvement, GAD-7*PHQ-9, GAD-7*recovery. PHQ-9*improvement and improvement*recovery, having excluded all other interactions as non-statistically significant. The model had a likelihood ratio of X</w:t>
      </w:r>
      <w:r w:rsidRPr="00D34C32">
        <w:rPr>
          <w:rFonts w:ascii="Arial" w:eastAsia="Times New Roman" w:hAnsi="Arial" w:cs="Arial"/>
          <w:color w:val="000000"/>
          <w:sz w:val="22"/>
          <w:szCs w:val="22"/>
          <w:vertAlign w:val="superscript"/>
        </w:rPr>
        <w:t>2</w:t>
      </w:r>
      <w:r w:rsidRPr="00D34C32">
        <w:rPr>
          <w:rFonts w:ascii="Arial" w:eastAsia="Times New Roman" w:hAnsi="Arial" w:cs="Arial"/>
          <w:color w:val="000000"/>
          <w:sz w:val="22"/>
          <w:szCs w:val="22"/>
        </w:rPr>
        <w:t xml:space="preserve"> (488) = 405.3, p= .997. A graphical representation of this model, indicating the relative strengths of the various interactions, is </w:t>
      </w:r>
      <w:r w:rsidR="00F45BE3">
        <w:rPr>
          <w:rFonts w:ascii="Arial" w:eastAsia="Times New Roman" w:hAnsi="Arial" w:cs="Arial"/>
          <w:color w:val="000000"/>
          <w:sz w:val="22"/>
          <w:szCs w:val="22"/>
        </w:rPr>
        <w:t>shown</w:t>
      </w:r>
      <w:r w:rsidRPr="00D34C32">
        <w:rPr>
          <w:rFonts w:ascii="Arial" w:eastAsia="Times New Roman" w:hAnsi="Arial" w:cs="Arial"/>
          <w:color w:val="000000"/>
          <w:sz w:val="22"/>
          <w:szCs w:val="22"/>
        </w:rPr>
        <w:t xml:space="preserve"> in figure </w:t>
      </w:r>
      <w:r w:rsidR="00F45BE3">
        <w:rPr>
          <w:rFonts w:ascii="Arial" w:eastAsia="Times New Roman" w:hAnsi="Arial" w:cs="Arial"/>
          <w:color w:val="000000"/>
          <w:sz w:val="22"/>
          <w:szCs w:val="22"/>
        </w:rPr>
        <w:t>5.1</w:t>
      </w:r>
      <w:r w:rsidR="009B05BE">
        <w:rPr>
          <w:rFonts w:ascii="Arial" w:eastAsia="Times New Roman" w:hAnsi="Arial" w:cs="Arial"/>
          <w:color w:val="000000"/>
          <w:sz w:val="22"/>
          <w:szCs w:val="22"/>
        </w:rPr>
        <w:t>2</w:t>
      </w:r>
      <w:r w:rsidRPr="00D34C32">
        <w:rPr>
          <w:rFonts w:ascii="Arial" w:eastAsia="Times New Roman" w:hAnsi="Arial" w:cs="Arial"/>
          <w:color w:val="000000"/>
          <w:sz w:val="22"/>
          <w:szCs w:val="22"/>
        </w:rPr>
        <w:t xml:space="preserve"> with the generating class shown in table </w:t>
      </w:r>
      <w:r w:rsidR="008A1595">
        <w:rPr>
          <w:rFonts w:ascii="Arial" w:eastAsia="Times New Roman" w:hAnsi="Arial" w:cs="Arial"/>
          <w:color w:val="000000"/>
          <w:sz w:val="22"/>
          <w:szCs w:val="22"/>
        </w:rPr>
        <w:t>5</w:t>
      </w:r>
      <w:r>
        <w:rPr>
          <w:rFonts w:ascii="Arial" w:eastAsia="Times New Roman" w:hAnsi="Arial" w:cs="Arial"/>
          <w:color w:val="000000"/>
          <w:sz w:val="22"/>
          <w:szCs w:val="22"/>
        </w:rPr>
        <w:t>.</w:t>
      </w:r>
      <w:r w:rsidR="00DE1F87">
        <w:rPr>
          <w:rFonts w:ascii="Arial" w:eastAsia="Times New Roman" w:hAnsi="Arial" w:cs="Arial"/>
          <w:color w:val="000000"/>
          <w:sz w:val="22"/>
          <w:szCs w:val="22"/>
        </w:rPr>
        <w:t>11</w:t>
      </w:r>
      <w:r w:rsidR="00F45BE3">
        <w:rPr>
          <w:rFonts w:ascii="Arial" w:eastAsia="Times New Roman" w:hAnsi="Arial" w:cs="Arial"/>
          <w:color w:val="000000"/>
          <w:sz w:val="22"/>
          <w:szCs w:val="22"/>
        </w:rPr>
        <w:t>.</w:t>
      </w:r>
    </w:p>
    <w:p w14:paraId="6F23F12C" w14:textId="1A9CA9AB" w:rsidR="00B524C7" w:rsidRDefault="00B524C7">
      <w:pPr>
        <w:rPr>
          <w:rFonts w:ascii="Arial" w:hAnsi="Arial"/>
          <w:b/>
          <w:iCs/>
          <w:sz w:val="22"/>
          <w:szCs w:val="18"/>
        </w:rPr>
      </w:pPr>
      <w:bookmarkStart w:id="395" w:name="_Toc28347790"/>
    </w:p>
    <w:p w14:paraId="0725CFAE" w14:textId="77777777" w:rsidR="007F4F00" w:rsidRDefault="007F4F00">
      <w:pPr>
        <w:rPr>
          <w:rFonts w:ascii="Arial" w:hAnsi="Arial"/>
          <w:b/>
          <w:iCs/>
          <w:sz w:val="22"/>
          <w:szCs w:val="18"/>
        </w:rPr>
      </w:pPr>
    </w:p>
    <w:p w14:paraId="3DD6BCFE" w14:textId="6E3129F8" w:rsidR="00746422" w:rsidRPr="00746422" w:rsidRDefault="00746422" w:rsidP="00746422">
      <w:pPr>
        <w:pStyle w:val="Tables"/>
        <w:rPr>
          <w:b w:val="0"/>
        </w:rPr>
      </w:pPr>
      <w:bookmarkStart w:id="396" w:name="_Toc46770991"/>
      <w:r w:rsidRPr="00EA21E2">
        <w:t xml:space="preserve">Table 5.11 </w:t>
      </w:r>
      <w:r w:rsidRPr="00746422">
        <w:rPr>
          <w:b w:val="0"/>
        </w:rPr>
        <w:t>Generating class for best hierarchical log linear model</w:t>
      </w:r>
      <w:bookmarkEnd w:id="395"/>
      <w:bookmarkEnd w:id="39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8"/>
        <w:gridCol w:w="767"/>
        <w:gridCol w:w="424"/>
        <w:gridCol w:w="1091"/>
      </w:tblGrid>
      <w:tr w:rsidR="007F596B" w:rsidRPr="00AF6031" w14:paraId="6B37281C" w14:textId="77777777" w:rsidTr="005152A6">
        <w:tc>
          <w:tcPr>
            <w:tcW w:w="0" w:type="auto"/>
            <w:tcBorders>
              <w:top w:val="single" w:sz="4" w:space="0" w:color="auto"/>
              <w:bottom w:val="single" w:sz="4" w:space="0" w:color="auto"/>
            </w:tcBorders>
          </w:tcPr>
          <w:p w14:paraId="76C210EC" w14:textId="4719FFE6" w:rsidR="007F596B" w:rsidRPr="00AF6031" w:rsidRDefault="00942EB7" w:rsidP="007F596B">
            <w:pPr>
              <w:rPr>
                <w:rFonts w:ascii="Arial" w:hAnsi="Arial" w:cs="Arial"/>
                <w:b/>
                <w:sz w:val="22"/>
                <w:szCs w:val="22"/>
              </w:rPr>
            </w:pPr>
            <w:r>
              <w:rPr>
                <w:rFonts w:ascii="Arial" w:hAnsi="Arial" w:cs="Arial"/>
                <w:b/>
                <w:sz w:val="22"/>
                <w:szCs w:val="22"/>
              </w:rPr>
              <w:t>Interaction</w:t>
            </w:r>
          </w:p>
        </w:tc>
        <w:tc>
          <w:tcPr>
            <w:tcW w:w="0" w:type="auto"/>
            <w:tcBorders>
              <w:top w:val="single" w:sz="4" w:space="0" w:color="auto"/>
              <w:bottom w:val="single" w:sz="4" w:space="0" w:color="auto"/>
            </w:tcBorders>
          </w:tcPr>
          <w:p w14:paraId="0E102F10" w14:textId="77777777" w:rsidR="007F596B" w:rsidRPr="00AF6031" w:rsidRDefault="007F596B" w:rsidP="007F596B">
            <w:pPr>
              <w:rPr>
                <w:rFonts w:ascii="Arial" w:hAnsi="Arial" w:cs="Arial"/>
                <w:b/>
                <w:sz w:val="22"/>
                <w:szCs w:val="22"/>
              </w:rPr>
            </w:pPr>
            <w:r w:rsidRPr="00AF6031">
              <w:rPr>
                <w:rFonts w:ascii="Arial" w:hAnsi="Arial" w:cs="Arial"/>
                <w:b/>
                <w:sz w:val="22"/>
                <w:szCs w:val="22"/>
              </w:rPr>
              <w:t>X</w:t>
            </w:r>
            <w:r w:rsidRPr="00AF6031">
              <w:rPr>
                <w:rFonts w:ascii="Arial" w:hAnsi="Arial" w:cs="Arial"/>
                <w:b/>
                <w:sz w:val="22"/>
                <w:szCs w:val="22"/>
                <w:vertAlign w:val="superscript"/>
              </w:rPr>
              <w:t>2</w:t>
            </w:r>
          </w:p>
        </w:tc>
        <w:tc>
          <w:tcPr>
            <w:tcW w:w="0" w:type="auto"/>
            <w:tcBorders>
              <w:top w:val="single" w:sz="4" w:space="0" w:color="auto"/>
              <w:bottom w:val="single" w:sz="4" w:space="0" w:color="auto"/>
            </w:tcBorders>
          </w:tcPr>
          <w:p w14:paraId="1DEA4012" w14:textId="77777777" w:rsidR="007F596B" w:rsidRPr="00AF6031" w:rsidRDefault="007F596B" w:rsidP="007F596B">
            <w:pPr>
              <w:rPr>
                <w:rFonts w:ascii="Arial" w:hAnsi="Arial" w:cs="Arial"/>
                <w:b/>
                <w:sz w:val="22"/>
                <w:szCs w:val="22"/>
              </w:rPr>
            </w:pPr>
            <w:r w:rsidRPr="00AF6031">
              <w:rPr>
                <w:rFonts w:ascii="Arial" w:hAnsi="Arial" w:cs="Arial"/>
                <w:b/>
                <w:sz w:val="22"/>
                <w:szCs w:val="22"/>
              </w:rPr>
              <w:t>df</w:t>
            </w:r>
          </w:p>
        </w:tc>
        <w:tc>
          <w:tcPr>
            <w:tcW w:w="0" w:type="auto"/>
            <w:tcBorders>
              <w:top w:val="single" w:sz="4" w:space="0" w:color="auto"/>
              <w:bottom w:val="single" w:sz="4" w:space="0" w:color="auto"/>
            </w:tcBorders>
          </w:tcPr>
          <w:p w14:paraId="3EA8C26A" w14:textId="77777777" w:rsidR="007F596B" w:rsidRPr="00AF6031" w:rsidRDefault="007F596B" w:rsidP="007F596B">
            <w:pPr>
              <w:rPr>
                <w:rFonts w:ascii="Arial" w:hAnsi="Arial" w:cs="Arial"/>
                <w:b/>
                <w:sz w:val="22"/>
                <w:szCs w:val="22"/>
              </w:rPr>
            </w:pPr>
            <w:r w:rsidRPr="00AF6031">
              <w:rPr>
                <w:rFonts w:ascii="Arial" w:hAnsi="Arial" w:cs="Arial"/>
                <w:b/>
                <w:sz w:val="22"/>
                <w:szCs w:val="22"/>
              </w:rPr>
              <w:t>p value</w:t>
            </w:r>
          </w:p>
        </w:tc>
      </w:tr>
      <w:tr w:rsidR="007F596B" w:rsidRPr="00AF6031" w14:paraId="78FAF92C" w14:textId="77777777" w:rsidTr="005152A6">
        <w:tc>
          <w:tcPr>
            <w:tcW w:w="0" w:type="auto"/>
            <w:tcBorders>
              <w:top w:val="single" w:sz="4" w:space="0" w:color="auto"/>
            </w:tcBorders>
          </w:tcPr>
          <w:p w14:paraId="3E0A9E94" w14:textId="77777777" w:rsidR="007F596B" w:rsidRPr="00AF6031" w:rsidRDefault="007F596B" w:rsidP="007F596B">
            <w:pPr>
              <w:rPr>
                <w:rFonts w:ascii="Arial" w:hAnsi="Arial" w:cs="Arial"/>
                <w:sz w:val="22"/>
                <w:szCs w:val="22"/>
              </w:rPr>
            </w:pPr>
            <w:r w:rsidRPr="00AF6031">
              <w:rPr>
                <w:rFonts w:ascii="Arial" w:hAnsi="Arial" w:cs="Arial"/>
                <w:sz w:val="22"/>
                <w:szCs w:val="22"/>
              </w:rPr>
              <w:t>A*F Quartile</w:t>
            </w:r>
          </w:p>
        </w:tc>
        <w:tc>
          <w:tcPr>
            <w:tcW w:w="0" w:type="auto"/>
            <w:tcBorders>
              <w:top w:val="single" w:sz="4" w:space="0" w:color="auto"/>
            </w:tcBorders>
          </w:tcPr>
          <w:p w14:paraId="38725687" w14:textId="77777777" w:rsidR="007F596B" w:rsidRPr="00AF6031" w:rsidRDefault="007F596B" w:rsidP="007F596B">
            <w:pPr>
              <w:rPr>
                <w:rFonts w:ascii="Arial" w:hAnsi="Arial" w:cs="Arial"/>
                <w:sz w:val="22"/>
                <w:szCs w:val="22"/>
              </w:rPr>
            </w:pPr>
            <w:r w:rsidRPr="00AF6031">
              <w:rPr>
                <w:rFonts w:ascii="Arial" w:hAnsi="Arial" w:cs="Arial"/>
                <w:sz w:val="22"/>
                <w:szCs w:val="22"/>
              </w:rPr>
              <w:t>217.9</w:t>
            </w:r>
          </w:p>
        </w:tc>
        <w:tc>
          <w:tcPr>
            <w:tcW w:w="0" w:type="auto"/>
            <w:tcBorders>
              <w:top w:val="single" w:sz="4" w:space="0" w:color="auto"/>
            </w:tcBorders>
          </w:tcPr>
          <w:p w14:paraId="156E4CD1" w14:textId="77777777" w:rsidR="007F596B" w:rsidRPr="00AF6031" w:rsidRDefault="007F596B" w:rsidP="007F596B">
            <w:pPr>
              <w:rPr>
                <w:rFonts w:ascii="Arial" w:hAnsi="Arial" w:cs="Arial"/>
                <w:sz w:val="22"/>
                <w:szCs w:val="22"/>
              </w:rPr>
            </w:pPr>
            <w:r w:rsidRPr="00AF6031">
              <w:rPr>
                <w:rFonts w:ascii="Arial" w:hAnsi="Arial" w:cs="Arial"/>
                <w:sz w:val="22"/>
                <w:szCs w:val="22"/>
              </w:rPr>
              <w:t>3</w:t>
            </w:r>
          </w:p>
        </w:tc>
        <w:tc>
          <w:tcPr>
            <w:tcW w:w="0" w:type="auto"/>
            <w:tcBorders>
              <w:top w:val="single" w:sz="4" w:space="0" w:color="auto"/>
            </w:tcBorders>
          </w:tcPr>
          <w:p w14:paraId="4385A440" w14:textId="66C6A094" w:rsidR="007F596B" w:rsidRPr="00AF6031" w:rsidRDefault="00942EB7" w:rsidP="007F596B">
            <w:pPr>
              <w:rPr>
                <w:rFonts w:ascii="Arial" w:hAnsi="Arial" w:cs="Arial"/>
                <w:sz w:val="22"/>
                <w:szCs w:val="22"/>
              </w:rPr>
            </w:pPr>
            <w:r>
              <w:rPr>
                <w:rFonts w:ascii="Arial" w:hAnsi="Arial" w:cs="Arial"/>
              </w:rPr>
              <w:t>&lt;0.0005</w:t>
            </w:r>
          </w:p>
        </w:tc>
      </w:tr>
      <w:tr w:rsidR="006368D4" w:rsidRPr="00AF6031" w14:paraId="0DE75161" w14:textId="77777777" w:rsidTr="001232FB">
        <w:trPr>
          <w:trHeight w:val="506"/>
        </w:trPr>
        <w:tc>
          <w:tcPr>
            <w:tcW w:w="0" w:type="auto"/>
          </w:tcPr>
          <w:p w14:paraId="124633B5" w14:textId="77777777" w:rsidR="006368D4" w:rsidRPr="00AF6031" w:rsidRDefault="006368D4" w:rsidP="007F596B">
            <w:pPr>
              <w:rPr>
                <w:rFonts w:ascii="Arial" w:hAnsi="Arial" w:cs="Arial"/>
                <w:sz w:val="22"/>
                <w:szCs w:val="22"/>
              </w:rPr>
            </w:pPr>
            <w:r w:rsidRPr="00AF6031">
              <w:rPr>
                <w:rFonts w:ascii="Arial" w:hAnsi="Arial" w:cs="Arial"/>
                <w:sz w:val="22"/>
                <w:szCs w:val="22"/>
              </w:rPr>
              <w:t xml:space="preserve"> Age*GAD</w:t>
            </w:r>
          </w:p>
          <w:p w14:paraId="4F360997" w14:textId="36C29063" w:rsidR="006368D4" w:rsidRPr="00AF6031" w:rsidRDefault="006368D4" w:rsidP="007F596B">
            <w:pPr>
              <w:rPr>
                <w:rFonts w:ascii="Arial" w:hAnsi="Arial" w:cs="Arial"/>
                <w:sz w:val="22"/>
                <w:szCs w:val="22"/>
              </w:rPr>
            </w:pPr>
            <w:r w:rsidRPr="00AF6031">
              <w:rPr>
                <w:rFonts w:ascii="Arial" w:hAnsi="Arial" w:cs="Arial"/>
                <w:sz w:val="22"/>
                <w:szCs w:val="22"/>
              </w:rPr>
              <w:t>Age*Recover</w:t>
            </w:r>
            <w:r w:rsidR="00942EB7">
              <w:rPr>
                <w:rFonts w:ascii="Arial" w:hAnsi="Arial" w:cs="Arial"/>
                <w:sz w:val="22"/>
                <w:szCs w:val="22"/>
              </w:rPr>
              <w:t>y</w:t>
            </w:r>
          </w:p>
        </w:tc>
        <w:tc>
          <w:tcPr>
            <w:tcW w:w="0" w:type="auto"/>
          </w:tcPr>
          <w:p w14:paraId="2F737270" w14:textId="77777777" w:rsidR="006368D4" w:rsidRPr="00AF6031" w:rsidRDefault="006368D4" w:rsidP="007F596B">
            <w:pPr>
              <w:rPr>
                <w:rFonts w:ascii="Arial" w:hAnsi="Arial" w:cs="Arial"/>
                <w:sz w:val="22"/>
                <w:szCs w:val="22"/>
              </w:rPr>
            </w:pPr>
            <w:r w:rsidRPr="00AF6031">
              <w:rPr>
                <w:rFonts w:ascii="Arial" w:hAnsi="Arial" w:cs="Arial"/>
                <w:sz w:val="22"/>
                <w:szCs w:val="22"/>
              </w:rPr>
              <w:t>6.7</w:t>
            </w:r>
          </w:p>
          <w:p w14:paraId="671AC264" w14:textId="7AFA0A03" w:rsidR="006368D4" w:rsidRPr="00AF6031" w:rsidRDefault="006368D4" w:rsidP="007F596B">
            <w:pPr>
              <w:rPr>
                <w:rFonts w:ascii="Arial" w:hAnsi="Arial" w:cs="Arial"/>
                <w:sz w:val="22"/>
                <w:szCs w:val="22"/>
              </w:rPr>
            </w:pPr>
            <w:r w:rsidRPr="00AF6031">
              <w:rPr>
                <w:rFonts w:ascii="Arial" w:hAnsi="Arial" w:cs="Arial"/>
                <w:sz w:val="22"/>
                <w:szCs w:val="22"/>
              </w:rPr>
              <w:t>4.9</w:t>
            </w:r>
          </w:p>
        </w:tc>
        <w:tc>
          <w:tcPr>
            <w:tcW w:w="0" w:type="auto"/>
          </w:tcPr>
          <w:p w14:paraId="7C477B33" w14:textId="77777777" w:rsidR="006368D4" w:rsidRPr="00AF6031" w:rsidRDefault="006368D4" w:rsidP="007F596B">
            <w:pPr>
              <w:rPr>
                <w:rFonts w:ascii="Arial" w:hAnsi="Arial" w:cs="Arial"/>
                <w:sz w:val="22"/>
                <w:szCs w:val="22"/>
              </w:rPr>
            </w:pPr>
            <w:r w:rsidRPr="00AF6031">
              <w:rPr>
                <w:rFonts w:ascii="Arial" w:hAnsi="Arial" w:cs="Arial"/>
                <w:sz w:val="22"/>
                <w:szCs w:val="22"/>
              </w:rPr>
              <w:t>1</w:t>
            </w:r>
          </w:p>
          <w:p w14:paraId="08A05CAF" w14:textId="5D4E45F1" w:rsidR="006368D4" w:rsidRPr="00AF6031" w:rsidRDefault="006368D4" w:rsidP="007F596B">
            <w:pPr>
              <w:rPr>
                <w:rFonts w:ascii="Arial" w:hAnsi="Arial" w:cs="Arial"/>
                <w:sz w:val="22"/>
                <w:szCs w:val="22"/>
              </w:rPr>
            </w:pPr>
            <w:r w:rsidRPr="00AF6031">
              <w:rPr>
                <w:rFonts w:ascii="Arial" w:hAnsi="Arial" w:cs="Arial"/>
                <w:sz w:val="22"/>
                <w:szCs w:val="22"/>
              </w:rPr>
              <w:t>1</w:t>
            </w:r>
          </w:p>
        </w:tc>
        <w:tc>
          <w:tcPr>
            <w:tcW w:w="0" w:type="auto"/>
          </w:tcPr>
          <w:p w14:paraId="2A87210B" w14:textId="77777777" w:rsidR="006368D4" w:rsidRPr="00AF6031" w:rsidRDefault="006368D4" w:rsidP="007F596B">
            <w:pPr>
              <w:rPr>
                <w:rFonts w:ascii="Arial" w:hAnsi="Arial" w:cs="Arial"/>
                <w:sz w:val="22"/>
                <w:szCs w:val="22"/>
              </w:rPr>
            </w:pPr>
            <w:r w:rsidRPr="00AF6031">
              <w:rPr>
                <w:rFonts w:ascii="Arial" w:hAnsi="Arial" w:cs="Arial"/>
                <w:sz w:val="22"/>
                <w:szCs w:val="22"/>
              </w:rPr>
              <w:t>.010</w:t>
            </w:r>
          </w:p>
          <w:p w14:paraId="0B105DB3" w14:textId="1D0B7D83" w:rsidR="006368D4" w:rsidRPr="00AF6031" w:rsidRDefault="006368D4" w:rsidP="007F596B">
            <w:pPr>
              <w:rPr>
                <w:rFonts w:ascii="Arial" w:hAnsi="Arial" w:cs="Arial"/>
                <w:sz w:val="22"/>
                <w:szCs w:val="22"/>
              </w:rPr>
            </w:pPr>
            <w:r w:rsidRPr="00AF6031">
              <w:rPr>
                <w:rFonts w:ascii="Arial" w:hAnsi="Arial" w:cs="Arial"/>
                <w:sz w:val="22"/>
                <w:szCs w:val="22"/>
              </w:rPr>
              <w:t>.025</w:t>
            </w:r>
          </w:p>
        </w:tc>
      </w:tr>
      <w:tr w:rsidR="007F596B" w:rsidRPr="00AF6031" w14:paraId="7D563C43" w14:textId="77777777" w:rsidTr="007F596B">
        <w:tc>
          <w:tcPr>
            <w:tcW w:w="0" w:type="auto"/>
          </w:tcPr>
          <w:p w14:paraId="1DA70030" w14:textId="64DA6435" w:rsidR="007F596B" w:rsidRPr="00AF6031" w:rsidRDefault="007F596B" w:rsidP="007F596B">
            <w:pPr>
              <w:rPr>
                <w:rFonts w:ascii="Arial" w:hAnsi="Arial" w:cs="Arial"/>
                <w:sz w:val="22"/>
                <w:szCs w:val="22"/>
              </w:rPr>
            </w:pPr>
            <w:r w:rsidRPr="00AF6031">
              <w:rPr>
                <w:rFonts w:ascii="Arial" w:hAnsi="Arial" w:cs="Arial"/>
                <w:sz w:val="22"/>
                <w:szCs w:val="22"/>
              </w:rPr>
              <w:t>F Quartile *Recove</w:t>
            </w:r>
            <w:r w:rsidR="00942EB7">
              <w:rPr>
                <w:rFonts w:ascii="Arial" w:hAnsi="Arial" w:cs="Arial"/>
                <w:sz w:val="22"/>
                <w:szCs w:val="22"/>
              </w:rPr>
              <w:t>ry</w:t>
            </w:r>
          </w:p>
        </w:tc>
        <w:tc>
          <w:tcPr>
            <w:tcW w:w="0" w:type="auto"/>
          </w:tcPr>
          <w:p w14:paraId="2ABEF3AD" w14:textId="77777777" w:rsidR="007F596B" w:rsidRPr="00AF6031" w:rsidRDefault="007F596B" w:rsidP="007F596B">
            <w:pPr>
              <w:rPr>
                <w:rFonts w:ascii="Arial" w:hAnsi="Arial" w:cs="Arial"/>
                <w:sz w:val="22"/>
                <w:szCs w:val="22"/>
              </w:rPr>
            </w:pPr>
            <w:r w:rsidRPr="00AF6031">
              <w:rPr>
                <w:rFonts w:ascii="Arial" w:hAnsi="Arial" w:cs="Arial"/>
                <w:sz w:val="22"/>
                <w:szCs w:val="22"/>
              </w:rPr>
              <w:t>10.1</w:t>
            </w:r>
          </w:p>
        </w:tc>
        <w:tc>
          <w:tcPr>
            <w:tcW w:w="0" w:type="auto"/>
          </w:tcPr>
          <w:p w14:paraId="7A96FD33" w14:textId="77777777" w:rsidR="007F596B" w:rsidRPr="00AF6031" w:rsidRDefault="007F596B" w:rsidP="007F596B">
            <w:pPr>
              <w:rPr>
                <w:rFonts w:ascii="Arial" w:hAnsi="Arial" w:cs="Arial"/>
                <w:sz w:val="22"/>
                <w:szCs w:val="22"/>
              </w:rPr>
            </w:pPr>
            <w:r w:rsidRPr="00AF6031">
              <w:rPr>
                <w:rFonts w:ascii="Arial" w:hAnsi="Arial" w:cs="Arial"/>
                <w:sz w:val="22"/>
                <w:szCs w:val="22"/>
              </w:rPr>
              <w:t>3</w:t>
            </w:r>
          </w:p>
        </w:tc>
        <w:tc>
          <w:tcPr>
            <w:tcW w:w="0" w:type="auto"/>
          </w:tcPr>
          <w:p w14:paraId="0D7C8711" w14:textId="77777777" w:rsidR="007F596B" w:rsidRPr="00AF6031" w:rsidRDefault="007F596B" w:rsidP="007F596B">
            <w:pPr>
              <w:rPr>
                <w:rFonts w:ascii="Arial" w:hAnsi="Arial" w:cs="Arial"/>
                <w:sz w:val="22"/>
                <w:szCs w:val="22"/>
              </w:rPr>
            </w:pPr>
            <w:r w:rsidRPr="00AF6031">
              <w:rPr>
                <w:rFonts w:ascii="Arial" w:hAnsi="Arial" w:cs="Arial"/>
                <w:sz w:val="22"/>
                <w:szCs w:val="22"/>
              </w:rPr>
              <w:t>.018</w:t>
            </w:r>
          </w:p>
        </w:tc>
      </w:tr>
      <w:tr w:rsidR="007F596B" w:rsidRPr="00AF6031" w14:paraId="11C091DF" w14:textId="77777777" w:rsidTr="007F596B">
        <w:tc>
          <w:tcPr>
            <w:tcW w:w="0" w:type="auto"/>
          </w:tcPr>
          <w:p w14:paraId="7052D32B" w14:textId="68443C3A" w:rsidR="007F596B" w:rsidRPr="00AF6031" w:rsidRDefault="007F596B" w:rsidP="007F596B">
            <w:pPr>
              <w:rPr>
                <w:rFonts w:ascii="Arial" w:hAnsi="Arial" w:cs="Arial"/>
                <w:sz w:val="22"/>
                <w:szCs w:val="22"/>
              </w:rPr>
            </w:pPr>
            <w:r w:rsidRPr="00AF6031">
              <w:rPr>
                <w:rFonts w:ascii="Arial" w:hAnsi="Arial" w:cs="Arial"/>
                <w:sz w:val="22"/>
                <w:szCs w:val="22"/>
              </w:rPr>
              <w:t>GAD*Improve</w:t>
            </w:r>
            <w:r w:rsidR="00942EB7">
              <w:rPr>
                <w:rFonts w:ascii="Arial" w:hAnsi="Arial" w:cs="Arial"/>
                <w:sz w:val="22"/>
                <w:szCs w:val="22"/>
              </w:rPr>
              <w:t>ment</w:t>
            </w:r>
          </w:p>
        </w:tc>
        <w:tc>
          <w:tcPr>
            <w:tcW w:w="0" w:type="auto"/>
          </w:tcPr>
          <w:p w14:paraId="347C0A23" w14:textId="77777777" w:rsidR="007F596B" w:rsidRPr="00AF6031" w:rsidRDefault="007F596B" w:rsidP="007F596B">
            <w:pPr>
              <w:rPr>
                <w:rFonts w:ascii="Arial" w:hAnsi="Arial" w:cs="Arial"/>
                <w:sz w:val="22"/>
                <w:szCs w:val="22"/>
              </w:rPr>
            </w:pPr>
            <w:r w:rsidRPr="00AF6031">
              <w:rPr>
                <w:rFonts w:ascii="Arial" w:hAnsi="Arial" w:cs="Arial"/>
                <w:sz w:val="22"/>
                <w:szCs w:val="22"/>
              </w:rPr>
              <w:t>27.3</w:t>
            </w:r>
          </w:p>
        </w:tc>
        <w:tc>
          <w:tcPr>
            <w:tcW w:w="0" w:type="auto"/>
          </w:tcPr>
          <w:p w14:paraId="159DC1C0" w14:textId="77777777" w:rsidR="007F596B" w:rsidRPr="00AF6031" w:rsidRDefault="007F596B" w:rsidP="007F596B">
            <w:pPr>
              <w:rPr>
                <w:rFonts w:ascii="Arial" w:hAnsi="Arial" w:cs="Arial"/>
                <w:sz w:val="22"/>
                <w:szCs w:val="22"/>
              </w:rPr>
            </w:pPr>
            <w:r w:rsidRPr="00AF6031">
              <w:rPr>
                <w:rFonts w:ascii="Arial" w:hAnsi="Arial" w:cs="Arial"/>
                <w:sz w:val="22"/>
                <w:szCs w:val="22"/>
              </w:rPr>
              <w:t>1</w:t>
            </w:r>
          </w:p>
        </w:tc>
        <w:tc>
          <w:tcPr>
            <w:tcW w:w="0" w:type="auto"/>
          </w:tcPr>
          <w:p w14:paraId="601E9ED7" w14:textId="15B130E5" w:rsidR="007F596B" w:rsidRPr="00AF6031" w:rsidRDefault="00942EB7" w:rsidP="007F596B">
            <w:pPr>
              <w:rPr>
                <w:rFonts w:ascii="Arial" w:hAnsi="Arial" w:cs="Arial"/>
                <w:sz w:val="22"/>
                <w:szCs w:val="22"/>
              </w:rPr>
            </w:pPr>
            <w:r>
              <w:rPr>
                <w:rFonts w:ascii="Arial" w:hAnsi="Arial" w:cs="Arial"/>
              </w:rPr>
              <w:t>&lt;0.0005</w:t>
            </w:r>
          </w:p>
        </w:tc>
      </w:tr>
      <w:tr w:rsidR="007F596B" w:rsidRPr="00AF6031" w14:paraId="775325AB" w14:textId="77777777" w:rsidTr="007F596B">
        <w:tc>
          <w:tcPr>
            <w:tcW w:w="0" w:type="auto"/>
          </w:tcPr>
          <w:p w14:paraId="23A8E3D7" w14:textId="77777777" w:rsidR="007F596B" w:rsidRPr="00AF6031" w:rsidRDefault="007F596B" w:rsidP="007F596B">
            <w:pPr>
              <w:rPr>
                <w:rFonts w:ascii="Arial" w:hAnsi="Arial" w:cs="Arial"/>
                <w:sz w:val="22"/>
                <w:szCs w:val="22"/>
              </w:rPr>
            </w:pPr>
            <w:r w:rsidRPr="00AF6031">
              <w:rPr>
                <w:rFonts w:ascii="Arial" w:hAnsi="Arial" w:cs="Arial"/>
                <w:sz w:val="22"/>
                <w:szCs w:val="22"/>
              </w:rPr>
              <w:t>GAD*PHQ</w:t>
            </w:r>
          </w:p>
        </w:tc>
        <w:tc>
          <w:tcPr>
            <w:tcW w:w="0" w:type="auto"/>
          </w:tcPr>
          <w:p w14:paraId="2139820E" w14:textId="77777777" w:rsidR="007F596B" w:rsidRPr="00AF6031" w:rsidRDefault="007F596B" w:rsidP="007F596B">
            <w:pPr>
              <w:rPr>
                <w:rFonts w:ascii="Arial" w:hAnsi="Arial" w:cs="Arial"/>
                <w:sz w:val="22"/>
                <w:szCs w:val="22"/>
              </w:rPr>
            </w:pPr>
            <w:r w:rsidRPr="00AF6031">
              <w:rPr>
                <w:rFonts w:ascii="Arial" w:hAnsi="Arial" w:cs="Arial"/>
                <w:sz w:val="22"/>
                <w:szCs w:val="22"/>
              </w:rPr>
              <w:t>100.8</w:t>
            </w:r>
          </w:p>
        </w:tc>
        <w:tc>
          <w:tcPr>
            <w:tcW w:w="0" w:type="auto"/>
          </w:tcPr>
          <w:p w14:paraId="363F097C" w14:textId="77777777" w:rsidR="007F596B" w:rsidRPr="00AF6031" w:rsidRDefault="007F596B" w:rsidP="007F596B">
            <w:pPr>
              <w:rPr>
                <w:rFonts w:ascii="Arial" w:hAnsi="Arial" w:cs="Arial"/>
                <w:sz w:val="22"/>
                <w:szCs w:val="22"/>
              </w:rPr>
            </w:pPr>
            <w:r w:rsidRPr="00AF6031">
              <w:rPr>
                <w:rFonts w:ascii="Arial" w:hAnsi="Arial" w:cs="Arial"/>
                <w:sz w:val="22"/>
                <w:szCs w:val="22"/>
              </w:rPr>
              <w:t>1</w:t>
            </w:r>
          </w:p>
        </w:tc>
        <w:tc>
          <w:tcPr>
            <w:tcW w:w="0" w:type="auto"/>
          </w:tcPr>
          <w:p w14:paraId="2B5BAEF1" w14:textId="717A2303" w:rsidR="007F596B" w:rsidRPr="00AF6031" w:rsidRDefault="00942EB7" w:rsidP="007F596B">
            <w:pPr>
              <w:rPr>
                <w:rFonts w:ascii="Arial" w:hAnsi="Arial" w:cs="Arial"/>
                <w:sz w:val="22"/>
                <w:szCs w:val="22"/>
              </w:rPr>
            </w:pPr>
            <w:r>
              <w:rPr>
                <w:rFonts w:ascii="Arial" w:hAnsi="Arial" w:cs="Arial"/>
              </w:rPr>
              <w:t>&lt;0.0005</w:t>
            </w:r>
          </w:p>
        </w:tc>
      </w:tr>
      <w:tr w:rsidR="007F596B" w:rsidRPr="00AF6031" w14:paraId="2E121E58" w14:textId="77777777" w:rsidTr="007F596B">
        <w:tc>
          <w:tcPr>
            <w:tcW w:w="0" w:type="auto"/>
          </w:tcPr>
          <w:p w14:paraId="4BD91452" w14:textId="77777777" w:rsidR="007F596B" w:rsidRPr="00AF6031" w:rsidRDefault="007F596B" w:rsidP="007F596B">
            <w:pPr>
              <w:rPr>
                <w:rFonts w:ascii="Arial" w:hAnsi="Arial" w:cs="Arial"/>
                <w:sz w:val="22"/>
                <w:szCs w:val="22"/>
              </w:rPr>
            </w:pPr>
            <w:r w:rsidRPr="00AF6031">
              <w:rPr>
                <w:rFonts w:ascii="Arial" w:hAnsi="Arial" w:cs="Arial"/>
                <w:sz w:val="22"/>
                <w:szCs w:val="22"/>
              </w:rPr>
              <w:t>GAD*</w:t>
            </w:r>
          </w:p>
          <w:p w14:paraId="61ED69B9" w14:textId="3BE82DDB" w:rsidR="007F596B" w:rsidRPr="00AF6031" w:rsidRDefault="00942EB7" w:rsidP="007F596B">
            <w:pPr>
              <w:rPr>
                <w:rFonts w:ascii="Arial" w:hAnsi="Arial" w:cs="Arial"/>
                <w:sz w:val="22"/>
                <w:szCs w:val="22"/>
              </w:rPr>
            </w:pPr>
            <w:r>
              <w:rPr>
                <w:rFonts w:ascii="Arial" w:hAnsi="Arial" w:cs="Arial"/>
                <w:sz w:val="22"/>
                <w:szCs w:val="22"/>
              </w:rPr>
              <w:t>Recovery</w:t>
            </w:r>
          </w:p>
        </w:tc>
        <w:tc>
          <w:tcPr>
            <w:tcW w:w="0" w:type="auto"/>
          </w:tcPr>
          <w:p w14:paraId="6BFDD989" w14:textId="77777777" w:rsidR="007F596B" w:rsidRPr="00AF6031" w:rsidRDefault="007F596B" w:rsidP="007F596B">
            <w:pPr>
              <w:rPr>
                <w:rFonts w:ascii="Arial" w:hAnsi="Arial" w:cs="Arial"/>
                <w:sz w:val="22"/>
                <w:szCs w:val="22"/>
              </w:rPr>
            </w:pPr>
            <w:r w:rsidRPr="00AF6031">
              <w:rPr>
                <w:rFonts w:ascii="Arial" w:hAnsi="Arial" w:cs="Arial"/>
                <w:sz w:val="22"/>
                <w:szCs w:val="22"/>
              </w:rPr>
              <w:t>13.1</w:t>
            </w:r>
          </w:p>
        </w:tc>
        <w:tc>
          <w:tcPr>
            <w:tcW w:w="0" w:type="auto"/>
          </w:tcPr>
          <w:p w14:paraId="048F5C3A" w14:textId="77777777" w:rsidR="007F596B" w:rsidRPr="00AF6031" w:rsidRDefault="007F596B" w:rsidP="007F596B">
            <w:pPr>
              <w:rPr>
                <w:rFonts w:ascii="Arial" w:hAnsi="Arial" w:cs="Arial"/>
                <w:sz w:val="22"/>
                <w:szCs w:val="22"/>
              </w:rPr>
            </w:pPr>
            <w:r w:rsidRPr="00AF6031">
              <w:rPr>
                <w:rFonts w:ascii="Arial" w:hAnsi="Arial" w:cs="Arial"/>
                <w:sz w:val="22"/>
                <w:szCs w:val="22"/>
              </w:rPr>
              <w:t>1</w:t>
            </w:r>
          </w:p>
        </w:tc>
        <w:tc>
          <w:tcPr>
            <w:tcW w:w="0" w:type="auto"/>
          </w:tcPr>
          <w:p w14:paraId="0AD1CF80" w14:textId="79BB1944" w:rsidR="007F596B" w:rsidRPr="00AF6031" w:rsidRDefault="00942EB7" w:rsidP="007F596B">
            <w:pPr>
              <w:rPr>
                <w:rFonts w:ascii="Arial" w:hAnsi="Arial" w:cs="Arial"/>
                <w:sz w:val="22"/>
                <w:szCs w:val="22"/>
              </w:rPr>
            </w:pPr>
            <w:r>
              <w:rPr>
                <w:rFonts w:ascii="Arial" w:hAnsi="Arial" w:cs="Arial"/>
              </w:rPr>
              <w:t>&lt;0.0005</w:t>
            </w:r>
          </w:p>
        </w:tc>
      </w:tr>
      <w:tr w:rsidR="007F596B" w:rsidRPr="00AF6031" w14:paraId="615BA3C1" w14:textId="77777777" w:rsidTr="007F596B">
        <w:tc>
          <w:tcPr>
            <w:tcW w:w="0" w:type="auto"/>
          </w:tcPr>
          <w:p w14:paraId="0822DC55" w14:textId="3FA8AE2C" w:rsidR="007F596B" w:rsidRPr="00AF6031" w:rsidRDefault="007F596B" w:rsidP="007F596B">
            <w:pPr>
              <w:rPr>
                <w:rFonts w:ascii="Arial" w:hAnsi="Arial" w:cs="Arial"/>
                <w:sz w:val="22"/>
                <w:szCs w:val="22"/>
              </w:rPr>
            </w:pPr>
            <w:r w:rsidRPr="00AF6031">
              <w:rPr>
                <w:rFonts w:ascii="Arial" w:hAnsi="Arial" w:cs="Arial"/>
                <w:sz w:val="22"/>
                <w:szCs w:val="22"/>
              </w:rPr>
              <w:t>PHQ*improve</w:t>
            </w:r>
            <w:r w:rsidR="00942EB7">
              <w:rPr>
                <w:rFonts w:ascii="Arial" w:hAnsi="Arial" w:cs="Arial"/>
                <w:sz w:val="22"/>
                <w:szCs w:val="22"/>
              </w:rPr>
              <w:t>ment</w:t>
            </w:r>
          </w:p>
        </w:tc>
        <w:tc>
          <w:tcPr>
            <w:tcW w:w="0" w:type="auto"/>
          </w:tcPr>
          <w:p w14:paraId="3C6B4B7F" w14:textId="77777777" w:rsidR="007F596B" w:rsidRPr="00AF6031" w:rsidRDefault="007F596B" w:rsidP="007F596B">
            <w:pPr>
              <w:rPr>
                <w:rFonts w:ascii="Arial" w:hAnsi="Arial" w:cs="Arial"/>
                <w:sz w:val="22"/>
                <w:szCs w:val="22"/>
              </w:rPr>
            </w:pPr>
            <w:r w:rsidRPr="00AF6031">
              <w:rPr>
                <w:rFonts w:ascii="Arial" w:hAnsi="Arial" w:cs="Arial"/>
                <w:sz w:val="22"/>
                <w:szCs w:val="22"/>
              </w:rPr>
              <w:t>10.4</w:t>
            </w:r>
          </w:p>
        </w:tc>
        <w:tc>
          <w:tcPr>
            <w:tcW w:w="0" w:type="auto"/>
          </w:tcPr>
          <w:p w14:paraId="7B3C1DD3" w14:textId="77777777" w:rsidR="007F596B" w:rsidRPr="00AF6031" w:rsidRDefault="007F596B" w:rsidP="007F596B">
            <w:pPr>
              <w:rPr>
                <w:rFonts w:ascii="Arial" w:hAnsi="Arial" w:cs="Arial"/>
                <w:sz w:val="22"/>
                <w:szCs w:val="22"/>
              </w:rPr>
            </w:pPr>
            <w:r w:rsidRPr="00AF6031">
              <w:rPr>
                <w:rFonts w:ascii="Arial" w:hAnsi="Arial" w:cs="Arial"/>
                <w:sz w:val="22"/>
                <w:szCs w:val="22"/>
              </w:rPr>
              <w:t>1</w:t>
            </w:r>
          </w:p>
        </w:tc>
        <w:tc>
          <w:tcPr>
            <w:tcW w:w="0" w:type="auto"/>
          </w:tcPr>
          <w:p w14:paraId="4C512DEC" w14:textId="77777777" w:rsidR="007F596B" w:rsidRPr="00AF6031" w:rsidRDefault="007F596B" w:rsidP="007F596B">
            <w:pPr>
              <w:rPr>
                <w:rFonts w:ascii="Arial" w:hAnsi="Arial" w:cs="Arial"/>
                <w:sz w:val="22"/>
                <w:szCs w:val="22"/>
              </w:rPr>
            </w:pPr>
            <w:r w:rsidRPr="00AF6031">
              <w:rPr>
                <w:rFonts w:ascii="Arial" w:hAnsi="Arial" w:cs="Arial"/>
                <w:sz w:val="22"/>
                <w:szCs w:val="22"/>
              </w:rPr>
              <w:t>.001</w:t>
            </w:r>
          </w:p>
        </w:tc>
      </w:tr>
      <w:tr w:rsidR="007F596B" w:rsidRPr="00AF6031" w14:paraId="3A79A925" w14:textId="77777777" w:rsidTr="007F596B">
        <w:tc>
          <w:tcPr>
            <w:tcW w:w="0" w:type="auto"/>
          </w:tcPr>
          <w:p w14:paraId="13A607F8" w14:textId="3797550B" w:rsidR="007F596B" w:rsidRPr="00AF6031" w:rsidRDefault="007F596B" w:rsidP="007F596B">
            <w:pPr>
              <w:rPr>
                <w:rFonts w:ascii="Arial" w:hAnsi="Arial" w:cs="Arial"/>
                <w:sz w:val="22"/>
                <w:szCs w:val="22"/>
              </w:rPr>
            </w:pPr>
            <w:r w:rsidRPr="00AF6031">
              <w:rPr>
                <w:rFonts w:ascii="Arial" w:hAnsi="Arial" w:cs="Arial"/>
                <w:sz w:val="22"/>
                <w:szCs w:val="22"/>
              </w:rPr>
              <w:t>Improved *Recover</w:t>
            </w:r>
            <w:r w:rsidR="00942EB7">
              <w:rPr>
                <w:rFonts w:ascii="Arial" w:hAnsi="Arial" w:cs="Arial"/>
                <w:sz w:val="22"/>
                <w:szCs w:val="22"/>
              </w:rPr>
              <w:t>y</w:t>
            </w:r>
          </w:p>
        </w:tc>
        <w:tc>
          <w:tcPr>
            <w:tcW w:w="0" w:type="auto"/>
          </w:tcPr>
          <w:p w14:paraId="638C7B4D" w14:textId="77777777" w:rsidR="007F596B" w:rsidRPr="00AF6031" w:rsidRDefault="007F596B" w:rsidP="007F596B">
            <w:pPr>
              <w:rPr>
                <w:rFonts w:ascii="Arial" w:hAnsi="Arial" w:cs="Arial"/>
                <w:sz w:val="22"/>
                <w:szCs w:val="22"/>
              </w:rPr>
            </w:pPr>
            <w:r w:rsidRPr="00AF6031">
              <w:rPr>
                <w:rFonts w:ascii="Arial" w:hAnsi="Arial" w:cs="Arial"/>
                <w:sz w:val="22"/>
                <w:szCs w:val="22"/>
              </w:rPr>
              <w:t>183.7</w:t>
            </w:r>
          </w:p>
        </w:tc>
        <w:tc>
          <w:tcPr>
            <w:tcW w:w="0" w:type="auto"/>
          </w:tcPr>
          <w:p w14:paraId="1F631A62" w14:textId="77777777" w:rsidR="007F596B" w:rsidRPr="00AF6031" w:rsidRDefault="007F596B" w:rsidP="007F596B">
            <w:pPr>
              <w:rPr>
                <w:rFonts w:ascii="Arial" w:hAnsi="Arial" w:cs="Arial"/>
                <w:sz w:val="22"/>
                <w:szCs w:val="22"/>
              </w:rPr>
            </w:pPr>
            <w:r w:rsidRPr="00AF6031">
              <w:rPr>
                <w:rFonts w:ascii="Arial" w:hAnsi="Arial" w:cs="Arial"/>
                <w:sz w:val="22"/>
                <w:szCs w:val="22"/>
              </w:rPr>
              <w:t>1</w:t>
            </w:r>
          </w:p>
        </w:tc>
        <w:tc>
          <w:tcPr>
            <w:tcW w:w="0" w:type="auto"/>
          </w:tcPr>
          <w:p w14:paraId="37F7DA2C" w14:textId="52712294" w:rsidR="007F596B" w:rsidRPr="00AF6031" w:rsidRDefault="00942EB7" w:rsidP="007F596B">
            <w:pPr>
              <w:rPr>
                <w:rFonts w:ascii="Arial" w:hAnsi="Arial" w:cs="Arial"/>
                <w:sz w:val="22"/>
                <w:szCs w:val="22"/>
              </w:rPr>
            </w:pPr>
            <w:r>
              <w:rPr>
                <w:rFonts w:ascii="Arial" w:hAnsi="Arial" w:cs="Arial"/>
              </w:rPr>
              <w:t>&lt;0.0005</w:t>
            </w:r>
          </w:p>
        </w:tc>
      </w:tr>
      <w:tr w:rsidR="007F596B" w:rsidRPr="00AF6031" w14:paraId="55110192" w14:textId="77777777" w:rsidTr="007F596B">
        <w:tc>
          <w:tcPr>
            <w:tcW w:w="0" w:type="auto"/>
          </w:tcPr>
          <w:p w14:paraId="685ABE24" w14:textId="77777777" w:rsidR="007F596B" w:rsidRPr="00AF6031" w:rsidRDefault="007F596B" w:rsidP="007F596B">
            <w:pPr>
              <w:rPr>
                <w:rFonts w:ascii="Arial" w:hAnsi="Arial" w:cs="Arial"/>
                <w:sz w:val="22"/>
                <w:szCs w:val="22"/>
              </w:rPr>
            </w:pPr>
            <w:r w:rsidRPr="00AF6031">
              <w:rPr>
                <w:rFonts w:ascii="Arial" w:hAnsi="Arial" w:cs="Arial"/>
                <w:sz w:val="22"/>
                <w:szCs w:val="22"/>
              </w:rPr>
              <w:t>Gender</w:t>
            </w:r>
          </w:p>
        </w:tc>
        <w:tc>
          <w:tcPr>
            <w:tcW w:w="0" w:type="auto"/>
          </w:tcPr>
          <w:p w14:paraId="7C3D52C7" w14:textId="77777777" w:rsidR="007F596B" w:rsidRPr="00AF6031" w:rsidRDefault="007F596B" w:rsidP="007F596B">
            <w:pPr>
              <w:rPr>
                <w:rFonts w:ascii="Arial" w:hAnsi="Arial" w:cs="Arial"/>
                <w:sz w:val="22"/>
                <w:szCs w:val="22"/>
              </w:rPr>
            </w:pPr>
            <w:r w:rsidRPr="00AF6031">
              <w:rPr>
                <w:rFonts w:ascii="Arial" w:hAnsi="Arial" w:cs="Arial"/>
                <w:sz w:val="22"/>
                <w:szCs w:val="22"/>
              </w:rPr>
              <w:t>139.4</w:t>
            </w:r>
          </w:p>
        </w:tc>
        <w:tc>
          <w:tcPr>
            <w:tcW w:w="0" w:type="auto"/>
          </w:tcPr>
          <w:p w14:paraId="579D851E" w14:textId="77777777" w:rsidR="007F596B" w:rsidRPr="00AF6031" w:rsidRDefault="007F596B" w:rsidP="007F596B">
            <w:pPr>
              <w:rPr>
                <w:rFonts w:ascii="Arial" w:hAnsi="Arial" w:cs="Arial"/>
                <w:sz w:val="22"/>
                <w:szCs w:val="22"/>
              </w:rPr>
            </w:pPr>
            <w:r w:rsidRPr="00AF6031">
              <w:rPr>
                <w:rFonts w:ascii="Arial" w:hAnsi="Arial" w:cs="Arial"/>
                <w:sz w:val="22"/>
                <w:szCs w:val="22"/>
              </w:rPr>
              <w:t>1</w:t>
            </w:r>
          </w:p>
        </w:tc>
        <w:tc>
          <w:tcPr>
            <w:tcW w:w="0" w:type="auto"/>
          </w:tcPr>
          <w:p w14:paraId="5108AE3C" w14:textId="08467E1A" w:rsidR="007F596B" w:rsidRPr="00AF6031" w:rsidRDefault="00942EB7" w:rsidP="007F596B">
            <w:pPr>
              <w:rPr>
                <w:rFonts w:ascii="Arial" w:hAnsi="Arial" w:cs="Arial"/>
                <w:sz w:val="22"/>
                <w:szCs w:val="22"/>
              </w:rPr>
            </w:pPr>
            <w:r>
              <w:rPr>
                <w:rFonts w:ascii="Arial" w:hAnsi="Arial" w:cs="Arial"/>
              </w:rPr>
              <w:t>&lt;0.0005</w:t>
            </w:r>
          </w:p>
        </w:tc>
      </w:tr>
    </w:tbl>
    <w:p w14:paraId="5D35D8A5" w14:textId="77777777" w:rsidR="003473C7" w:rsidRDefault="003473C7" w:rsidP="00666ED6">
      <w:pPr>
        <w:spacing w:line="480" w:lineRule="auto"/>
        <w:rPr>
          <w:rFonts w:ascii="Arial" w:hAnsi="Arial" w:cs="Arial"/>
          <w:sz w:val="22"/>
          <w:szCs w:val="22"/>
          <w:highlight w:val="yellow"/>
        </w:rPr>
      </w:pPr>
    </w:p>
    <w:p w14:paraId="276C9AC6" w14:textId="77777777" w:rsidR="003473C7" w:rsidRDefault="003473C7" w:rsidP="00666ED6">
      <w:pPr>
        <w:spacing w:line="480" w:lineRule="auto"/>
        <w:rPr>
          <w:rFonts w:ascii="Arial" w:hAnsi="Arial" w:cs="Arial"/>
          <w:sz w:val="22"/>
          <w:szCs w:val="22"/>
          <w:highlight w:val="yellow"/>
        </w:rPr>
      </w:pPr>
    </w:p>
    <w:p w14:paraId="407AB1FC" w14:textId="75C526C0" w:rsidR="00854CD8" w:rsidRPr="005144E4" w:rsidRDefault="00942FE9" w:rsidP="00666ED6">
      <w:pPr>
        <w:spacing w:line="480" w:lineRule="auto"/>
        <w:rPr>
          <w:rFonts w:ascii="Arial" w:hAnsi="Arial" w:cs="Arial"/>
          <w:sz w:val="22"/>
          <w:szCs w:val="22"/>
        </w:rPr>
      </w:pPr>
      <w:r w:rsidRPr="005144E4">
        <w:rPr>
          <w:rFonts w:ascii="Arial" w:hAnsi="Arial" w:cs="Arial"/>
          <w:sz w:val="22"/>
          <w:szCs w:val="22"/>
        </w:rPr>
        <w:t>The model includes</w:t>
      </w:r>
      <w:r w:rsidR="003C1619" w:rsidRPr="005144E4">
        <w:rPr>
          <w:rFonts w:ascii="Arial" w:hAnsi="Arial" w:cs="Arial"/>
          <w:sz w:val="22"/>
          <w:szCs w:val="22"/>
        </w:rPr>
        <w:t xml:space="preserve"> </w:t>
      </w:r>
      <w:r w:rsidR="008A4D39" w:rsidRPr="005144E4">
        <w:rPr>
          <w:rFonts w:ascii="Arial" w:hAnsi="Arial" w:cs="Arial"/>
          <w:sz w:val="22"/>
          <w:szCs w:val="22"/>
        </w:rPr>
        <w:t xml:space="preserve">28 possible interactions. </w:t>
      </w:r>
      <w:r w:rsidR="00854CD8" w:rsidRPr="005144E4">
        <w:rPr>
          <w:rFonts w:ascii="Arial" w:hAnsi="Arial" w:cs="Arial"/>
          <w:sz w:val="22"/>
          <w:szCs w:val="22"/>
        </w:rPr>
        <w:t>Figure</w:t>
      </w:r>
      <w:r w:rsidR="00372C3A" w:rsidRPr="005144E4">
        <w:rPr>
          <w:rFonts w:ascii="Arial" w:hAnsi="Arial" w:cs="Arial"/>
          <w:sz w:val="22"/>
          <w:szCs w:val="22"/>
        </w:rPr>
        <w:t xml:space="preserve"> </w:t>
      </w:r>
      <w:r w:rsidR="008A4D39" w:rsidRPr="005144E4">
        <w:rPr>
          <w:rFonts w:ascii="Arial" w:hAnsi="Arial" w:cs="Arial"/>
          <w:sz w:val="22"/>
          <w:szCs w:val="22"/>
        </w:rPr>
        <w:t>5.12</w:t>
      </w:r>
      <w:r w:rsidR="00854CD8" w:rsidRPr="005144E4">
        <w:rPr>
          <w:rFonts w:ascii="Arial" w:hAnsi="Arial" w:cs="Arial"/>
          <w:sz w:val="22"/>
          <w:szCs w:val="22"/>
        </w:rPr>
        <w:t xml:space="preserve"> </w:t>
      </w:r>
      <w:r w:rsidR="00546430" w:rsidRPr="005144E4">
        <w:rPr>
          <w:rFonts w:ascii="Arial" w:hAnsi="Arial" w:cs="Arial"/>
          <w:sz w:val="22"/>
          <w:szCs w:val="22"/>
        </w:rPr>
        <w:t>shows</w:t>
      </w:r>
      <w:r w:rsidR="00A41578" w:rsidRPr="005144E4">
        <w:rPr>
          <w:rFonts w:ascii="Arial" w:hAnsi="Arial" w:cs="Arial"/>
          <w:sz w:val="22"/>
          <w:szCs w:val="22"/>
        </w:rPr>
        <w:t xml:space="preserve"> the ‘saturated model’ with</w:t>
      </w:r>
      <w:r w:rsidR="00546430" w:rsidRPr="005144E4">
        <w:rPr>
          <w:rFonts w:ascii="Arial" w:hAnsi="Arial" w:cs="Arial"/>
          <w:sz w:val="22"/>
          <w:szCs w:val="22"/>
        </w:rPr>
        <w:t xml:space="preserve"> all 28 interactions</w:t>
      </w:r>
      <w:r w:rsidR="003A5030" w:rsidRPr="005144E4">
        <w:rPr>
          <w:rFonts w:ascii="Arial" w:hAnsi="Arial" w:cs="Arial"/>
          <w:sz w:val="22"/>
          <w:szCs w:val="22"/>
        </w:rPr>
        <w:t>,</w:t>
      </w:r>
      <w:r w:rsidR="00A41578" w:rsidRPr="005144E4">
        <w:rPr>
          <w:rFonts w:ascii="Arial" w:hAnsi="Arial" w:cs="Arial"/>
          <w:sz w:val="22"/>
          <w:szCs w:val="22"/>
        </w:rPr>
        <w:t xml:space="preserve"> </w:t>
      </w:r>
      <w:r w:rsidR="00854CD8" w:rsidRPr="005144E4">
        <w:rPr>
          <w:rFonts w:ascii="Arial" w:hAnsi="Arial" w:cs="Arial"/>
          <w:sz w:val="22"/>
          <w:szCs w:val="22"/>
        </w:rPr>
        <w:t>meaning such a model would fit the data perfectly.  In standard hierarchical loglinear model notation this corresponds to the model [DFRGADPI] with factors abbreviated to their initial letters, except “D“ for GAD and “H” for Adherence. For further details on methodology, including notation, see Gauraha (2017).</w:t>
      </w:r>
      <w:r w:rsidR="00EC7D0E" w:rsidRPr="005144E4">
        <w:rPr>
          <w:rFonts w:ascii="Arial" w:hAnsi="Arial" w:cs="Arial"/>
          <w:sz w:val="22"/>
          <w:szCs w:val="22"/>
        </w:rPr>
        <w:t xml:space="preserve"> </w:t>
      </w:r>
      <w:r w:rsidR="00FC5AFA" w:rsidRPr="005144E4">
        <w:rPr>
          <w:rFonts w:ascii="Arial" w:hAnsi="Arial" w:cs="Arial"/>
          <w:sz w:val="22"/>
          <w:szCs w:val="22"/>
        </w:rPr>
        <w:t>It should be noted that the</w:t>
      </w:r>
      <w:r w:rsidR="00854CD8" w:rsidRPr="005144E4">
        <w:rPr>
          <w:rFonts w:ascii="Arial" w:hAnsi="Arial" w:cs="Arial"/>
          <w:sz w:val="22"/>
          <w:szCs w:val="22"/>
        </w:rPr>
        <w:t xml:space="preserve"> saturated model is used for baseline comparison purposes when assessing more models containing fewer terms. The usefulness of </w:t>
      </w:r>
      <w:r w:rsidR="008F756C" w:rsidRPr="005144E4">
        <w:rPr>
          <w:rFonts w:ascii="Arial" w:hAnsi="Arial" w:cs="Arial"/>
          <w:sz w:val="22"/>
          <w:szCs w:val="22"/>
        </w:rPr>
        <w:t>hierarchical</w:t>
      </w:r>
      <w:r w:rsidR="00165029" w:rsidRPr="005144E4">
        <w:rPr>
          <w:rFonts w:ascii="Arial" w:hAnsi="Arial" w:cs="Arial"/>
          <w:sz w:val="22"/>
          <w:szCs w:val="22"/>
        </w:rPr>
        <w:t xml:space="preserve"> loglinear models</w:t>
      </w:r>
      <w:r w:rsidR="00854CD8" w:rsidRPr="005144E4">
        <w:rPr>
          <w:rFonts w:ascii="Arial" w:hAnsi="Arial" w:cs="Arial"/>
          <w:sz w:val="22"/>
          <w:szCs w:val="22"/>
        </w:rPr>
        <w:t xml:space="preserve"> is to see if a more useful and plausible model can emerge that only retains the significant interdependencies among the variables. The final “fitted model”, depicted </w:t>
      </w:r>
      <w:r w:rsidR="00165029" w:rsidRPr="005144E4">
        <w:rPr>
          <w:rFonts w:ascii="Arial" w:hAnsi="Arial" w:cs="Arial"/>
          <w:sz w:val="22"/>
          <w:szCs w:val="22"/>
        </w:rPr>
        <w:t>in figure 5.13</w:t>
      </w:r>
      <w:r w:rsidR="00854CD8" w:rsidRPr="005144E4">
        <w:rPr>
          <w:rFonts w:ascii="Arial" w:hAnsi="Arial" w:cs="Arial"/>
          <w:sz w:val="22"/>
          <w:szCs w:val="22"/>
        </w:rPr>
        <w:t xml:space="preserve">, is generated by use of </w:t>
      </w:r>
      <w:r w:rsidR="00854CD8" w:rsidRPr="005144E4">
        <w:rPr>
          <w:rFonts w:ascii="Arial" w:hAnsi="Arial" w:cs="Arial"/>
          <w:sz w:val="22"/>
          <w:szCs w:val="22"/>
        </w:rPr>
        <w:lastRenderedPageBreak/>
        <w:t>SPSS routine iterating backwards elimination of the non-significant interaction terms in the corresponding models.</w:t>
      </w:r>
    </w:p>
    <w:p w14:paraId="1CEC329D" w14:textId="77777777" w:rsidR="00EC7D0E" w:rsidRPr="005144E4" w:rsidRDefault="00EC7D0E" w:rsidP="00746422">
      <w:pPr>
        <w:pStyle w:val="Figures"/>
      </w:pPr>
    </w:p>
    <w:p w14:paraId="76BB78A2" w14:textId="50E81C58" w:rsidR="00746422" w:rsidRDefault="00746422" w:rsidP="00746422">
      <w:pPr>
        <w:pStyle w:val="Figures"/>
        <w:rPr>
          <w:b w:val="0"/>
        </w:rPr>
      </w:pPr>
      <w:bookmarkStart w:id="397" w:name="_Toc46770959"/>
      <w:r w:rsidRPr="005144E4">
        <w:t xml:space="preserve">Figure 5.12 </w:t>
      </w:r>
      <w:r w:rsidRPr="005144E4">
        <w:rPr>
          <w:b w:val="0"/>
        </w:rPr>
        <w:t xml:space="preserve">Loglinear analysis </w:t>
      </w:r>
      <w:r w:rsidR="00A94B9E" w:rsidRPr="005144E4">
        <w:rPr>
          <w:b w:val="0"/>
        </w:rPr>
        <w:t>‘saturated model’ showing all 28 possible interactions</w:t>
      </w:r>
      <w:bookmarkEnd w:id="397"/>
    </w:p>
    <w:p w14:paraId="484B89FA" w14:textId="77777777" w:rsidR="00A949B4" w:rsidRDefault="00A949B4" w:rsidP="00746422">
      <w:pPr>
        <w:pStyle w:val="Figures"/>
      </w:pPr>
    </w:p>
    <w:p w14:paraId="1275935E" w14:textId="484854A9" w:rsidR="007F596B" w:rsidRDefault="007F596B" w:rsidP="007F596B">
      <w:pPr>
        <w:autoSpaceDE w:val="0"/>
        <w:autoSpaceDN w:val="0"/>
        <w:adjustRightInd w:val="0"/>
        <w:rPr>
          <w:rFonts w:ascii="Arial" w:eastAsiaTheme="minorHAnsi" w:hAnsi="Arial" w:cs="Arial"/>
          <w:b/>
          <w:lang w:val="en-US"/>
        </w:rPr>
      </w:pPr>
    </w:p>
    <w:p w14:paraId="43A334F8" w14:textId="77777777" w:rsidR="007F596B" w:rsidRDefault="007F596B" w:rsidP="007F596B">
      <w:pPr>
        <w:autoSpaceDE w:val="0"/>
        <w:autoSpaceDN w:val="0"/>
        <w:adjustRightInd w:val="0"/>
        <w:rPr>
          <w:rFonts w:ascii="Arial" w:eastAsiaTheme="minorHAnsi" w:hAnsi="Arial" w:cs="Arial"/>
          <w:b/>
          <w:lang w:val="en-US"/>
        </w:rPr>
      </w:pPr>
    </w:p>
    <w:p w14:paraId="79845A7B" w14:textId="77777777" w:rsidR="007F596B" w:rsidRDefault="007F596B" w:rsidP="007F596B">
      <w:pPr>
        <w:autoSpaceDE w:val="0"/>
        <w:autoSpaceDN w:val="0"/>
        <w:adjustRightInd w:val="0"/>
        <w:rPr>
          <w:rFonts w:ascii="Arial" w:eastAsiaTheme="minorHAnsi" w:hAnsi="Arial" w:cs="Arial"/>
          <w:b/>
          <w:lang w:val="en-US"/>
        </w:rPr>
      </w:pPr>
    </w:p>
    <w:p w14:paraId="65902CB9" w14:textId="1DFA1B63" w:rsidR="007F596B" w:rsidRDefault="00EC7D0E" w:rsidP="007F596B">
      <w:pPr>
        <w:autoSpaceDE w:val="0"/>
        <w:autoSpaceDN w:val="0"/>
        <w:adjustRightInd w:val="0"/>
        <w:rPr>
          <w:rFonts w:ascii="Arial" w:eastAsiaTheme="minorHAnsi" w:hAnsi="Arial" w:cs="Arial"/>
          <w:b/>
          <w:lang w:val="en-US"/>
        </w:rPr>
      </w:pPr>
      <w:r>
        <w:rPr>
          <w:rFonts w:ascii="Arial" w:eastAsiaTheme="minorHAnsi" w:hAnsi="Arial" w:cs="Arial"/>
          <w:b/>
          <w:noProof/>
          <w:lang w:val="en-US"/>
        </w:rPr>
        <w:drawing>
          <wp:inline distT="0" distB="0" distL="0" distR="0" wp14:anchorId="1EF976B7" wp14:editId="2123BEAD">
            <wp:extent cx="4694945" cy="3265170"/>
            <wp:effectExtent l="0" t="0" r="4445" b="0"/>
            <wp:docPr id="26" name="Picture 26" descr="P330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P3303#yIS1"/>
                    <pic:cNvPicPr/>
                  </pic:nvPicPr>
                  <pic:blipFill>
                    <a:blip r:embed="rId70"/>
                    <a:stretch>
                      <a:fillRect/>
                    </a:stretch>
                  </pic:blipFill>
                  <pic:spPr>
                    <a:xfrm>
                      <a:off x="0" y="0"/>
                      <a:ext cx="4727090" cy="3287525"/>
                    </a:xfrm>
                    <a:prstGeom prst="rect">
                      <a:avLst/>
                    </a:prstGeom>
                  </pic:spPr>
                </pic:pic>
              </a:graphicData>
            </a:graphic>
          </wp:inline>
        </w:drawing>
      </w:r>
    </w:p>
    <w:p w14:paraId="176CE781" w14:textId="77777777" w:rsidR="00B524C7" w:rsidRDefault="00B524C7">
      <w:pPr>
        <w:rPr>
          <w:rFonts w:ascii="Arial" w:hAnsi="Arial"/>
          <w:b/>
          <w:iCs/>
          <w:sz w:val="22"/>
          <w:szCs w:val="18"/>
          <w:highlight w:val="yellow"/>
          <w:lang w:val="en-US"/>
        </w:rPr>
      </w:pPr>
      <w:r>
        <w:rPr>
          <w:highlight w:val="yellow"/>
          <w:lang w:val="en-US"/>
        </w:rPr>
        <w:br w:type="page"/>
      </w:r>
    </w:p>
    <w:p w14:paraId="74BDE47C" w14:textId="19EC4056" w:rsidR="00EC7D0E" w:rsidRPr="00193B79" w:rsidRDefault="008817C6" w:rsidP="00B524C7">
      <w:pPr>
        <w:pStyle w:val="Figures"/>
      </w:pPr>
      <w:bookmarkStart w:id="398" w:name="_Toc46770960"/>
      <w:r w:rsidRPr="005144E4">
        <w:rPr>
          <w:lang w:val="en-US"/>
        </w:rPr>
        <w:lastRenderedPageBreak/>
        <w:t xml:space="preserve">Figure 5.13 </w:t>
      </w:r>
      <w:r w:rsidRPr="005144E4">
        <w:rPr>
          <w:b w:val="0"/>
          <w:bCs/>
          <w:lang w:val="en-US"/>
        </w:rPr>
        <w:t>The Hierarchical Loglinear ‘fitted model’</w:t>
      </w:r>
      <w:r w:rsidR="003F6911" w:rsidRPr="005144E4">
        <w:rPr>
          <w:b w:val="0"/>
          <w:bCs/>
          <w:lang w:val="en-US"/>
        </w:rPr>
        <w:t xml:space="preserve"> showing how the model eliminates</w:t>
      </w:r>
      <w:r w:rsidR="00DC05C7" w:rsidRPr="005144E4">
        <w:rPr>
          <w:b w:val="0"/>
          <w:bCs/>
          <w:lang w:val="en-US"/>
        </w:rPr>
        <w:t xml:space="preserve"> non- significant links, one at a time until only </w:t>
      </w:r>
      <w:r w:rsidR="001135AE" w:rsidRPr="005144E4">
        <w:rPr>
          <w:b w:val="0"/>
          <w:bCs/>
          <w:lang w:val="en-US"/>
        </w:rPr>
        <w:t>significant links remain</w:t>
      </w:r>
      <w:r w:rsidR="001135AE" w:rsidRPr="005144E4">
        <w:rPr>
          <w:lang w:val="en-US"/>
        </w:rPr>
        <w:t>.</w:t>
      </w:r>
      <w:bookmarkEnd w:id="398"/>
    </w:p>
    <w:p w14:paraId="1F393177" w14:textId="3266B248" w:rsidR="00EC7D0E" w:rsidRPr="00D238AD" w:rsidRDefault="005F5A63" w:rsidP="00D238AD">
      <w:pPr>
        <w:rPr>
          <w:lang w:val="en-US"/>
        </w:rPr>
      </w:pPr>
      <w:r>
        <w:rPr>
          <w:noProof/>
          <w:lang w:val="en-US"/>
        </w:rPr>
        <w:drawing>
          <wp:inline distT="0" distB="0" distL="0" distR="0" wp14:anchorId="212D1C2D" wp14:editId="5AFBB19B">
            <wp:extent cx="5727700" cy="4295775"/>
            <wp:effectExtent l="0" t="0" r="0" b="0"/>
            <wp:docPr id="30" name="Picture 30" descr="P330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P3306#yIS1"/>
                    <pic:cNvPicPr/>
                  </pic:nvPicPr>
                  <pic:blipFill>
                    <a:blip r:embed="rId71"/>
                    <a:stretch>
                      <a:fillRect/>
                    </a:stretch>
                  </pic:blipFill>
                  <pic:spPr>
                    <a:xfrm>
                      <a:off x="0" y="0"/>
                      <a:ext cx="5727700" cy="4295775"/>
                    </a:xfrm>
                    <a:prstGeom prst="rect">
                      <a:avLst/>
                    </a:prstGeom>
                  </pic:spPr>
                </pic:pic>
              </a:graphicData>
            </a:graphic>
          </wp:inline>
        </w:drawing>
      </w:r>
    </w:p>
    <w:p w14:paraId="3D1C5984" w14:textId="77777777" w:rsidR="007F4F00" w:rsidRDefault="007F4F00">
      <w:pPr>
        <w:rPr>
          <w:rFonts w:ascii="Arial" w:eastAsiaTheme="minorHAnsi" w:hAnsi="Arial" w:cs="Arial"/>
          <w:color w:val="000000" w:themeColor="text1"/>
          <w:sz w:val="22"/>
          <w:szCs w:val="22"/>
          <w:highlight w:val="yellow"/>
          <w:lang w:val="en-US"/>
        </w:rPr>
      </w:pPr>
      <w:r>
        <w:rPr>
          <w:rFonts w:ascii="Arial" w:eastAsiaTheme="minorHAnsi" w:hAnsi="Arial" w:cs="Arial"/>
          <w:color w:val="000000" w:themeColor="text1"/>
          <w:sz w:val="22"/>
          <w:szCs w:val="22"/>
          <w:highlight w:val="yellow"/>
          <w:lang w:val="en-US"/>
        </w:rPr>
        <w:br w:type="page"/>
      </w:r>
    </w:p>
    <w:p w14:paraId="7F15F87E" w14:textId="5A5D01D6" w:rsidR="008A418C" w:rsidRDefault="00F843AD" w:rsidP="008A418C">
      <w:pPr>
        <w:tabs>
          <w:tab w:val="left" w:pos="1215"/>
        </w:tabs>
        <w:spacing w:line="480" w:lineRule="auto"/>
        <w:rPr>
          <w:rFonts w:ascii="Arial" w:hAnsi="Arial" w:cs="Arial"/>
          <w:sz w:val="22"/>
          <w:szCs w:val="22"/>
        </w:rPr>
      </w:pPr>
      <w:r w:rsidRPr="005144E4">
        <w:rPr>
          <w:rFonts w:ascii="Arial" w:eastAsiaTheme="minorHAnsi" w:hAnsi="Arial" w:cs="Arial"/>
          <w:color w:val="000000" w:themeColor="text1"/>
          <w:sz w:val="22"/>
          <w:szCs w:val="22"/>
          <w:lang w:val="en-US"/>
        </w:rPr>
        <w:lastRenderedPageBreak/>
        <w:t>Figure 5.13 shows how the model eliminates all non-significant links until only significant links remain.</w:t>
      </w:r>
      <w:r w:rsidR="00A86D72" w:rsidRPr="005144E4">
        <w:rPr>
          <w:rFonts w:ascii="Arial" w:eastAsiaTheme="minorHAnsi" w:hAnsi="Arial" w:cs="Arial"/>
          <w:b/>
          <w:bCs/>
          <w:color w:val="000000" w:themeColor="text1"/>
          <w:sz w:val="22"/>
          <w:szCs w:val="22"/>
          <w:lang w:val="en-US"/>
        </w:rPr>
        <w:t xml:space="preserve"> </w:t>
      </w:r>
      <w:r w:rsidR="00A86D72" w:rsidRPr="005144E4">
        <w:rPr>
          <w:rFonts w:ascii="Arial" w:hAnsi="Arial" w:cs="Arial"/>
          <w:sz w:val="22"/>
          <w:szCs w:val="22"/>
        </w:rPr>
        <w:t xml:space="preserve">Once no more pairwise links can be deleted without statistically significant loss to the resulting model the automated procedure generates a final </w:t>
      </w:r>
      <w:r w:rsidR="00305C84" w:rsidRPr="005144E4">
        <w:rPr>
          <w:rFonts w:ascii="Arial" w:hAnsi="Arial" w:cs="Arial"/>
          <w:sz w:val="22"/>
          <w:szCs w:val="22"/>
        </w:rPr>
        <w:t>‘</w:t>
      </w:r>
      <w:r w:rsidR="00A86D72" w:rsidRPr="005144E4">
        <w:rPr>
          <w:rFonts w:ascii="Arial" w:hAnsi="Arial" w:cs="Arial"/>
          <w:sz w:val="22"/>
          <w:szCs w:val="22"/>
        </w:rPr>
        <w:t>fitted model</w:t>
      </w:r>
      <w:r w:rsidR="00305C84" w:rsidRPr="005144E4">
        <w:rPr>
          <w:rFonts w:ascii="Arial" w:hAnsi="Arial" w:cs="Arial"/>
          <w:sz w:val="22"/>
          <w:szCs w:val="22"/>
        </w:rPr>
        <w:t>’</w:t>
      </w:r>
      <w:r w:rsidR="00A86D72" w:rsidRPr="005144E4">
        <w:rPr>
          <w:rFonts w:ascii="Arial" w:hAnsi="Arial" w:cs="Arial"/>
          <w:sz w:val="22"/>
          <w:szCs w:val="22"/>
        </w:rPr>
        <w:t xml:space="preserve"> depicted </w:t>
      </w:r>
      <w:r w:rsidR="00305C84" w:rsidRPr="005144E4">
        <w:rPr>
          <w:rFonts w:ascii="Arial" w:hAnsi="Arial" w:cs="Arial"/>
          <w:sz w:val="22"/>
          <w:szCs w:val="22"/>
        </w:rPr>
        <w:t>in figure</w:t>
      </w:r>
      <w:r w:rsidR="001F4F3D" w:rsidRPr="005144E4">
        <w:rPr>
          <w:rFonts w:ascii="Arial" w:hAnsi="Arial" w:cs="Arial"/>
          <w:sz w:val="22"/>
          <w:szCs w:val="22"/>
        </w:rPr>
        <w:t xml:space="preserve"> 5.13</w:t>
      </w:r>
      <w:r w:rsidR="00A86D72" w:rsidRPr="005144E4">
        <w:rPr>
          <w:rFonts w:ascii="Arial" w:hAnsi="Arial" w:cs="Arial"/>
          <w:sz w:val="22"/>
          <w:szCs w:val="22"/>
        </w:rPr>
        <w:t xml:space="preserve"> and represented notationally as: [G] [HF] [FR] [RAD] [RID] [IPD]. </w:t>
      </w:r>
      <w:r w:rsidR="001F4F3D" w:rsidRPr="005144E4">
        <w:rPr>
          <w:rFonts w:ascii="Arial" w:hAnsi="Arial" w:cs="Arial"/>
          <w:sz w:val="22"/>
          <w:szCs w:val="22"/>
        </w:rPr>
        <w:t>Therefore,</w:t>
      </w:r>
      <w:r w:rsidR="00A86D72" w:rsidRPr="005144E4">
        <w:rPr>
          <w:rFonts w:ascii="Arial" w:hAnsi="Arial" w:cs="Arial"/>
          <w:sz w:val="22"/>
          <w:szCs w:val="22"/>
        </w:rPr>
        <w:t xml:space="preserve"> the final model corresponds to having one main effect for gender, two two-way interactions and three three-way interaction terms. The graph</w:t>
      </w:r>
      <w:r w:rsidR="005F0983" w:rsidRPr="005144E4">
        <w:rPr>
          <w:rFonts w:ascii="Arial" w:hAnsi="Arial" w:cs="Arial"/>
          <w:sz w:val="22"/>
          <w:szCs w:val="22"/>
        </w:rPr>
        <w:t>, as shown in figure 5.13</w:t>
      </w:r>
      <w:r w:rsidR="00A86D72" w:rsidRPr="005144E4">
        <w:rPr>
          <w:rFonts w:ascii="Arial" w:hAnsi="Arial" w:cs="Arial"/>
          <w:sz w:val="22"/>
          <w:szCs w:val="22"/>
        </w:rPr>
        <w:t xml:space="preserve"> maps the data for relative ease of visual interpretation. </w:t>
      </w:r>
      <w:r w:rsidR="00594A8A" w:rsidRPr="005144E4">
        <w:rPr>
          <w:rFonts w:ascii="Arial" w:hAnsi="Arial" w:cs="Arial"/>
          <w:sz w:val="22"/>
          <w:szCs w:val="22"/>
        </w:rPr>
        <w:t>Figure 5.14 shows</w:t>
      </w:r>
      <w:r w:rsidR="00A66A85" w:rsidRPr="005144E4">
        <w:rPr>
          <w:rFonts w:ascii="Arial" w:hAnsi="Arial" w:cs="Arial"/>
          <w:sz w:val="22"/>
          <w:szCs w:val="22"/>
        </w:rPr>
        <w:t xml:space="preserve"> the same model</w:t>
      </w:r>
      <w:r w:rsidR="00546E7D" w:rsidRPr="005144E4">
        <w:rPr>
          <w:rFonts w:ascii="Arial" w:hAnsi="Arial" w:cs="Arial"/>
          <w:sz w:val="22"/>
          <w:szCs w:val="22"/>
        </w:rPr>
        <w:t xml:space="preserve"> with </w:t>
      </w:r>
      <w:r w:rsidR="004B0DC1" w:rsidRPr="005144E4">
        <w:rPr>
          <w:rFonts w:ascii="Arial" w:hAnsi="Arial" w:cs="Arial"/>
          <w:sz w:val="22"/>
          <w:szCs w:val="22"/>
        </w:rPr>
        <w:t xml:space="preserve">some </w:t>
      </w:r>
      <w:r w:rsidR="00546E7D" w:rsidRPr="005144E4">
        <w:rPr>
          <w:rFonts w:ascii="Arial" w:hAnsi="Arial" w:cs="Arial"/>
          <w:sz w:val="22"/>
          <w:szCs w:val="22"/>
        </w:rPr>
        <w:t xml:space="preserve">repositioning and </w:t>
      </w:r>
      <w:r w:rsidR="008A418C" w:rsidRPr="005144E4">
        <w:rPr>
          <w:rFonts w:ascii="Arial" w:hAnsi="Arial" w:cs="Arial"/>
          <w:sz w:val="22"/>
          <w:szCs w:val="22"/>
        </w:rPr>
        <w:t>colour-coding for added clarity</w:t>
      </w:r>
      <w:r w:rsidR="004B0DC1" w:rsidRPr="005144E4">
        <w:rPr>
          <w:rFonts w:ascii="Arial" w:hAnsi="Arial" w:cs="Arial"/>
          <w:sz w:val="22"/>
          <w:szCs w:val="22"/>
        </w:rPr>
        <w:t xml:space="preserve">. Figure 5.14 </w:t>
      </w:r>
      <w:r w:rsidR="008A418C" w:rsidRPr="005144E4">
        <w:rPr>
          <w:rFonts w:ascii="Arial" w:hAnsi="Arial" w:cs="Arial"/>
          <w:sz w:val="22"/>
          <w:szCs w:val="22"/>
        </w:rPr>
        <w:t>also indicates the relative strengths of the links, with triple lines representing the strongest. Whether links are weak, moderate or strong is determined by the order of magnitude of statistical significance from the SPSS output for the final model.</w:t>
      </w:r>
      <w:r w:rsidR="00472B4B" w:rsidRPr="005144E4">
        <w:rPr>
          <w:rFonts w:ascii="Arial" w:hAnsi="Arial" w:cs="Arial"/>
          <w:sz w:val="22"/>
          <w:szCs w:val="22"/>
        </w:rPr>
        <w:t xml:space="preserve"> It should be noted that</w:t>
      </w:r>
      <w:r w:rsidR="008A418C" w:rsidRPr="005144E4">
        <w:rPr>
          <w:rFonts w:ascii="Arial" w:hAnsi="Arial" w:cs="Arial"/>
          <w:sz w:val="22"/>
          <w:szCs w:val="22"/>
        </w:rPr>
        <w:t xml:space="preserve"> where links are present the direction of influence is not inherently produced in the modelling, merely the presence or absence of significant interactions in the overall model.</w:t>
      </w:r>
      <w:r w:rsidR="007D4898">
        <w:rPr>
          <w:rFonts w:ascii="Arial" w:hAnsi="Arial" w:cs="Arial"/>
          <w:sz w:val="22"/>
          <w:szCs w:val="22"/>
        </w:rPr>
        <w:t xml:space="preserve"> </w:t>
      </w:r>
    </w:p>
    <w:p w14:paraId="71453DE9" w14:textId="08650444" w:rsidR="00F07730" w:rsidRDefault="00F07730" w:rsidP="008A418C">
      <w:pPr>
        <w:tabs>
          <w:tab w:val="left" w:pos="1215"/>
        </w:tabs>
        <w:spacing w:line="480" w:lineRule="auto"/>
        <w:rPr>
          <w:rFonts w:ascii="Arial" w:hAnsi="Arial" w:cs="Arial"/>
          <w:sz w:val="22"/>
          <w:szCs w:val="22"/>
        </w:rPr>
      </w:pPr>
    </w:p>
    <w:p w14:paraId="7F8C2DDD" w14:textId="77777777" w:rsidR="00F07730" w:rsidRDefault="00F07730" w:rsidP="00F07730">
      <w:pPr>
        <w:pStyle w:val="Heading3"/>
        <w:rPr>
          <w:rFonts w:eastAsiaTheme="minorHAnsi" w:cs="Arial"/>
          <w:b w:val="0"/>
          <w:color w:val="000000" w:themeColor="text1"/>
          <w:szCs w:val="22"/>
          <w:lang w:val="en-US"/>
        </w:rPr>
      </w:pPr>
      <w:bookmarkStart w:id="399" w:name="_Toc46770833"/>
      <w:bookmarkStart w:id="400" w:name="_Toc79414244"/>
      <w:r>
        <w:rPr>
          <w:rFonts w:eastAsiaTheme="minorHAnsi" w:cs="Arial"/>
          <w:color w:val="000000" w:themeColor="text1"/>
          <w:szCs w:val="22"/>
          <w:lang w:val="en-US"/>
        </w:rPr>
        <w:t>5</w:t>
      </w:r>
      <w:r w:rsidRPr="00AF6031">
        <w:rPr>
          <w:rFonts w:eastAsiaTheme="minorHAnsi" w:cs="Arial"/>
          <w:color w:val="000000" w:themeColor="text1"/>
          <w:szCs w:val="22"/>
          <w:lang w:val="en-US"/>
        </w:rPr>
        <w:t>.</w:t>
      </w:r>
      <w:r>
        <w:rPr>
          <w:rFonts w:eastAsiaTheme="minorHAnsi" w:cs="Arial"/>
          <w:color w:val="000000" w:themeColor="text1"/>
          <w:szCs w:val="22"/>
          <w:lang w:val="en-US"/>
        </w:rPr>
        <w:t>7.3</w:t>
      </w:r>
      <w:r w:rsidRPr="00AF6031">
        <w:rPr>
          <w:rFonts w:eastAsiaTheme="minorHAnsi" w:cs="Arial"/>
          <w:color w:val="000000" w:themeColor="text1"/>
          <w:szCs w:val="22"/>
          <w:lang w:val="en-US"/>
        </w:rPr>
        <w:t xml:space="preserve"> </w:t>
      </w:r>
      <w:r>
        <w:rPr>
          <w:rFonts w:eastAsiaTheme="minorHAnsi" w:cs="Arial"/>
          <w:color w:val="000000" w:themeColor="text1"/>
          <w:szCs w:val="22"/>
          <w:lang w:val="en-US"/>
        </w:rPr>
        <w:t>Interpreting the</w:t>
      </w:r>
      <w:r w:rsidRPr="00AF6031">
        <w:rPr>
          <w:rFonts w:eastAsiaTheme="minorHAnsi" w:cs="Arial"/>
          <w:color w:val="000000" w:themeColor="text1"/>
          <w:szCs w:val="22"/>
          <w:lang w:val="en-US"/>
        </w:rPr>
        <w:t xml:space="preserve"> loglinear analysis model</w:t>
      </w:r>
      <w:bookmarkEnd w:id="399"/>
      <w:bookmarkEnd w:id="400"/>
    </w:p>
    <w:p w14:paraId="3FC8668E" w14:textId="77777777" w:rsidR="00F07730" w:rsidRPr="00AF6031" w:rsidRDefault="00F07730" w:rsidP="00F07730">
      <w:pPr>
        <w:rPr>
          <w:lang w:val="en-US"/>
        </w:rPr>
      </w:pPr>
    </w:p>
    <w:p w14:paraId="4F0408E9" w14:textId="48E22E2F" w:rsidR="00B520FA" w:rsidRPr="007F6C75" w:rsidRDefault="00BB2B51" w:rsidP="00B520FA">
      <w:pPr>
        <w:spacing w:line="480" w:lineRule="auto"/>
        <w:rPr>
          <w:rFonts w:ascii="Arial" w:hAnsi="Arial" w:cs="Arial"/>
          <w:sz w:val="22"/>
          <w:szCs w:val="22"/>
        </w:rPr>
      </w:pPr>
      <w:r w:rsidRPr="005144E4">
        <w:rPr>
          <w:rFonts w:ascii="Arial" w:eastAsiaTheme="minorHAnsi" w:hAnsi="Arial" w:cs="Arial"/>
          <w:sz w:val="22"/>
          <w:szCs w:val="22"/>
          <w:lang w:val="en-US"/>
        </w:rPr>
        <w:t xml:space="preserve">The final model, as shown figure </w:t>
      </w:r>
      <w:r w:rsidR="0054647D" w:rsidRPr="005144E4">
        <w:rPr>
          <w:rFonts w:ascii="Arial" w:eastAsiaTheme="minorHAnsi" w:hAnsi="Arial" w:cs="Arial"/>
          <w:sz w:val="22"/>
          <w:szCs w:val="22"/>
          <w:lang w:val="en-US"/>
        </w:rPr>
        <w:t>5.14</w:t>
      </w:r>
      <w:r w:rsidR="006D7B5D" w:rsidRPr="005144E4">
        <w:rPr>
          <w:rFonts w:ascii="Arial" w:eastAsiaTheme="minorHAnsi" w:hAnsi="Arial" w:cs="Arial"/>
          <w:sz w:val="22"/>
          <w:szCs w:val="22"/>
          <w:lang w:val="en-US"/>
        </w:rPr>
        <w:t>,</w:t>
      </w:r>
      <w:r w:rsidR="0054647D" w:rsidRPr="005144E4">
        <w:rPr>
          <w:rFonts w:ascii="Arial" w:eastAsiaTheme="minorHAnsi" w:hAnsi="Arial" w:cs="Arial"/>
          <w:sz w:val="22"/>
          <w:szCs w:val="22"/>
          <w:lang w:val="en-US"/>
        </w:rPr>
        <w:t xml:space="preserve"> shows the associations between the variables where a single</w:t>
      </w:r>
      <w:r w:rsidR="00215815" w:rsidRPr="005144E4">
        <w:rPr>
          <w:rFonts w:ascii="Arial" w:eastAsiaTheme="minorHAnsi" w:hAnsi="Arial" w:cs="Arial"/>
          <w:sz w:val="22"/>
          <w:szCs w:val="22"/>
          <w:lang w:val="en-US"/>
        </w:rPr>
        <w:t xml:space="preserve"> line</w:t>
      </w:r>
      <w:r w:rsidR="0054647D" w:rsidRPr="005144E4">
        <w:rPr>
          <w:rFonts w:ascii="Arial" w:eastAsiaTheme="minorHAnsi" w:hAnsi="Arial" w:cs="Arial"/>
          <w:sz w:val="22"/>
          <w:szCs w:val="22"/>
          <w:lang w:val="en-US"/>
        </w:rPr>
        <w:t xml:space="preserve"> between 2 variables indicates</w:t>
      </w:r>
      <w:r w:rsidR="00022033" w:rsidRPr="005144E4">
        <w:rPr>
          <w:rFonts w:ascii="Arial" w:eastAsiaTheme="minorHAnsi" w:hAnsi="Arial" w:cs="Arial"/>
          <w:sz w:val="22"/>
          <w:szCs w:val="22"/>
          <w:lang w:val="en-US"/>
        </w:rPr>
        <w:t xml:space="preserve"> p= &lt;0.05, two lines indicates p= &lt;0.01 and 3 lines indicates p= &lt;0.001. </w:t>
      </w:r>
      <w:r w:rsidR="0054647D" w:rsidRPr="005144E4">
        <w:rPr>
          <w:rFonts w:ascii="Arial" w:eastAsiaTheme="minorHAnsi" w:hAnsi="Arial" w:cs="Arial"/>
          <w:sz w:val="22"/>
          <w:szCs w:val="22"/>
          <w:lang w:val="en-US"/>
        </w:rPr>
        <w:t xml:space="preserve"> </w:t>
      </w:r>
      <w:r w:rsidR="00370AC1" w:rsidRPr="005144E4">
        <w:rPr>
          <w:rFonts w:ascii="Arial" w:eastAsiaTheme="minorHAnsi" w:hAnsi="Arial" w:cs="Arial"/>
          <w:sz w:val="22"/>
          <w:szCs w:val="22"/>
          <w:lang w:val="en-US"/>
        </w:rPr>
        <w:t xml:space="preserve">Figure 5.14 </w:t>
      </w:r>
      <w:r w:rsidR="00B66C92" w:rsidRPr="005144E4">
        <w:rPr>
          <w:rFonts w:ascii="Arial" w:eastAsiaTheme="minorHAnsi" w:hAnsi="Arial" w:cs="Arial"/>
          <w:sz w:val="22"/>
          <w:szCs w:val="22"/>
          <w:lang w:val="en-US"/>
        </w:rPr>
        <w:t>shows that,</w:t>
      </w:r>
      <w:r w:rsidR="00B66C92">
        <w:rPr>
          <w:rFonts w:ascii="Arial" w:eastAsiaTheme="minorHAnsi" w:hAnsi="Arial" w:cs="Arial"/>
          <w:sz w:val="22"/>
          <w:szCs w:val="22"/>
          <w:lang w:val="en-US"/>
        </w:rPr>
        <w:t xml:space="preserve"> i</w:t>
      </w:r>
      <w:r w:rsidR="00F07730" w:rsidRPr="00AF6031">
        <w:rPr>
          <w:rFonts w:ascii="Arial" w:eastAsiaTheme="minorHAnsi" w:hAnsi="Arial" w:cs="Arial"/>
          <w:sz w:val="22"/>
          <w:szCs w:val="22"/>
          <w:lang w:val="en-US"/>
        </w:rPr>
        <w:t>n therapist variables</w:t>
      </w:r>
      <w:r w:rsidR="00B66C92">
        <w:rPr>
          <w:rFonts w:ascii="Arial" w:eastAsiaTheme="minorHAnsi" w:hAnsi="Arial" w:cs="Arial"/>
          <w:sz w:val="22"/>
          <w:szCs w:val="22"/>
          <w:lang w:val="en-US"/>
        </w:rPr>
        <w:t>,</w:t>
      </w:r>
      <w:r w:rsidR="00F07730" w:rsidRPr="00AF6031">
        <w:rPr>
          <w:rFonts w:ascii="Arial" w:eastAsiaTheme="minorHAnsi" w:hAnsi="Arial" w:cs="Arial"/>
          <w:sz w:val="22"/>
          <w:szCs w:val="22"/>
          <w:lang w:val="en-US"/>
        </w:rPr>
        <w:t xml:space="preserve"> A scores and F scores significant</w:t>
      </w:r>
      <w:r w:rsidR="00B66C92">
        <w:rPr>
          <w:rFonts w:ascii="Arial" w:eastAsiaTheme="minorHAnsi" w:hAnsi="Arial" w:cs="Arial"/>
          <w:sz w:val="22"/>
          <w:szCs w:val="22"/>
          <w:lang w:val="en-US"/>
        </w:rPr>
        <w:t>ly</w:t>
      </w:r>
      <w:r w:rsidR="00F07730" w:rsidRPr="00AF6031">
        <w:rPr>
          <w:rFonts w:ascii="Arial" w:eastAsiaTheme="minorHAnsi" w:hAnsi="Arial" w:cs="Arial"/>
          <w:sz w:val="22"/>
          <w:szCs w:val="22"/>
          <w:lang w:val="en-US"/>
        </w:rPr>
        <w:t xml:space="preserve"> interacted (p= &lt;0.001) and F scores interacted with recovery (p= &lt;0.05). Recovery, in turn, was significantly related to the GAD-7 score (p= &lt;0.001). The GAD-7 score was the pre-intervention score and was used as an indicator of severity at the start of treatment.  The GAD-7 and PHQ-9 scores were also significantly related (p= &lt;0.001), suggesting that patients were likely to be severe/not severe on both outcome measures at the start of treatment.</w:t>
      </w:r>
      <w:r w:rsidR="007E0252">
        <w:rPr>
          <w:rFonts w:ascii="Arial" w:eastAsiaTheme="minorHAnsi" w:hAnsi="Arial" w:cs="Arial"/>
          <w:sz w:val="22"/>
          <w:szCs w:val="22"/>
          <w:lang w:val="en-US"/>
        </w:rPr>
        <w:t xml:space="preserve"> </w:t>
      </w:r>
      <w:r w:rsidR="007E0252" w:rsidRPr="005144E4">
        <w:rPr>
          <w:rFonts w:ascii="Arial" w:eastAsiaTheme="minorHAnsi" w:hAnsi="Arial" w:cs="Arial"/>
          <w:sz w:val="22"/>
          <w:szCs w:val="22"/>
          <w:lang w:val="en-US"/>
        </w:rPr>
        <w:t>This is a reassuring finding in that it corroborates the model given that</w:t>
      </w:r>
      <w:r w:rsidR="006D7B5D" w:rsidRPr="005144E4">
        <w:rPr>
          <w:rFonts w:ascii="Arial" w:eastAsiaTheme="minorHAnsi" w:hAnsi="Arial" w:cs="Arial"/>
          <w:sz w:val="22"/>
          <w:szCs w:val="22"/>
          <w:lang w:val="en-US"/>
        </w:rPr>
        <w:t xml:space="preserve"> there is existing evidence that severity on the GAD-7 and PHQ-9 are related (Catarino et al., 2016).</w:t>
      </w:r>
      <w:r w:rsidR="00F07730" w:rsidRPr="00AF6031">
        <w:rPr>
          <w:rFonts w:ascii="Arial" w:eastAsiaTheme="minorHAnsi" w:hAnsi="Arial" w:cs="Arial"/>
          <w:sz w:val="22"/>
          <w:szCs w:val="22"/>
          <w:lang w:val="en-US"/>
        </w:rPr>
        <w:t xml:space="preserve"> The other patient variable related to the outcome variable of recovery was patient age</w:t>
      </w:r>
      <w:r w:rsidR="00F07730">
        <w:rPr>
          <w:rFonts w:ascii="Arial" w:eastAsiaTheme="minorHAnsi" w:hAnsi="Arial" w:cs="Arial"/>
          <w:sz w:val="22"/>
          <w:szCs w:val="22"/>
          <w:lang w:val="en-US"/>
        </w:rPr>
        <w:t xml:space="preserve"> </w:t>
      </w:r>
      <w:r w:rsidR="00F07730" w:rsidRPr="00AF6031">
        <w:rPr>
          <w:rFonts w:ascii="Arial" w:eastAsiaTheme="minorHAnsi" w:hAnsi="Arial" w:cs="Arial"/>
          <w:sz w:val="22"/>
          <w:szCs w:val="22"/>
          <w:lang w:val="en-US"/>
        </w:rPr>
        <w:t xml:space="preserve">(p= &lt;0.05). Additionally, age was related to GAD-7 scores (p= &lt;0.01) suggesting that older </w:t>
      </w:r>
      <w:r w:rsidR="00F07730" w:rsidRPr="00AF6031">
        <w:rPr>
          <w:rFonts w:ascii="Arial" w:eastAsiaTheme="minorHAnsi" w:hAnsi="Arial" w:cs="Arial"/>
          <w:sz w:val="22"/>
          <w:szCs w:val="22"/>
          <w:lang w:val="en-US"/>
        </w:rPr>
        <w:lastRenderedPageBreak/>
        <w:t>patients, in this sample, were more likely to present with anxiety disorders and were also more likely to recover. Patient gender was important in this model only in as much as it was a main effect in the model, but it did not significantly interact with any of the other variables.</w:t>
      </w:r>
      <w:r w:rsidR="00B520FA">
        <w:rPr>
          <w:rFonts w:ascii="Arial" w:eastAsiaTheme="minorHAnsi" w:hAnsi="Arial" w:cs="Arial"/>
          <w:sz w:val="22"/>
          <w:szCs w:val="22"/>
          <w:lang w:val="en-US"/>
        </w:rPr>
        <w:t xml:space="preserve"> </w:t>
      </w:r>
      <w:r w:rsidR="005C6EBA">
        <w:rPr>
          <w:rFonts w:ascii="Arial" w:eastAsiaTheme="minorHAnsi" w:hAnsi="Arial" w:cs="Arial"/>
          <w:sz w:val="22"/>
          <w:szCs w:val="22"/>
          <w:lang w:val="en-US"/>
        </w:rPr>
        <w:t xml:space="preserve">Table 5.12 shows </w:t>
      </w:r>
      <w:r w:rsidR="005C6EBA">
        <w:rPr>
          <w:rFonts w:ascii="Arial" w:hAnsi="Arial" w:cs="Arial"/>
          <w:sz w:val="22"/>
          <w:szCs w:val="22"/>
        </w:rPr>
        <w:t>t</w:t>
      </w:r>
      <w:r w:rsidR="00B520FA" w:rsidRPr="007F6C75">
        <w:rPr>
          <w:rFonts w:ascii="Arial" w:hAnsi="Arial" w:cs="Arial"/>
          <w:sz w:val="22"/>
          <w:szCs w:val="22"/>
        </w:rPr>
        <w:t>he</w:t>
      </w:r>
      <w:r w:rsidR="005C6EBA">
        <w:rPr>
          <w:rFonts w:ascii="Arial" w:hAnsi="Arial" w:cs="Arial"/>
          <w:sz w:val="22"/>
          <w:szCs w:val="22"/>
        </w:rPr>
        <w:t xml:space="preserve"> associated</w:t>
      </w:r>
      <w:r w:rsidR="00B520FA" w:rsidRPr="007F6C75">
        <w:rPr>
          <w:rFonts w:ascii="Arial" w:hAnsi="Arial" w:cs="Arial"/>
          <w:sz w:val="22"/>
          <w:szCs w:val="22"/>
        </w:rPr>
        <w:t xml:space="preserve"> estimated odds ratio</w:t>
      </w:r>
      <w:r w:rsidR="005330A5">
        <w:rPr>
          <w:rFonts w:ascii="Arial" w:hAnsi="Arial" w:cs="Arial"/>
          <w:sz w:val="22"/>
          <w:szCs w:val="22"/>
        </w:rPr>
        <w:t>. These are used to</w:t>
      </w:r>
      <w:r w:rsidR="00B520FA" w:rsidRPr="007F6C75">
        <w:rPr>
          <w:rFonts w:ascii="Arial" w:hAnsi="Arial" w:cs="Arial"/>
          <w:sz w:val="22"/>
          <w:szCs w:val="22"/>
        </w:rPr>
        <w:t xml:space="preserve"> quantify size of effects</w:t>
      </w:r>
      <w:r w:rsidR="00333455">
        <w:rPr>
          <w:rFonts w:ascii="Arial" w:hAnsi="Arial" w:cs="Arial"/>
          <w:sz w:val="22"/>
          <w:szCs w:val="22"/>
        </w:rPr>
        <w:t>,</w:t>
      </w:r>
      <w:r w:rsidR="005330A5">
        <w:rPr>
          <w:rFonts w:ascii="Arial" w:hAnsi="Arial" w:cs="Arial"/>
          <w:sz w:val="22"/>
          <w:szCs w:val="22"/>
        </w:rPr>
        <w:t xml:space="preserve"> </w:t>
      </w:r>
      <w:r w:rsidR="00B520FA" w:rsidRPr="007F6C75">
        <w:rPr>
          <w:rFonts w:ascii="Arial" w:hAnsi="Arial" w:cs="Arial"/>
          <w:sz w:val="22"/>
          <w:szCs w:val="22"/>
        </w:rPr>
        <w:t>whether above or below one indicat</w:t>
      </w:r>
      <w:r w:rsidR="00333455">
        <w:rPr>
          <w:rFonts w:ascii="Arial" w:hAnsi="Arial" w:cs="Arial"/>
          <w:sz w:val="22"/>
          <w:szCs w:val="22"/>
        </w:rPr>
        <w:t>es</w:t>
      </w:r>
      <w:r w:rsidR="00B520FA" w:rsidRPr="007F6C75">
        <w:rPr>
          <w:rFonts w:ascii="Arial" w:hAnsi="Arial" w:cs="Arial"/>
          <w:sz w:val="22"/>
          <w:szCs w:val="22"/>
        </w:rPr>
        <w:t xml:space="preserve"> the direction of association. </w:t>
      </w:r>
      <w:r w:rsidR="00B6662F">
        <w:rPr>
          <w:rFonts w:ascii="Arial" w:hAnsi="Arial" w:cs="Arial"/>
          <w:sz w:val="22"/>
          <w:szCs w:val="22"/>
        </w:rPr>
        <w:t>It should be noted that</w:t>
      </w:r>
      <w:r w:rsidR="00B520FA" w:rsidRPr="007F6C75">
        <w:rPr>
          <w:rFonts w:ascii="Arial" w:hAnsi="Arial" w:cs="Arial"/>
          <w:sz w:val="22"/>
          <w:szCs w:val="22"/>
        </w:rPr>
        <w:t xml:space="preserve"> of the 12 </w:t>
      </w:r>
      <w:r w:rsidR="00B6662F">
        <w:rPr>
          <w:rFonts w:ascii="Arial" w:hAnsi="Arial" w:cs="Arial"/>
          <w:sz w:val="22"/>
          <w:szCs w:val="22"/>
        </w:rPr>
        <w:t>odds ratio</w:t>
      </w:r>
      <w:r w:rsidR="00B520FA" w:rsidRPr="007F6C75">
        <w:rPr>
          <w:rFonts w:ascii="Arial" w:hAnsi="Arial" w:cs="Arial"/>
          <w:sz w:val="22"/>
          <w:szCs w:val="22"/>
        </w:rPr>
        <w:t>s tabulated all but two have confidence intervals spanning the neutral value 1, with GAD-7 and PHQ-9 scores, respectively, being statistically significantly related to improvement. The HLM analysis above, however, provides a more satisfactory, overall picture of the inter-relationships among all the factors simultaneously.</w:t>
      </w:r>
    </w:p>
    <w:p w14:paraId="06132563" w14:textId="68D6ADD5" w:rsidR="00F07730" w:rsidRPr="00AF6031" w:rsidRDefault="00F07730" w:rsidP="00F07730">
      <w:pPr>
        <w:autoSpaceDE w:val="0"/>
        <w:autoSpaceDN w:val="0"/>
        <w:adjustRightInd w:val="0"/>
        <w:spacing w:line="480" w:lineRule="auto"/>
        <w:rPr>
          <w:rFonts w:ascii="Arial" w:eastAsiaTheme="minorHAnsi" w:hAnsi="Arial" w:cs="Arial"/>
          <w:sz w:val="22"/>
          <w:szCs w:val="22"/>
          <w:lang w:val="en-US"/>
        </w:rPr>
      </w:pPr>
    </w:p>
    <w:p w14:paraId="12923F51" w14:textId="544C8F6A" w:rsidR="00D77BFD" w:rsidRDefault="00D77BFD" w:rsidP="008A418C">
      <w:pPr>
        <w:tabs>
          <w:tab w:val="left" w:pos="1215"/>
        </w:tabs>
        <w:spacing w:line="480" w:lineRule="auto"/>
        <w:rPr>
          <w:rFonts w:ascii="Arial" w:hAnsi="Arial" w:cs="Arial"/>
          <w:sz w:val="22"/>
          <w:szCs w:val="22"/>
        </w:rPr>
      </w:pPr>
    </w:p>
    <w:p w14:paraId="1CF40628" w14:textId="77777777" w:rsidR="007F4F00" w:rsidRDefault="007F4F00">
      <w:pPr>
        <w:rPr>
          <w:rFonts w:ascii="Arial" w:hAnsi="Arial"/>
          <w:b/>
          <w:bCs/>
          <w:iCs/>
          <w:sz w:val="22"/>
          <w:szCs w:val="18"/>
        </w:rPr>
      </w:pPr>
      <w:r>
        <w:rPr>
          <w:bCs/>
        </w:rPr>
        <w:br w:type="page"/>
      </w:r>
    </w:p>
    <w:p w14:paraId="5E5D083A" w14:textId="03A2F094" w:rsidR="00D77BFD" w:rsidRDefault="00D77BFD" w:rsidP="00B524C7">
      <w:pPr>
        <w:pStyle w:val="Figures"/>
      </w:pPr>
      <w:bookmarkStart w:id="401" w:name="_Toc46770961"/>
      <w:r w:rsidRPr="00C01926">
        <w:rPr>
          <w:bCs/>
        </w:rPr>
        <w:lastRenderedPageBreak/>
        <w:t xml:space="preserve">Figure </w:t>
      </w:r>
      <w:r w:rsidR="00C01926" w:rsidRPr="00C01926">
        <w:rPr>
          <w:bCs/>
        </w:rPr>
        <w:t>5.14</w:t>
      </w:r>
      <w:r w:rsidR="00C01926">
        <w:t xml:space="preserve"> </w:t>
      </w:r>
      <w:r w:rsidR="00C01926" w:rsidRPr="00B524C7">
        <w:rPr>
          <w:b w:val="0"/>
          <w:bCs/>
        </w:rPr>
        <w:t>The final model</w:t>
      </w:r>
      <w:r w:rsidR="00584957" w:rsidRPr="00B524C7">
        <w:rPr>
          <w:b w:val="0"/>
          <w:bCs/>
        </w:rPr>
        <w:t xml:space="preserve"> showing associations between</w:t>
      </w:r>
      <w:r w:rsidR="00BE5B0C" w:rsidRPr="00B524C7">
        <w:rPr>
          <w:b w:val="0"/>
          <w:bCs/>
        </w:rPr>
        <w:t xml:space="preserve"> the variables</w:t>
      </w:r>
      <w:bookmarkEnd w:id="401"/>
    </w:p>
    <w:bookmarkStart w:id="402" w:name="_MON_1654959999"/>
    <w:bookmarkEnd w:id="402"/>
    <w:p w14:paraId="4E71B9A7" w14:textId="1C7941F7" w:rsidR="00EC7D0E" w:rsidRPr="00F843AD" w:rsidRDefault="008F1519" w:rsidP="00193B79">
      <w:pPr>
        <w:rPr>
          <w:bCs/>
          <w:lang w:val="en-US"/>
        </w:rPr>
      </w:pPr>
      <w:r w:rsidRPr="001B05A1">
        <w:rPr>
          <w:noProof/>
          <w:lang w:val="en-US"/>
        </w:rPr>
        <w:object w:dxaOrig="9020" w:dyaOrig="8880" w14:anchorId="07D6226B">
          <v:shape id="_x0000_i1026" type="#_x0000_t75" alt="P3317#yIS1" style="width:450.9pt;height:444pt;mso-width-percent:0;mso-height-percent:0;mso-width-percent:0;mso-height-percent:0" o:ole="">
            <v:imagedata r:id="rId72" o:title=""/>
          </v:shape>
          <o:OLEObject Type="Embed" ProgID="Word.Document.12" ShapeID="_x0000_i1026" DrawAspect="Content" ObjectID="_1690028218" r:id="rId73">
            <o:FieldCodes>\s</o:FieldCodes>
          </o:OLEObject>
        </w:object>
      </w:r>
    </w:p>
    <w:p w14:paraId="23E7B9A1" w14:textId="77777777" w:rsidR="00D238AD" w:rsidRDefault="00D238AD">
      <w:pPr>
        <w:rPr>
          <w:rFonts w:ascii="Arial" w:hAnsi="Arial"/>
          <w:b/>
          <w:iCs/>
          <w:sz w:val="22"/>
          <w:szCs w:val="18"/>
        </w:rPr>
      </w:pPr>
      <w:bookmarkStart w:id="403" w:name="_Toc46770992"/>
      <w:r>
        <w:br w:type="page"/>
      </w:r>
    </w:p>
    <w:p w14:paraId="6EB43C08" w14:textId="50E608AD" w:rsidR="004A19DC" w:rsidRDefault="00E60666" w:rsidP="00E60666">
      <w:pPr>
        <w:pStyle w:val="Tables"/>
        <w:rPr>
          <w:lang w:val="en-US"/>
        </w:rPr>
      </w:pPr>
      <w:r w:rsidRPr="00E60666">
        <w:lastRenderedPageBreak/>
        <w:t xml:space="preserve">Table 5.12 </w:t>
      </w:r>
      <w:r w:rsidRPr="00E60666">
        <w:rPr>
          <w:b w:val="0"/>
          <w:bCs/>
        </w:rPr>
        <w:t>Odds ratios (ORs) and 95% confidence intervals (CIs) for reliable improvement and clinical recovery by patient factors (gender; age below/above median; low/high GAD and PHQ scores) and therapist factors (Adherence score low/high; Fidelity score low/high).</w:t>
      </w:r>
      <w:bookmarkEnd w:id="403"/>
    </w:p>
    <w:p w14:paraId="46257A56" w14:textId="0F6137E8" w:rsidR="004A19DC" w:rsidRDefault="004A19DC" w:rsidP="004A19DC">
      <w:pPr>
        <w:rPr>
          <w:lang w:val="en-US"/>
        </w:rPr>
      </w:pPr>
    </w:p>
    <w:tbl>
      <w:tblPr>
        <w:tblStyle w:val="TableGrid"/>
        <w:tblW w:w="0" w:type="auto"/>
        <w:tblLayout w:type="fixed"/>
        <w:tblLook w:val="04A0" w:firstRow="1" w:lastRow="0" w:firstColumn="1" w:lastColumn="0" w:noHBand="0" w:noVBand="1"/>
      </w:tblPr>
      <w:tblGrid>
        <w:gridCol w:w="1413"/>
        <w:gridCol w:w="963"/>
        <w:gridCol w:w="1134"/>
        <w:gridCol w:w="1985"/>
        <w:gridCol w:w="1276"/>
        <w:gridCol w:w="2016"/>
      </w:tblGrid>
      <w:tr w:rsidR="00E60666" w14:paraId="62209C75" w14:textId="77777777" w:rsidTr="00FA2D10">
        <w:tc>
          <w:tcPr>
            <w:tcW w:w="2376" w:type="dxa"/>
            <w:gridSpan w:val="2"/>
            <w:vMerge w:val="restart"/>
          </w:tcPr>
          <w:p w14:paraId="4710D8BA" w14:textId="77777777" w:rsidR="00E60666" w:rsidRDefault="00E60666" w:rsidP="00FA2D10"/>
        </w:tc>
        <w:tc>
          <w:tcPr>
            <w:tcW w:w="3119" w:type="dxa"/>
            <w:gridSpan w:val="2"/>
          </w:tcPr>
          <w:p w14:paraId="6C573DFF" w14:textId="77777777" w:rsidR="00E60666" w:rsidRDefault="00E60666" w:rsidP="00FA2D10">
            <w:pPr>
              <w:jc w:val="center"/>
            </w:pPr>
            <w:r>
              <w:t>Improvement</w:t>
            </w:r>
          </w:p>
          <w:p w14:paraId="69F24516" w14:textId="77777777" w:rsidR="00E60666" w:rsidRDefault="00E60666" w:rsidP="00FA2D10">
            <w:pPr>
              <w:jc w:val="center"/>
            </w:pPr>
          </w:p>
        </w:tc>
        <w:tc>
          <w:tcPr>
            <w:tcW w:w="3292" w:type="dxa"/>
            <w:gridSpan w:val="2"/>
          </w:tcPr>
          <w:p w14:paraId="0E515B1A" w14:textId="77777777" w:rsidR="00E60666" w:rsidRDefault="00E60666" w:rsidP="00FA2D10">
            <w:pPr>
              <w:jc w:val="center"/>
            </w:pPr>
            <w:r>
              <w:t>Recovery</w:t>
            </w:r>
          </w:p>
        </w:tc>
      </w:tr>
      <w:tr w:rsidR="00E60666" w14:paraId="3FA61D0B" w14:textId="77777777" w:rsidTr="00FA2D10">
        <w:tc>
          <w:tcPr>
            <w:tcW w:w="2376" w:type="dxa"/>
            <w:gridSpan w:val="2"/>
            <w:vMerge/>
          </w:tcPr>
          <w:p w14:paraId="181F0E32" w14:textId="77777777" w:rsidR="00E60666" w:rsidRDefault="00E60666" w:rsidP="00FA2D10"/>
        </w:tc>
        <w:tc>
          <w:tcPr>
            <w:tcW w:w="1134" w:type="dxa"/>
          </w:tcPr>
          <w:p w14:paraId="7A7057E5" w14:textId="77777777" w:rsidR="00E60666" w:rsidRDefault="00E60666" w:rsidP="00FA2D10">
            <w:pPr>
              <w:jc w:val="center"/>
            </w:pPr>
          </w:p>
          <w:p w14:paraId="42E8F430" w14:textId="77777777" w:rsidR="00E60666" w:rsidRDefault="00E60666" w:rsidP="00FA2D10">
            <w:pPr>
              <w:jc w:val="center"/>
            </w:pPr>
            <w:r>
              <w:t>n (%)</w:t>
            </w:r>
          </w:p>
          <w:p w14:paraId="7DECA2FC" w14:textId="77777777" w:rsidR="00E60666" w:rsidRDefault="00E60666" w:rsidP="00FA2D10">
            <w:pPr>
              <w:jc w:val="center"/>
            </w:pPr>
          </w:p>
        </w:tc>
        <w:tc>
          <w:tcPr>
            <w:tcW w:w="1985" w:type="dxa"/>
          </w:tcPr>
          <w:p w14:paraId="7A359DAC" w14:textId="77777777" w:rsidR="00E60666" w:rsidRDefault="00E60666" w:rsidP="00FA2D10">
            <w:pPr>
              <w:jc w:val="center"/>
            </w:pPr>
          </w:p>
          <w:p w14:paraId="75EEC0B3" w14:textId="77777777" w:rsidR="00E60666" w:rsidRDefault="00E60666" w:rsidP="00FA2D10">
            <w:pPr>
              <w:jc w:val="center"/>
            </w:pPr>
            <w:r>
              <w:t>OR (95% CI)</w:t>
            </w:r>
          </w:p>
        </w:tc>
        <w:tc>
          <w:tcPr>
            <w:tcW w:w="1276" w:type="dxa"/>
          </w:tcPr>
          <w:p w14:paraId="63637E8C" w14:textId="77777777" w:rsidR="00E60666" w:rsidRDefault="00E60666" w:rsidP="00FA2D10">
            <w:pPr>
              <w:jc w:val="center"/>
            </w:pPr>
          </w:p>
          <w:p w14:paraId="7AFAB3DF" w14:textId="77777777" w:rsidR="00E60666" w:rsidRDefault="00E60666" w:rsidP="00FA2D10">
            <w:pPr>
              <w:jc w:val="center"/>
            </w:pPr>
            <w:r>
              <w:t>n (%)</w:t>
            </w:r>
          </w:p>
        </w:tc>
        <w:tc>
          <w:tcPr>
            <w:tcW w:w="2016" w:type="dxa"/>
          </w:tcPr>
          <w:p w14:paraId="7ED36B3E" w14:textId="77777777" w:rsidR="00E60666" w:rsidRDefault="00E60666" w:rsidP="00FA2D10">
            <w:pPr>
              <w:jc w:val="center"/>
            </w:pPr>
          </w:p>
          <w:p w14:paraId="0FC625D5" w14:textId="77777777" w:rsidR="00E60666" w:rsidRDefault="00E60666" w:rsidP="00FA2D10">
            <w:pPr>
              <w:jc w:val="center"/>
            </w:pPr>
            <w:r>
              <w:t>OR (95% CI)</w:t>
            </w:r>
          </w:p>
        </w:tc>
      </w:tr>
      <w:tr w:rsidR="00E60666" w14:paraId="5B015BBA" w14:textId="77777777" w:rsidTr="00E60666">
        <w:tc>
          <w:tcPr>
            <w:tcW w:w="1413" w:type="dxa"/>
            <w:vMerge w:val="restart"/>
          </w:tcPr>
          <w:p w14:paraId="62B4FF78" w14:textId="77777777" w:rsidR="00E60666" w:rsidRDefault="00E60666" w:rsidP="00FA2D10">
            <w:r>
              <w:t>Gender</w:t>
            </w:r>
          </w:p>
        </w:tc>
        <w:tc>
          <w:tcPr>
            <w:tcW w:w="963" w:type="dxa"/>
          </w:tcPr>
          <w:p w14:paraId="54B97B94" w14:textId="77777777" w:rsidR="00E60666" w:rsidRDefault="00E60666" w:rsidP="00FA2D10">
            <w:r>
              <w:t>Male</w:t>
            </w:r>
          </w:p>
        </w:tc>
        <w:tc>
          <w:tcPr>
            <w:tcW w:w="1134" w:type="dxa"/>
          </w:tcPr>
          <w:p w14:paraId="6AC6C690" w14:textId="77777777" w:rsidR="00E60666" w:rsidRDefault="00E60666" w:rsidP="00FA2D10">
            <w:pPr>
              <w:jc w:val="center"/>
            </w:pPr>
            <w:r>
              <w:t>116 (74.8%)</w:t>
            </w:r>
          </w:p>
        </w:tc>
        <w:tc>
          <w:tcPr>
            <w:tcW w:w="1985" w:type="dxa"/>
          </w:tcPr>
          <w:p w14:paraId="66BC6E6F" w14:textId="77777777" w:rsidR="00E60666" w:rsidRDefault="00E60666" w:rsidP="00FA2D10">
            <w:pPr>
              <w:jc w:val="center"/>
            </w:pPr>
            <w:r>
              <w:t>0.93 (0.61, 1.42)</w:t>
            </w:r>
          </w:p>
        </w:tc>
        <w:tc>
          <w:tcPr>
            <w:tcW w:w="1276" w:type="dxa"/>
          </w:tcPr>
          <w:p w14:paraId="65E5765B" w14:textId="77777777" w:rsidR="00E60666" w:rsidRDefault="00E60666" w:rsidP="00FA2D10">
            <w:pPr>
              <w:jc w:val="center"/>
            </w:pPr>
            <w:r>
              <w:t>87    (56.1%)</w:t>
            </w:r>
          </w:p>
        </w:tc>
        <w:tc>
          <w:tcPr>
            <w:tcW w:w="2016" w:type="dxa"/>
          </w:tcPr>
          <w:p w14:paraId="2EFA7FB0" w14:textId="77777777" w:rsidR="00E60666" w:rsidRDefault="00E60666" w:rsidP="00FA2D10">
            <w:pPr>
              <w:jc w:val="center"/>
            </w:pPr>
            <w:r>
              <w:t>1.07 (0.74, 1.54)</w:t>
            </w:r>
          </w:p>
        </w:tc>
      </w:tr>
      <w:tr w:rsidR="00E60666" w14:paraId="6452BDCE" w14:textId="77777777" w:rsidTr="00E60666">
        <w:tc>
          <w:tcPr>
            <w:tcW w:w="1413" w:type="dxa"/>
            <w:vMerge/>
          </w:tcPr>
          <w:p w14:paraId="5E28D1C6" w14:textId="77777777" w:rsidR="00E60666" w:rsidRDefault="00E60666" w:rsidP="00FA2D10"/>
        </w:tc>
        <w:tc>
          <w:tcPr>
            <w:tcW w:w="963" w:type="dxa"/>
          </w:tcPr>
          <w:p w14:paraId="5F0485A6" w14:textId="77777777" w:rsidR="00E60666" w:rsidRDefault="00E60666" w:rsidP="00FA2D10">
            <w:r>
              <w:t>Female</w:t>
            </w:r>
          </w:p>
        </w:tc>
        <w:tc>
          <w:tcPr>
            <w:tcW w:w="1134" w:type="dxa"/>
          </w:tcPr>
          <w:p w14:paraId="4B8820A6" w14:textId="77777777" w:rsidR="00E60666" w:rsidRDefault="00E60666" w:rsidP="00FA2D10">
            <w:pPr>
              <w:jc w:val="center"/>
            </w:pPr>
            <w:r>
              <w:t>334 (76.3%)</w:t>
            </w:r>
          </w:p>
        </w:tc>
        <w:tc>
          <w:tcPr>
            <w:tcW w:w="1985" w:type="dxa"/>
          </w:tcPr>
          <w:p w14:paraId="405956FF" w14:textId="77777777" w:rsidR="00E60666" w:rsidRDefault="00E60666" w:rsidP="00FA2D10">
            <w:pPr>
              <w:jc w:val="center"/>
            </w:pPr>
          </w:p>
        </w:tc>
        <w:tc>
          <w:tcPr>
            <w:tcW w:w="1276" w:type="dxa"/>
          </w:tcPr>
          <w:p w14:paraId="3E6B548C" w14:textId="77777777" w:rsidR="00E60666" w:rsidRDefault="00E60666" w:rsidP="00FA2D10">
            <w:pPr>
              <w:jc w:val="center"/>
            </w:pPr>
            <w:r>
              <w:t>239 (54.6%)</w:t>
            </w:r>
          </w:p>
        </w:tc>
        <w:tc>
          <w:tcPr>
            <w:tcW w:w="2016" w:type="dxa"/>
          </w:tcPr>
          <w:p w14:paraId="36974585" w14:textId="77777777" w:rsidR="00E60666" w:rsidRDefault="00E60666" w:rsidP="00FA2D10">
            <w:pPr>
              <w:jc w:val="center"/>
            </w:pPr>
          </w:p>
        </w:tc>
      </w:tr>
      <w:tr w:rsidR="00E60666" w14:paraId="1C65C8C2" w14:textId="77777777" w:rsidTr="00E60666">
        <w:tc>
          <w:tcPr>
            <w:tcW w:w="1413" w:type="dxa"/>
            <w:vMerge w:val="restart"/>
          </w:tcPr>
          <w:p w14:paraId="55487468" w14:textId="77777777" w:rsidR="00E60666" w:rsidRDefault="00E60666" w:rsidP="00FA2D10">
            <w:r>
              <w:t>Age</w:t>
            </w:r>
          </w:p>
        </w:tc>
        <w:tc>
          <w:tcPr>
            <w:tcW w:w="963" w:type="dxa"/>
          </w:tcPr>
          <w:p w14:paraId="57A69B30" w14:textId="77777777" w:rsidR="00E60666" w:rsidRDefault="00E60666" w:rsidP="00FA2D10">
            <w:r>
              <w:t>&lt; 33</w:t>
            </w:r>
          </w:p>
        </w:tc>
        <w:tc>
          <w:tcPr>
            <w:tcW w:w="1134" w:type="dxa"/>
          </w:tcPr>
          <w:p w14:paraId="2D9C5F60" w14:textId="77777777" w:rsidR="00E60666" w:rsidRDefault="00E60666" w:rsidP="00FA2D10">
            <w:pPr>
              <w:jc w:val="center"/>
            </w:pPr>
            <w:r>
              <w:t>246 (77.1%)</w:t>
            </w:r>
          </w:p>
        </w:tc>
        <w:tc>
          <w:tcPr>
            <w:tcW w:w="1985" w:type="dxa"/>
          </w:tcPr>
          <w:p w14:paraId="63039EAB" w14:textId="77777777" w:rsidR="00E60666" w:rsidRDefault="00E60666" w:rsidP="00FA2D10">
            <w:pPr>
              <w:jc w:val="center"/>
            </w:pPr>
            <w:r>
              <w:t>1.25 (0.86, 1.82)</w:t>
            </w:r>
          </w:p>
        </w:tc>
        <w:tc>
          <w:tcPr>
            <w:tcW w:w="1276" w:type="dxa"/>
          </w:tcPr>
          <w:p w14:paraId="1CEAFA30" w14:textId="77777777" w:rsidR="00E60666" w:rsidRDefault="00E60666" w:rsidP="00FA2D10">
            <w:pPr>
              <w:jc w:val="center"/>
            </w:pPr>
            <w:r>
              <w:t>187 (59.2%)</w:t>
            </w:r>
          </w:p>
        </w:tc>
        <w:tc>
          <w:tcPr>
            <w:tcW w:w="2016" w:type="dxa"/>
          </w:tcPr>
          <w:p w14:paraId="7D8CC4C6" w14:textId="77777777" w:rsidR="00E60666" w:rsidRDefault="00E60666" w:rsidP="00FA2D10">
            <w:pPr>
              <w:jc w:val="center"/>
            </w:pPr>
            <w:r>
              <w:t>1.45 (1.05, 2.01)</w:t>
            </w:r>
          </w:p>
        </w:tc>
      </w:tr>
      <w:tr w:rsidR="00E60666" w14:paraId="217019CF" w14:textId="77777777" w:rsidTr="00E60666">
        <w:trPr>
          <w:trHeight w:val="76"/>
        </w:trPr>
        <w:tc>
          <w:tcPr>
            <w:tcW w:w="1413" w:type="dxa"/>
            <w:vMerge/>
          </w:tcPr>
          <w:p w14:paraId="07D37274" w14:textId="77777777" w:rsidR="00E60666" w:rsidRDefault="00E60666" w:rsidP="00FA2D10"/>
        </w:tc>
        <w:tc>
          <w:tcPr>
            <w:tcW w:w="963" w:type="dxa"/>
          </w:tcPr>
          <w:p w14:paraId="55DA738D" w14:textId="77777777" w:rsidR="00E60666" w:rsidRDefault="00E60666" w:rsidP="00FA2D10">
            <w:r>
              <w:t xml:space="preserve">   33+</w:t>
            </w:r>
          </w:p>
        </w:tc>
        <w:tc>
          <w:tcPr>
            <w:tcW w:w="1134" w:type="dxa"/>
          </w:tcPr>
          <w:p w14:paraId="388FD6E4" w14:textId="77777777" w:rsidR="00E60666" w:rsidRDefault="00E60666" w:rsidP="00FA2D10">
            <w:pPr>
              <w:jc w:val="center"/>
            </w:pPr>
            <w:r>
              <w:t>205 (73.7%)</w:t>
            </w:r>
          </w:p>
        </w:tc>
        <w:tc>
          <w:tcPr>
            <w:tcW w:w="1985" w:type="dxa"/>
          </w:tcPr>
          <w:p w14:paraId="0133CD89" w14:textId="77777777" w:rsidR="00E60666" w:rsidRDefault="00E60666" w:rsidP="00FA2D10">
            <w:pPr>
              <w:jc w:val="center"/>
            </w:pPr>
          </w:p>
        </w:tc>
        <w:tc>
          <w:tcPr>
            <w:tcW w:w="1276" w:type="dxa"/>
          </w:tcPr>
          <w:p w14:paraId="3B60B90B" w14:textId="77777777" w:rsidR="00E60666" w:rsidRDefault="00E60666" w:rsidP="00FA2D10">
            <w:pPr>
              <w:jc w:val="center"/>
            </w:pPr>
            <w:r>
              <w:t>139 (50.0%)</w:t>
            </w:r>
          </w:p>
        </w:tc>
        <w:tc>
          <w:tcPr>
            <w:tcW w:w="2016" w:type="dxa"/>
          </w:tcPr>
          <w:p w14:paraId="08A79E49" w14:textId="77777777" w:rsidR="00E60666" w:rsidRDefault="00E60666" w:rsidP="00FA2D10">
            <w:pPr>
              <w:jc w:val="center"/>
            </w:pPr>
          </w:p>
        </w:tc>
      </w:tr>
      <w:tr w:rsidR="00E60666" w14:paraId="3C2F0AE1" w14:textId="77777777" w:rsidTr="00E60666">
        <w:tc>
          <w:tcPr>
            <w:tcW w:w="1413" w:type="dxa"/>
            <w:vMerge w:val="restart"/>
          </w:tcPr>
          <w:p w14:paraId="649AD205" w14:textId="77777777" w:rsidR="00E60666" w:rsidRDefault="00E60666" w:rsidP="00FA2D10">
            <w:r>
              <w:t>GAD-7</w:t>
            </w:r>
          </w:p>
        </w:tc>
        <w:tc>
          <w:tcPr>
            <w:tcW w:w="963" w:type="dxa"/>
          </w:tcPr>
          <w:p w14:paraId="2277F005" w14:textId="77777777" w:rsidR="00E60666" w:rsidRDefault="00E60666" w:rsidP="00FA2D10">
            <w:r>
              <w:t>Low</w:t>
            </w:r>
          </w:p>
        </w:tc>
        <w:tc>
          <w:tcPr>
            <w:tcW w:w="1134" w:type="dxa"/>
          </w:tcPr>
          <w:p w14:paraId="6E3FC05D" w14:textId="77777777" w:rsidR="00E60666" w:rsidRDefault="00E60666" w:rsidP="00FA2D10">
            <w:pPr>
              <w:jc w:val="center"/>
            </w:pPr>
            <w:r>
              <w:t>169 (64.5%)</w:t>
            </w:r>
          </w:p>
        </w:tc>
        <w:tc>
          <w:tcPr>
            <w:tcW w:w="1985" w:type="dxa"/>
          </w:tcPr>
          <w:p w14:paraId="1EC393BE" w14:textId="77777777" w:rsidR="00E60666" w:rsidRDefault="00E60666" w:rsidP="00FA2D10">
            <w:pPr>
              <w:jc w:val="center"/>
            </w:pPr>
            <w:r>
              <w:t>0.32 (0.22, 0.48)</w:t>
            </w:r>
          </w:p>
        </w:tc>
        <w:tc>
          <w:tcPr>
            <w:tcW w:w="1276" w:type="dxa"/>
          </w:tcPr>
          <w:p w14:paraId="50079F7D" w14:textId="77777777" w:rsidR="00E60666" w:rsidRDefault="00E60666" w:rsidP="00FA2D10">
            <w:pPr>
              <w:jc w:val="center"/>
            </w:pPr>
            <w:r>
              <w:t>145 (53.3%)</w:t>
            </w:r>
          </w:p>
        </w:tc>
        <w:tc>
          <w:tcPr>
            <w:tcW w:w="2016" w:type="dxa"/>
          </w:tcPr>
          <w:p w14:paraId="4F7E527B" w14:textId="77777777" w:rsidR="00E60666" w:rsidRDefault="00E60666" w:rsidP="00FA2D10">
            <w:pPr>
              <w:jc w:val="center"/>
            </w:pPr>
            <w:r>
              <w:t>1.03 (0.75, 1.43)</w:t>
            </w:r>
          </w:p>
        </w:tc>
      </w:tr>
      <w:tr w:rsidR="00E60666" w14:paraId="27E5FD9D" w14:textId="77777777" w:rsidTr="00E60666">
        <w:tc>
          <w:tcPr>
            <w:tcW w:w="1413" w:type="dxa"/>
            <w:vMerge/>
          </w:tcPr>
          <w:p w14:paraId="73C13D8A" w14:textId="77777777" w:rsidR="00E60666" w:rsidRDefault="00E60666" w:rsidP="00FA2D10"/>
        </w:tc>
        <w:tc>
          <w:tcPr>
            <w:tcW w:w="963" w:type="dxa"/>
          </w:tcPr>
          <w:p w14:paraId="5762D53C" w14:textId="77777777" w:rsidR="00E60666" w:rsidRDefault="00E60666" w:rsidP="00FA2D10">
            <w:r>
              <w:t>High</w:t>
            </w:r>
          </w:p>
        </w:tc>
        <w:tc>
          <w:tcPr>
            <w:tcW w:w="1134" w:type="dxa"/>
          </w:tcPr>
          <w:p w14:paraId="059B539D" w14:textId="77777777" w:rsidR="00E60666" w:rsidRDefault="00E60666" w:rsidP="00FA2D10">
            <w:pPr>
              <w:jc w:val="center"/>
            </w:pPr>
            <w:r>
              <w:t>282 (84.9%)</w:t>
            </w:r>
          </w:p>
        </w:tc>
        <w:tc>
          <w:tcPr>
            <w:tcW w:w="1985" w:type="dxa"/>
          </w:tcPr>
          <w:p w14:paraId="32E36855" w14:textId="77777777" w:rsidR="00E60666" w:rsidRDefault="00E60666" w:rsidP="00FA2D10">
            <w:pPr>
              <w:jc w:val="center"/>
            </w:pPr>
          </w:p>
        </w:tc>
        <w:tc>
          <w:tcPr>
            <w:tcW w:w="1276" w:type="dxa"/>
          </w:tcPr>
          <w:p w14:paraId="5926447E" w14:textId="77777777" w:rsidR="00E60666" w:rsidRDefault="00E60666" w:rsidP="00FA2D10">
            <w:pPr>
              <w:jc w:val="center"/>
            </w:pPr>
            <w:r>
              <w:t>181 (54.5%)</w:t>
            </w:r>
          </w:p>
        </w:tc>
        <w:tc>
          <w:tcPr>
            <w:tcW w:w="2016" w:type="dxa"/>
          </w:tcPr>
          <w:p w14:paraId="2C1E77C8" w14:textId="77777777" w:rsidR="00E60666" w:rsidRDefault="00E60666" w:rsidP="00FA2D10">
            <w:pPr>
              <w:jc w:val="center"/>
            </w:pPr>
          </w:p>
        </w:tc>
      </w:tr>
      <w:tr w:rsidR="00E60666" w14:paraId="06551C29" w14:textId="77777777" w:rsidTr="00E60666">
        <w:tc>
          <w:tcPr>
            <w:tcW w:w="1413" w:type="dxa"/>
            <w:vMerge w:val="restart"/>
          </w:tcPr>
          <w:p w14:paraId="3D3F2E3A" w14:textId="77777777" w:rsidR="00E60666" w:rsidRDefault="00E60666" w:rsidP="00FA2D10">
            <w:r>
              <w:t>PHQ-9</w:t>
            </w:r>
          </w:p>
          <w:p w14:paraId="3BDD37C5" w14:textId="77777777" w:rsidR="00E60666" w:rsidRDefault="00E60666" w:rsidP="00FA2D10">
            <w:r>
              <w:t xml:space="preserve">  </w:t>
            </w:r>
          </w:p>
        </w:tc>
        <w:tc>
          <w:tcPr>
            <w:tcW w:w="963" w:type="dxa"/>
          </w:tcPr>
          <w:p w14:paraId="30B14C18" w14:textId="77777777" w:rsidR="00E60666" w:rsidRDefault="00E60666" w:rsidP="00FA2D10">
            <w:r>
              <w:t>Low</w:t>
            </w:r>
          </w:p>
        </w:tc>
        <w:tc>
          <w:tcPr>
            <w:tcW w:w="1134" w:type="dxa"/>
          </w:tcPr>
          <w:p w14:paraId="1CC11228" w14:textId="77777777" w:rsidR="00E60666" w:rsidRDefault="00E60666" w:rsidP="00FA2D10">
            <w:pPr>
              <w:jc w:val="center"/>
            </w:pPr>
            <w:r>
              <w:t>177 (65.6%)</w:t>
            </w:r>
          </w:p>
        </w:tc>
        <w:tc>
          <w:tcPr>
            <w:tcW w:w="1985" w:type="dxa"/>
          </w:tcPr>
          <w:p w14:paraId="35E24F6A" w14:textId="77777777" w:rsidR="00E60666" w:rsidRDefault="00E60666" w:rsidP="00FA2D10">
            <w:pPr>
              <w:jc w:val="center"/>
            </w:pPr>
            <w:r>
              <w:t>0.35 (0.24, 0.51)</w:t>
            </w:r>
          </w:p>
        </w:tc>
        <w:tc>
          <w:tcPr>
            <w:tcW w:w="1276" w:type="dxa"/>
          </w:tcPr>
          <w:p w14:paraId="460D68E7" w14:textId="77777777" w:rsidR="00E60666" w:rsidRDefault="00E60666" w:rsidP="00FA2D10">
            <w:pPr>
              <w:jc w:val="center"/>
            </w:pPr>
            <w:r>
              <w:t>146 (54.1%)</w:t>
            </w:r>
          </w:p>
        </w:tc>
        <w:tc>
          <w:tcPr>
            <w:tcW w:w="2016" w:type="dxa"/>
          </w:tcPr>
          <w:p w14:paraId="0B7E4621" w14:textId="77777777" w:rsidR="00E60666" w:rsidRDefault="00E60666" w:rsidP="00FA2D10">
            <w:pPr>
              <w:jc w:val="center"/>
            </w:pPr>
            <w:r>
              <w:t>0.94 (0.68, 1.30)</w:t>
            </w:r>
          </w:p>
        </w:tc>
      </w:tr>
      <w:tr w:rsidR="00E60666" w14:paraId="6D86DA52" w14:textId="77777777" w:rsidTr="00E60666">
        <w:tc>
          <w:tcPr>
            <w:tcW w:w="1413" w:type="dxa"/>
            <w:vMerge/>
          </w:tcPr>
          <w:p w14:paraId="0A25FEE7" w14:textId="77777777" w:rsidR="00E60666" w:rsidRDefault="00E60666" w:rsidP="00FA2D10"/>
        </w:tc>
        <w:tc>
          <w:tcPr>
            <w:tcW w:w="963" w:type="dxa"/>
          </w:tcPr>
          <w:p w14:paraId="6EB0AB9F" w14:textId="77777777" w:rsidR="00E60666" w:rsidRDefault="00E60666" w:rsidP="00FA2D10">
            <w:r>
              <w:t>High</w:t>
            </w:r>
          </w:p>
        </w:tc>
        <w:tc>
          <w:tcPr>
            <w:tcW w:w="1134" w:type="dxa"/>
          </w:tcPr>
          <w:p w14:paraId="0AB4EC73" w14:textId="77777777" w:rsidR="00E60666" w:rsidRDefault="00E60666" w:rsidP="00FA2D10">
            <w:pPr>
              <w:jc w:val="center"/>
            </w:pPr>
            <w:r>
              <w:t>274 (84.6%)</w:t>
            </w:r>
          </w:p>
        </w:tc>
        <w:tc>
          <w:tcPr>
            <w:tcW w:w="1985" w:type="dxa"/>
          </w:tcPr>
          <w:p w14:paraId="59DFAAA7" w14:textId="77777777" w:rsidR="00E60666" w:rsidRDefault="00E60666" w:rsidP="00FA2D10">
            <w:pPr>
              <w:jc w:val="center"/>
            </w:pPr>
          </w:p>
        </w:tc>
        <w:tc>
          <w:tcPr>
            <w:tcW w:w="1276" w:type="dxa"/>
          </w:tcPr>
          <w:p w14:paraId="74A2AF51" w14:textId="77777777" w:rsidR="00E60666" w:rsidRDefault="00E60666" w:rsidP="00FA2D10">
            <w:pPr>
              <w:jc w:val="center"/>
            </w:pPr>
            <w:r>
              <w:t>180 (55.6%)</w:t>
            </w:r>
          </w:p>
        </w:tc>
        <w:tc>
          <w:tcPr>
            <w:tcW w:w="2016" w:type="dxa"/>
          </w:tcPr>
          <w:p w14:paraId="202CB0C9" w14:textId="77777777" w:rsidR="00E60666" w:rsidRDefault="00E60666" w:rsidP="00FA2D10">
            <w:pPr>
              <w:jc w:val="center"/>
            </w:pPr>
          </w:p>
        </w:tc>
      </w:tr>
      <w:tr w:rsidR="00E60666" w14:paraId="3FFC205F" w14:textId="77777777" w:rsidTr="00E60666">
        <w:tc>
          <w:tcPr>
            <w:tcW w:w="1413" w:type="dxa"/>
            <w:vMerge w:val="restart"/>
          </w:tcPr>
          <w:p w14:paraId="69726AAE" w14:textId="77777777" w:rsidR="00E60666" w:rsidRDefault="00E60666" w:rsidP="00FA2D10">
            <w:r>
              <w:t>Adherence</w:t>
            </w:r>
          </w:p>
        </w:tc>
        <w:tc>
          <w:tcPr>
            <w:tcW w:w="963" w:type="dxa"/>
          </w:tcPr>
          <w:p w14:paraId="65738ED1" w14:textId="77777777" w:rsidR="00E60666" w:rsidRDefault="00E60666" w:rsidP="00FA2D10">
            <w:r>
              <w:t>Low</w:t>
            </w:r>
          </w:p>
        </w:tc>
        <w:tc>
          <w:tcPr>
            <w:tcW w:w="1134" w:type="dxa"/>
          </w:tcPr>
          <w:p w14:paraId="1D3AE090" w14:textId="77777777" w:rsidR="00E60666" w:rsidRDefault="00E60666" w:rsidP="00FA2D10">
            <w:pPr>
              <w:jc w:val="center"/>
            </w:pPr>
            <w:r>
              <w:t>215 (73.6%)</w:t>
            </w:r>
          </w:p>
        </w:tc>
        <w:tc>
          <w:tcPr>
            <w:tcW w:w="1985" w:type="dxa"/>
          </w:tcPr>
          <w:p w14:paraId="76C5B8B8" w14:textId="77777777" w:rsidR="00E60666" w:rsidRDefault="00E60666" w:rsidP="00FA2D10">
            <w:pPr>
              <w:jc w:val="center"/>
            </w:pPr>
            <w:r>
              <w:t>0.78 (0.54, 1.14)</w:t>
            </w:r>
          </w:p>
        </w:tc>
        <w:tc>
          <w:tcPr>
            <w:tcW w:w="1276" w:type="dxa"/>
          </w:tcPr>
          <w:p w14:paraId="1A4C64D4" w14:textId="77777777" w:rsidR="00E60666" w:rsidRDefault="00E60666" w:rsidP="00FA2D10">
            <w:pPr>
              <w:jc w:val="center"/>
            </w:pPr>
            <w:r>
              <w:t>150 (51.4%)</w:t>
            </w:r>
          </w:p>
        </w:tc>
        <w:tc>
          <w:tcPr>
            <w:tcW w:w="2016" w:type="dxa"/>
          </w:tcPr>
          <w:p w14:paraId="7FC4E7C3" w14:textId="77777777" w:rsidR="00E60666" w:rsidRDefault="00E60666" w:rsidP="00FA2D10">
            <w:pPr>
              <w:jc w:val="center"/>
            </w:pPr>
            <w:r>
              <w:t>0.76 (0.55, 1.05)</w:t>
            </w:r>
          </w:p>
        </w:tc>
      </w:tr>
      <w:tr w:rsidR="00E60666" w14:paraId="4967EE63" w14:textId="77777777" w:rsidTr="00E60666">
        <w:tc>
          <w:tcPr>
            <w:tcW w:w="1413" w:type="dxa"/>
            <w:vMerge/>
          </w:tcPr>
          <w:p w14:paraId="4672B228" w14:textId="77777777" w:rsidR="00E60666" w:rsidRDefault="00E60666" w:rsidP="00FA2D10"/>
        </w:tc>
        <w:tc>
          <w:tcPr>
            <w:tcW w:w="963" w:type="dxa"/>
          </w:tcPr>
          <w:p w14:paraId="3929739C" w14:textId="77777777" w:rsidR="00E60666" w:rsidRDefault="00E60666" w:rsidP="00FA2D10">
            <w:r>
              <w:t>High</w:t>
            </w:r>
          </w:p>
        </w:tc>
        <w:tc>
          <w:tcPr>
            <w:tcW w:w="1134" w:type="dxa"/>
          </w:tcPr>
          <w:p w14:paraId="064501AA" w14:textId="77777777" w:rsidR="00E60666" w:rsidRDefault="00E60666" w:rsidP="00FA2D10">
            <w:pPr>
              <w:jc w:val="center"/>
            </w:pPr>
            <w:r>
              <w:t>236 (78.2%)</w:t>
            </w:r>
          </w:p>
        </w:tc>
        <w:tc>
          <w:tcPr>
            <w:tcW w:w="1985" w:type="dxa"/>
          </w:tcPr>
          <w:p w14:paraId="205D9001" w14:textId="77777777" w:rsidR="00E60666" w:rsidRDefault="00E60666" w:rsidP="00FA2D10">
            <w:pPr>
              <w:jc w:val="center"/>
            </w:pPr>
          </w:p>
        </w:tc>
        <w:tc>
          <w:tcPr>
            <w:tcW w:w="1276" w:type="dxa"/>
          </w:tcPr>
          <w:p w14:paraId="406A4783" w14:textId="77777777" w:rsidR="00E60666" w:rsidRDefault="00E60666" w:rsidP="00FA2D10">
            <w:pPr>
              <w:jc w:val="center"/>
            </w:pPr>
            <w:r>
              <w:t>176 (58.3%)</w:t>
            </w:r>
          </w:p>
        </w:tc>
        <w:tc>
          <w:tcPr>
            <w:tcW w:w="2016" w:type="dxa"/>
          </w:tcPr>
          <w:p w14:paraId="48463B90" w14:textId="77777777" w:rsidR="00E60666" w:rsidRDefault="00E60666" w:rsidP="00FA2D10">
            <w:pPr>
              <w:jc w:val="center"/>
            </w:pPr>
          </w:p>
        </w:tc>
      </w:tr>
      <w:tr w:rsidR="00E60666" w14:paraId="2428C138" w14:textId="77777777" w:rsidTr="00E60666">
        <w:tc>
          <w:tcPr>
            <w:tcW w:w="1413" w:type="dxa"/>
            <w:vMerge w:val="restart"/>
          </w:tcPr>
          <w:p w14:paraId="33311519" w14:textId="77777777" w:rsidR="00E60666" w:rsidRDefault="00E60666" w:rsidP="00FA2D10">
            <w:r>
              <w:t>Fidelity</w:t>
            </w:r>
          </w:p>
        </w:tc>
        <w:tc>
          <w:tcPr>
            <w:tcW w:w="963" w:type="dxa"/>
          </w:tcPr>
          <w:p w14:paraId="7D031E58" w14:textId="77777777" w:rsidR="00E60666" w:rsidRDefault="00E60666" w:rsidP="00FA2D10">
            <w:r>
              <w:t>Low</w:t>
            </w:r>
          </w:p>
        </w:tc>
        <w:tc>
          <w:tcPr>
            <w:tcW w:w="1134" w:type="dxa"/>
          </w:tcPr>
          <w:p w14:paraId="7BB013FF" w14:textId="77777777" w:rsidR="00E60666" w:rsidRDefault="00E60666" w:rsidP="00FA2D10">
            <w:pPr>
              <w:jc w:val="center"/>
            </w:pPr>
            <w:r>
              <w:t>208 (72.5%)</w:t>
            </w:r>
          </w:p>
        </w:tc>
        <w:tc>
          <w:tcPr>
            <w:tcW w:w="1985" w:type="dxa"/>
          </w:tcPr>
          <w:p w14:paraId="2CFC0B8F" w14:textId="77777777" w:rsidR="00E60666" w:rsidRDefault="00E60666" w:rsidP="00FA2D10">
            <w:pPr>
              <w:jc w:val="center"/>
            </w:pPr>
            <w:r>
              <w:t>0.69 (0.48, 1.01)</w:t>
            </w:r>
          </w:p>
        </w:tc>
        <w:tc>
          <w:tcPr>
            <w:tcW w:w="1276" w:type="dxa"/>
          </w:tcPr>
          <w:p w14:paraId="5C543268" w14:textId="77777777" w:rsidR="00E60666" w:rsidRDefault="00E60666" w:rsidP="00FA2D10">
            <w:pPr>
              <w:jc w:val="center"/>
            </w:pPr>
            <w:r>
              <w:t>146 (50.9%)</w:t>
            </w:r>
          </w:p>
        </w:tc>
        <w:tc>
          <w:tcPr>
            <w:tcW w:w="2016" w:type="dxa"/>
          </w:tcPr>
          <w:p w14:paraId="251EA83C" w14:textId="77777777" w:rsidR="00E60666" w:rsidRDefault="00E60666" w:rsidP="00FA2D10">
            <w:pPr>
              <w:jc w:val="center"/>
            </w:pPr>
            <w:r>
              <w:t>0.73 (0.53, 1.01)</w:t>
            </w:r>
          </w:p>
        </w:tc>
      </w:tr>
      <w:tr w:rsidR="00E60666" w14:paraId="4FF19412" w14:textId="77777777" w:rsidTr="00E60666">
        <w:tc>
          <w:tcPr>
            <w:tcW w:w="1413" w:type="dxa"/>
            <w:vMerge/>
          </w:tcPr>
          <w:p w14:paraId="4A893665" w14:textId="77777777" w:rsidR="00E60666" w:rsidRDefault="00E60666" w:rsidP="00FA2D10"/>
        </w:tc>
        <w:tc>
          <w:tcPr>
            <w:tcW w:w="963" w:type="dxa"/>
          </w:tcPr>
          <w:p w14:paraId="0CF88B40" w14:textId="77777777" w:rsidR="00E60666" w:rsidRDefault="00E60666" w:rsidP="00FA2D10">
            <w:r>
              <w:t>High</w:t>
            </w:r>
          </w:p>
        </w:tc>
        <w:tc>
          <w:tcPr>
            <w:tcW w:w="1134" w:type="dxa"/>
          </w:tcPr>
          <w:p w14:paraId="3602BF76" w14:textId="77777777" w:rsidR="00E60666" w:rsidRDefault="00E60666" w:rsidP="00FA2D10">
            <w:pPr>
              <w:jc w:val="center"/>
            </w:pPr>
            <w:r>
              <w:t>243 (79.2%)</w:t>
            </w:r>
          </w:p>
        </w:tc>
        <w:tc>
          <w:tcPr>
            <w:tcW w:w="1985" w:type="dxa"/>
          </w:tcPr>
          <w:p w14:paraId="2277E7F6" w14:textId="77777777" w:rsidR="00E60666" w:rsidRDefault="00E60666" w:rsidP="00FA2D10">
            <w:pPr>
              <w:jc w:val="center"/>
            </w:pPr>
          </w:p>
        </w:tc>
        <w:tc>
          <w:tcPr>
            <w:tcW w:w="1276" w:type="dxa"/>
          </w:tcPr>
          <w:p w14:paraId="6D0A96E4" w14:textId="77777777" w:rsidR="00E60666" w:rsidRDefault="00E60666" w:rsidP="00FA2D10">
            <w:pPr>
              <w:jc w:val="center"/>
            </w:pPr>
            <w:r>
              <w:t>180 (58.6%)</w:t>
            </w:r>
          </w:p>
        </w:tc>
        <w:tc>
          <w:tcPr>
            <w:tcW w:w="2016" w:type="dxa"/>
          </w:tcPr>
          <w:p w14:paraId="4A4B9074" w14:textId="77777777" w:rsidR="00E60666" w:rsidRDefault="00E60666" w:rsidP="00FA2D10">
            <w:pPr>
              <w:jc w:val="center"/>
            </w:pPr>
          </w:p>
        </w:tc>
      </w:tr>
    </w:tbl>
    <w:p w14:paraId="14BDA4BD" w14:textId="77777777" w:rsidR="007F4F00" w:rsidRDefault="007F4F00">
      <w:pPr>
        <w:rPr>
          <w:rFonts w:ascii="Arial" w:eastAsiaTheme="minorHAnsi" w:hAnsi="Arial" w:cs="Arial"/>
          <w:b/>
          <w:bCs/>
          <w:color w:val="000000" w:themeColor="text1"/>
          <w:sz w:val="22"/>
          <w:szCs w:val="22"/>
          <w:lang w:val="en-US"/>
        </w:rPr>
      </w:pPr>
      <w:r>
        <w:rPr>
          <w:rFonts w:eastAsiaTheme="minorHAnsi" w:cs="Arial"/>
          <w:color w:val="000000" w:themeColor="text1"/>
          <w:szCs w:val="22"/>
          <w:lang w:val="en-US"/>
        </w:rPr>
        <w:br w:type="page"/>
      </w:r>
    </w:p>
    <w:p w14:paraId="1808C5EE" w14:textId="589CDC56" w:rsidR="007F596B" w:rsidRDefault="008A1595" w:rsidP="007F596B">
      <w:pPr>
        <w:pStyle w:val="Heading3"/>
        <w:rPr>
          <w:rFonts w:eastAsiaTheme="minorHAnsi" w:cs="Arial"/>
          <w:b w:val="0"/>
          <w:color w:val="000000" w:themeColor="text1"/>
          <w:szCs w:val="22"/>
          <w:lang w:val="en-US"/>
        </w:rPr>
      </w:pPr>
      <w:bookmarkStart w:id="404" w:name="_Toc46770834"/>
      <w:bookmarkStart w:id="405" w:name="_Toc79414245"/>
      <w:r>
        <w:rPr>
          <w:rFonts w:eastAsiaTheme="minorHAnsi" w:cs="Arial"/>
          <w:color w:val="000000" w:themeColor="text1"/>
          <w:szCs w:val="22"/>
          <w:lang w:val="en-US"/>
        </w:rPr>
        <w:lastRenderedPageBreak/>
        <w:t>5</w:t>
      </w:r>
      <w:r w:rsidR="007F596B" w:rsidRPr="00AF6031">
        <w:rPr>
          <w:rFonts w:eastAsiaTheme="minorHAnsi" w:cs="Arial"/>
          <w:color w:val="000000" w:themeColor="text1"/>
          <w:szCs w:val="22"/>
          <w:lang w:val="en-US"/>
        </w:rPr>
        <w:t>.</w:t>
      </w:r>
      <w:r w:rsidR="007146C6">
        <w:rPr>
          <w:rFonts w:eastAsiaTheme="minorHAnsi" w:cs="Arial"/>
          <w:color w:val="000000" w:themeColor="text1"/>
          <w:szCs w:val="22"/>
          <w:lang w:val="en-US"/>
        </w:rPr>
        <w:t>7</w:t>
      </w:r>
      <w:r w:rsidR="007F596B" w:rsidRPr="00AF6031">
        <w:rPr>
          <w:rFonts w:eastAsiaTheme="minorHAnsi" w:cs="Arial"/>
          <w:color w:val="000000" w:themeColor="text1"/>
          <w:szCs w:val="22"/>
          <w:lang w:val="en-US"/>
        </w:rPr>
        <w:t>.</w:t>
      </w:r>
      <w:r w:rsidR="007146C6">
        <w:rPr>
          <w:rFonts w:eastAsiaTheme="minorHAnsi" w:cs="Arial"/>
          <w:color w:val="000000" w:themeColor="text1"/>
          <w:szCs w:val="22"/>
          <w:lang w:val="en-US"/>
        </w:rPr>
        <w:t>4</w:t>
      </w:r>
      <w:r w:rsidR="007F596B" w:rsidRPr="00AF6031">
        <w:rPr>
          <w:rFonts w:eastAsiaTheme="minorHAnsi" w:cs="Arial"/>
          <w:color w:val="000000" w:themeColor="text1"/>
          <w:szCs w:val="22"/>
          <w:lang w:val="en-US"/>
        </w:rPr>
        <w:t xml:space="preserve"> Summary</w:t>
      </w:r>
      <w:bookmarkEnd w:id="404"/>
      <w:bookmarkEnd w:id="405"/>
    </w:p>
    <w:p w14:paraId="239DFE86" w14:textId="77777777" w:rsidR="007F596B" w:rsidRDefault="007F596B" w:rsidP="007F596B">
      <w:pPr>
        <w:rPr>
          <w:lang w:val="en-US"/>
        </w:rPr>
      </w:pPr>
    </w:p>
    <w:p w14:paraId="3E021DB1" w14:textId="554C875F" w:rsidR="000429CF" w:rsidRPr="000429CF" w:rsidRDefault="007F596B" w:rsidP="000429CF">
      <w:pPr>
        <w:spacing w:line="480" w:lineRule="auto"/>
        <w:rPr>
          <w:rFonts w:ascii="Arial" w:hAnsi="Arial" w:cs="Arial"/>
          <w:color w:val="000000"/>
          <w:sz w:val="22"/>
          <w:szCs w:val="22"/>
        </w:rPr>
      </w:pPr>
      <w:r w:rsidRPr="00AF6031">
        <w:rPr>
          <w:rFonts w:ascii="Arial" w:hAnsi="Arial" w:cs="Arial"/>
          <w:sz w:val="22"/>
          <w:szCs w:val="22"/>
          <w:lang w:val="en-US"/>
        </w:rPr>
        <w:t>This final analyses in this chapter ha</w:t>
      </w:r>
      <w:r w:rsidR="0080634F">
        <w:rPr>
          <w:rFonts w:ascii="Arial" w:hAnsi="Arial" w:cs="Arial"/>
          <w:sz w:val="22"/>
          <w:szCs w:val="22"/>
          <w:lang w:val="en-US"/>
        </w:rPr>
        <w:t>ve</w:t>
      </w:r>
      <w:r w:rsidRPr="00AF6031">
        <w:rPr>
          <w:rFonts w:ascii="Arial" w:hAnsi="Arial" w:cs="Arial"/>
          <w:sz w:val="22"/>
          <w:szCs w:val="22"/>
          <w:lang w:val="en-US"/>
        </w:rPr>
        <w:t xml:space="preserve"> shown that</w:t>
      </w:r>
      <w:r>
        <w:rPr>
          <w:rFonts w:ascii="Arial" w:hAnsi="Arial" w:cs="Arial"/>
          <w:sz w:val="22"/>
          <w:szCs w:val="22"/>
          <w:lang w:val="en-US"/>
        </w:rPr>
        <w:t xml:space="preserve"> there is a significant relationship between therapist competence</w:t>
      </w:r>
      <w:r w:rsidR="002B0F79">
        <w:rPr>
          <w:rFonts w:ascii="Arial" w:hAnsi="Arial" w:cs="Arial"/>
          <w:sz w:val="22"/>
          <w:szCs w:val="22"/>
          <w:lang w:val="en-US"/>
        </w:rPr>
        <w:t>, as measured by the CTS-R</w:t>
      </w:r>
      <w:r w:rsidR="001232FB">
        <w:rPr>
          <w:rFonts w:ascii="Arial" w:hAnsi="Arial" w:cs="Arial"/>
          <w:sz w:val="22"/>
          <w:szCs w:val="22"/>
          <w:lang w:val="en-US"/>
        </w:rPr>
        <w:t xml:space="preserve">, </w:t>
      </w:r>
      <w:r>
        <w:rPr>
          <w:rFonts w:ascii="Arial" w:hAnsi="Arial" w:cs="Arial"/>
          <w:sz w:val="22"/>
          <w:szCs w:val="22"/>
          <w:lang w:val="en-US"/>
        </w:rPr>
        <w:t>and recovery</w:t>
      </w:r>
      <w:r w:rsidR="001232FB">
        <w:rPr>
          <w:rFonts w:ascii="Arial" w:hAnsi="Arial" w:cs="Arial"/>
          <w:sz w:val="22"/>
          <w:szCs w:val="22"/>
          <w:lang w:val="en-US"/>
        </w:rPr>
        <w:t>.</w:t>
      </w:r>
      <w:r>
        <w:rPr>
          <w:rFonts w:ascii="Arial" w:hAnsi="Arial" w:cs="Arial"/>
          <w:sz w:val="22"/>
          <w:szCs w:val="22"/>
          <w:lang w:val="en-US"/>
        </w:rPr>
        <w:t xml:space="preserve"> </w:t>
      </w:r>
      <w:r w:rsidR="001232FB">
        <w:rPr>
          <w:rFonts w:ascii="Arial" w:hAnsi="Arial" w:cs="Arial"/>
          <w:sz w:val="22"/>
          <w:szCs w:val="22"/>
          <w:lang w:val="en-US"/>
        </w:rPr>
        <w:t>Therapist</w:t>
      </w:r>
      <w:r>
        <w:rPr>
          <w:rFonts w:ascii="Arial" w:hAnsi="Arial" w:cs="Arial"/>
          <w:sz w:val="22"/>
          <w:szCs w:val="22"/>
          <w:lang w:val="en-US"/>
        </w:rPr>
        <w:t xml:space="preserve"> adherence is strongly associated with therapist competence</w:t>
      </w:r>
      <w:r w:rsidR="001232FB">
        <w:rPr>
          <w:rFonts w:ascii="Arial" w:hAnsi="Arial" w:cs="Arial"/>
          <w:sz w:val="22"/>
          <w:szCs w:val="22"/>
          <w:lang w:val="en-US"/>
        </w:rPr>
        <w:t xml:space="preserve"> and</w:t>
      </w:r>
      <w:r w:rsidR="0080634F">
        <w:rPr>
          <w:rFonts w:ascii="Arial" w:hAnsi="Arial" w:cs="Arial"/>
          <w:sz w:val="22"/>
          <w:szCs w:val="22"/>
          <w:lang w:val="en-US"/>
        </w:rPr>
        <w:t>,</w:t>
      </w:r>
      <w:r w:rsidR="001232FB">
        <w:rPr>
          <w:rFonts w:ascii="Arial" w:hAnsi="Arial" w:cs="Arial"/>
          <w:sz w:val="22"/>
          <w:szCs w:val="22"/>
          <w:lang w:val="en-US"/>
        </w:rPr>
        <w:t xml:space="preserve"> therefore</w:t>
      </w:r>
      <w:r w:rsidR="0080634F">
        <w:rPr>
          <w:rFonts w:ascii="Arial" w:hAnsi="Arial" w:cs="Arial"/>
          <w:sz w:val="22"/>
          <w:szCs w:val="22"/>
          <w:lang w:val="en-US"/>
        </w:rPr>
        <w:t>,</w:t>
      </w:r>
      <w:r w:rsidR="001232FB">
        <w:rPr>
          <w:rFonts w:ascii="Arial" w:hAnsi="Arial" w:cs="Arial"/>
          <w:sz w:val="22"/>
          <w:szCs w:val="22"/>
          <w:lang w:val="en-US"/>
        </w:rPr>
        <w:t xml:space="preserve"> adherence is associated with recovery but only through competence. These findings support those that have been reported previously in this chapter in that therapist competence is associated with recovery. </w:t>
      </w:r>
      <w:r>
        <w:rPr>
          <w:rFonts w:ascii="Arial" w:hAnsi="Arial" w:cs="Arial"/>
          <w:sz w:val="22"/>
          <w:szCs w:val="22"/>
          <w:lang w:val="en-US"/>
        </w:rPr>
        <w:t xml:space="preserve"> The addition of patient variables to the model has highlighted the interaction between patient and therapist variables</w:t>
      </w:r>
      <w:r w:rsidR="001232FB">
        <w:rPr>
          <w:rFonts w:ascii="Arial" w:hAnsi="Arial" w:cs="Arial"/>
          <w:sz w:val="22"/>
          <w:szCs w:val="22"/>
          <w:lang w:val="en-US"/>
        </w:rPr>
        <w:t xml:space="preserve"> and the findings have demonstrated that competence and adherence remain significant when patient variables are added to the model.</w:t>
      </w:r>
      <w:r w:rsidR="000429CF" w:rsidRPr="000429CF">
        <w:rPr>
          <w:rFonts w:ascii="Arial" w:hAnsi="Arial" w:cs="Arial"/>
          <w:color w:val="000000"/>
        </w:rPr>
        <w:t xml:space="preserve"> </w:t>
      </w:r>
      <w:r w:rsidR="000429CF" w:rsidRPr="008F7571">
        <w:rPr>
          <w:rFonts w:ascii="Arial" w:hAnsi="Arial" w:cs="Arial"/>
          <w:color w:val="000000"/>
          <w:sz w:val="22"/>
          <w:szCs w:val="22"/>
        </w:rPr>
        <w:t>It should be emphasised that just as a correlation analysis, between a pair of variables (e.g. with correlation coefficient numerically close to 1) does not imply causation, so too is this model-building and model-displaying tool best seen as an exploratory analysis, not one for establishing causal links.</w:t>
      </w:r>
      <w:r w:rsidR="000429CF" w:rsidRPr="000429CF">
        <w:rPr>
          <w:rFonts w:ascii="Arial" w:hAnsi="Arial" w:cs="Arial"/>
          <w:color w:val="000000"/>
          <w:sz w:val="22"/>
          <w:szCs w:val="22"/>
        </w:rPr>
        <w:t xml:space="preserve"> </w:t>
      </w:r>
    </w:p>
    <w:p w14:paraId="74826091" w14:textId="77777777" w:rsidR="007F596B" w:rsidRDefault="007F596B" w:rsidP="007F596B">
      <w:pPr>
        <w:autoSpaceDE w:val="0"/>
        <w:autoSpaceDN w:val="0"/>
        <w:adjustRightInd w:val="0"/>
        <w:rPr>
          <w:rFonts w:ascii="Arial" w:eastAsiaTheme="minorHAnsi" w:hAnsi="Arial" w:cs="Arial"/>
          <w:b/>
          <w:lang w:val="en-US"/>
        </w:rPr>
      </w:pPr>
    </w:p>
    <w:p w14:paraId="48BF908A" w14:textId="77777777" w:rsidR="007F596B" w:rsidRPr="00D756C8" w:rsidRDefault="007F596B" w:rsidP="007F596B">
      <w:pPr>
        <w:autoSpaceDE w:val="0"/>
        <w:autoSpaceDN w:val="0"/>
        <w:adjustRightInd w:val="0"/>
        <w:rPr>
          <w:rFonts w:ascii="Arial" w:eastAsiaTheme="minorHAnsi" w:hAnsi="Arial" w:cs="Arial"/>
          <w:b/>
          <w:lang w:val="en-US"/>
        </w:rPr>
      </w:pPr>
    </w:p>
    <w:p w14:paraId="4D8137E7" w14:textId="731B0C29" w:rsidR="007F596B" w:rsidRDefault="008A1595" w:rsidP="007F596B">
      <w:pPr>
        <w:pStyle w:val="Heading2"/>
        <w:rPr>
          <w:rFonts w:ascii="Arial" w:hAnsi="Arial" w:cs="Arial"/>
          <w:b w:val="0"/>
          <w:color w:val="000000" w:themeColor="text1"/>
          <w:sz w:val="22"/>
          <w:szCs w:val="22"/>
        </w:rPr>
      </w:pPr>
      <w:bookmarkStart w:id="406" w:name="_Toc46770835"/>
      <w:bookmarkStart w:id="407" w:name="_Toc79414246"/>
      <w:r>
        <w:rPr>
          <w:rFonts w:ascii="Arial" w:hAnsi="Arial" w:cs="Arial"/>
          <w:color w:val="000000" w:themeColor="text1"/>
          <w:sz w:val="22"/>
          <w:szCs w:val="22"/>
        </w:rPr>
        <w:t>5</w:t>
      </w:r>
      <w:r w:rsidR="007F596B" w:rsidRPr="00AF6031">
        <w:rPr>
          <w:rFonts w:ascii="Arial" w:hAnsi="Arial" w:cs="Arial"/>
          <w:color w:val="000000" w:themeColor="text1"/>
          <w:sz w:val="22"/>
          <w:szCs w:val="22"/>
        </w:rPr>
        <w:t>.</w:t>
      </w:r>
      <w:r w:rsidR="007146C6">
        <w:rPr>
          <w:rFonts w:ascii="Arial" w:hAnsi="Arial" w:cs="Arial"/>
          <w:color w:val="000000" w:themeColor="text1"/>
          <w:sz w:val="22"/>
          <w:szCs w:val="22"/>
        </w:rPr>
        <w:t>8</w:t>
      </w:r>
      <w:r w:rsidR="007F596B" w:rsidRPr="00AF6031">
        <w:rPr>
          <w:rFonts w:ascii="Arial" w:hAnsi="Arial" w:cs="Arial"/>
          <w:color w:val="000000" w:themeColor="text1"/>
          <w:sz w:val="22"/>
          <w:szCs w:val="22"/>
        </w:rPr>
        <w:t xml:space="preserve"> CONCLUSION</w:t>
      </w:r>
      <w:bookmarkEnd w:id="406"/>
      <w:bookmarkEnd w:id="407"/>
    </w:p>
    <w:p w14:paraId="714A7EAB" w14:textId="77777777" w:rsidR="007F596B" w:rsidRPr="00AF6031" w:rsidRDefault="007F596B" w:rsidP="007F596B"/>
    <w:p w14:paraId="2F4E9B46" w14:textId="37EA0AED" w:rsidR="00087FA9" w:rsidRDefault="007F596B" w:rsidP="007F596B">
      <w:pPr>
        <w:spacing w:line="480" w:lineRule="auto"/>
        <w:rPr>
          <w:rFonts w:ascii="Arial" w:hAnsi="Arial" w:cs="Arial"/>
          <w:sz w:val="22"/>
          <w:szCs w:val="22"/>
        </w:rPr>
      </w:pPr>
      <w:r w:rsidRPr="00AF6031">
        <w:rPr>
          <w:rFonts w:ascii="Arial" w:hAnsi="Arial" w:cs="Arial"/>
          <w:sz w:val="22"/>
          <w:szCs w:val="22"/>
        </w:rPr>
        <w:t>This chapter has presented the findings from the data analysis used to understand the relationship between the independent variables</w:t>
      </w:r>
      <w:r w:rsidR="0080634F">
        <w:rPr>
          <w:rFonts w:ascii="Arial" w:hAnsi="Arial" w:cs="Arial"/>
          <w:sz w:val="22"/>
          <w:szCs w:val="22"/>
        </w:rPr>
        <w:t xml:space="preserve"> of</w:t>
      </w:r>
      <w:r w:rsidRPr="00AF6031">
        <w:rPr>
          <w:rFonts w:ascii="Arial" w:hAnsi="Arial" w:cs="Arial"/>
          <w:sz w:val="22"/>
          <w:szCs w:val="22"/>
        </w:rPr>
        <w:t xml:space="preserve"> therapist age, therapist gender, therapist length of experience, therapist core profession, therapist training, therapist competence, therapist adherence and</w:t>
      </w:r>
      <w:r w:rsidR="0080634F">
        <w:rPr>
          <w:rFonts w:ascii="Arial" w:hAnsi="Arial" w:cs="Arial"/>
          <w:sz w:val="22"/>
          <w:szCs w:val="22"/>
        </w:rPr>
        <w:t>,</w:t>
      </w:r>
      <w:r w:rsidRPr="00AF6031">
        <w:rPr>
          <w:rFonts w:ascii="Arial" w:hAnsi="Arial" w:cs="Arial"/>
          <w:sz w:val="22"/>
          <w:szCs w:val="22"/>
        </w:rPr>
        <w:t xml:space="preserve"> the dependent variable, clinical outcome. The key findings from this chapter are that therapist age, gender, core profession, training and length of experience are not related to clinical outcome. However, therapist adherence (reported as an A score) has a statistically significant relationship at the </w:t>
      </w:r>
      <w:r>
        <w:rPr>
          <w:rFonts w:ascii="Arial" w:hAnsi="Arial" w:cs="Arial"/>
          <w:sz w:val="22"/>
          <w:szCs w:val="22"/>
        </w:rPr>
        <w:t xml:space="preserve">&lt; </w:t>
      </w:r>
      <w:r w:rsidRPr="00AF6031">
        <w:rPr>
          <w:rFonts w:ascii="Arial" w:hAnsi="Arial" w:cs="Arial"/>
          <w:sz w:val="22"/>
          <w:szCs w:val="22"/>
        </w:rPr>
        <w:t xml:space="preserve">0.05 level. Similarly, therapist competence (reported as an F score), as measured by the CTS-R, has a statistically significant relationship at the </w:t>
      </w:r>
      <w:r>
        <w:rPr>
          <w:rFonts w:ascii="Arial" w:hAnsi="Arial" w:cs="Arial"/>
          <w:sz w:val="22"/>
          <w:szCs w:val="22"/>
        </w:rPr>
        <w:t xml:space="preserve">&lt; </w:t>
      </w:r>
      <w:r w:rsidRPr="00AF6031">
        <w:rPr>
          <w:rFonts w:ascii="Arial" w:hAnsi="Arial" w:cs="Arial"/>
          <w:sz w:val="22"/>
          <w:szCs w:val="22"/>
        </w:rPr>
        <w:t xml:space="preserve">0.05 level with item 2 of the CTS-R being significant at the </w:t>
      </w:r>
      <w:r>
        <w:rPr>
          <w:rFonts w:ascii="Arial" w:hAnsi="Arial" w:cs="Arial"/>
          <w:sz w:val="22"/>
          <w:szCs w:val="22"/>
        </w:rPr>
        <w:t xml:space="preserve"> </w:t>
      </w:r>
    </w:p>
    <w:p w14:paraId="51EA5996" w14:textId="7F45E834" w:rsidR="007F596B" w:rsidRDefault="007F596B" w:rsidP="007F596B">
      <w:pPr>
        <w:spacing w:line="480" w:lineRule="auto"/>
        <w:rPr>
          <w:rFonts w:ascii="Arial" w:hAnsi="Arial" w:cs="Arial"/>
          <w:sz w:val="22"/>
          <w:szCs w:val="22"/>
        </w:rPr>
      </w:pPr>
      <w:r>
        <w:rPr>
          <w:rFonts w:ascii="Arial" w:hAnsi="Arial" w:cs="Arial"/>
          <w:sz w:val="22"/>
          <w:szCs w:val="22"/>
        </w:rPr>
        <w:t xml:space="preserve">&lt; </w:t>
      </w:r>
      <w:r w:rsidRPr="00AF6031">
        <w:rPr>
          <w:rFonts w:ascii="Arial" w:hAnsi="Arial" w:cs="Arial"/>
          <w:sz w:val="22"/>
          <w:szCs w:val="22"/>
        </w:rPr>
        <w:t xml:space="preserve">0.01 level and items 6, 7, 8 and 9 being significant at the </w:t>
      </w:r>
      <w:r>
        <w:rPr>
          <w:rFonts w:ascii="Arial" w:hAnsi="Arial" w:cs="Arial"/>
          <w:sz w:val="22"/>
          <w:szCs w:val="22"/>
        </w:rPr>
        <w:t xml:space="preserve">&lt; </w:t>
      </w:r>
      <w:r w:rsidRPr="00AF6031">
        <w:rPr>
          <w:rFonts w:ascii="Arial" w:hAnsi="Arial" w:cs="Arial"/>
          <w:sz w:val="22"/>
          <w:szCs w:val="22"/>
        </w:rPr>
        <w:t>0.05 level. In addition, the relationship between F scores (</w:t>
      </w:r>
      <w:r>
        <w:rPr>
          <w:rFonts w:ascii="Arial" w:hAnsi="Arial" w:cs="Arial"/>
          <w:sz w:val="22"/>
          <w:szCs w:val="22"/>
        </w:rPr>
        <w:t>therapist competence as measured by the mean of 3 CTS-R scores) and A scores (therapist adherence)</w:t>
      </w:r>
      <w:r w:rsidRPr="00AF6031">
        <w:rPr>
          <w:rFonts w:ascii="Arial" w:hAnsi="Arial" w:cs="Arial"/>
          <w:sz w:val="22"/>
          <w:szCs w:val="22"/>
        </w:rPr>
        <w:t xml:space="preserve"> and clinical outcome remain significant when </w:t>
      </w:r>
      <w:r w:rsidRPr="00AF6031">
        <w:rPr>
          <w:rFonts w:ascii="Arial" w:hAnsi="Arial" w:cs="Arial"/>
          <w:sz w:val="22"/>
          <w:szCs w:val="22"/>
        </w:rPr>
        <w:lastRenderedPageBreak/>
        <w:t xml:space="preserve">placed into a hierarchical linear regression model. </w:t>
      </w:r>
      <w:r>
        <w:rPr>
          <w:rFonts w:ascii="Arial" w:hAnsi="Arial" w:cs="Arial"/>
          <w:sz w:val="22"/>
          <w:szCs w:val="22"/>
        </w:rPr>
        <w:t xml:space="preserve">Furthermore, these findings remain significant using a loglinear analysis model when patient variables are added to the model. </w:t>
      </w:r>
      <w:r w:rsidRPr="00AF6031">
        <w:rPr>
          <w:rFonts w:ascii="Arial" w:hAnsi="Arial" w:cs="Arial"/>
          <w:sz w:val="22"/>
          <w:szCs w:val="22"/>
        </w:rPr>
        <w:t>These results will be discussed and expanded upon in the following chap</w:t>
      </w:r>
      <w:r>
        <w:rPr>
          <w:rFonts w:ascii="Arial" w:hAnsi="Arial" w:cs="Arial"/>
          <w:sz w:val="22"/>
          <w:szCs w:val="22"/>
        </w:rPr>
        <w:t>ter.</w:t>
      </w:r>
    </w:p>
    <w:p w14:paraId="3D11A8E7" w14:textId="69897963" w:rsidR="00DC2DE7" w:rsidRDefault="00DC2DE7" w:rsidP="007F596B">
      <w:pPr>
        <w:spacing w:line="480" w:lineRule="auto"/>
        <w:rPr>
          <w:rFonts w:ascii="Arial" w:hAnsi="Arial" w:cs="Arial"/>
          <w:sz w:val="22"/>
          <w:szCs w:val="22"/>
        </w:rPr>
      </w:pPr>
    </w:p>
    <w:p w14:paraId="5A02B224" w14:textId="3478ED7D" w:rsidR="00DC2DE7" w:rsidRDefault="00DC2DE7" w:rsidP="007F596B">
      <w:pPr>
        <w:spacing w:line="480" w:lineRule="auto"/>
        <w:rPr>
          <w:rFonts w:ascii="Arial" w:hAnsi="Arial" w:cs="Arial"/>
          <w:sz w:val="22"/>
          <w:szCs w:val="22"/>
        </w:rPr>
      </w:pPr>
    </w:p>
    <w:p w14:paraId="1E3BA928" w14:textId="71D527B7" w:rsidR="00DC2DE7" w:rsidRDefault="00DC2DE7" w:rsidP="007F596B">
      <w:pPr>
        <w:spacing w:line="480" w:lineRule="auto"/>
        <w:rPr>
          <w:rFonts w:ascii="Arial" w:hAnsi="Arial" w:cs="Arial"/>
          <w:sz w:val="22"/>
          <w:szCs w:val="22"/>
        </w:rPr>
      </w:pPr>
    </w:p>
    <w:p w14:paraId="19617C90" w14:textId="4BF45523" w:rsidR="00DC2DE7" w:rsidRDefault="00DC2DE7" w:rsidP="007F596B">
      <w:pPr>
        <w:spacing w:line="480" w:lineRule="auto"/>
        <w:rPr>
          <w:rFonts w:ascii="Arial" w:hAnsi="Arial" w:cs="Arial"/>
          <w:sz w:val="22"/>
          <w:szCs w:val="22"/>
        </w:rPr>
      </w:pPr>
    </w:p>
    <w:p w14:paraId="7772FBB9" w14:textId="112FEA83" w:rsidR="00DC2DE7" w:rsidRDefault="00DC2DE7" w:rsidP="007F596B">
      <w:pPr>
        <w:spacing w:line="480" w:lineRule="auto"/>
        <w:rPr>
          <w:rFonts w:ascii="Arial" w:hAnsi="Arial" w:cs="Arial"/>
          <w:sz w:val="22"/>
          <w:szCs w:val="22"/>
        </w:rPr>
      </w:pPr>
    </w:p>
    <w:p w14:paraId="76445244" w14:textId="36150120" w:rsidR="00DC2DE7" w:rsidRDefault="00DC2DE7" w:rsidP="007F596B">
      <w:pPr>
        <w:spacing w:line="480" w:lineRule="auto"/>
        <w:rPr>
          <w:rFonts w:ascii="Arial" w:hAnsi="Arial" w:cs="Arial"/>
          <w:sz w:val="22"/>
          <w:szCs w:val="22"/>
        </w:rPr>
      </w:pPr>
    </w:p>
    <w:p w14:paraId="5ED8FD5E" w14:textId="457CE9B2" w:rsidR="00DC2DE7" w:rsidRDefault="00DC2DE7" w:rsidP="007F596B">
      <w:pPr>
        <w:spacing w:line="480" w:lineRule="auto"/>
        <w:rPr>
          <w:rFonts w:ascii="Arial" w:hAnsi="Arial" w:cs="Arial"/>
          <w:sz w:val="22"/>
          <w:szCs w:val="22"/>
        </w:rPr>
      </w:pPr>
    </w:p>
    <w:p w14:paraId="641E36BE" w14:textId="7626F222" w:rsidR="00DC2DE7" w:rsidRDefault="00DC2DE7" w:rsidP="007F596B">
      <w:pPr>
        <w:spacing w:line="480" w:lineRule="auto"/>
        <w:rPr>
          <w:rFonts w:ascii="Arial" w:hAnsi="Arial" w:cs="Arial"/>
          <w:sz w:val="22"/>
          <w:szCs w:val="22"/>
        </w:rPr>
      </w:pPr>
    </w:p>
    <w:p w14:paraId="4F23FDC2" w14:textId="32CADB9C" w:rsidR="00DC2DE7" w:rsidRDefault="00DC2DE7" w:rsidP="007F596B">
      <w:pPr>
        <w:spacing w:line="480" w:lineRule="auto"/>
        <w:rPr>
          <w:rFonts w:ascii="Arial" w:hAnsi="Arial" w:cs="Arial"/>
          <w:sz w:val="22"/>
          <w:szCs w:val="22"/>
        </w:rPr>
      </w:pPr>
    </w:p>
    <w:p w14:paraId="2B57CB3C" w14:textId="621C9549" w:rsidR="00DC2DE7" w:rsidRDefault="00DC2DE7" w:rsidP="007F596B">
      <w:pPr>
        <w:spacing w:line="480" w:lineRule="auto"/>
        <w:rPr>
          <w:rFonts w:ascii="Arial" w:hAnsi="Arial" w:cs="Arial"/>
          <w:sz w:val="22"/>
          <w:szCs w:val="22"/>
        </w:rPr>
      </w:pPr>
    </w:p>
    <w:p w14:paraId="7D97FF36" w14:textId="4B26B7D2" w:rsidR="00DC2DE7" w:rsidRDefault="00DC2DE7" w:rsidP="007F596B">
      <w:pPr>
        <w:spacing w:line="480" w:lineRule="auto"/>
        <w:rPr>
          <w:rFonts w:ascii="Arial" w:hAnsi="Arial" w:cs="Arial"/>
          <w:sz w:val="22"/>
          <w:szCs w:val="22"/>
        </w:rPr>
      </w:pPr>
    </w:p>
    <w:p w14:paraId="2766E136" w14:textId="30DA9A01" w:rsidR="00DC2DE7" w:rsidRDefault="00DC2DE7" w:rsidP="007F596B">
      <w:pPr>
        <w:spacing w:line="480" w:lineRule="auto"/>
        <w:rPr>
          <w:rFonts w:ascii="Arial" w:hAnsi="Arial" w:cs="Arial"/>
          <w:sz w:val="22"/>
          <w:szCs w:val="22"/>
        </w:rPr>
      </w:pPr>
    </w:p>
    <w:p w14:paraId="4D52D37B" w14:textId="7D87FB95" w:rsidR="00DC2DE7" w:rsidRDefault="00DC2DE7" w:rsidP="007F596B">
      <w:pPr>
        <w:spacing w:line="480" w:lineRule="auto"/>
        <w:rPr>
          <w:rFonts w:ascii="Arial" w:hAnsi="Arial" w:cs="Arial"/>
          <w:sz w:val="22"/>
          <w:szCs w:val="22"/>
        </w:rPr>
      </w:pPr>
    </w:p>
    <w:p w14:paraId="64CB8487" w14:textId="6EA8238E" w:rsidR="00DC2DE7" w:rsidRDefault="00DC2DE7" w:rsidP="007F596B">
      <w:pPr>
        <w:spacing w:line="480" w:lineRule="auto"/>
        <w:rPr>
          <w:rFonts w:ascii="Arial" w:hAnsi="Arial" w:cs="Arial"/>
          <w:sz w:val="22"/>
          <w:szCs w:val="22"/>
        </w:rPr>
      </w:pPr>
    </w:p>
    <w:p w14:paraId="4368E9BC" w14:textId="2ADBA18C" w:rsidR="00DC2DE7" w:rsidRDefault="00DC2DE7" w:rsidP="007F596B">
      <w:pPr>
        <w:spacing w:line="480" w:lineRule="auto"/>
        <w:rPr>
          <w:rFonts w:ascii="Arial" w:hAnsi="Arial" w:cs="Arial"/>
          <w:sz w:val="22"/>
          <w:szCs w:val="22"/>
        </w:rPr>
      </w:pPr>
    </w:p>
    <w:p w14:paraId="46D13FF1" w14:textId="648ED059" w:rsidR="00DC2DE7" w:rsidRDefault="00DC2DE7" w:rsidP="007F596B">
      <w:pPr>
        <w:spacing w:line="480" w:lineRule="auto"/>
        <w:rPr>
          <w:rFonts w:ascii="Arial" w:hAnsi="Arial" w:cs="Arial"/>
          <w:sz w:val="22"/>
          <w:szCs w:val="22"/>
        </w:rPr>
      </w:pPr>
    </w:p>
    <w:p w14:paraId="55DBD154" w14:textId="6CFA6C0A" w:rsidR="00DC2DE7" w:rsidRDefault="00DC2DE7" w:rsidP="007F596B">
      <w:pPr>
        <w:spacing w:line="480" w:lineRule="auto"/>
        <w:rPr>
          <w:rFonts w:ascii="Arial" w:hAnsi="Arial" w:cs="Arial"/>
          <w:sz w:val="22"/>
          <w:szCs w:val="22"/>
        </w:rPr>
      </w:pPr>
    </w:p>
    <w:p w14:paraId="5E0FA462" w14:textId="19221B0C" w:rsidR="00DC2DE7" w:rsidRDefault="00DC2DE7" w:rsidP="007F596B">
      <w:pPr>
        <w:spacing w:line="480" w:lineRule="auto"/>
        <w:rPr>
          <w:rFonts w:ascii="Arial" w:hAnsi="Arial" w:cs="Arial"/>
          <w:sz w:val="22"/>
          <w:szCs w:val="22"/>
        </w:rPr>
      </w:pPr>
    </w:p>
    <w:p w14:paraId="4C744DDC" w14:textId="24DBDB19" w:rsidR="00DC2DE7" w:rsidRDefault="00DC2DE7" w:rsidP="007F596B">
      <w:pPr>
        <w:spacing w:line="480" w:lineRule="auto"/>
        <w:rPr>
          <w:rFonts w:ascii="Arial" w:hAnsi="Arial" w:cs="Arial"/>
          <w:sz w:val="22"/>
          <w:szCs w:val="22"/>
        </w:rPr>
      </w:pPr>
    </w:p>
    <w:p w14:paraId="21711052" w14:textId="098BE326" w:rsidR="00DC2DE7" w:rsidRDefault="00DC2DE7" w:rsidP="007F596B">
      <w:pPr>
        <w:spacing w:line="480" w:lineRule="auto"/>
        <w:rPr>
          <w:rFonts w:ascii="Arial" w:hAnsi="Arial" w:cs="Arial"/>
          <w:sz w:val="22"/>
          <w:szCs w:val="22"/>
        </w:rPr>
      </w:pPr>
    </w:p>
    <w:p w14:paraId="61D19B6C" w14:textId="77777777" w:rsidR="00EE24CA" w:rsidRDefault="00EE24CA">
      <w:pPr>
        <w:rPr>
          <w:rFonts w:ascii="Arial" w:eastAsiaTheme="majorEastAsia" w:hAnsi="Arial" w:cs="Arial"/>
          <w:b/>
          <w:bCs/>
          <w:color w:val="000000" w:themeColor="text1"/>
          <w:sz w:val="22"/>
          <w:szCs w:val="22"/>
        </w:rPr>
      </w:pPr>
      <w:r>
        <w:rPr>
          <w:rFonts w:ascii="Arial" w:hAnsi="Arial" w:cs="Arial"/>
          <w:color w:val="000000" w:themeColor="text1"/>
          <w:sz w:val="22"/>
          <w:szCs w:val="22"/>
        </w:rPr>
        <w:br w:type="page"/>
      </w:r>
    </w:p>
    <w:p w14:paraId="26FDEB8A" w14:textId="79D220EC" w:rsidR="00DC2DE7" w:rsidRPr="00F90E30" w:rsidRDefault="00DC2DE7" w:rsidP="00DC2DE7">
      <w:pPr>
        <w:pStyle w:val="Heading1"/>
        <w:rPr>
          <w:rFonts w:cs="Arial"/>
          <w:color w:val="000000" w:themeColor="text1"/>
          <w:szCs w:val="22"/>
        </w:rPr>
      </w:pPr>
      <w:bookmarkStart w:id="408" w:name="_Toc46770836"/>
      <w:bookmarkStart w:id="409" w:name="_Toc79414247"/>
      <w:r w:rsidRPr="00F90E30">
        <w:rPr>
          <w:rFonts w:cs="Arial"/>
          <w:color w:val="000000" w:themeColor="text1"/>
          <w:szCs w:val="22"/>
        </w:rPr>
        <w:lastRenderedPageBreak/>
        <w:t xml:space="preserve">CHAPTER </w:t>
      </w:r>
      <w:r w:rsidR="008A1595">
        <w:rPr>
          <w:rFonts w:cs="Arial"/>
          <w:color w:val="000000" w:themeColor="text1"/>
          <w:szCs w:val="22"/>
        </w:rPr>
        <w:t>SIX</w:t>
      </w:r>
      <w:r w:rsidRPr="00F90E30">
        <w:rPr>
          <w:rFonts w:cs="Arial"/>
          <w:color w:val="000000" w:themeColor="text1"/>
          <w:szCs w:val="22"/>
        </w:rPr>
        <w:t xml:space="preserve">: </w:t>
      </w:r>
      <w:r w:rsidR="00525B47">
        <w:rPr>
          <w:rFonts w:cs="Arial"/>
          <w:color w:val="000000" w:themeColor="text1"/>
          <w:szCs w:val="22"/>
        </w:rPr>
        <w:t>DISCUSSION</w:t>
      </w:r>
      <w:bookmarkEnd w:id="408"/>
      <w:bookmarkEnd w:id="409"/>
    </w:p>
    <w:p w14:paraId="7641DEF4" w14:textId="77777777" w:rsidR="00DC2DE7" w:rsidRPr="00F90E30" w:rsidRDefault="00DC2DE7" w:rsidP="00DC2DE7">
      <w:pPr>
        <w:rPr>
          <w:sz w:val="22"/>
          <w:szCs w:val="22"/>
        </w:rPr>
      </w:pPr>
    </w:p>
    <w:p w14:paraId="70717926" w14:textId="65495C71" w:rsidR="00DC2DE7" w:rsidRDefault="008A1595" w:rsidP="00DC2DE7">
      <w:pPr>
        <w:pStyle w:val="Heading2"/>
        <w:rPr>
          <w:rFonts w:ascii="Arial" w:hAnsi="Arial" w:cs="Arial"/>
          <w:color w:val="000000" w:themeColor="text1"/>
          <w:sz w:val="22"/>
          <w:szCs w:val="22"/>
        </w:rPr>
      </w:pPr>
      <w:bookmarkStart w:id="410" w:name="_Toc46770837"/>
      <w:bookmarkStart w:id="411" w:name="_Toc79414248"/>
      <w:r>
        <w:rPr>
          <w:rFonts w:ascii="Arial" w:hAnsi="Arial" w:cs="Arial"/>
          <w:color w:val="000000" w:themeColor="text1"/>
          <w:sz w:val="22"/>
          <w:szCs w:val="22"/>
        </w:rPr>
        <w:t>6</w:t>
      </w:r>
      <w:r w:rsidR="00DC2DE7" w:rsidRPr="00CF009D">
        <w:rPr>
          <w:rFonts w:ascii="Arial" w:hAnsi="Arial" w:cs="Arial"/>
          <w:color w:val="000000" w:themeColor="text1"/>
          <w:sz w:val="22"/>
          <w:szCs w:val="22"/>
        </w:rPr>
        <w:t xml:space="preserve">.1 </w:t>
      </w:r>
      <w:r w:rsidR="009B7932">
        <w:rPr>
          <w:rFonts w:ascii="Arial" w:hAnsi="Arial" w:cs="Arial"/>
          <w:color w:val="000000" w:themeColor="text1"/>
          <w:sz w:val="22"/>
          <w:szCs w:val="22"/>
        </w:rPr>
        <w:t>INTRODUCTION</w:t>
      </w:r>
      <w:bookmarkEnd w:id="410"/>
      <w:bookmarkEnd w:id="411"/>
    </w:p>
    <w:p w14:paraId="4C41A0A3" w14:textId="77777777" w:rsidR="00DC2DE7" w:rsidRPr="00CF009D" w:rsidRDefault="00DC2DE7" w:rsidP="00DC2DE7"/>
    <w:p w14:paraId="680179A6" w14:textId="758FB28F" w:rsidR="00170BEB" w:rsidRDefault="00DC2DE7" w:rsidP="00170BEB">
      <w:pPr>
        <w:spacing w:line="480" w:lineRule="auto"/>
        <w:rPr>
          <w:rFonts w:ascii="Arial" w:hAnsi="Arial" w:cs="Arial"/>
          <w:sz w:val="22"/>
          <w:szCs w:val="22"/>
        </w:rPr>
      </w:pPr>
      <w:r w:rsidRPr="00F90E30">
        <w:rPr>
          <w:rFonts w:ascii="Arial" w:hAnsi="Arial" w:cs="Arial"/>
          <w:sz w:val="22"/>
          <w:szCs w:val="22"/>
        </w:rPr>
        <w:t xml:space="preserve">This thesis began with an introduction to the problem that there is a significant variance in the reported recovery rates the United Kingdom’s Improving Access to Psychological Therapy Programme. The objective of this research was to build on the current hypotheses about the reasons why there is such a variance in outcome. </w:t>
      </w:r>
      <w:r w:rsidR="00170BEB" w:rsidRPr="00DA47F9">
        <w:rPr>
          <w:rFonts w:ascii="Arial" w:hAnsi="Arial" w:cs="Arial"/>
          <w:sz w:val="22"/>
          <w:szCs w:val="22"/>
        </w:rPr>
        <w:t xml:space="preserve">Chapter </w:t>
      </w:r>
      <w:r w:rsidR="009D3BC7">
        <w:rPr>
          <w:rFonts w:ascii="Arial" w:hAnsi="Arial" w:cs="Arial"/>
          <w:sz w:val="22"/>
          <w:szCs w:val="22"/>
        </w:rPr>
        <w:t>3</w:t>
      </w:r>
      <w:r w:rsidR="00170BEB" w:rsidRPr="00DA47F9">
        <w:rPr>
          <w:rFonts w:ascii="Arial" w:hAnsi="Arial" w:cs="Arial"/>
          <w:sz w:val="22"/>
          <w:szCs w:val="22"/>
        </w:rPr>
        <w:t xml:space="preserve"> of this thesis reported that</w:t>
      </w:r>
      <w:r w:rsidR="009D3BC7">
        <w:rPr>
          <w:rFonts w:ascii="Arial" w:hAnsi="Arial" w:cs="Arial"/>
          <w:sz w:val="22"/>
          <w:szCs w:val="22"/>
        </w:rPr>
        <w:t>,</w:t>
      </w:r>
      <w:r w:rsidR="00170BEB" w:rsidRPr="00DA47F9">
        <w:rPr>
          <w:rFonts w:ascii="Arial" w:hAnsi="Arial" w:cs="Arial"/>
          <w:sz w:val="22"/>
          <w:szCs w:val="22"/>
        </w:rPr>
        <w:t xml:space="preserve"> primarily</w:t>
      </w:r>
      <w:r w:rsidR="00170BEB">
        <w:rPr>
          <w:rFonts w:ascii="Arial" w:hAnsi="Arial" w:cs="Arial"/>
          <w:sz w:val="22"/>
          <w:szCs w:val="22"/>
        </w:rPr>
        <w:t>, there are</w:t>
      </w:r>
      <w:r w:rsidR="00170BEB" w:rsidRPr="00DA47F9">
        <w:rPr>
          <w:rFonts w:ascii="Arial" w:hAnsi="Arial" w:cs="Arial"/>
          <w:sz w:val="22"/>
          <w:szCs w:val="22"/>
        </w:rPr>
        <w:t xml:space="preserve"> three types of research investigating the variables that may relate to outcome in CBT in general and also in High Intensity CBT therapists in IAPT. </w:t>
      </w:r>
      <w:r w:rsidR="00170BEB">
        <w:rPr>
          <w:rFonts w:ascii="Arial" w:hAnsi="Arial" w:cs="Arial"/>
          <w:sz w:val="22"/>
          <w:szCs w:val="22"/>
        </w:rPr>
        <w:t xml:space="preserve">The first type of </w:t>
      </w:r>
      <w:r w:rsidR="00170BEB" w:rsidRPr="00DA47F9">
        <w:rPr>
          <w:rFonts w:ascii="Arial" w:hAnsi="Arial" w:cs="Arial"/>
          <w:sz w:val="22"/>
          <w:szCs w:val="22"/>
        </w:rPr>
        <w:t>research</w:t>
      </w:r>
      <w:r w:rsidR="00EC6DFF">
        <w:rPr>
          <w:rFonts w:ascii="Arial" w:hAnsi="Arial" w:cs="Arial"/>
          <w:sz w:val="22"/>
          <w:szCs w:val="22"/>
        </w:rPr>
        <w:t>, published in the literature,</w:t>
      </w:r>
      <w:r w:rsidR="00170BEB" w:rsidRPr="00DA47F9">
        <w:rPr>
          <w:rFonts w:ascii="Arial" w:hAnsi="Arial" w:cs="Arial"/>
          <w:sz w:val="22"/>
          <w:szCs w:val="22"/>
        </w:rPr>
        <w:t xml:space="preserve"> are </w:t>
      </w:r>
      <w:r w:rsidR="00170BEB">
        <w:rPr>
          <w:rFonts w:ascii="Arial" w:hAnsi="Arial" w:cs="Arial"/>
          <w:sz w:val="22"/>
          <w:szCs w:val="22"/>
        </w:rPr>
        <w:t>secondary analyses of outcome trials (usually randomised controlled trials) whereby researchers investigate whether therapist adherence to a treatment protocol relates to outcome.</w:t>
      </w:r>
      <w:r w:rsidR="00100999">
        <w:rPr>
          <w:rFonts w:ascii="Arial" w:hAnsi="Arial" w:cs="Arial"/>
          <w:sz w:val="22"/>
          <w:szCs w:val="22"/>
        </w:rPr>
        <w:t xml:space="preserve"> </w:t>
      </w:r>
      <w:r w:rsidR="00170BEB">
        <w:rPr>
          <w:rFonts w:ascii="Arial" w:hAnsi="Arial" w:cs="Arial"/>
          <w:sz w:val="22"/>
          <w:szCs w:val="22"/>
        </w:rPr>
        <w:t xml:space="preserve">The second type is process-outcome research (usually naturalistic observational cohort studies) whereby researchers are interested in the relationship between therapist variables and outcome. The third type of research </w:t>
      </w:r>
      <w:r w:rsidR="00100999">
        <w:rPr>
          <w:rFonts w:ascii="Arial" w:hAnsi="Arial" w:cs="Arial"/>
          <w:sz w:val="22"/>
          <w:szCs w:val="22"/>
        </w:rPr>
        <w:t>is</w:t>
      </w:r>
      <w:r w:rsidR="00170BEB">
        <w:rPr>
          <w:rFonts w:ascii="Arial" w:hAnsi="Arial" w:cs="Arial"/>
          <w:sz w:val="22"/>
          <w:szCs w:val="22"/>
        </w:rPr>
        <w:t xml:space="preserve"> therapist effects studies where researchers investigate to what extent the combination of all therapist variables effects clinical outcomes. </w:t>
      </w:r>
      <w:r w:rsidR="00FF250A">
        <w:rPr>
          <w:rFonts w:ascii="Arial" w:hAnsi="Arial" w:cs="Arial"/>
          <w:sz w:val="22"/>
          <w:szCs w:val="22"/>
        </w:rPr>
        <w:t xml:space="preserve">The research presented in this thesis is situated in the process-outcome research category and is a naturalistic observational cohort study. </w:t>
      </w:r>
      <w:r w:rsidR="009B7932">
        <w:rPr>
          <w:rFonts w:ascii="Arial" w:hAnsi="Arial" w:cs="Arial"/>
          <w:sz w:val="22"/>
          <w:szCs w:val="22"/>
        </w:rPr>
        <w:t xml:space="preserve">Figure 6.1 shows where this research is situated in </w:t>
      </w:r>
      <w:r w:rsidR="00C864DC">
        <w:rPr>
          <w:rFonts w:ascii="Arial" w:hAnsi="Arial" w:cs="Arial"/>
          <w:sz w:val="22"/>
          <w:szCs w:val="22"/>
        </w:rPr>
        <w:t>relation to the research that has been conducted within IAPT</w:t>
      </w:r>
      <w:r w:rsidR="009B7932">
        <w:rPr>
          <w:rFonts w:ascii="Arial" w:hAnsi="Arial" w:cs="Arial"/>
          <w:sz w:val="22"/>
          <w:szCs w:val="22"/>
        </w:rPr>
        <w:t xml:space="preserve"> </w:t>
      </w:r>
      <w:r w:rsidR="00C864DC">
        <w:rPr>
          <w:rFonts w:ascii="Arial" w:hAnsi="Arial" w:cs="Arial"/>
          <w:sz w:val="22"/>
          <w:szCs w:val="22"/>
        </w:rPr>
        <w:t xml:space="preserve">with a particular focus on </w:t>
      </w:r>
      <w:r w:rsidR="009B7932">
        <w:rPr>
          <w:rFonts w:ascii="Arial" w:hAnsi="Arial" w:cs="Arial"/>
          <w:sz w:val="22"/>
          <w:szCs w:val="22"/>
        </w:rPr>
        <w:t>High Intensity cognitive behavioural</w:t>
      </w:r>
      <w:r w:rsidR="00C864DC">
        <w:rPr>
          <w:rFonts w:ascii="Arial" w:hAnsi="Arial" w:cs="Arial"/>
          <w:sz w:val="22"/>
          <w:szCs w:val="22"/>
        </w:rPr>
        <w:t xml:space="preserve">. </w:t>
      </w:r>
      <w:r w:rsidR="009B7932">
        <w:rPr>
          <w:rFonts w:ascii="Arial" w:hAnsi="Arial" w:cs="Arial"/>
          <w:sz w:val="22"/>
          <w:szCs w:val="22"/>
        </w:rPr>
        <w:t>The foundations of IAPT are built on a strong evidence base that supports the efficacy of CBT</w:t>
      </w:r>
      <w:r w:rsidR="00C864DC">
        <w:rPr>
          <w:rFonts w:ascii="Arial" w:hAnsi="Arial" w:cs="Arial"/>
          <w:sz w:val="22"/>
          <w:szCs w:val="22"/>
        </w:rPr>
        <w:t xml:space="preserve"> (Clark, 2014)</w:t>
      </w:r>
      <w:r w:rsidR="009B7932">
        <w:rPr>
          <w:rFonts w:ascii="Arial" w:hAnsi="Arial" w:cs="Arial"/>
          <w:sz w:val="22"/>
          <w:szCs w:val="22"/>
        </w:rPr>
        <w:t>. In the intervening years between the development of IAPT in 2009 and the current</w:t>
      </w:r>
      <w:r w:rsidR="00100999">
        <w:rPr>
          <w:rFonts w:ascii="Arial" w:hAnsi="Arial" w:cs="Arial"/>
          <w:sz w:val="22"/>
          <w:szCs w:val="22"/>
        </w:rPr>
        <w:t>-</w:t>
      </w:r>
      <w:r w:rsidR="009B7932">
        <w:rPr>
          <w:rFonts w:ascii="Arial" w:hAnsi="Arial" w:cs="Arial"/>
          <w:sz w:val="22"/>
          <w:szCs w:val="22"/>
        </w:rPr>
        <w:t xml:space="preserve">time </w:t>
      </w:r>
      <w:r w:rsidR="00061AFA">
        <w:rPr>
          <w:rFonts w:ascii="Arial" w:hAnsi="Arial" w:cs="Arial"/>
          <w:sz w:val="22"/>
          <w:szCs w:val="22"/>
        </w:rPr>
        <w:t>research has investigated the eff</w:t>
      </w:r>
      <w:r w:rsidR="006B4EAC">
        <w:rPr>
          <w:rFonts w:ascii="Arial" w:hAnsi="Arial" w:cs="Arial"/>
          <w:sz w:val="22"/>
          <w:szCs w:val="22"/>
        </w:rPr>
        <w:t>ectiveness</w:t>
      </w:r>
      <w:r w:rsidR="00061AFA">
        <w:rPr>
          <w:rFonts w:ascii="Arial" w:hAnsi="Arial" w:cs="Arial"/>
          <w:sz w:val="22"/>
          <w:szCs w:val="22"/>
        </w:rPr>
        <w:t xml:space="preserve"> of </w:t>
      </w:r>
      <w:r w:rsidR="002702B1">
        <w:rPr>
          <w:rFonts w:ascii="Arial" w:hAnsi="Arial" w:cs="Arial"/>
          <w:sz w:val="22"/>
          <w:szCs w:val="22"/>
        </w:rPr>
        <w:t xml:space="preserve">the </w:t>
      </w:r>
      <w:r w:rsidR="00061AFA">
        <w:rPr>
          <w:rFonts w:ascii="Arial" w:hAnsi="Arial" w:cs="Arial"/>
          <w:sz w:val="22"/>
          <w:szCs w:val="22"/>
        </w:rPr>
        <w:t>IAPT</w:t>
      </w:r>
      <w:r w:rsidR="002702B1">
        <w:rPr>
          <w:rFonts w:ascii="Arial" w:hAnsi="Arial" w:cs="Arial"/>
          <w:sz w:val="22"/>
          <w:szCs w:val="22"/>
        </w:rPr>
        <w:t xml:space="preserve"> programme</w:t>
      </w:r>
      <w:r w:rsidR="00061AFA">
        <w:rPr>
          <w:rFonts w:ascii="Arial" w:hAnsi="Arial" w:cs="Arial"/>
          <w:sz w:val="22"/>
          <w:szCs w:val="22"/>
        </w:rPr>
        <w:t xml:space="preserve">. </w:t>
      </w:r>
      <w:r w:rsidR="006B4EAC">
        <w:rPr>
          <w:rFonts w:ascii="Arial" w:hAnsi="Arial" w:cs="Arial"/>
          <w:sz w:val="22"/>
          <w:szCs w:val="22"/>
        </w:rPr>
        <w:t>This ha</w:t>
      </w:r>
      <w:r w:rsidR="002702B1">
        <w:rPr>
          <w:rFonts w:ascii="Arial" w:hAnsi="Arial" w:cs="Arial"/>
          <w:sz w:val="22"/>
          <w:szCs w:val="22"/>
        </w:rPr>
        <w:t>s</w:t>
      </w:r>
      <w:r w:rsidR="006B4EAC">
        <w:rPr>
          <w:rFonts w:ascii="Arial" w:hAnsi="Arial" w:cs="Arial"/>
          <w:sz w:val="22"/>
          <w:szCs w:val="22"/>
        </w:rPr>
        <w:t xml:space="preserve"> included research on clinical outcomes, therapist training and therapist demographics. Much of </w:t>
      </w:r>
      <w:r w:rsidR="00061AFA">
        <w:rPr>
          <w:rFonts w:ascii="Arial" w:hAnsi="Arial" w:cs="Arial"/>
          <w:sz w:val="22"/>
          <w:szCs w:val="22"/>
        </w:rPr>
        <w:t>th</w:t>
      </w:r>
      <w:r w:rsidR="006B4EAC">
        <w:rPr>
          <w:rFonts w:ascii="Arial" w:hAnsi="Arial" w:cs="Arial"/>
          <w:sz w:val="22"/>
          <w:szCs w:val="22"/>
        </w:rPr>
        <w:t>e previous</w:t>
      </w:r>
      <w:r w:rsidR="00061AFA">
        <w:rPr>
          <w:rFonts w:ascii="Arial" w:hAnsi="Arial" w:cs="Arial"/>
          <w:sz w:val="22"/>
          <w:szCs w:val="22"/>
        </w:rPr>
        <w:t xml:space="preserve"> research </w:t>
      </w:r>
      <w:r w:rsidR="006B4EAC">
        <w:rPr>
          <w:rFonts w:ascii="Arial" w:hAnsi="Arial" w:cs="Arial"/>
          <w:sz w:val="22"/>
          <w:szCs w:val="22"/>
        </w:rPr>
        <w:t xml:space="preserve">has </w:t>
      </w:r>
      <w:r w:rsidR="00061AFA">
        <w:rPr>
          <w:rFonts w:ascii="Arial" w:hAnsi="Arial" w:cs="Arial"/>
          <w:sz w:val="22"/>
          <w:szCs w:val="22"/>
        </w:rPr>
        <w:t>reported on the variance in outcomes between services and between therapists</w:t>
      </w:r>
      <w:r w:rsidR="00C864DC">
        <w:rPr>
          <w:rFonts w:ascii="Arial" w:hAnsi="Arial" w:cs="Arial"/>
          <w:sz w:val="22"/>
          <w:szCs w:val="22"/>
        </w:rPr>
        <w:t>,</w:t>
      </w:r>
      <w:r w:rsidR="00ED78CE">
        <w:rPr>
          <w:rFonts w:ascii="Arial" w:hAnsi="Arial" w:cs="Arial"/>
          <w:sz w:val="22"/>
          <w:szCs w:val="22"/>
        </w:rPr>
        <w:t xml:space="preserve"> </w:t>
      </w:r>
      <w:r w:rsidR="00C864DC">
        <w:rPr>
          <w:rFonts w:ascii="Arial" w:hAnsi="Arial" w:cs="Arial"/>
          <w:sz w:val="22"/>
          <w:szCs w:val="22"/>
        </w:rPr>
        <w:t>utilising the large data set reported to NHS England by IAPT services. One of the themes reported in this research is the significant variance in outcomes and this has</w:t>
      </w:r>
      <w:r w:rsidR="009D3BC7">
        <w:rPr>
          <w:rFonts w:ascii="Arial" w:hAnsi="Arial" w:cs="Arial"/>
          <w:sz w:val="22"/>
          <w:szCs w:val="22"/>
        </w:rPr>
        <w:t xml:space="preserve"> </w:t>
      </w:r>
      <w:r w:rsidR="00C864DC">
        <w:rPr>
          <w:rFonts w:ascii="Arial" w:hAnsi="Arial" w:cs="Arial"/>
          <w:sz w:val="22"/>
          <w:szCs w:val="22"/>
        </w:rPr>
        <w:t xml:space="preserve">led to a number of studies that investigate to what extent </w:t>
      </w:r>
      <w:r w:rsidR="00061AFA">
        <w:rPr>
          <w:rFonts w:ascii="Arial" w:hAnsi="Arial" w:cs="Arial"/>
          <w:sz w:val="22"/>
          <w:szCs w:val="22"/>
        </w:rPr>
        <w:t>therapist</w:t>
      </w:r>
      <w:r w:rsidR="00C864DC">
        <w:rPr>
          <w:rFonts w:ascii="Arial" w:hAnsi="Arial" w:cs="Arial"/>
          <w:sz w:val="22"/>
          <w:szCs w:val="22"/>
        </w:rPr>
        <w:t xml:space="preserve"> effects explain the variance in outcome.</w:t>
      </w:r>
      <w:r w:rsidR="00061AFA">
        <w:rPr>
          <w:rFonts w:ascii="Arial" w:hAnsi="Arial" w:cs="Arial"/>
          <w:sz w:val="22"/>
          <w:szCs w:val="22"/>
        </w:rPr>
        <w:t xml:space="preserve"> </w:t>
      </w:r>
      <w:r w:rsidR="00CF333B">
        <w:rPr>
          <w:rFonts w:ascii="Arial" w:hAnsi="Arial" w:cs="Arial"/>
          <w:sz w:val="22"/>
          <w:szCs w:val="22"/>
        </w:rPr>
        <w:t xml:space="preserve">Despite the growth in research within IAPT very little is known about </w:t>
      </w:r>
      <w:r w:rsidR="00CF333B">
        <w:rPr>
          <w:rFonts w:ascii="Arial" w:hAnsi="Arial" w:cs="Arial"/>
          <w:sz w:val="22"/>
          <w:szCs w:val="22"/>
        </w:rPr>
        <w:lastRenderedPageBreak/>
        <w:t xml:space="preserve">why some therapists achieve better outcomes than others and which therapist variables may be more significant than others. </w:t>
      </w:r>
      <w:r w:rsidR="00C864DC">
        <w:rPr>
          <w:rFonts w:ascii="Arial" w:hAnsi="Arial" w:cs="Arial"/>
          <w:sz w:val="22"/>
          <w:szCs w:val="22"/>
        </w:rPr>
        <w:t xml:space="preserve">The </w:t>
      </w:r>
      <w:r w:rsidR="00CF333B">
        <w:rPr>
          <w:rFonts w:ascii="Arial" w:hAnsi="Arial" w:cs="Arial"/>
          <w:sz w:val="22"/>
          <w:szCs w:val="22"/>
        </w:rPr>
        <w:t>findings</w:t>
      </w:r>
      <w:r w:rsidR="00C864DC">
        <w:rPr>
          <w:rFonts w:ascii="Arial" w:hAnsi="Arial" w:cs="Arial"/>
          <w:sz w:val="22"/>
          <w:szCs w:val="22"/>
        </w:rPr>
        <w:t xml:space="preserve"> reported in this thesis build on </w:t>
      </w:r>
      <w:r w:rsidR="00CF333B">
        <w:rPr>
          <w:rFonts w:ascii="Arial" w:hAnsi="Arial" w:cs="Arial"/>
          <w:sz w:val="22"/>
          <w:szCs w:val="22"/>
        </w:rPr>
        <w:t>previous research</w:t>
      </w:r>
      <w:r w:rsidR="00061AFA">
        <w:rPr>
          <w:rFonts w:ascii="Arial" w:hAnsi="Arial" w:cs="Arial"/>
          <w:sz w:val="22"/>
          <w:szCs w:val="22"/>
        </w:rPr>
        <w:t xml:space="preserve"> </w:t>
      </w:r>
      <w:r w:rsidR="00C864DC">
        <w:rPr>
          <w:rFonts w:ascii="Arial" w:hAnsi="Arial" w:cs="Arial"/>
          <w:sz w:val="22"/>
          <w:szCs w:val="22"/>
        </w:rPr>
        <w:t>and make a unique</w:t>
      </w:r>
      <w:r w:rsidR="00061AFA">
        <w:rPr>
          <w:rFonts w:ascii="Arial" w:hAnsi="Arial" w:cs="Arial"/>
          <w:sz w:val="22"/>
          <w:szCs w:val="22"/>
        </w:rPr>
        <w:t xml:space="preserve"> contribution to </w:t>
      </w:r>
      <w:r w:rsidR="00C864DC">
        <w:rPr>
          <w:rFonts w:ascii="Arial" w:hAnsi="Arial" w:cs="Arial"/>
          <w:sz w:val="22"/>
          <w:szCs w:val="22"/>
        </w:rPr>
        <w:t>knowledge</w:t>
      </w:r>
      <w:r w:rsidR="00CF333B">
        <w:rPr>
          <w:rFonts w:ascii="Arial" w:hAnsi="Arial" w:cs="Arial"/>
          <w:sz w:val="22"/>
          <w:szCs w:val="22"/>
        </w:rPr>
        <w:t xml:space="preserve">. This is the first research study to use </w:t>
      </w:r>
      <w:r w:rsidR="00061AFA">
        <w:rPr>
          <w:rFonts w:ascii="Arial" w:hAnsi="Arial" w:cs="Arial"/>
          <w:sz w:val="22"/>
          <w:szCs w:val="22"/>
        </w:rPr>
        <w:t xml:space="preserve">therapy transcripts </w:t>
      </w:r>
      <w:r w:rsidR="00CF333B">
        <w:rPr>
          <w:rFonts w:ascii="Arial" w:hAnsi="Arial" w:cs="Arial"/>
          <w:sz w:val="22"/>
          <w:szCs w:val="22"/>
        </w:rPr>
        <w:t xml:space="preserve">of complete episodes of care delivered by (n =200) High Intensity cognitive behavioural therapists. These transcripts have been used </w:t>
      </w:r>
      <w:r w:rsidR="00061AFA">
        <w:rPr>
          <w:rFonts w:ascii="Arial" w:hAnsi="Arial" w:cs="Arial"/>
          <w:sz w:val="22"/>
          <w:szCs w:val="22"/>
        </w:rPr>
        <w:t xml:space="preserve">to investigate the therapist variables that relate to </w:t>
      </w:r>
      <w:r w:rsidR="00CF333B">
        <w:rPr>
          <w:rFonts w:ascii="Arial" w:hAnsi="Arial" w:cs="Arial"/>
          <w:sz w:val="22"/>
          <w:szCs w:val="22"/>
        </w:rPr>
        <w:t xml:space="preserve">clinical </w:t>
      </w:r>
      <w:r w:rsidR="00061AFA">
        <w:rPr>
          <w:rFonts w:ascii="Arial" w:hAnsi="Arial" w:cs="Arial"/>
          <w:sz w:val="22"/>
          <w:szCs w:val="22"/>
        </w:rPr>
        <w:t>outcome.</w:t>
      </w:r>
    </w:p>
    <w:p w14:paraId="398B4312" w14:textId="26E2D51D" w:rsidR="009B7932" w:rsidRDefault="009B7932" w:rsidP="00170BEB">
      <w:pPr>
        <w:spacing w:line="480" w:lineRule="auto"/>
        <w:rPr>
          <w:rFonts w:ascii="Arial" w:hAnsi="Arial" w:cs="Arial"/>
          <w:sz w:val="22"/>
          <w:szCs w:val="22"/>
        </w:rPr>
      </w:pPr>
    </w:p>
    <w:p w14:paraId="671680A4" w14:textId="0A3B6054" w:rsidR="009B7932" w:rsidRDefault="009B7932" w:rsidP="00170BEB">
      <w:pPr>
        <w:spacing w:line="480" w:lineRule="auto"/>
        <w:rPr>
          <w:rFonts w:ascii="Arial" w:hAnsi="Arial" w:cs="Arial"/>
          <w:sz w:val="22"/>
          <w:szCs w:val="22"/>
        </w:rPr>
      </w:pPr>
      <w:r>
        <w:rPr>
          <w:rFonts w:ascii="Arial" w:hAnsi="Arial" w:cs="Arial"/>
          <w:sz w:val="22"/>
          <w:szCs w:val="22"/>
        </w:rPr>
        <w:t xml:space="preserve">This chapter will </w:t>
      </w:r>
      <w:r w:rsidR="00061AFA">
        <w:rPr>
          <w:rFonts w:ascii="Arial" w:hAnsi="Arial" w:cs="Arial"/>
          <w:sz w:val="22"/>
          <w:szCs w:val="22"/>
        </w:rPr>
        <w:t>discuss the findings from this research</w:t>
      </w:r>
      <w:r w:rsidR="001B157A">
        <w:rPr>
          <w:rFonts w:ascii="Arial" w:hAnsi="Arial" w:cs="Arial"/>
          <w:sz w:val="22"/>
          <w:szCs w:val="22"/>
        </w:rPr>
        <w:t xml:space="preserve">. The chapter proceeds with a discussion </w:t>
      </w:r>
      <w:r w:rsidR="00520597">
        <w:rPr>
          <w:rFonts w:ascii="Arial" w:hAnsi="Arial" w:cs="Arial"/>
          <w:sz w:val="22"/>
          <w:szCs w:val="22"/>
        </w:rPr>
        <w:t>rela</w:t>
      </w:r>
      <w:r w:rsidR="00495734">
        <w:rPr>
          <w:rFonts w:ascii="Arial" w:hAnsi="Arial" w:cs="Arial"/>
          <w:sz w:val="22"/>
          <w:szCs w:val="22"/>
        </w:rPr>
        <w:t>t</w:t>
      </w:r>
      <w:r w:rsidR="00520597">
        <w:rPr>
          <w:rFonts w:ascii="Arial" w:hAnsi="Arial" w:cs="Arial"/>
          <w:sz w:val="22"/>
          <w:szCs w:val="22"/>
        </w:rPr>
        <w:t xml:space="preserve">ing to </w:t>
      </w:r>
      <w:r w:rsidR="00495734">
        <w:rPr>
          <w:rFonts w:ascii="Arial" w:hAnsi="Arial" w:cs="Arial"/>
          <w:sz w:val="22"/>
          <w:szCs w:val="22"/>
        </w:rPr>
        <w:t>where this research sits within the existing literature</w:t>
      </w:r>
      <w:r w:rsidR="00B77EDB">
        <w:rPr>
          <w:rFonts w:ascii="Arial" w:hAnsi="Arial" w:cs="Arial"/>
          <w:sz w:val="22"/>
          <w:szCs w:val="22"/>
        </w:rPr>
        <w:t>, particularly process outcome research and therapist effects research.</w:t>
      </w:r>
      <w:r w:rsidR="001B157A">
        <w:rPr>
          <w:rFonts w:ascii="Arial" w:hAnsi="Arial" w:cs="Arial"/>
          <w:sz w:val="22"/>
          <w:szCs w:val="22"/>
        </w:rPr>
        <w:t xml:space="preserve"> This will be followed by a discussion</w:t>
      </w:r>
      <w:r w:rsidR="00061AFA">
        <w:rPr>
          <w:rFonts w:ascii="Arial" w:hAnsi="Arial" w:cs="Arial"/>
          <w:sz w:val="22"/>
          <w:szCs w:val="22"/>
        </w:rPr>
        <w:t xml:space="preserve"> addressing each research question</w:t>
      </w:r>
      <w:r w:rsidR="001B157A">
        <w:rPr>
          <w:rFonts w:ascii="Arial" w:hAnsi="Arial" w:cs="Arial"/>
          <w:sz w:val="22"/>
          <w:szCs w:val="22"/>
        </w:rPr>
        <w:t xml:space="preserve"> and the </w:t>
      </w:r>
      <w:r w:rsidR="00061AFA">
        <w:rPr>
          <w:rFonts w:ascii="Arial" w:hAnsi="Arial" w:cs="Arial"/>
          <w:sz w:val="22"/>
          <w:szCs w:val="22"/>
        </w:rPr>
        <w:t>limitations and strengths of this research. It will be argued that this research has made a significant contribution to knowledge</w:t>
      </w:r>
      <w:r w:rsidR="000D3959">
        <w:rPr>
          <w:rFonts w:ascii="Arial" w:hAnsi="Arial" w:cs="Arial"/>
          <w:sz w:val="22"/>
          <w:szCs w:val="22"/>
        </w:rPr>
        <w:t xml:space="preserve"> in relation to how therapist competence and adherence to an evidence-based protocol are related to clinical outcome. Whilst the findings</w:t>
      </w:r>
      <w:r w:rsidR="00D74D66">
        <w:rPr>
          <w:rFonts w:ascii="Arial" w:hAnsi="Arial" w:cs="Arial"/>
          <w:sz w:val="22"/>
          <w:szCs w:val="22"/>
        </w:rPr>
        <w:t xml:space="preserve"> from this research</w:t>
      </w:r>
      <w:r w:rsidR="000D3959">
        <w:rPr>
          <w:rFonts w:ascii="Arial" w:hAnsi="Arial" w:cs="Arial"/>
          <w:sz w:val="22"/>
          <w:szCs w:val="22"/>
        </w:rPr>
        <w:t xml:space="preserve"> have been </w:t>
      </w:r>
      <w:r w:rsidR="00B83140">
        <w:rPr>
          <w:rFonts w:ascii="Arial" w:hAnsi="Arial" w:cs="Arial"/>
          <w:sz w:val="22"/>
          <w:szCs w:val="22"/>
        </w:rPr>
        <w:t xml:space="preserve">presented as </w:t>
      </w:r>
      <w:r w:rsidR="000D3959">
        <w:rPr>
          <w:rFonts w:ascii="Arial" w:hAnsi="Arial" w:cs="Arial"/>
          <w:sz w:val="22"/>
          <w:szCs w:val="22"/>
        </w:rPr>
        <w:t>hypothes</w:t>
      </w:r>
      <w:r w:rsidR="00B83140">
        <w:rPr>
          <w:rFonts w:ascii="Arial" w:hAnsi="Arial" w:cs="Arial"/>
          <w:sz w:val="22"/>
          <w:szCs w:val="22"/>
        </w:rPr>
        <w:t>es</w:t>
      </w:r>
      <w:r w:rsidR="000D3959">
        <w:rPr>
          <w:rFonts w:ascii="Arial" w:hAnsi="Arial" w:cs="Arial"/>
          <w:sz w:val="22"/>
          <w:szCs w:val="22"/>
        </w:rPr>
        <w:t xml:space="preserve"> </w:t>
      </w:r>
      <w:r w:rsidR="00D74D66">
        <w:rPr>
          <w:rFonts w:ascii="Arial" w:hAnsi="Arial" w:cs="Arial"/>
          <w:sz w:val="22"/>
          <w:szCs w:val="22"/>
        </w:rPr>
        <w:t>in previous</w:t>
      </w:r>
      <w:r w:rsidR="00B83140">
        <w:rPr>
          <w:rFonts w:ascii="Arial" w:hAnsi="Arial" w:cs="Arial"/>
          <w:sz w:val="22"/>
          <w:szCs w:val="22"/>
        </w:rPr>
        <w:t xml:space="preserve"> studies</w:t>
      </w:r>
      <w:r w:rsidR="000D3959">
        <w:rPr>
          <w:rFonts w:ascii="Arial" w:hAnsi="Arial" w:cs="Arial"/>
          <w:sz w:val="22"/>
          <w:szCs w:val="22"/>
        </w:rPr>
        <w:t>, th</w:t>
      </w:r>
      <w:r w:rsidR="00B83140">
        <w:rPr>
          <w:rFonts w:ascii="Arial" w:hAnsi="Arial" w:cs="Arial"/>
          <w:sz w:val="22"/>
          <w:szCs w:val="22"/>
        </w:rPr>
        <w:t>e</w:t>
      </w:r>
      <w:r w:rsidR="000D3959">
        <w:rPr>
          <w:rFonts w:ascii="Arial" w:hAnsi="Arial" w:cs="Arial"/>
          <w:sz w:val="22"/>
          <w:szCs w:val="22"/>
        </w:rPr>
        <w:t xml:space="preserve"> research</w:t>
      </w:r>
      <w:r w:rsidR="00B83140">
        <w:rPr>
          <w:rFonts w:ascii="Arial" w:hAnsi="Arial" w:cs="Arial"/>
          <w:sz w:val="22"/>
          <w:szCs w:val="22"/>
        </w:rPr>
        <w:t xml:space="preserve"> reported in this thesis</w:t>
      </w:r>
      <w:r w:rsidR="00D51837">
        <w:rPr>
          <w:rFonts w:ascii="Arial" w:hAnsi="Arial" w:cs="Arial"/>
          <w:sz w:val="22"/>
          <w:szCs w:val="22"/>
        </w:rPr>
        <w:t xml:space="preserve"> is unique in that this is the first time any study</w:t>
      </w:r>
      <w:r w:rsidR="000D3959">
        <w:rPr>
          <w:rFonts w:ascii="Arial" w:hAnsi="Arial" w:cs="Arial"/>
          <w:sz w:val="22"/>
          <w:szCs w:val="22"/>
        </w:rPr>
        <w:t xml:space="preserve"> has reviewed the therapy transcripts from every </w:t>
      </w:r>
      <w:r w:rsidR="001B157A">
        <w:rPr>
          <w:rFonts w:ascii="Arial" w:hAnsi="Arial" w:cs="Arial"/>
          <w:sz w:val="22"/>
          <w:szCs w:val="22"/>
        </w:rPr>
        <w:t xml:space="preserve">therapy </w:t>
      </w:r>
      <w:r w:rsidR="000D3959">
        <w:rPr>
          <w:rFonts w:ascii="Arial" w:hAnsi="Arial" w:cs="Arial"/>
          <w:sz w:val="22"/>
          <w:szCs w:val="22"/>
        </w:rPr>
        <w:t xml:space="preserve">session of 600 patients who had all completed treatment at step 3 in IAPT. </w:t>
      </w:r>
      <w:r w:rsidR="00D51837">
        <w:rPr>
          <w:rFonts w:ascii="Arial" w:hAnsi="Arial" w:cs="Arial"/>
          <w:sz w:val="22"/>
          <w:szCs w:val="22"/>
        </w:rPr>
        <w:t xml:space="preserve">It will be argued that this research </w:t>
      </w:r>
      <w:r w:rsidR="00D51837" w:rsidRPr="008F7571">
        <w:rPr>
          <w:rFonts w:ascii="Arial" w:hAnsi="Arial" w:cs="Arial"/>
          <w:sz w:val="22"/>
          <w:szCs w:val="22"/>
        </w:rPr>
        <w:t xml:space="preserve">represents the emergence of a new </w:t>
      </w:r>
      <w:r w:rsidR="002034E6" w:rsidRPr="008F7571">
        <w:rPr>
          <w:rFonts w:ascii="Arial" w:hAnsi="Arial" w:cs="Arial"/>
          <w:sz w:val="22"/>
          <w:szCs w:val="22"/>
        </w:rPr>
        <w:t>way to conduct</w:t>
      </w:r>
      <w:r w:rsidR="00D51837" w:rsidRPr="008F7571">
        <w:rPr>
          <w:rFonts w:ascii="Arial" w:hAnsi="Arial" w:cs="Arial"/>
          <w:sz w:val="22"/>
          <w:szCs w:val="22"/>
        </w:rPr>
        <w:t xml:space="preserve"> psychological therapy research.</w:t>
      </w:r>
      <w:r w:rsidR="00D51837">
        <w:rPr>
          <w:rFonts w:ascii="Arial" w:hAnsi="Arial" w:cs="Arial"/>
          <w:sz w:val="22"/>
          <w:szCs w:val="22"/>
        </w:rPr>
        <w:t xml:space="preserve"> </w:t>
      </w:r>
      <w:r w:rsidR="00280932">
        <w:rPr>
          <w:rFonts w:ascii="Arial" w:hAnsi="Arial" w:cs="Arial"/>
          <w:sz w:val="22"/>
          <w:szCs w:val="22"/>
        </w:rPr>
        <w:t xml:space="preserve">This research </w:t>
      </w:r>
      <w:r w:rsidR="008A3464">
        <w:rPr>
          <w:rFonts w:ascii="Arial" w:hAnsi="Arial" w:cs="Arial"/>
          <w:sz w:val="22"/>
          <w:szCs w:val="22"/>
        </w:rPr>
        <w:t xml:space="preserve">significantly adds to the literature as the first study </w:t>
      </w:r>
      <w:r w:rsidR="000D3959">
        <w:rPr>
          <w:rFonts w:ascii="Arial" w:hAnsi="Arial" w:cs="Arial"/>
          <w:sz w:val="22"/>
          <w:szCs w:val="22"/>
        </w:rPr>
        <w:t>to review therapy transcripts at this scale in IAPT</w:t>
      </w:r>
      <w:r w:rsidR="008A3464">
        <w:rPr>
          <w:rFonts w:ascii="Arial" w:hAnsi="Arial" w:cs="Arial"/>
          <w:sz w:val="22"/>
          <w:szCs w:val="22"/>
        </w:rPr>
        <w:t>. This chapter</w:t>
      </w:r>
      <w:r w:rsidR="000D3959">
        <w:rPr>
          <w:rFonts w:ascii="Arial" w:hAnsi="Arial" w:cs="Arial"/>
          <w:sz w:val="22"/>
          <w:szCs w:val="22"/>
        </w:rPr>
        <w:t xml:space="preserve"> will argue that the findings from this research have </w:t>
      </w:r>
      <w:r w:rsidR="007A699D">
        <w:rPr>
          <w:rFonts w:ascii="Arial" w:hAnsi="Arial" w:cs="Arial"/>
          <w:sz w:val="22"/>
          <w:szCs w:val="22"/>
        </w:rPr>
        <w:t xml:space="preserve">the potential to have a </w:t>
      </w:r>
      <w:r w:rsidR="000D3959">
        <w:rPr>
          <w:rFonts w:ascii="Arial" w:hAnsi="Arial" w:cs="Arial"/>
          <w:sz w:val="22"/>
          <w:szCs w:val="22"/>
        </w:rPr>
        <w:t>significant impact on High Intensity CBT therapists, Clinical Supervisors, IAPT services, IAPT training programmes and NHS policy. Th</w:t>
      </w:r>
      <w:r w:rsidR="008A3464">
        <w:rPr>
          <w:rFonts w:ascii="Arial" w:hAnsi="Arial" w:cs="Arial"/>
          <w:sz w:val="22"/>
          <w:szCs w:val="22"/>
        </w:rPr>
        <w:t>e</w:t>
      </w:r>
      <w:r w:rsidR="000D3959">
        <w:rPr>
          <w:rFonts w:ascii="Arial" w:hAnsi="Arial" w:cs="Arial"/>
          <w:sz w:val="22"/>
          <w:szCs w:val="22"/>
        </w:rPr>
        <w:t xml:space="preserve"> chapter will conclude with a discussion of the implications of the findings of this research on professional practice for each of these groups.</w:t>
      </w:r>
    </w:p>
    <w:p w14:paraId="131D75FA" w14:textId="6C43B8A2" w:rsidR="00FF250A" w:rsidRDefault="00FF250A" w:rsidP="00170BEB">
      <w:pPr>
        <w:spacing w:line="480" w:lineRule="auto"/>
        <w:rPr>
          <w:rFonts w:ascii="Arial" w:hAnsi="Arial" w:cs="Arial"/>
          <w:sz w:val="22"/>
          <w:szCs w:val="22"/>
        </w:rPr>
      </w:pPr>
    </w:p>
    <w:p w14:paraId="69EEAB80" w14:textId="77777777" w:rsidR="006B4EAC" w:rsidRDefault="006B4EAC" w:rsidP="00170BEB">
      <w:pPr>
        <w:spacing w:line="480" w:lineRule="auto"/>
        <w:rPr>
          <w:rFonts w:ascii="Arial" w:hAnsi="Arial" w:cs="Arial"/>
          <w:b/>
          <w:bCs/>
          <w:sz w:val="22"/>
          <w:szCs w:val="22"/>
        </w:rPr>
      </w:pPr>
    </w:p>
    <w:p w14:paraId="2DDD7747" w14:textId="77777777" w:rsidR="006B4EAC" w:rsidRDefault="006B4EAC" w:rsidP="00170BEB">
      <w:pPr>
        <w:spacing w:line="480" w:lineRule="auto"/>
        <w:rPr>
          <w:rFonts w:ascii="Arial" w:hAnsi="Arial" w:cs="Arial"/>
          <w:b/>
          <w:bCs/>
          <w:sz w:val="22"/>
          <w:szCs w:val="22"/>
        </w:rPr>
      </w:pPr>
    </w:p>
    <w:p w14:paraId="43047C10" w14:textId="77777777" w:rsidR="00DB37EA" w:rsidRDefault="00DB37EA">
      <w:pPr>
        <w:rPr>
          <w:rFonts w:ascii="Arial" w:hAnsi="Arial" w:cs="Arial"/>
          <w:b/>
          <w:bCs/>
          <w:sz w:val="22"/>
          <w:szCs w:val="22"/>
        </w:rPr>
      </w:pPr>
      <w:r>
        <w:rPr>
          <w:rFonts w:ascii="Arial" w:hAnsi="Arial" w:cs="Arial"/>
          <w:b/>
          <w:bCs/>
          <w:sz w:val="22"/>
          <w:szCs w:val="22"/>
        </w:rPr>
        <w:br w:type="page"/>
      </w:r>
    </w:p>
    <w:p w14:paraId="6902FE37" w14:textId="0AF70A22" w:rsidR="0033640C" w:rsidRDefault="0033640C" w:rsidP="0033640C">
      <w:pPr>
        <w:pStyle w:val="Figures"/>
      </w:pPr>
      <w:bookmarkStart w:id="412" w:name="_Toc46770962"/>
      <w:r w:rsidRPr="00816ED3">
        <w:lastRenderedPageBreak/>
        <w:t xml:space="preserve">Figure 6.1 </w:t>
      </w:r>
      <w:r w:rsidRPr="0033640C">
        <w:rPr>
          <w:b w:val="0"/>
        </w:rPr>
        <w:t>This research in the context of the research relating to IAPT</w:t>
      </w:r>
      <w:r w:rsidR="00BC7BD9">
        <w:rPr>
          <w:b w:val="0"/>
        </w:rPr>
        <w:t xml:space="preserve">. </w:t>
      </w:r>
      <w:r w:rsidR="00BC7BD9" w:rsidRPr="008F7571">
        <w:rPr>
          <w:b w:val="0"/>
        </w:rPr>
        <w:t>Th</w:t>
      </w:r>
      <w:r w:rsidR="00100F94" w:rsidRPr="008F7571">
        <w:rPr>
          <w:b w:val="0"/>
        </w:rPr>
        <w:t>e</w:t>
      </w:r>
      <w:r w:rsidR="00BC7BD9" w:rsidRPr="008F7571">
        <w:rPr>
          <w:b w:val="0"/>
        </w:rPr>
        <w:t xml:space="preserve"> figure</w:t>
      </w:r>
      <w:r w:rsidR="00FD0C16" w:rsidRPr="008F7571">
        <w:rPr>
          <w:b w:val="0"/>
        </w:rPr>
        <w:t xml:space="preserve"> </w:t>
      </w:r>
      <w:r w:rsidR="00A16211" w:rsidRPr="008F7571">
        <w:rPr>
          <w:b w:val="0"/>
        </w:rPr>
        <w:t xml:space="preserve">is a metaphorical representation of </w:t>
      </w:r>
      <w:r w:rsidR="004349EA" w:rsidRPr="008F7571">
        <w:rPr>
          <w:b w:val="0"/>
        </w:rPr>
        <w:t xml:space="preserve">how the relevant literature has been built on top of </w:t>
      </w:r>
      <w:r w:rsidR="00B10DEA" w:rsidRPr="008F7571">
        <w:rPr>
          <w:b w:val="0"/>
        </w:rPr>
        <w:t xml:space="preserve">the </w:t>
      </w:r>
      <w:r w:rsidR="004349EA" w:rsidRPr="008F7571">
        <w:rPr>
          <w:b w:val="0"/>
        </w:rPr>
        <w:t>evidence</w:t>
      </w:r>
      <w:r w:rsidR="00C715A8" w:rsidRPr="008F7571">
        <w:rPr>
          <w:b w:val="0"/>
        </w:rPr>
        <w:t>-</w:t>
      </w:r>
      <w:r w:rsidR="004349EA" w:rsidRPr="008F7571">
        <w:rPr>
          <w:b w:val="0"/>
        </w:rPr>
        <w:t xml:space="preserve">base for CBT </w:t>
      </w:r>
      <w:r w:rsidR="00100F94" w:rsidRPr="008F7571">
        <w:rPr>
          <w:b w:val="0"/>
        </w:rPr>
        <w:t>(horizontal line across the diagram)</w:t>
      </w:r>
      <w:r w:rsidR="004349EA" w:rsidRPr="008F7571">
        <w:rPr>
          <w:b w:val="0"/>
        </w:rPr>
        <w:t>.</w:t>
      </w:r>
      <w:r w:rsidR="00FC0C9E" w:rsidRPr="008F7571">
        <w:rPr>
          <w:b w:val="0"/>
        </w:rPr>
        <w:t xml:space="preserve"> </w:t>
      </w:r>
      <w:r w:rsidR="00C57CFF" w:rsidRPr="008F7571">
        <w:rPr>
          <w:b w:val="0"/>
        </w:rPr>
        <w:t>The evidence base</w:t>
      </w:r>
      <w:r w:rsidR="00B10DEA" w:rsidRPr="008F7571">
        <w:rPr>
          <w:b w:val="0"/>
        </w:rPr>
        <w:t xml:space="preserve"> represent</w:t>
      </w:r>
      <w:r w:rsidR="00C57CFF" w:rsidRPr="008F7571">
        <w:rPr>
          <w:b w:val="0"/>
        </w:rPr>
        <w:t>s</w:t>
      </w:r>
      <w:r w:rsidR="00B10DEA" w:rsidRPr="008F7571">
        <w:rPr>
          <w:b w:val="0"/>
        </w:rPr>
        <w:t xml:space="preserve"> the foundational structure</w:t>
      </w:r>
      <w:r w:rsidR="00C57CFF" w:rsidRPr="008F7571">
        <w:rPr>
          <w:b w:val="0"/>
        </w:rPr>
        <w:t xml:space="preserve"> which</w:t>
      </w:r>
      <w:r w:rsidR="00B10DEA" w:rsidRPr="008F7571">
        <w:rPr>
          <w:b w:val="0"/>
        </w:rPr>
        <w:t xml:space="preserve"> underpin</w:t>
      </w:r>
      <w:r w:rsidR="00C57CFF" w:rsidRPr="008F7571">
        <w:rPr>
          <w:b w:val="0"/>
        </w:rPr>
        <w:t>s</w:t>
      </w:r>
      <w:r w:rsidR="00B10DEA" w:rsidRPr="008F7571">
        <w:rPr>
          <w:b w:val="0"/>
        </w:rPr>
        <w:t xml:space="preserve"> research in the context of IAPT.</w:t>
      </w:r>
      <w:r w:rsidR="004349EA" w:rsidRPr="008F7571">
        <w:rPr>
          <w:b w:val="0"/>
        </w:rPr>
        <w:t xml:space="preserve"> </w:t>
      </w:r>
      <w:r w:rsidR="00C715A8" w:rsidRPr="008F7571">
        <w:rPr>
          <w:b w:val="0"/>
        </w:rPr>
        <w:t xml:space="preserve">Gradually new layers of research are </w:t>
      </w:r>
      <w:r w:rsidR="00903C6A" w:rsidRPr="008F7571">
        <w:rPr>
          <w:b w:val="0"/>
        </w:rPr>
        <w:t xml:space="preserve">added to </w:t>
      </w:r>
      <w:r w:rsidR="00B10DEA" w:rsidRPr="008F7571">
        <w:rPr>
          <w:b w:val="0"/>
        </w:rPr>
        <w:t>the structure</w:t>
      </w:r>
      <w:r w:rsidR="00903C6A" w:rsidRPr="008F7571">
        <w:rPr>
          <w:b w:val="0"/>
        </w:rPr>
        <w:t xml:space="preserve"> including, therapist effects studies, therapist demographics studies</w:t>
      </w:r>
      <w:r w:rsidR="00C715A8" w:rsidRPr="008F7571">
        <w:rPr>
          <w:b w:val="0"/>
        </w:rPr>
        <w:t xml:space="preserve"> </w:t>
      </w:r>
      <w:r w:rsidR="00903C6A" w:rsidRPr="008F7571">
        <w:rPr>
          <w:b w:val="0"/>
        </w:rPr>
        <w:t>and the research reported in this thesis</w:t>
      </w:r>
      <w:r w:rsidR="00B10DEA" w:rsidRPr="008F7571">
        <w:rPr>
          <w:b w:val="0"/>
        </w:rPr>
        <w:t>.</w:t>
      </w:r>
      <w:bookmarkEnd w:id="412"/>
    </w:p>
    <w:p w14:paraId="2F84C2B1" w14:textId="6C43AE8B" w:rsidR="006B4EAC" w:rsidRDefault="001C6B5E" w:rsidP="00170BEB">
      <w:pPr>
        <w:spacing w:line="480" w:lineRule="auto"/>
        <w:rPr>
          <w:rFonts w:ascii="Arial" w:hAnsi="Arial" w:cs="Arial"/>
          <w:b/>
          <w:bCs/>
          <w:sz w:val="22"/>
          <w:szCs w:val="22"/>
        </w:rPr>
        <w:sectPr w:rsidR="006B4EAC" w:rsidSect="00A53975">
          <w:pgSz w:w="11900" w:h="16840"/>
          <w:pgMar w:top="1440" w:right="1440" w:bottom="1440" w:left="1440" w:header="708" w:footer="708" w:gutter="0"/>
          <w:cols w:space="708"/>
          <w:docGrid w:linePitch="360"/>
        </w:sectPr>
      </w:pPr>
      <w:r>
        <w:rPr>
          <w:rFonts w:ascii="Arial" w:hAnsi="Arial" w:cs="Arial"/>
          <w:b/>
          <w:bCs/>
          <w:noProof/>
          <w:sz w:val="22"/>
          <w:szCs w:val="22"/>
        </w:rPr>
        <w:drawing>
          <wp:inline distT="0" distB="0" distL="0" distR="0" wp14:anchorId="3666CEBB" wp14:editId="0849609E">
            <wp:extent cx="5727700" cy="7637145"/>
            <wp:effectExtent l="0" t="0" r="0" b="0"/>
            <wp:docPr id="43" name="Picture 43" descr="P346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P3465#yIS1"/>
                    <pic:cNvPicPr/>
                  </pic:nvPicPr>
                  <pic:blipFill>
                    <a:blip r:embed="rId74"/>
                    <a:stretch>
                      <a:fillRect/>
                    </a:stretch>
                  </pic:blipFill>
                  <pic:spPr>
                    <a:xfrm>
                      <a:off x="0" y="0"/>
                      <a:ext cx="5727700" cy="7637145"/>
                    </a:xfrm>
                    <a:prstGeom prst="rect">
                      <a:avLst/>
                    </a:prstGeom>
                  </pic:spPr>
                </pic:pic>
              </a:graphicData>
            </a:graphic>
          </wp:inline>
        </w:drawing>
      </w:r>
    </w:p>
    <w:p w14:paraId="714B64B7" w14:textId="610C770D" w:rsidR="00607CF3" w:rsidRDefault="00607CF3" w:rsidP="00AD7164">
      <w:pPr>
        <w:pStyle w:val="Heading3"/>
        <w:rPr>
          <w:rFonts w:cs="Arial"/>
          <w:color w:val="000000" w:themeColor="text1"/>
          <w:szCs w:val="22"/>
        </w:rPr>
      </w:pPr>
      <w:bookmarkStart w:id="413" w:name="_Toc46770838"/>
      <w:bookmarkStart w:id="414" w:name="_Toc79414249"/>
      <w:r w:rsidRPr="008F7571">
        <w:rPr>
          <w:rFonts w:cs="Arial"/>
          <w:color w:val="000000" w:themeColor="text1"/>
          <w:szCs w:val="22"/>
        </w:rPr>
        <w:lastRenderedPageBreak/>
        <w:t xml:space="preserve">6.1.1 </w:t>
      </w:r>
      <w:r w:rsidR="00456743" w:rsidRPr="008F7571">
        <w:rPr>
          <w:rFonts w:cs="Arial"/>
          <w:color w:val="000000" w:themeColor="text1"/>
          <w:szCs w:val="22"/>
        </w:rPr>
        <w:t xml:space="preserve">Research </w:t>
      </w:r>
      <w:r w:rsidR="006C0C1A" w:rsidRPr="008F7571">
        <w:rPr>
          <w:rFonts w:cs="Arial"/>
          <w:i/>
          <w:iCs/>
          <w:color w:val="000000" w:themeColor="text1"/>
          <w:szCs w:val="22"/>
        </w:rPr>
        <w:t>i</w:t>
      </w:r>
      <w:r w:rsidRPr="008F7571">
        <w:rPr>
          <w:rFonts w:cs="Arial"/>
          <w:i/>
          <w:iCs/>
          <w:color w:val="000000" w:themeColor="text1"/>
          <w:szCs w:val="22"/>
        </w:rPr>
        <w:t>n silico</w:t>
      </w:r>
      <w:r w:rsidR="005855BD" w:rsidRPr="008F7571">
        <w:rPr>
          <w:rFonts w:cs="Arial"/>
          <w:color w:val="000000" w:themeColor="text1"/>
          <w:szCs w:val="22"/>
        </w:rPr>
        <w:t xml:space="preserve">: </w:t>
      </w:r>
      <w:r w:rsidR="00AD7164" w:rsidRPr="008F7571">
        <w:rPr>
          <w:rFonts w:cs="Arial"/>
          <w:color w:val="000000" w:themeColor="text1"/>
          <w:szCs w:val="22"/>
        </w:rPr>
        <w:t>Studying therap</w:t>
      </w:r>
      <w:r w:rsidR="003238BA" w:rsidRPr="008F7571">
        <w:rPr>
          <w:rFonts w:cs="Arial"/>
          <w:color w:val="000000" w:themeColor="text1"/>
          <w:szCs w:val="22"/>
        </w:rPr>
        <w:t>y</w:t>
      </w:r>
      <w:r w:rsidR="00AD7164" w:rsidRPr="008F7571">
        <w:rPr>
          <w:rFonts w:cs="Arial"/>
          <w:color w:val="000000" w:themeColor="text1"/>
          <w:szCs w:val="22"/>
        </w:rPr>
        <w:t xml:space="preserve"> </w:t>
      </w:r>
      <w:r w:rsidR="003238BA" w:rsidRPr="008F7571">
        <w:rPr>
          <w:rFonts w:cs="Arial"/>
          <w:color w:val="000000" w:themeColor="text1"/>
          <w:szCs w:val="22"/>
        </w:rPr>
        <w:t>transcripts</w:t>
      </w:r>
      <w:bookmarkEnd w:id="413"/>
      <w:bookmarkEnd w:id="414"/>
    </w:p>
    <w:p w14:paraId="7655FBA4" w14:textId="77777777" w:rsidR="00AD7164" w:rsidRPr="00AD7164" w:rsidRDefault="00AD7164" w:rsidP="00AD7164"/>
    <w:p w14:paraId="3724C3E3" w14:textId="726C95A6" w:rsidR="00F420D8" w:rsidRDefault="00F04E2B" w:rsidP="00F420D8">
      <w:pPr>
        <w:spacing w:line="480" w:lineRule="auto"/>
        <w:rPr>
          <w:rFonts w:ascii="Arial" w:hAnsi="Arial" w:cs="Arial"/>
          <w:sz w:val="22"/>
          <w:szCs w:val="22"/>
        </w:rPr>
      </w:pPr>
      <w:r>
        <w:rPr>
          <w:rFonts w:ascii="Arial" w:hAnsi="Arial" w:cs="Arial"/>
          <w:sz w:val="22"/>
          <w:szCs w:val="22"/>
        </w:rPr>
        <w:t>The</w:t>
      </w:r>
      <w:r w:rsidR="002612A5">
        <w:rPr>
          <w:rFonts w:ascii="Arial" w:hAnsi="Arial" w:cs="Arial"/>
          <w:sz w:val="22"/>
          <w:szCs w:val="22"/>
        </w:rPr>
        <w:t xml:space="preserve"> existing</w:t>
      </w:r>
      <w:r w:rsidR="009527DE">
        <w:rPr>
          <w:rFonts w:ascii="Arial" w:hAnsi="Arial" w:cs="Arial"/>
          <w:sz w:val="22"/>
          <w:szCs w:val="22"/>
        </w:rPr>
        <w:t xml:space="preserve"> studies in the </w:t>
      </w:r>
      <w:r w:rsidR="002612A5">
        <w:rPr>
          <w:rFonts w:ascii="Arial" w:hAnsi="Arial" w:cs="Arial"/>
          <w:sz w:val="22"/>
          <w:szCs w:val="22"/>
        </w:rPr>
        <w:t>CBT</w:t>
      </w:r>
      <w:r>
        <w:rPr>
          <w:rFonts w:ascii="Arial" w:hAnsi="Arial" w:cs="Arial"/>
          <w:sz w:val="22"/>
          <w:szCs w:val="22"/>
        </w:rPr>
        <w:t xml:space="preserve"> and IAPT</w:t>
      </w:r>
      <w:r w:rsidR="009527DE">
        <w:rPr>
          <w:rFonts w:ascii="Arial" w:hAnsi="Arial" w:cs="Arial"/>
          <w:sz w:val="22"/>
          <w:szCs w:val="22"/>
        </w:rPr>
        <w:t xml:space="preserve"> literature</w:t>
      </w:r>
      <w:r>
        <w:rPr>
          <w:rFonts w:ascii="Arial" w:hAnsi="Arial" w:cs="Arial"/>
          <w:sz w:val="22"/>
          <w:szCs w:val="22"/>
        </w:rPr>
        <w:t xml:space="preserve"> </w:t>
      </w:r>
      <w:r w:rsidR="002A5250">
        <w:rPr>
          <w:rFonts w:ascii="Arial" w:hAnsi="Arial" w:cs="Arial"/>
          <w:sz w:val="22"/>
          <w:szCs w:val="22"/>
        </w:rPr>
        <w:t xml:space="preserve">can be categorised </w:t>
      </w:r>
      <w:r w:rsidR="00A57950">
        <w:rPr>
          <w:rFonts w:ascii="Arial" w:hAnsi="Arial" w:cs="Arial"/>
          <w:sz w:val="22"/>
          <w:szCs w:val="22"/>
        </w:rPr>
        <w:t xml:space="preserve">in terms of the historical development of IAPT. The </w:t>
      </w:r>
      <w:r w:rsidR="003927F3">
        <w:rPr>
          <w:rFonts w:ascii="Arial" w:hAnsi="Arial" w:cs="Arial"/>
          <w:sz w:val="22"/>
          <w:szCs w:val="22"/>
        </w:rPr>
        <w:t>research, as</w:t>
      </w:r>
      <w:r w:rsidR="009527DE">
        <w:rPr>
          <w:rFonts w:ascii="Arial" w:hAnsi="Arial" w:cs="Arial"/>
          <w:sz w:val="22"/>
          <w:szCs w:val="22"/>
        </w:rPr>
        <w:t xml:space="preserve"> shown in figure 6.</w:t>
      </w:r>
      <w:r w:rsidR="007A699D">
        <w:rPr>
          <w:rFonts w:ascii="Arial" w:hAnsi="Arial" w:cs="Arial"/>
          <w:sz w:val="22"/>
          <w:szCs w:val="22"/>
        </w:rPr>
        <w:t>1</w:t>
      </w:r>
      <w:r w:rsidR="003927F3">
        <w:rPr>
          <w:rFonts w:ascii="Arial" w:hAnsi="Arial" w:cs="Arial"/>
          <w:sz w:val="22"/>
          <w:szCs w:val="22"/>
        </w:rPr>
        <w:t>, is built on the foundations of a number of randomised controlled studies</w:t>
      </w:r>
      <w:r w:rsidR="00D22648">
        <w:rPr>
          <w:rFonts w:ascii="Arial" w:hAnsi="Arial" w:cs="Arial"/>
          <w:sz w:val="22"/>
          <w:szCs w:val="22"/>
        </w:rPr>
        <w:t xml:space="preserve"> demonstrating the efficacy of CBT treatment protocols for a range of </w:t>
      </w:r>
      <w:r w:rsidR="001A75B2">
        <w:rPr>
          <w:rFonts w:ascii="Arial" w:hAnsi="Arial" w:cs="Arial"/>
          <w:sz w:val="22"/>
          <w:szCs w:val="22"/>
        </w:rPr>
        <w:t>mental health disorders (Layard and Clark, 20</w:t>
      </w:r>
      <w:r w:rsidR="00D94706">
        <w:rPr>
          <w:rFonts w:ascii="Arial" w:hAnsi="Arial" w:cs="Arial"/>
          <w:sz w:val="22"/>
          <w:szCs w:val="22"/>
        </w:rPr>
        <w:t xml:space="preserve">14, </w:t>
      </w:r>
      <w:r w:rsidR="00BF6F81">
        <w:rPr>
          <w:rFonts w:ascii="Arial" w:hAnsi="Arial" w:cs="Arial"/>
          <w:sz w:val="22"/>
          <w:szCs w:val="22"/>
        </w:rPr>
        <w:t>McHugh and Barlow,</w:t>
      </w:r>
      <w:r w:rsidR="009D3BC7">
        <w:rPr>
          <w:rFonts w:ascii="Arial" w:hAnsi="Arial" w:cs="Arial"/>
          <w:sz w:val="22"/>
          <w:szCs w:val="22"/>
        </w:rPr>
        <w:t xml:space="preserve"> </w:t>
      </w:r>
      <w:r w:rsidR="00BF6F81">
        <w:rPr>
          <w:rFonts w:ascii="Arial" w:hAnsi="Arial" w:cs="Arial"/>
          <w:sz w:val="22"/>
          <w:szCs w:val="22"/>
        </w:rPr>
        <w:t>2012)</w:t>
      </w:r>
      <w:r w:rsidR="001A75B2">
        <w:rPr>
          <w:rFonts w:ascii="Arial" w:hAnsi="Arial" w:cs="Arial"/>
          <w:sz w:val="22"/>
          <w:szCs w:val="22"/>
        </w:rPr>
        <w:t>. Thes</w:t>
      </w:r>
      <w:r w:rsidR="00BF6F81">
        <w:rPr>
          <w:rFonts w:ascii="Arial" w:hAnsi="Arial" w:cs="Arial"/>
          <w:sz w:val="22"/>
          <w:szCs w:val="22"/>
        </w:rPr>
        <w:t>e studies have informed</w:t>
      </w:r>
      <w:r w:rsidR="0072788C">
        <w:rPr>
          <w:rFonts w:ascii="Arial" w:hAnsi="Arial" w:cs="Arial"/>
          <w:sz w:val="22"/>
          <w:szCs w:val="22"/>
        </w:rPr>
        <w:t xml:space="preserve"> the</w:t>
      </w:r>
      <w:r w:rsidR="00BF6F81">
        <w:rPr>
          <w:rFonts w:ascii="Arial" w:hAnsi="Arial" w:cs="Arial"/>
          <w:sz w:val="22"/>
          <w:szCs w:val="22"/>
        </w:rPr>
        <w:t xml:space="preserve"> </w:t>
      </w:r>
      <w:r w:rsidR="0072788C">
        <w:rPr>
          <w:rFonts w:ascii="Arial" w:hAnsi="Arial" w:cs="Arial"/>
          <w:sz w:val="22"/>
          <w:szCs w:val="22"/>
        </w:rPr>
        <w:t>NICE guidelines for the treatment of common mental health disorders such as depression and anxiety disorders (Layard and Clark, 2014)</w:t>
      </w:r>
      <w:r w:rsidR="001C63C7">
        <w:rPr>
          <w:rFonts w:ascii="Arial" w:hAnsi="Arial" w:cs="Arial"/>
          <w:sz w:val="22"/>
          <w:szCs w:val="22"/>
        </w:rPr>
        <w:t xml:space="preserve"> and</w:t>
      </w:r>
      <w:r w:rsidR="009D3BC7">
        <w:rPr>
          <w:rFonts w:ascii="Arial" w:hAnsi="Arial" w:cs="Arial"/>
          <w:sz w:val="22"/>
          <w:szCs w:val="22"/>
        </w:rPr>
        <w:t>,</w:t>
      </w:r>
      <w:r w:rsidR="001C63C7">
        <w:rPr>
          <w:rFonts w:ascii="Arial" w:hAnsi="Arial" w:cs="Arial"/>
          <w:sz w:val="22"/>
          <w:szCs w:val="22"/>
        </w:rPr>
        <w:t xml:space="preserve"> as such</w:t>
      </w:r>
      <w:r w:rsidR="009D3BC7">
        <w:rPr>
          <w:rFonts w:ascii="Arial" w:hAnsi="Arial" w:cs="Arial"/>
          <w:sz w:val="22"/>
          <w:szCs w:val="22"/>
        </w:rPr>
        <w:t>,</w:t>
      </w:r>
      <w:r w:rsidR="001C63C7">
        <w:rPr>
          <w:rFonts w:ascii="Arial" w:hAnsi="Arial" w:cs="Arial"/>
          <w:sz w:val="22"/>
          <w:szCs w:val="22"/>
        </w:rPr>
        <w:t xml:space="preserve"> form the evidence</w:t>
      </w:r>
      <w:r w:rsidR="009D3BC7">
        <w:rPr>
          <w:rFonts w:ascii="Arial" w:hAnsi="Arial" w:cs="Arial"/>
          <w:sz w:val="22"/>
          <w:szCs w:val="22"/>
        </w:rPr>
        <w:t>-</w:t>
      </w:r>
      <w:r w:rsidR="001C63C7">
        <w:rPr>
          <w:rFonts w:ascii="Arial" w:hAnsi="Arial" w:cs="Arial"/>
          <w:sz w:val="22"/>
          <w:szCs w:val="22"/>
        </w:rPr>
        <w:t>base that has become</w:t>
      </w:r>
      <w:r w:rsidR="0063744F">
        <w:rPr>
          <w:rFonts w:ascii="Arial" w:hAnsi="Arial" w:cs="Arial"/>
          <w:sz w:val="22"/>
          <w:szCs w:val="22"/>
        </w:rPr>
        <w:t xml:space="preserve"> the curriculum for IAPT training programmes</w:t>
      </w:r>
      <w:r w:rsidR="004F6289">
        <w:rPr>
          <w:rFonts w:ascii="Arial" w:hAnsi="Arial" w:cs="Arial"/>
          <w:sz w:val="22"/>
          <w:szCs w:val="22"/>
        </w:rPr>
        <w:t xml:space="preserve">. Since the advent of the IAPT programme in 2009, researchers have reported on the effectiveness of </w:t>
      </w:r>
      <w:r w:rsidR="0038094F">
        <w:rPr>
          <w:rFonts w:ascii="Arial" w:hAnsi="Arial" w:cs="Arial"/>
          <w:sz w:val="22"/>
          <w:szCs w:val="22"/>
        </w:rPr>
        <w:t>the programme. This research falls</w:t>
      </w:r>
      <w:r w:rsidR="001C352D">
        <w:rPr>
          <w:rFonts w:ascii="Arial" w:hAnsi="Arial" w:cs="Arial"/>
          <w:sz w:val="22"/>
          <w:szCs w:val="22"/>
        </w:rPr>
        <w:t xml:space="preserve"> broadly</w:t>
      </w:r>
      <w:r w:rsidR="0038094F">
        <w:rPr>
          <w:rFonts w:ascii="Arial" w:hAnsi="Arial" w:cs="Arial"/>
          <w:sz w:val="22"/>
          <w:szCs w:val="22"/>
        </w:rPr>
        <w:t xml:space="preserve"> into </w:t>
      </w:r>
      <w:r w:rsidR="008C477E">
        <w:rPr>
          <w:rFonts w:ascii="Arial" w:hAnsi="Arial" w:cs="Arial"/>
          <w:sz w:val="22"/>
          <w:szCs w:val="22"/>
        </w:rPr>
        <w:t>three</w:t>
      </w:r>
      <w:r w:rsidR="0038094F">
        <w:rPr>
          <w:rFonts w:ascii="Arial" w:hAnsi="Arial" w:cs="Arial"/>
          <w:sz w:val="22"/>
          <w:szCs w:val="22"/>
        </w:rPr>
        <w:t xml:space="preserve"> camps; those that </w:t>
      </w:r>
      <w:r w:rsidR="008C477E">
        <w:rPr>
          <w:rFonts w:ascii="Arial" w:hAnsi="Arial" w:cs="Arial"/>
          <w:sz w:val="22"/>
          <w:szCs w:val="22"/>
        </w:rPr>
        <w:t xml:space="preserve">largely </w:t>
      </w:r>
      <w:r w:rsidR="001C352D">
        <w:rPr>
          <w:rFonts w:ascii="Arial" w:hAnsi="Arial" w:cs="Arial"/>
          <w:sz w:val="22"/>
          <w:szCs w:val="22"/>
        </w:rPr>
        <w:t xml:space="preserve">lobby for </w:t>
      </w:r>
      <w:r w:rsidR="008C477E">
        <w:rPr>
          <w:rFonts w:ascii="Arial" w:hAnsi="Arial" w:cs="Arial"/>
          <w:sz w:val="22"/>
          <w:szCs w:val="22"/>
        </w:rPr>
        <w:t>the IAPT programme, those that have a more objective stance</w:t>
      </w:r>
      <w:r w:rsidR="001A75B2">
        <w:rPr>
          <w:rFonts w:ascii="Arial" w:hAnsi="Arial" w:cs="Arial"/>
          <w:sz w:val="22"/>
          <w:szCs w:val="22"/>
        </w:rPr>
        <w:t xml:space="preserve"> </w:t>
      </w:r>
      <w:r w:rsidR="008C477E">
        <w:rPr>
          <w:rFonts w:ascii="Arial" w:hAnsi="Arial" w:cs="Arial"/>
          <w:sz w:val="22"/>
          <w:szCs w:val="22"/>
        </w:rPr>
        <w:t>and those that are more critical</w:t>
      </w:r>
      <w:r w:rsidR="00A02819">
        <w:rPr>
          <w:rFonts w:ascii="Arial" w:hAnsi="Arial" w:cs="Arial"/>
          <w:sz w:val="22"/>
          <w:szCs w:val="22"/>
        </w:rPr>
        <w:t xml:space="preserve"> of the programme. Many of these </w:t>
      </w:r>
      <w:r w:rsidR="00187592">
        <w:rPr>
          <w:rFonts w:ascii="Arial" w:hAnsi="Arial" w:cs="Arial"/>
          <w:sz w:val="22"/>
          <w:szCs w:val="22"/>
        </w:rPr>
        <w:t xml:space="preserve">studies </w:t>
      </w:r>
      <w:r w:rsidR="009527DE">
        <w:rPr>
          <w:rFonts w:ascii="Arial" w:hAnsi="Arial" w:cs="Arial"/>
          <w:sz w:val="22"/>
          <w:szCs w:val="22"/>
        </w:rPr>
        <w:t xml:space="preserve">investigate </w:t>
      </w:r>
      <w:r w:rsidR="00F420D8" w:rsidRPr="00F90E30">
        <w:rPr>
          <w:rFonts w:ascii="Arial" w:hAnsi="Arial" w:cs="Arial"/>
          <w:sz w:val="22"/>
          <w:szCs w:val="22"/>
        </w:rPr>
        <w:t xml:space="preserve">the variance in outcome </w:t>
      </w:r>
      <w:r w:rsidR="00724165">
        <w:rPr>
          <w:rFonts w:ascii="Arial" w:hAnsi="Arial" w:cs="Arial"/>
          <w:sz w:val="22"/>
          <w:szCs w:val="22"/>
        </w:rPr>
        <w:t>between services and between therapists</w:t>
      </w:r>
      <w:r w:rsidR="00F420D8" w:rsidRPr="00F90E30">
        <w:rPr>
          <w:rFonts w:ascii="Arial" w:hAnsi="Arial" w:cs="Arial"/>
          <w:sz w:val="22"/>
          <w:szCs w:val="22"/>
        </w:rPr>
        <w:t xml:space="preserve">. </w:t>
      </w:r>
      <w:r w:rsidR="00724165">
        <w:rPr>
          <w:rFonts w:ascii="Arial" w:hAnsi="Arial" w:cs="Arial"/>
          <w:sz w:val="22"/>
          <w:szCs w:val="22"/>
        </w:rPr>
        <w:t>Unfortunately, these studies</w:t>
      </w:r>
      <w:r w:rsidR="00F420D8" w:rsidRPr="00F90E30">
        <w:rPr>
          <w:rFonts w:ascii="Arial" w:hAnsi="Arial" w:cs="Arial"/>
          <w:sz w:val="22"/>
          <w:szCs w:val="22"/>
        </w:rPr>
        <w:t xml:space="preserve"> us</w:t>
      </w:r>
      <w:r w:rsidR="00724165">
        <w:rPr>
          <w:rFonts w:ascii="Arial" w:hAnsi="Arial" w:cs="Arial"/>
          <w:sz w:val="22"/>
          <w:szCs w:val="22"/>
        </w:rPr>
        <w:t>e</w:t>
      </w:r>
      <w:r w:rsidR="00F420D8" w:rsidRPr="00F90E30">
        <w:rPr>
          <w:rFonts w:ascii="Arial" w:hAnsi="Arial" w:cs="Arial"/>
          <w:sz w:val="22"/>
          <w:szCs w:val="22"/>
        </w:rPr>
        <w:t xml:space="preserve"> </w:t>
      </w:r>
      <w:r w:rsidR="00724165">
        <w:rPr>
          <w:rFonts w:ascii="Arial" w:hAnsi="Arial" w:cs="Arial"/>
          <w:sz w:val="22"/>
          <w:szCs w:val="22"/>
        </w:rPr>
        <w:t xml:space="preserve">different </w:t>
      </w:r>
      <w:r w:rsidR="00F420D8" w:rsidRPr="00F90E30">
        <w:rPr>
          <w:rFonts w:ascii="Arial" w:hAnsi="Arial" w:cs="Arial"/>
          <w:sz w:val="22"/>
          <w:szCs w:val="22"/>
        </w:rPr>
        <w:t xml:space="preserve">criteria for defining clinical outcome. This has made it difficult to compare the findings. </w:t>
      </w:r>
      <w:r w:rsidR="00724165">
        <w:rPr>
          <w:rFonts w:ascii="Arial" w:hAnsi="Arial" w:cs="Arial"/>
          <w:sz w:val="22"/>
          <w:szCs w:val="22"/>
        </w:rPr>
        <w:t xml:space="preserve">Furthermore, some studies have </w:t>
      </w:r>
      <w:r w:rsidR="00F420D8">
        <w:rPr>
          <w:rFonts w:ascii="Arial" w:hAnsi="Arial" w:cs="Arial"/>
          <w:sz w:val="22"/>
          <w:szCs w:val="22"/>
        </w:rPr>
        <w:t>repurposed</w:t>
      </w:r>
      <w:r w:rsidR="00F420D8" w:rsidRPr="00F90E30">
        <w:rPr>
          <w:rFonts w:ascii="Arial" w:hAnsi="Arial" w:cs="Arial"/>
          <w:sz w:val="22"/>
          <w:szCs w:val="22"/>
        </w:rPr>
        <w:t xml:space="preserve"> the data </w:t>
      </w:r>
      <w:r w:rsidR="00CF333B">
        <w:rPr>
          <w:rFonts w:ascii="Arial" w:hAnsi="Arial" w:cs="Arial"/>
          <w:sz w:val="22"/>
          <w:szCs w:val="22"/>
        </w:rPr>
        <w:t>from</w:t>
      </w:r>
      <w:r w:rsidR="00F420D8">
        <w:rPr>
          <w:rFonts w:ascii="Arial" w:hAnsi="Arial" w:cs="Arial"/>
          <w:sz w:val="22"/>
          <w:szCs w:val="22"/>
        </w:rPr>
        <w:t xml:space="preserve"> randomised controlled trial</w:t>
      </w:r>
      <w:r w:rsidR="00CF333B">
        <w:rPr>
          <w:rFonts w:ascii="Arial" w:hAnsi="Arial" w:cs="Arial"/>
          <w:sz w:val="22"/>
          <w:szCs w:val="22"/>
        </w:rPr>
        <w:t>s</w:t>
      </w:r>
      <w:r w:rsidR="00F420D8">
        <w:rPr>
          <w:rFonts w:ascii="Arial" w:hAnsi="Arial" w:cs="Arial"/>
          <w:sz w:val="22"/>
          <w:szCs w:val="22"/>
        </w:rPr>
        <w:t xml:space="preserve"> that had another research focus</w:t>
      </w:r>
      <w:r w:rsidR="00F420D8" w:rsidRPr="00F90E30">
        <w:rPr>
          <w:rFonts w:ascii="Arial" w:hAnsi="Arial" w:cs="Arial"/>
          <w:sz w:val="22"/>
          <w:szCs w:val="22"/>
        </w:rPr>
        <w:t>.</w:t>
      </w:r>
      <w:r w:rsidR="00F420D8">
        <w:rPr>
          <w:rFonts w:ascii="Arial" w:hAnsi="Arial" w:cs="Arial"/>
          <w:sz w:val="22"/>
          <w:szCs w:val="22"/>
        </w:rPr>
        <w:t xml:space="preserve"> It has been recommended that future studies are specifically designed as therapist variables</w:t>
      </w:r>
      <w:r w:rsidR="00187592">
        <w:rPr>
          <w:rFonts w:ascii="Arial" w:hAnsi="Arial" w:cs="Arial"/>
          <w:sz w:val="22"/>
          <w:szCs w:val="22"/>
        </w:rPr>
        <w:t xml:space="preserve"> or therapist </w:t>
      </w:r>
      <w:r w:rsidR="00F420D8">
        <w:rPr>
          <w:rFonts w:ascii="Arial" w:hAnsi="Arial" w:cs="Arial"/>
          <w:sz w:val="22"/>
          <w:szCs w:val="22"/>
        </w:rPr>
        <w:t xml:space="preserve">effects studies (Baldwin and Immel, 2013). </w:t>
      </w:r>
      <w:r w:rsidR="00F420D8" w:rsidRPr="00F90E30">
        <w:rPr>
          <w:rFonts w:ascii="Arial" w:hAnsi="Arial" w:cs="Arial"/>
          <w:sz w:val="22"/>
          <w:szCs w:val="22"/>
        </w:rPr>
        <w:t xml:space="preserve"> Secondly, many of the studies have been underpowered using </w:t>
      </w:r>
      <w:r w:rsidR="00F420D8">
        <w:rPr>
          <w:rFonts w:ascii="Arial" w:hAnsi="Arial" w:cs="Arial"/>
          <w:sz w:val="22"/>
          <w:szCs w:val="22"/>
        </w:rPr>
        <w:t xml:space="preserve">far </w:t>
      </w:r>
      <w:r w:rsidR="00F420D8" w:rsidRPr="00F90E30">
        <w:rPr>
          <w:rFonts w:ascii="Arial" w:hAnsi="Arial" w:cs="Arial"/>
          <w:sz w:val="22"/>
          <w:szCs w:val="22"/>
        </w:rPr>
        <w:t xml:space="preserve">fewer than </w:t>
      </w:r>
      <w:r w:rsidR="00F420D8">
        <w:rPr>
          <w:rFonts w:ascii="Arial" w:hAnsi="Arial" w:cs="Arial"/>
          <w:sz w:val="22"/>
          <w:szCs w:val="22"/>
        </w:rPr>
        <w:t>the recommended 100</w:t>
      </w:r>
      <w:r w:rsidR="00F420D8" w:rsidRPr="00F90E30">
        <w:rPr>
          <w:rFonts w:ascii="Arial" w:hAnsi="Arial" w:cs="Arial"/>
          <w:sz w:val="22"/>
          <w:szCs w:val="22"/>
        </w:rPr>
        <w:t xml:space="preserve"> therapists</w:t>
      </w:r>
      <w:r w:rsidR="00F420D8">
        <w:rPr>
          <w:rFonts w:ascii="Arial" w:hAnsi="Arial" w:cs="Arial"/>
          <w:sz w:val="22"/>
          <w:szCs w:val="22"/>
        </w:rPr>
        <w:t xml:space="preserve"> (Maas and Hox, 2004). Thirdly,</w:t>
      </w:r>
      <w:r w:rsidR="00F420D8" w:rsidRPr="00F90E30">
        <w:rPr>
          <w:rFonts w:ascii="Arial" w:hAnsi="Arial" w:cs="Arial"/>
          <w:sz w:val="22"/>
          <w:szCs w:val="22"/>
        </w:rPr>
        <w:t xml:space="preserve"> </w:t>
      </w:r>
      <w:r w:rsidR="007A699D">
        <w:rPr>
          <w:rFonts w:ascii="Arial" w:hAnsi="Arial" w:cs="Arial"/>
          <w:sz w:val="22"/>
          <w:szCs w:val="22"/>
        </w:rPr>
        <w:t xml:space="preserve">and more importantly, </w:t>
      </w:r>
      <w:r w:rsidR="00724165">
        <w:rPr>
          <w:rFonts w:ascii="Arial" w:hAnsi="Arial" w:cs="Arial"/>
          <w:sz w:val="22"/>
          <w:szCs w:val="22"/>
        </w:rPr>
        <w:t>all of the studies</w:t>
      </w:r>
      <w:r w:rsidR="00FC4863">
        <w:rPr>
          <w:rFonts w:ascii="Arial" w:hAnsi="Arial" w:cs="Arial"/>
          <w:sz w:val="22"/>
          <w:szCs w:val="22"/>
        </w:rPr>
        <w:t>,</w:t>
      </w:r>
      <w:r w:rsidR="00724165">
        <w:rPr>
          <w:rFonts w:ascii="Arial" w:hAnsi="Arial" w:cs="Arial"/>
          <w:sz w:val="22"/>
          <w:szCs w:val="22"/>
        </w:rPr>
        <w:t xml:space="preserve"> to date</w:t>
      </w:r>
      <w:r w:rsidR="00FC4863">
        <w:rPr>
          <w:rFonts w:ascii="Arial" w:hAnsi="Arial" w:cs="Arial"/>
          <w:sz w:val="22"/>
          <w:szCs w:val="22"/>
        </w:rPr>
        <w:t>,</w:t>
      </w:r>
      <w:r w:rsidR="00724165">
        <w:rPr>
          <w:rFonts w:ascii="Arial" w:hAnsi="Arial" w:cs="Arial"/>
          <w:sz w:val="22"/>
          <w:szCs w:val="22"/>
        </w:rPr>
        <w:t xml:space="preserve"> have had limited or no access to live therapy data. This is frequently </w:t>
      </w:r>
      <w:r w:rsidR="00F420D8" w:rsidRPr="00F90E30">
        <w:rPr>
          <w:rFonts w:ascii="Arial" w:hAnsi="Arial" w:cs="Arial"/>
          <w:sz w:val="22"/>
          <w:szCs w:val="22"/>
        </w:rPr>
        <w:t>cited as a significant limitation of the research</w:t>
      </w:r>
      <w:r w:rsidR="00724165">
        <w:rPr>
          <w:rFonts w:ascii="Arial" w:hAnsi="Arial" w:cs="Arial"/>
          <w:sz w:val="22"/>
          <w:szCs w:val="22"/>
        </w:rPr>
        <w:t xml:space="preserve"> in this field (</w:t>
      </w:r>
      <w:r w:rsidR="00825342">
        <w:rPr>
          <w:rFonts w:ascii="Arial" w:hAnsi="Arial" w:cs="Arial"/>
          <w:sz w:val="22"/>
          <w:szCs w:val="22"/>
        </w:rPr>
        <w:t>Kuyken and Tsivrikos, 2009, Pereira, Barkham, Kellett and Saxon, 2017</w:t>
      </w:r>
      <w:r w:rsidR="00D31458">
        <w:rPr>
          <w:rFonts w:ascii="Arial" w:hAnsi="Arial" w:cs="Arial"/>
          <w:sz w:val="22"/>
          <w:szCs w:val="22"/>
        </w:rPr>
        <w:t>, Saxon, Firth and Barkham, 2017, Bruijniks, Franx and Huibers, 2018, Firth, Saxon, Stiles and Barkham, 2019</w:t>
      </w:r>
      <w:r w:rsidR="00724165">
        <w:rPr>
          <w:rFonts w:ascii="Arial" w:hAnsi="Arial" w:cs="Arial"/>
          <w:sz w:val="22"/>
          <w:szCs w:val="22"/>
        </w:rPr>
        <w:t>)</w:t>
      </w:r>
      <w:r w:rsidR="00F420D8" w:rsidRPr="00F90E30">
        <w:rPr>
          <w:rFonts w:ascii="Arial" w:hAnsi="Arial" w:cs="Arial"/>
          <w:sz w:val="22"/>
          <w:szCs w:val="22"/>
        </w:rPr>
        <w:t xml:space="preserve">. Even when researchers have access to large sample sizes (as in </w:t>
      </w:r>
      <w:r w:rsidR="00CF333B">
        <w:rPr>
          <w:rFonts w:ascii="Arial" w:hAnsi="Arial" w:cs="Arial"/>
          <w:sz w:val="22"/>
          <w:szCs w:val="22"/>
        </w:rPr>
        <w:t xml:space="preserve">the </w:t>
      </w:r>
      <w:r w:rsidR="00F420D8">
        <w:rPr>
          <w:rFonts w:ascii="Arial" w:hAnsi="Arial" w:cs="Arial"/>
          <w:sz w:val="22"/>
          <w:szCs w:val="22"/>
        </w:rPr>
        <w:t>Saxon, Firth and Barkham,</w:t>
      </w:r>
      <w:r w:rsidR="00F420D8" w:rsidRPr="00F90E30">
        <w:rPr>
          <w:rFonts w:ascii="Arial" w:hAnsi="Arial" w:cs="Arial"/>
          <w:sz w:val="22"/>
          <w:szCs w:val="22"/>
        </w:rPr>
        <w:t xml:space="preserve"> 2017</w:t>
      </w:r>
      <w:r w:rsidR="00F420D8">
        <w:rPr>
          <w:rFonts w:ascii="Arial" w:hAnsi="Arial" w:cs="Arial"/>
          <w:sz w:val="22"/>
          <w:szCs w:val="22"/>
        </w:rPr>
        <w:t>,</w:t>
      </w:r>
      <w:r w:rsidR="00F420D8" w:rsidRPr="00F90E30">
        <w:rPr>
          <w:rFonts w:ascii="Arial" w:hAnsi="Arial" w:cs="Arial"/>
          <w:sz w:val="22"/>
          <w:szCs w:val="22"/>
        </w:rPr>
        <w:t xml:space="preserve"> analysis of </w:t>
      </w:r>
      <w:r w:rsidR="00F420D8">
        <w:rPr>
          <w:rFonts w:ascii="Arial" w:hAnsi="Arial" w:cs="Arial"/>
          <w:sz w:val="22"/>
          <w:szCs w:val="22"/>
        </w:rPr>
        <w:t>39.520</w:t>
      </w:r>
      <w:r w:rsidR="00F420D8" w:rsidRPr="00F90E30">
        <w:rPr>
          <w:rFonts w:ascii="Arial" w:hAnsi="Arial" w:cs="Arial"/>
          <w:sz w:val="22"/>
          <w:szCs w:val="22"/>
        </w:rPr>
        <w:t xml:space="preserve"> IAPT patients)</w:t>
      </w:r>
      <w:r w:rsidR="00FC4863">
        <w:rPr>
          <w:rFonts w:ascii="Arial" w:hAnsi="Arial" w:cs="Arial"/>
          <w:sz w:val="22"/>
          <w:szCs w:val="22"/>
        </w:rPr>
        <w:t>,</w:t>
      </w:r>
      <w:r w:rsidR="00F420D8" w:rsidRPr="00F90E30">
        <w:rPr>
          <w:rFonts w:ascii="Arial" w:hAnsi="Arial" w:cs="Arial"/>
          <w:sz w:val="22"/>
          <w:szCs w:val="22"/>
        </w:rPr>
        <w:t xml:space="preserve"> without access to live therapy material it is not possible to understand the relationships between what therapists do and clinical outcomes. Therefore, analysing outcome data can only address part of the question of why some </w:t>
      </w:r>
      <w:r w:rsidR="00F420D8" w:rsidRPr="00F90E30">
        <w:rPr>
          <w:rFonts w:ascii="Arial" w:hAnsi="Arial" w:cs="Arial"/>
          <w:sz w:val="22"/>
          <w:szCs w:val="22"/>
        </w:rPr>
        <w:lastRenderedPageBreak/>
        <w:t xml:space="preserve">therapists </w:t>
      </w:r>
      <w:r w:rsidR="00F27430">
        <w:rPr>
          <w:rFonts w:ascii="Arial" w:hAnsi="Arial" w:cs="Arial"/>
          <w:sz w:val="22"/>
          <w:szCs w:val="22"/>
        </w:rPr>
        <w:t xml:space="preserve">achieve higher clinical outcomes </w:t>
      </w:r>
      <w:r w:rsidR="00F420D8" w:rsidRPr="00F90E30">
        <w:rPr>
          <w:rFonts w:ascii="Arial" w:hAnsi="Arial" w:cs="Arial"/>
          <w:sz w:val="22"/>
          <w:szCs w:val="22"/>
        </w:rPr>
        <w:t>than others.</w:t>
      </w:r>
      <w:r w:rsidR="00F420D8">
        <w:rPr>
          <w:rFonts w:ascii="Arial" w:hAnsi="Arial" w:cs="Arial"/>
          <w:sz w:val="22"/>
          <w:szCs w:val="22"/>
        </w:rPr>
        <w:t xml:space="preserve"> </w:t>
      </w:r>
      <w:r w:rsidR="00724165">
        <w:rPr>
          <w:rFonts w:ascii="Arial" w:hAnsi="Arial" w:cs="Arial"/>
          <w:sz w:val="22"/>
          <w:szCs w:val="22"/>
        </w:rPr>
        <w:t xml:space="preserve">Where researchers </w:t>
      </w:r>
      <w:r w:rsidR="00F420D8">
        <w:rPr>
          <w:rFonts w:ascii="Arial" w:hAnsi="Arial" w:cs="Arial"/>
          <w:sz w:val="22"/>
          <w:szCs w:val="22"/>
        </w:rPr>
        <w:t xml:space="preserve">have </w:t>
      </w:r>
      <w:r w:rsidR="00724165">
        <w:rPr>
          <w:rFonts w:ascii="Arial" w:hAnsi="Arial" w:cs="Arial"/>
          <w:sz w:val="22"/>
          <w:szCs w:val="22"/>
        </w:rPr>
        <w:t xml:space="preserve">had access to </w:t>
      </w:r>
      <w:r w:rsidR="00F420D8">
        <w:rPr>
          <w:rFonts w:ascii="Arial" w:hAnsi="Arial" w:cs="Arial"/>
          <w:sz w:val="22"/>
          <w:szCs w:val="22"/>
        </w:rPr>
        <w:t>small numbers</w:t>
      </w:r>
      <w:r w:rsidR="00F10979">
        <w:rPr>
          <w:rFonts w:ascii="Arial" w:hAnsi="Arial" w:cs="Arial"/>
          <w:sz w:val="22"/>
          <w:szCs w:val="22"/>
        </w:rPr>
        <w:t xml:space="preserve"> </w:t>
      </w:r>
      <w:r w:rsidR="00F420D8">
        <w:rPr>
          <w:rFonts w:ascii="Arial" w:hAnsi="Arial" w:cs="Arial"/>
          <w:sz w:val="22"/>
          <w:szCs w:val="22"/>
        </w:rPr>
        <w:t>of recordings of therapy sessions</w:t>
      </w:r>
      <w:r w:rsidR="009D3BC7">
        <w:rPr>
          <w:rFonts w:ascii="Arial" w:hAnsi="Arial" w:cs="Arial"/>
          <w:sz w:val="22"/>
          <w:szCs w:val="22"/>
        </w:rPr>
        <w:t>,</w:t>
      </w:r>
      <w:r w:rsidR="00F10979">
        <w:rPr>
          <w:rFonts w:ascii="Arial" w:hAnsi="Arial" w:cs="Arial"/>
          <w:sz w:val="22"/>
          <w:szCs w:val="22"/>
        </w:rPr>
        <w:t xml:space="preserve"> a further </w:t>
      </w:r>
      <w:r w:rsidR="00F27430">
        <w:rPr>
          <w:rFonts w:ascii="Arial" w:hAnsi="Arial" w:cs="Arial"/>
          <w:sz w:val="22"/>
          <w:szCs w:val="22"/>
        </w:rPr>
        <w:t>limitation is evident</w:t>
      </w:r>
      <w:r w:rsidR="00607CF3">
        <w:rPr>
          <w:rFonts w:ascii="Arial" w:hAnsi="Arial" w:cs="Arial"/>
          <w:sz w:val="22"/>
          <w:szCs w:val="22"/>
        </w:rPr>
        <w:t xml:space="preserve"> whereby</w:t>
      </w:r>
      <w:r w:rsidR="00F420D8">
        <w:rPr>
          <w:rFonts w:ascii="Arial" w:hAnsi="Arial" w:cs="Arial"/>
          <w:sz w:val="22"/>
          <w:szCs w:val="22"/>
        </w:rPr>
        <w:t xml:space="preserve"> </w:t>
      </w:r>
      <w:r w:rsidR="00607CF3">
        <w:rPr>
          <w:rFonts w:ascii="Arial" w:hAnsi="Arial" w:cs="Arial"/>
          <w:sz w:val="22"/>
          <w:szCs w:val="22"/>
        </w:rPr>
        <w:t>researchers have</w:t>
      </w:r>
      <w:r w:rsidR="00F420D8">
        <w:rPr>
          <w:rFonts w:ascii="Arial" w:hAnsi="Arial" w:cs="Arial"/>
          <w:sz w:val="22"/>
          <w:szCs w:val="22"/>
        </w:rPr>
        <w:t xml:space="preserve"> allowed therapists to self-select which recordings they submit</w:t>
      </w:r>
      <w:r w:rsidR="00607CF3">
        <w:rPr>
          <w:rFonts w:ascii="Arial" w:hAnsi="Arial" w:cs="Arial"/>
          <w:sz w:val="22"/>
          <w:szCs w:val="22"/>
        </w:rPr>
        <w:t xml:space="preserve"> for review</w:t>
      </w:r>
      <w:r w:rsidR="00F420D8">
        <w:rPr>
          <w:rFonts w:ascii="Arial" w:hAnsi="Arial" w:cs="Arial"/>
          <w:sz w:val="22"/>
          <w:szCs w:val="22"/>
        </w:rPr>
        <w:t xml:space="preserve"> (see Branson, Shafran and Myles 2015). Self-selection of therapy recordings </w:t>
      </w:r>
      <w:r w:rsidR="007A699D">
        <w:rPr>
          <w:rFonts w:ascii="Arial" w:hAnsi="Arial" w:cs="Arial"/>
          <w:sz w:val="22"/>
          <w:szCs w:val="22"/>
        </w:rPr>
        <w:t>is potentially</w:t>
      </w:r>
      <w:r w:rsidR="00F420D8">
        <w:rPr>
          <w:rFonts w:ascii="Arial" w:hAnsi="Arial" w:cs="Arial"/>
          <w:sz w:val="22"/>
          <w:szCs w:val="22"/>
        </w:rPr>
        <w:t xml:space="preserve"> problematic as therapists may select recordings which they believe to be superior and these may be less representative of their day to day clinical work with patients (</w:t>
      </w:r>
      <w:r w:rsidR="00D31458">
        <w:rPr>
          <w:rFonts w:ascii="Arial" w:hAnsi="Arial" w:cs="Arial"/>
          <w:sz w:val="22"/>
          <w:szCs w:val="22"/>
        </w:rPr>
        <w:t>Mathieson, Barnfield and Beaumont, 2009</w:t>
      </w:r>
      <w:r w:rsidR="00F420D8">
        <w:rPr>
          <w:rFonts w:ascii="Arial" w:hAnsi="Arial" w:cs="Arial"/>
          <w:sz w:val="22"/>
          <w:szCs w:val="22"/>
        </w:rPr>
        <w:t>).</w:t>
      </w:r>
    </w:p>
    <w:p w14:paraId="187BB262" w14:textId="77777777" w:rsidR="00F420D8" w:rsidRDefault="00F420D8" w:rsidP="00F420D8">
      <w:pPr>
        <w:spacing w:line="480" w:lineRule="auto"/>
        <w:rPr>
          <w:rFonts w:ascii="Arial" w:hAnsi="Arial" w:cs="Arial"/>
          <w:sz w:val="22"/>
          <w:szCs w:val="22"/>
        </w:rPr>
      </w:pPr>
    </w:p>
    <w:p w14:paraId="7C010816" w14:textId="64814688" w:rsidR="000D3959" w:rsidRPr="00C26638" w:rsidRDefault="00F420D8" w:rsidP="00C26638">
      <w:pPr>
        <w:spacing w:line="480" w:lineRule="auto"/>
        <w:rPr>
          <w:rFonts w:ascii="Arial" w:hAnsi="Arial" w:cs="Arial"/>
          <w:color w:val="000000" w:themeColor="text1"/>
          <w:sz w:val="22"/>
          <w:szCs w:val="22"/>
        </w:rPr>
      </w:pPr>
      <w:r>
        <w:rPr>
          <w:rFonts w:ascii="Arial" w:hAnsi="Arial" w:cs="Arial"/>
          <w:sz w:val="22"/>
          <w:szCs w:val="22"/>
        </w:rPr>
        <w:t>Th</w:t>
      </w:r>
      <w:r w:rsidR="00844AAD">
        <w:rPr>
          <w:rFonts w:ascii="Arial" w:hAnsi="Arial" w:cs="Arial"/>
          <w:sz w:val="22"/>
          <w:szCs w:val="22"/>
        </w:rPr>
        <w:t>e</w:t>
      </w:r>
      <w:r>
        <w:rPr>
          <w:rFonts w:ascii="Arial" w:hAnsi="Arial" w:cs="Arial"/>
          <w:sz w:val="22"/>
          <w:szCs w:val="22"/>
        </w:rPr>
        <w:t xml:space="preserve"> research</w:t>
      </w:r>
      <w:r w:rsidR="00844AAD">
        <w:rPr>
          <w:rFonts w:ascii="Arial" w:hAnsi="Arial" w:cs="Arial"/>
          <w:sz w:val="22"/>
          <w:szCs w:val="22"/>
        </w:rPr>
        <w:t xml:space="preserve"> reported in this thesis</w:t>
      </w:r>
      <w:r>
        <w:rPr>
          <w:rFonts w:ascii="Arial" w:hAnsi="Arial" w:cs="Arial"/>
          <w:sz w:val="22"/>
          <w:szCs w:val="22"/>
        </w:rPr>
        <w:t xml:space="preserve"> has considered the limitations of previous research in relation to</w:t>
      </w:r>
      <w:r w:rsidR="00BC7CC8">
        <w:rPr>
          <w:rFonts w:ascii="Arial" w:hAnsi="Arial" w:cs="Arial"/>
          <w:sz w:val="22"/>
          <w:szCs w:val="22"/>
        </w:rPr>
        <w:t xml:space="preserve"> </w:t>
      </w:r>
      <w:r>
        <w:rPr>
          <w:rFonts w:ascii="Arial" w:hAnsi="Arial" w:cs="Arial"/>
          <w:sz w:val="22"/>
          <w:szCs w:val="22"/>
        </w:rPr>
        <w:t>lack of access to live therapy material</w:t>
      </w:r>
      <w:r w:rsidR="00DD6FC9">
        <w:rPr>
          <w:rFonts w:ascii="Arial" w:hAnsi="Arial" w:cs="Arial"/>
          <w:sz w:val="22"/>
          <w:szCs w:val="22"/>
        </w:rPr>
        <w:t xml:space="preserve"> (Bruijniks, Franx and Huibers</w:t>
      </w:r>
      <w:r>
        <w:rPr>
          <w:rFonts w:ascii="Arial" w:hAnsi="Arial" w:cs="Arial"/>
          <w:sz w:val="22"/>
          <w:szCs w:val="22"/>
        </w:rPr>
        <w:t xml:space="preserve">, </w:t>
      </w:r>
      <w:r w:rsidR="00DD6FC9">
        <w:rPr>
          <w:rFonts w:ascii="Arial" w:hAnsi="Arial" w:cs="Arial"/>
          <w:sz w:val="22"/>
          <w:szCs w:val="22"/>
        </w:rPr>
        <w:t xml:space="preserve">2018) </w:t>
      </w:r>
      <w:r>
        <w:rPr>
          <w:rFonts w:ascii="Arial" w:hAnsi="Arial" w:cs="Arial"/>
          <w:sz w:val="22"/>
          <w:szCs w:val="22"/>
        </w:rPr>
        <w:t xml:space="preserve">small sample size (Maas and Hox, 2004, </w:t>
      </w:r>
      <w:r w:rsidRPr="008F7571">
        <w:rPr>
          <w:rFonts w:ascii="Arial" w:hAnsi="Arial" w:cs="Arial"/>
          <w:sz w:val="22"/>
          <w:szCs w:val="22"/>
        </w:rPr>
        <w:t>Sch</w:t>
      </w:r>
      <w:r w:rsidR="007A3BC4" w:rsidRPr="008F7571">
        <w:rPr>
          <w:rFonts w:ascii="Arial" w:hAnsi="Arial" w:cs="Arial"/>
          <w:sz w:val="22"/>
          <w:szCs w:val="22"/>
        </w:rPr>
        <w:t>ie</w:t>
      </w:r>
      <w:r w:rsidRPr="008F7571">
        <w:rPr>
          <w:rFonts w:ascii="Arial" w:hAnsi="Arial" w:cs="Arial"/>
          <w:sz w:val="22"/>
          <w:szCs w:val="22"/>
        </w:rPr>
        <w:t>fele et al., 2016)</w:t>
      </w:r>
      <w:r w:rsidR="00DD6FC9" w:rsidRPr="008F7571">
        <w:rPr>
          <w:rFonts w:ascii="Arial" w:hAnsi="Arial" w:cs="Arial"/>
          <w:sz w:val="22"/>
          <w:szCs w:val="22"/>
        </w:rPr>
        <w:t>,</w:t>
      </w:r>
      <w:r w:rsidR="00DD6FC9">
        <w:rPr>
          <w:rFonts w:ascii="Arial" w:hAnsi="Arial" w:cs="Arial"/>
          <w:sz w:val="22"/>
          <w:szCs w:val="22"/>
        </w:rPr>
        <w:t xml:space="preserve"> research in real</w:t>
      </w:r>
      <w:r w:rsidR="0023735D">
        <w:rPr>
          <w:rFonts w:ascii="Arial" w:hAnsi="Arial" w:cs="Arial"/>
          <w:sz w:val="22"/>
          <w:szCs w:val="22"/>
        </w:rPr>
        <w:t>-</w:t>
      </w:r>
      <w:r w:rsidR="00DD6FC9">
        <w:rPr>
          <w:rFonts w:ascii="Arial" w:hAnsi="Arial" w:cs="Arial"/>
          <w:sz w:val="22"/>
          <w:szCs w:val="22"/>
        </w:rPr>
        <w:t>world settings (Brosan, Reynolds and Moore, 2006)</w:t>
      </w:r>
      <w:r>
        <w:rPr>
          <w:rFonts w:ascii="Arial" w:hAnsi="Arial" w:cs="Arial"/>
          <w:sz w:val="22"/>
          <w:szCs w:val="22"/>
        </w:rPr>
        <w:t xml:space="preserve"> therapist self-selection of therapy sessions</w:t>
      </w:r>
      <w:r w:rsidR="00DD6FC9">
        <w:rPr>
          <w:rFonts w:ascii="Arial" w:hAnsi="Arial" w:cs="Arial"/>
          <w:sz w:val="22"/>
          <w:szCs w:val="22"/>
        </w:rPr>
        <w:t xml:space="preserve"> (</w:t>
      </w:r>
      <w:r w:rsidR="0021454B">
        <w:rPr>
          <w:rFonts w:ascii="Arial" w:hAnsi="Arial" w:cs="Arial"/>
          <w:sz w:val="22"/>
          <w:szCs w:val="22"/>
        </w:rPr>
        <w:t>Keen and Freston, 2008</w:t>
      </w:r>
      <w:r w:rsidR="00DD6FC9">
        <w:rPr>
          <w:rFonts w:ascii="Arial" w:hAnsi="Arial" w:cs="Arial"/>
          <w:sz w:val="22"/>
          <w:szCs w:val="22"/>
        </w:rPr>
        <w:t>)</w:t>
      </w:r>
      <w:r>
        <w:rPr>
          <w:rFonts w:ascii="Arial" w:hAnsi="Arial" w:cs="Arial"/>
          <w:sz w:val="22"/>
          <w:szCs w:val="22"/>
        </w:rPr>
        <w:t xml:space="preserve"> and the number of raters used to assess competency and adherence</w:t>
      </w:r>
      <w:r w:rsidR="00DD6FC9">
        <w:rPr>
          <w:rFonts w:ascii="Arial" w:hAnsi="Arial" w:cs="Arial"/>
          <w:sz w:val="22"/>
          <w:szCs w:val="22"/>
        </w:rPr>
        <w:t xml:space="preserve"> (</w:t>
      </w:r>
      <w:r w:rsidR="00D31458">
        <w:rPr>
          <w:rFonts w:ascii="Arial" w:hAnsi="Arial" w:cs="Arial"/>
          <w:sz w:val="22"/>
          <w:szCs w:val="22"/>
        </w:rPr>
        <w:t>Brosan, Reynolds and Moore, 2006)</w:t>
      </w:r>
      <w:r>
        <w:rPr>
          <w:rFonts w:ascii="Arial" w:hAnsi="Arial" w:cs="Arial"/>
          <w:sz w:val="22"/>
          <w:szCs w:val="22"/>
        </w:rPr>
        <w:t>. Therapist adherence and competence are rarely investigated as potential predictors of outcome (Weck et al., 2016). This is the first study to have access to sufficient live therapy material, in the form of transcripts derived from IECBT sessions, to investigate wh</w:t>
      </w:r>
      <w:r w:rsidR="00607CF3">
        <w:rPr>
          <w:rFonts w:ascii="Arial" w:hAnsi="Arial" w:cs="Arial"/>
          <w:sz w:val="22"/>
          <w:szCs w:val="22"/>
        </w:rPr>
        <w:t xml:space="preserve">ether </w:t>
      </w:r>
      <w:r w:rsidR="00844AAD">
        <w:rPr>
          <w:rFonts w:ascii="Arial" w:hAnsi="Arial" w:cs="Arial"/>
          <w:sz w:val="22"/>
          <w:szCs w:val="22"/>
        </w:rPr>
        <w:t>competence or adherence</w:t>
      </w:r>
      <w:r>
        <w:rPr>
          <w:rFonts w:ascii="Arial" w:hAnsi="Arial" w:cs="Arial"/>
          <w:sz w:val="22"/>
          <w:szCs w:val="22"/>
        </w:rPr>
        <w:t xml:space="preserve"> correlate with clinical outcome.</w:t>
      </w:r>
      <w:r w:rsidR="00607CF3">
        <w:rPr>
          <w:rFonts w:ascii="Arial" w:hAnsi="Arial" w:cs="Arial"/>
          <w:sz w:val="22"/>
          <w:szCs w:val="22"/>
        </w:rPr>
        <w:t xml:space="preserve"> This new method of investigating therapist variables</w:t>
      </w:r>
      <w:r w:rsidR="00CF791E">
        <w:rPr>
          <w:rFonts w:ascii="Arial" w:hAnsi="Arial" w:cs="Arial"/>
          <w:sz w:val="22"/>
          <w:szCs w:val="22"/>
        </w:rPr>
        <w:t xml:space="preserve"> </w:t>
      </w:r>
      <w:r w:rsidR="00CF791E" w:rsidRPr="008F7571">
        <w:rPr>
          <w:rFonts w:ascii="Arial" w:hAnsi="Arial" w:cs="Arial"/>
          <w:sz w:val="22"/>
          <w:szCs w:val="22"/>
        </w:rPr>
        <w:t>differs</w:t>
      </w:r>
      <w:r w:rsidR="00607CF3" w:rsidRPr="008F7571">
        <w:rPr>
          <w:rFonts w:ascii="Arial" w:hAnsi="Arial" w:cs="Arial"/>
          <w:sz w:val="22"/>
          <w:szCs w:val="22"/>
        </w:rPr>
        <w:t xml:space="preserve"> </w:t>
      </w:r>
      <w:r w:rsidR="000E692E" w:rsidRPr="008F7571">
        <w:rPr>
          <w:rFonts w:ascii="Arial" w:hAnsi="Arial" w:cs="Arial"/>
          <w:sz w:val="22"/>
          <w:szCs w:val="22"/>
        </w:rPr>
        <w:t xml:space="preserve">from the </w:t>
      </w:r>
      <w:r w:rsidR="00916A0C" w:rsidRPr="008F7571">
        <w:rPr>
          <w:rFonts w:ascii="Arial" w:hAnsi="Arial" w:cs="Arial"/>
          <w:sz w:val="22"/>
          <w:szCs w:val="22"/>
        </w:rPr>
        <w:t>normal practice of studying or analysing</w:t>
      </w:r>
      <w:r w:rsidR="000E692E" w:rsidRPr="008F7571">
        <w:rPr>
          <w:rFonts w:ascii="Arial" w:hAnsi="Arial" w:cs="Arial"/>
          <w:sz w:val="22"/>
          <w:szCs w:val="22"/>
        </w:rPr>
        <w:t xml:space="preserve"> therapy transcripts or</w:t>
      </w:r>
      <w:r w:rsidR="0097660D" w:rsidRPr="008F7571">
        <w:rPr>
          <w:rFonts w:ascii="Arial" w:hAnsi="Arial" w:cs="Arial"/>
          <w:sz w:val="22"/>
          <w:szCs w:val="22"/>
        </w:rPr>
        <w:t xml:space="preserve"> therapy</w:t>
      </w:r>
      <w:r w:rsidR="000E692E" w:rsidRPr="008F7571">
        <w:rPr>
          <w:rFonts w:ascii="Arial" w:hAnsi="Arial" w:cs="Arial"/>
          <w:sz w:val="22"/>
          <w:szCs w:val="22"/>
        </w:rPr>
        <w:t xml:space="preserve"> recording</w:t>
      </w:r>
      <w:r w:rsidR="0097660D" w:rsidRPr="008F7571">
        <w:rPr>
          <w:rFonts w:ascii="Arial" w:hAnsi="Arial" w:cs="Arial"/>
          <w:sz w:val="22"/>
          <w:szCs w:val="22"/>
        </w:rPr>
        <w:t>s</w:t>
      </w:r>
      <w:r w:rsidR="000E692E" w:rsidRPr="008F7571">
        <w:rPr>
          <w:rFonts w:ascii="Arial" w:hAnsi="Arial" w:cs="Arial"/>
          <w:sz w:val="22"/>
          <w:szCs w:val="22"/>
        </w:rPr>
        <w:t xml:space="preserve"> on a computer.  Research</w:t>
      </w:r>
      <w:r w:rsidR="00C87888" w:rsidRPr="008F7571">
        <w:rPr>
          <w:rFonts w:ascii="Arial" w:hAnsi="Arial" w:cs="Arial"/>
          <w:sz w:val="22"/>
          <w:szCs w:val="22"/>
        </w:rPr>
        <w:t xml:space="preserve"> </w:t>
      </w:r>
      <w:r w:rsidR="00C87888" w:rsidRPr="008F7571">
        <w:rPr>
          <w:rFonts w:ascii="Arial" w:hAnsi="Arial" w:cs="Arial"/>
          <w:i/>
          <w:iCs/>
          <w:sz w:val="22"/>
          <w:szCs w:val="22"/>
        </w:rPr>
        <w:t xml:space="preserve">in </w:t>
      </w:r>
      <w:r w:rsidR="00C87888" w:rsidRPr="008F7571">
        <w:rPr>
          <w:rFonts w:ascii="Arial" w:hAnsi="Arial" w:cs="Arial"/>
          <w:sz w:val="22"/>
          <w:szCs w:val="22"/>
        </w:rPr>
        <w:t>silico</w:t>
      </w:r>
      <w:r w:rsidR="00E504C7" w:rsidRPr="008F7571">
        <w:rPr>
          <w:rFonts w:ascii="Arial" w:hAnsi="Arial" w:cs="Arial"/>
          <w:sz w:val="22"/>
          <w:szCs w:val="22"/>
        </w:rPr>
        <w:t>,</w:t>
      </w:r>
      <w:r w:rsidR="00C87888" w:rsidRPr="008F7571">
        <w:rPr>
          <w:rFonts w:ascii="Arial" w:hAnsi="Arial" w:cs="Arial"/>
          <w:sz w:val="22"/>
          <w:szCs w:val="22"/>
        </w:rPr>
        <w:t xml:space="preserve"> in the context of the </w:t>
      </w:r>
      <w:r w:rsidR="00E504C7" w:rsidRPr="008F7571">
        <w:rPr>
          <w:rFonts w:ascii="Arial" w:hAnsi="Arial" w:cs="Arial"/>
          <w:sz w:val="22"/>
          <w:szCs w:val="22"/>
        </w:rPr>
        <w:t xml:space="preserve">research reported in this thesis, </w:t>
      </w:r>
      <w:r w:rsidR="0097660D" w:rsidRPr="008F7571">
        <w:rPr>
          <w:rFonts w:ascii="Arial" w:hAnsi="Arial" w:cs="Arial"/>
          <w:sz w:val="22"/>
          <w:szCs w:val="22"/>
        </w:rPr>
        <w:t xml:space="preserve">means that the therapy transcripts are created </w:t>
      </w:r>
      <w:r w:rsidR="008C14CE" w:rsidRPr="008F7571">
        <w:rPr>
          <w:rFonts w:ascii="Arial" w:hAnsi="Arial" w:cs="Arial"/>
          <w:sz w:val="22"/>
          <w:szCs w:val="22"/>
        </w:rPr>
        <w:t xml:space="preserve">digitally, </w:t>
      </w:r>
      <w:r w:rsidR="00916A0C" w:rsidRPr="008F7571">
        <w:rPr>
          <w:rFonts w:ascii="Arial" w:hAnsi="Arial" w:cs="Arial"/>
          <w:sz w:val="22"/>
          <w:szCs w:val="22"/>
        </w:rPr>
        <w:t>stored digit</w:t>
      </w:r>
      <w:r w:rsidR="008C14CE" w:rsidRPr="008F7571">
        <w:rPr>
          <w:rFonts w:ascii="Arial" w:hAnsi="Arial" w:cs="Arial"/>
          <w:sz w:val="22"/>
          <w:szCs w:val="22"/>
        </w:rPr>
        <w:t>ally and analysed digitally</w:t>
      </w:r>
      <w:r w:rsidR="006C0C1A" w:rsidRPr="008F7571">
        <w:rPr>
          <w:rFonts w:ascii="Arial" w:hAnsi="Arial" w:cs="Arial"/>
          <w:sz w:val="22"/>
          <w:szCs w:val="22"/>
        </w:rPr>
        <w:t>.</w:t>
      </w:r>
      <w:r w:rsidR="005E49DB">
        <w:rPr>
          <w:rFonts w:ascii="Arial" w:hAnsi="Arial" w:cs="Arial"/>
          <w:sz w:val="22"/>
          <w:szCs w:val="22"/>
        </w:rPr>
        <w:t xml:space="preserve"> This method of research is more normally used in the pharmaceutical and biological industries where research is conducted using digitally generated models rather the more common, </w:t>
      </w:r>
      <w:r w:rsidR="005E49DB" w:rsidRPr="00456743">
        <w:rPr>
          <w:rFonts w:ascii="Arial" w:hAnsi="Arial" w:cs="Arial"/>
          <w:i/>
          <w:iCs/>
          <w:sz w:val="22"/>
          <w:szCs w:val="22"/>
        </w:rPr>
        <w:t>in vitro</w:t>
      </w:r>
      <w:r w:rsidR="00456743">
        <w:rPr>
          <w:rFonts w:ascii="Arial" w:hAnsi="Arial" w:cs="Arial"/>
          <w:sz w:val="22"/>
          <w:szCs w:val="22"/>
        </w:rPr>
        <w:t>, laboratory</w:t>
      </w:r>
      <w:r w:rsidR="00B950E7">
        <w:rPr>
          <w:rFonts w:ascii="Arial" w:hAnsi="Arial" w:cs="Arial"/>
          <w:sz w:val="22"/>
          <w:szCs w:val="22"/>
        </w:rPr>
        <w:t>-</w:t>
      </w:r>
      <w:r w:rsidR="00456743">
        <w:rPr>
          <w:rFonts w:ascii="Arial" w:hAnsi="Arial" w:cs="Arial"/>
          <w:sz w:val="22"/>
          <w:szCs w:val="22"/>
        </w:rPr>
        <w:t xml:space="preserve">based </w:t>
      </w:r>
      <w:r w:rsidR="005E49DB">
        <w:rPr>
          <w:rFonts w:ascii="Arial" w:hAnsi="Arial" w:cs="Arial"/>
          <w:sz w:val="22"/>
          <w:szCs w:val="22"/>
        </w:rPr>
        <w:t>approach (</w:t>
      </w:r>
      <w:r w:rsidR="00970950">
        <w:rPr>
          <w:rFonts w:ascii="Arial" w:hAnsi="Arial" w:cs="Arial"/>
          <w:sz w:val="22"/>
          <w:szCs w:val="22"/>
        </w:rPr>
        <w:t>Manning, Sleator and Walsh, 2012</w:t>
      </w:r>
      <w:r w:rsidR="005E49DB">
        <w:rPr>
          <w:rFonts w:ascii="Arial" w:hAnsi="Arial" w:cs="Arial"/>
          <w:sz w:val="22"/>
          <w:szCs w:val="22"/>
        </w:rPr>
        <w:t>).</w:t>
      </w:r>
      <w:r w:rsidR="00456743">
        <w:rPr>
          <w:rFonts w:ascii="Arial" w:hAnsi="Arial" w:cs="Arial"/>
          <w:sz w:val="22"/>
          <w:szCs w:val="22"/>
        </w:rPr>
        <w:t xml:space="preserve"> Research </w:t>
      </w:r>
      <w:r w:rsidR="00456743" w:rsidRPr="00456743">
        <w:rPr>
          <w:rFonts w:ascii="Arial" w:hAnsi="Arial" w:cs="Arial"/>
          <w:i/>
          <w:iCs/>
          <w:sz w:val="22"/>
          <w:szCs w:val="22"/>
        </w:rPr>
        <w:t>in silico</w:t>
      </w:r>
      <w:r w:rsidR="00456743">
        <w:rPr>
          <w:rFonts w:ascii="Arial" w:hAnsi="Arial" w:cs="Arial"/>
          <w:sz w:val="22"/>
          <w:szCs w:val="22"/>
        </w:rPr>
        <w:t>, in the pharmaceutical and biological industries involves computational models and very large data sets (</w:t>
      </w:r>
      <w:r w:rsidR="00B950E7">
        <w:rPr>
          <w:rFonts w:ascii="Arial" w:hAnsi="Arial" w:cs="Arial"/>
          <w:sz w:val="22"/>
          <w:szCs w:val="22"/>
        </w:rPr>
        <w:t>Gunturi, Narayanan and Khandelwal, 2006</w:t>
      </w:r>
      <w:r w:rsidR="00456743">
        <w:rPr>
          <w:rFonts w:ascii="Arial" w:hAnsi="Arial" w:cs="Arial"/>
          <w:sz w:val="22"/>
          <w:szCs w:val="22"/>
        </w:rPr>
        <w:t xml:space="preserve">) and </w:t>
      </w:r>
      <w:r w:rsidR="00FC4863">
        <w:rPr>
          <w:rFonts w:ascii="Arial" w:hAnsi="Arial" w:cs="Arial"/>
          <w:sz w:val="22"/>
          <w:szCs w:val="22"/>
        </w:rPr>
        <w:t xml:space="preserve">is </w:t>
      </w:r>
      <w:r w:rsidR="00456743">
        <w:rPr>
          <w:rFonts w:ascii="Arial" w:hAnsi="Arial" w:cs="Arial"/>
          <w:sz w:val="22"/>
          <w:szCs w:val="22"/>
        </w:rPr>
        <w:t xml:space="preserve">used in drug and treatment discovery </w:t>
      </w:r>
      <w:r w:rsidR="00970950">
        <w:rPr>
          <w:rFonts w:ascii="Arial" w:hAnsi="Arial" w:cs="Arial"/>
          <w:sz w:val="22"/>
          <w:szCs w:val="22"/>
        </w:rPr>
        <w:t>(Walsh, Carrol</w:t>
      </w:r>
      <w:r w:rsidR="008C3766">
        <w:rPr>
          <w:rFonts w:ascii="Arial" w:hAnsi="Arial" w:cs="Arial"/>
          <w:sz w:val="22"/>
          <w:szCs w:val="22"/>
        </w:rPr>
        <w:t>l</w:t>
      </w:r>
      <w:r w:rsidR="00970950">
        <w:rPr>
          <w:rFonts w:ascii="Arial" w:hAnsi="Arial" w:cs="Arial"/>
          <w:sz w:val="22"/>
          <w:szCs w:val="22"/>
        </w:rPr>
        <w:t xml:space="preserve"> and Sleater, 2013)</w:t>
      </w:r>
      <w:r w:rsidR="00BC7CC8">
        <w:rPr>
          <w:rFonts w:ascii="Arial" w:hAnsi="Arial" w:cs="Arial"/>
          <w:sz w:val="22"/>
          <w:szCs w:val="22"/>
        </w:rPr>
        <w:t>.</w:t>
      </w:r>
      <w:r w:rsidR="00456743">
        <w:rPr>
          <w:rFonts w:ascii="Arial" w:hAnsi="Arial" w:cs="Arial"/>
          <w:sz w:val="22"/>
          <w:szCs w:val="22"/>
        </w:rPr>
        <w:t xml:space="preserve"> </w:t>
      </w:r>
      <w:r w:rsidR="005E49DB">
        <w:rPr>
          <w:rFonts w:ascii="Arial" w:hAnsi="Arial" w:cs="Arial"/>
          <w:sz w:val="22"/>
          <w:szCs w:val="22"/>
        </w:rPr>
        <w:t>In psychological therapy</w:t>
      </w:r>
      <w:r w:rsidR="00BC7CC8">
        <w:rPr>
          <w:rFonts w:ascii="Arial" w:hAnsi="Arial" w:cs="Arial"/>
          <w:sz w:val="22"/>
          <w:szCs w:val="22"/>
        </w:rPr>
        <w:t>,</w:t>
      </w:r>
      <w:r w:rsidR="005E49DB">
        <w:rPr>
          <w:rFonts w:ascii="Arial" w:hAnsi="Arial" w:cs="Arial"/>
          <w:sz w:val="22"/>
          <w:szCs w:val="22"/>
        </w:rPr>
        <w:t xml:space="preserve"> research is more usually conduc</w:t>
      </w:r>
      <w:r w:rsidR="00970950">
        <w:rPr>
          <w:rFonts w:ascii="Arial" w:hAnsi="Arial" w:cs="Arial"/>
          <w:sz w:val="22"/>
          <w:szCs w:val="22"/>
        </w:rPr>
        <w:t>t</w:t>
      </w:r>
      <w:r w:rsidR="005E49DB">
        <w:rPr>
          <w:rFonts w:ascii="Arial" w:hAnsi="Arial" w:cs="Arial"/>
          <w:sz w:val="22"/>
          <w:szCs w:val="22"/>
        </w:rPr>
        <w:t xml:space="preserve">ed </w:t>
      </w:r>
      <w:r w:rsidR="005E49DB" w:rsidRPr="00970950">
        <w:rPr>
          <w:rFonts w:ascii="Arial" w:hAnsi="Arial" w:cs="Arial"/>
          <w:i/>
          <w:iCs/>
          <w:sz w:val="22"/>
          <w:szCs w:val="22"/>
        </w:rPr>
        <w:t>in vivo</w:t>
      </w:r>
      <w:r w:rsidR="005E49DB">
        <w:rPr>
          <w:rFonts w:ascii="Arial" w:hAnsi="Arial" w:cs="Arial"/>
          <w:sz w:val="22"/>
          <w:szCs w:val="22"/>
        </w:rPr>
        <w:t>, meaning that</w:t>
      </w:r>
      <w:r w:rsidR="00456743">
        <w:rPr>
          <w:rFonts w:ascii="Arial" w:hAnsi="Arial" w:cs="Arial"/>
          <w:sz w:val="22"/>
          <w:szCs w:val="22"/>
        </w:rPr>
        <w:t xml:space="preserve"> experiments and enquiry are undertaken on people </w:t>
      </w:r>
      <w:r w:rsidR="00456743">
        <w:rPr>
          <w:rFonts w:ascii="Arial" w:hAnsi="Arial" w:cs="Arial"/>
          <w:sz w:val="22"/>
          <w:szCs w:val="22"/>
        </w:rPr>
        <w:lastRenderedPageBreak/>
        <w:t xml:space="preserve">(patients and/or therapists). Research </w:t>
      </w:r>
      <w:r w:rsidR="00456743" w:rsidRPr="00456743">
        <w:rPr>
          <w:rFonts w:ascii="Arial" w:hAnsi="Arial" w:cs="Arial"/>
          <w:i/>
          <w:iCs/>
          <w:sz w:val="22"/>
          <w:szCs w:val="22"/>
        </w:rPr>
        <w:t>in silico</w:t>
      </w:r>
      <w:r w:rsidR="00456743">
        <w:rPr>
          <w:rFonts w:ascii="Arial" w:hAnsi="Arial" w:cs="Arial"/>
          <w:sz w:val="22"/>
          <w:szCs w:val="22"/>
        </w:rPr>
        <w:t xml:space="preserve"> </w:t>
      </w:r>
      <w:r w:rsidR="005D4E66" w:rsidRPr="008F7571">
        <w:rPr>
          <w:rFonts w:ascii="Arial" w:hAnsi="Arial" w:cs="Arial"/>
          <w:sz w:val="22"/>
          <w:szCs w:val="22"/>
        </w:rPr>
        <w:t xml:space="preserve">represents a new </w:t>
      </w:r>
      <w:r w:rsidR="00C86F16" w:rsidRPr="008F7571">
        <w:rPr>
          <w:rFonts w:ascii="Arial" w:hAnsi="Arial" w:cs="Arial"/>
          <w:sz w:val="22"/>
          <w:szCs w:val="22"/>
        </w:rPr>
        <w:t>method</w:t>
      </w:r>
      <w:r w:rsidR="007B4358" w:rsidRPr="008F7571">
        <w:rPr>
          <w:rFonts w:ascii="Arial" w:hAnsi="Arial" w:cs="Arial"/>
          <w:sz w:val="22"/>
          <w:szCs w:val="22"/>
        </w:rPr>
        <w:t xml:space="preserve"> </w:t>
      </w:r>
      <w:r w:rsidR="00931948" w:rsidRPr="008F7571">
        <w:rPr>
          <w:rFonts w:ascii="Arial" w:hAnsi="Arial" w:cs="Arial"/>
          <w:sz w:val="22"/>
          <w:szCs w:val="22"/>
        </w:rPr>
        <w:t>by</w:t>
      </w:r>
      <w:r w:rsidR="007B4358" w:rsidRPr="008F7571">
        <w:rPr>
          <w:rFonts w:ascii="Arial" w:hAnsi="Arial" w:cs="Arial"/>
          <w:sz w:val="22"/>
          <w:szCs w:val="22"/>
        </w:rPr>
        <w:t xml:space="preserve"> which</w:t>
      </w:r>
      <w:r w:rsidR="005D4E66" w:rsidRPr="008F7571">
        <w:rPr>
          <w:rFonts w:ascii="Arial" w:hAnsi="Arial" w:cs="Arial"/>
          <w:sz w:val="22"/>
          <w:szCs w:val="22"/>
        </w:rPr>
        <w:t xml:space="preserve"> psychological therapy </w:t>
      </w:r>
      <w:r w:rsidR="007B4358" w:rsidRPr="008F7571">
        <w:rPr>
          <w:rFonts w:ascii="Arial" w:hAnsi="Arial" w:cs="Arial"/>
          <w:sz w:val="22"/>
          <w:szCs w:val="22"/>
        </w:rPr>
        <w:t xml:space="preserve">can be </w:t>
      </w:r>
      <w:r w:rsidR="00212689" w:rsidRPr="008F7571">
        <w:rPr>
          <w:rFonts w:ascii="Arial" w:hAnsi="Arial" w:cs="Arial"/>
          <w:sz w:val="22"/>
          <w:szCs w:val="22"/>
        </w:rPr>
        <w:t>studied</w:t>
      </w:r>
      <w:r w:rsidR="005D4E66" w:rsidRPr="008F7571">
        <w:rPr>
          <w:rFonts w:ascii="Arial" w:hAnsi="Arial" w:cs="Arial"/>
          <w:sz w:val="22"/>
          <w:szCs w:val="22"/>
        </w:rPr>
        <w:t xml:space="preserve">. </w:t>
      </w:r>
      <w:r w:rsidR="0088282A" w:rsidRPr="008F7571">
        <w:rPr>
          <w:rFonts w:ascii="Arial" w:hAnsi="Arial" w:cs="Arial"/>
          <w:sz w:val="22"/>
          <w:szCs w:val="22"/>
        </w:rPr>
        <w:t>This method makes it</w:t>
      </w:r>
      <w:r w:rsidR="00D20045" w:rsidRPr="008F7571">
        <w:rPr>
          <w:rFonts w:ascii="Arial" w:hAnsi="Arial" w:cs="Arial"/>
          <w:sz w:val="22"/>
          <w:szCs w:val="22"/>
        </w:rPr>
        <w:t xml:space="preserve"> possible to study what therapists are doing</w:t>
      </w:r>
      <w:r w:rsidR="006E1AC1" w:rsidRPr="008F7571">
        <w:rPr>
          <w:rFonts w:ascii="Arial" w:hAnsi="Arial" w:cs="Arial"/>
          <w:sz w:val="22"/>
          <w:szCs w:val="22"/>
        </w:rPr>
        <w:t>,</w:t>
      </w:r>
      <w:r w:rsidR="00D20045" w:rsidRPr="008F7571">
        <w:rPr>
          <w:rFonts w:ascii="Arial" w:hAnsi="Arial" w:cs="Arial"/>
          <w:sz w:val="22"/>
          <w:szCs w:val="22"/>
        </w:rPr>
        <w:t xml:space="preserve"> with </w:t>
      </w:r>
      <w:r w:rsidR="0088282A" w:rsidRPr="008F7571">
        <w:rPr>
          <w:rFonts w:ascii="Arial" w:hAnsi="Arial" w:cs="Arial"/>
          <w:sz w:val="22"/>
          <w:szCs w:val="22"/>
        </w:rPr>
        <w:t>every patient</w:t>
      </w:r>
      <w:r w:rsidR="006E1AC1" w:rsidRPr="008F7571">
        <w:rPr>
          <w:rFonts w:ascii="Arial" w:hAnsi="Arial" w:cs="Arial"/>
          <w:sz w:val="22"/>
          <w:szCs w:val="22"/>
        </w:rPr>
        <w:t>,</w:t>
      </w:r>
      <w:r w:rsidR="00D20045" w:rsidRPr="008F7571">
        <w:rPr>
          <w:rFonts w:ascii="Arial" w:hAnsi="Arial" w:cs="Arial"/>
          <w:sz w:val="22"/>
          <w:szCs w:val="22"/>
        </w:rPr>
        <w:t xml:space="preserve"> in </w:t>
      </w:r>
      <w:r w:rsidR="00DF4D34" w:rsidRPr="008F7571">
        <w:rPr>
          <w:rFonts w:ascii="Arial" w:hAnsi="Arial" w:cs="Arial"/>
          <w:sz w:val="22"/>
          <w:szCs w:val="22"/>
        </w:rPr>
        <w:t xml:space="preserve">a </w:t>
      </w:r>
      <w:r w:rsidR="00D20045" w:rsidRPr="008F7571">
        <w:rPr>
          <w:rFonts w:ascii="Arial" w:hAnsi="Arial" w:cs="Arial"/>
          <w:sz w:val="22"/>
          <w:szCs w:val="22"/>
        </w:rPr>
        <w:t>real</w:t>
      </w:r>
      <w:r w:rsidR="0023735D" w:rsidRPr="008F7571">
        <w:rPr>
          <w:rFonts w:ascii="Arial" w:hAnsi="Arial" w:cs="Arial"/>
          <w:sz w:val="22"/>
          <w:szCs w:val="22"/>
        </w:rPr>
        <w:t>-</w:t>
      </w:r>
      <w:r w:rsidR="00D20045" w:rsidRPr="008F7571">
        <w:rPr>
          <w:rFonts w:ascii="Arial" w:hAnsi="Arial" w:cs="Arial"/>
          <w:sz w:val="22"/>
          <w:szCs w:val="22"/>
        </w:rPr>
        <w:t xml:space="preserve">world </w:t>
      </w:r>
      <w:r w:rsidR="00DF4D34" w:rsidRPr="008F7571">
        <w:rPr>
          <w:rFonts w:ascii="Arial" w:hAnsi="Arial" w:cs="Arial"/>
          <w:sz w:val="22"/>
          <w:szCs w:val="22"/>
        </w:rPr>
        <w:t xml:space="preserve">clinical setting </w:t>
      </w:r>
      <w:r w:rsidR="00D20045" w:rsidRPr="008F7571">
        <w:rPr>
          <w:rFonts w:ascii="Arial" w:hAnsi="Arial" w:cs="Arial"/>
          <w:sz w:val="22"/>
          <w:szCs w:val="22"/>
        </w:rPr>
        <w:t>and at scale.</w:t>
      </w:r>
      <w:r w:rsidR="00970950">
        <w:rPr>
          <w:rFonts w:ascii="Arial" w:hAnsi="Arial" w:cs="Arial"/>
          <w:sz w:val="22"/>
          <w:szCs w:val="22"/>
        </w:rPr>
        <w:t xml:space="preserve"> The only other field in psychological therapy that frequently uses large volumes of data are the therapist effects studies. However, this is unlike research </w:t>
      </w:r>
      <w:r w:rsidR="00970950" w:rsidRPr="00970950">
        <w:rPr>
          <w:rFonts w:ascii="Arial" w:hAnsi="Arial" w:cs="Arial"/>
          <w:i/>
          <w:iCs/>
          <w:sz w:val="22"/>
          <w:szCs w:val="22"/>
        </w:rPr>
        <w:t>in silico</w:t>
      </w:r>
      <w:r w:rsidR="00970950">
        <w:rPr>
          <w:rFonts w:ascii="Arial" w:hAnsi="Arial" w:cs="Arial"/>
          <w:sz w:val="22"/>
          <w:szCs w:val="22"/>
        </w:rPr>
        <w:t xml:space="preserve"> in that the data</w:t>
      </w:r>
      <w:r w:rsidR="00BC70EC">
        <w:rPr>
          <w:rFonts w:ascii="Arial" w:hAnsi="Arial" w:cs="Arial"/>
          <w:sz w:val="22"/>
          <w:szCs w:val="22"/>
        </w:rPr>
        <w:t xml:space="preserve">, </w:t>
      </w:r>
      <w:r w:rsidR="00BC70EC" w:rsidRPr="008F7571">
        <w:rPr>
          <w:rFonts w:ascii="Arial" w:hAnsi="Arial" w:cs="Arial"/>
          <w:sz w:val="22"/>
          <w:szCs w:val="22"/>
        </w:rPr>
        <w:t>which has not been created using a digital method,</w:t>
      </w:r>
      <w:r w:rsidR="00970950" w:rsidRPr="008F7571">
        <w:rPr>
          <w:rFonts w:ascii="Arial" w:hAnsi="Arial" w:cs="Arial"/>
          <w:sz w:val="22"/>
          <w:szCs w:val="22"/>
        </w:rPr>
        <w:t xml:space="preserve"> is</w:t>
      </w:r>
      <w:r w:rsidR="00DD4208" w:rsidRPr="008F7571">
        <w:rPr>
          <w:rFonts w:ascii="Arial" w:hAnsi="Arial" w:cs="Arial"/>
          <w:sz w:val="22"/>
          <w:szCs w:val="22"/>
        </w:rPr>
        <w:t xml:space="preserve"> transferred to a computer</w:t>
      </w:r>
      <w:r w:rsidR="00516D62" w:rsidRPr="008F7571">
        <w:rPr>
          <w:rFonts w:ascii="Arial" w:hAnsi="Arial" w:cs="Arial"/>
          <w:sz w:val="22"/>
          <w:szCs w:val="22"/>
        </w:rPr>
        <w:t xml:space="preserve"> and</w:t>
      </w:r>
      <w:r w:rsidR="00970950" w:rsidRPr="008F7571">
        <w:rPr>
          <w:rFonts w:ascii="Arial" w:hAnsi="Arial" w:cs="Arial"/>
          <w:sz w:val="22"/>
          <w:szCs w:val="22"/>
        </w:rPr>
        <w:t xml:space="preserve"> </w:t>
      </w:r>
      <w:r w:rsidR="00516D62" w:rsidRPr="008F7571">
        <w:rPr>
          <w:rFonts w:ascii="Arial" w:hAnsi="Arial" w:cs="Arial"/>
          <w:sz w:val="22"/>
          <w:szCs w:val="22"/>
        </w:rPr>
        <w:t xml:space="preserve">then </w:t>
      </w:r>
      <w:r w:rsidR="00970950" w:rsidRPr="008F7571">
        <w:rPr>
          <w:rFonts w:ascii="Arial" w:hAnsi="Arial" w:cs="Arial"/>
          <w:sz w:val="22"/>
          <w:szCs w:val="22"/>
        </w:rPr>
        <w:t>analysed</w:t>
      </w:r>
      <w:r w:rsidR="00093F85" w:rsidRPr="008F7571">
        <w:rPr>
          <w:rFonts w:ascii="Arial" w:hAnsi="Arial" w:cs="Arial"/>
          <w:sz w:val="22"/>
          <w:szCs w:val="22"/>
        </w:rPr>
        <w:t>.</w:t>
      </w:r>
      <w:r w:rsidR="00970950" w:rsidRPr="008F7571">
        <w:rPr>
          <w:rFonts w:ascii="Arial" w:hAnsi="Arial" w:cs="Arial"/>
          <w:sz w:val="22"/>
          <w:szCs w:val="22"/>
        </w:rPr>
        <w:t xml:space="preserve"> </w:t>
      </w:r>
      <w:r w:rsidR="00093F85" w:rsidRPr="008F7571">
        <w:rPr>
          <w:rFonts w:ascii="Arial" w:hAnsi="Arial" w:cs="Arial"/>
          <w:sz w:val="22"/>
          <w:szCs w:val="22"/>
        </w:rPr>
        <w:t>This is</w:t>
      </w:r>
      <w:r w:rsidR="00603B36" w:rsidRPr="008F7571">
        <w:rPr>
          <w:rFonts w:ascii="Arial" w:hAnsi="Arial" w:cs="Arial"/>
          <w:sz w:val="22"/>
          <w:szCs w:val="22"/>
        </w:rPr>
        <w:t xml:space="preserve"> </w:t>
      </w:r>
      <w:r w:rsidR="00C95532" w:rsidRPr="008F7571">
        <w:rPr>
          <w:rFonts w:ascii="Arial" w:hAnsi="Arial" w:cs="Arial"/>
          <w:sz w:val="22"/>
          <w:szCs w:val="22"/>
        </w:rPr>
        <w:t xml:space="preserve">in contrast </w:t>
      </w:r>
      <w:r w:rsidR="00603B36" w:rsidRPr="008F7571">
        <w:rPr>
          <w:rFonts w:ascii="Arial" w:hAnsi="Arial" w:cs="Arial"/>
          <w:sz w:val="22"/>
          <w:szCs w:val="22"/>
        </w:rPr>
        <w:t>to</w:t>
      </w:r>
      <w:r w:rsidR="00931948" w:rsidRPr="008F7571">
        <w:rPr>
          <w:rFonts w:ascii="Arial" w:hAnsi="Arial" w:cs="Arial"/>
          <w:sz w:val="22"/>
          <w:szCs w:val="22"/>
        </w:rPr>
        <w:t xml:space="preserve"> the</w:t>
      </w:r>
      <w:r w:rsidR="00603B36" w:rsidRPr="008F7571">
        <w:rPr>
          <w:rFonts w:ascii="Arial" w:hAnsi="Arial" w:cs="Arial"/>
          <w:sz w:val="22"/>
          <w:szCs w:val="22"/>
        </w:rPr>
        <w:t xml:space="preserve"> analys</w:t>
      </w:r>
      <w:r w:rsidR="00931948" w:rsidRPr="008F7571">
        <w:rPr>
          <w:rFonts w:ascii="Arial" w:hAnsi="Arial" w:cs="Arial"/>
          <w:sz w:val="22"/>
          <w:szCs w:val="22"/>
        </w:rPr>
        <w:t>is of</w:t>
      </w:r>
      <w:r w:rsidR="00970950" w:rsidRPr="008F7571">
        <w:rPr>
          <w:rFonts w:ascii="Arial" w:hAnsi="Arial" w:cs="Arial"/>
          <w:sz w:val="22"/>
          <w:szCs w:val="22"/>
        </w:rPr>
        <w:t xml:space="preserve"> </w:t>
      </w:r>
      <w:r w:rsidR="00DF3069" w:rsidRPr="008F7571">
        <w:rPr>
          <w:rFonts w:ascii="Arial" w:hAnsi="Arial" w:cs="Arial"/>
          <w:sz w:val="22"/>
          <w:szCs w:val="22"/>
        </w:rPr>
        <w:t>therapy transcripts</w:t>
      </w:r>
      <w:r w:rsidR="00970950" w:rsidRPr="008F7571">
        <w:rPr>
          <w:rFonts w:ascii="Arial" w:hAnsi="Arial" w:cs="Arial"/>
          <w:sz w:val="22"/>
          <w:szCs w:val="22"/>
        </w:rPr>
        <w:t xml:space="preserve"> </w:t>
      </w:r>
      <w:r w:rsidR="00603B36" w:rsidRPr="008F7571">
        <w:rPr>
          <w:rFonts w:ascii="Arial" w:hAnsi="Arial" w:cs="Arial"/>
          <w:sz w:val="22"/>
          <w:szCs w:val="22"/>
        </w:rPr>
        <w:t xml:space="preserve">that </w:t>
      </w:r>
      <w:r w:rsidR="00970950" w:rsidRPr="008F7571">
        <w:rPr>
          <w:rFonts w:ascii="Arial" w:hAnsi="Arial" w:cs="Arial"/>
          <w:sz w:val="22"/>
          <w:szCs w:val="22"/>
        </w:rPr>
        <w:t>ha</w:t>
      </w:r>
      <w:r w:rsidR="00931948" w:rsidRPr="008F7571">
        <w:rPr>
          <w:rFonts w:ascii="Arial" w:hAnsi="Arial" w:cs="Arial"/>
          <w:sz w:val="22"/>
          <w:szCs w:val="22"/>
        </w:rPr>
        <w:t>ve</w:t>
      </w:r>
      <w:r w:rsidR="00970950" w:rsidRPr="008F7571">
        <w:rPr>
          <w:rFonts w:ascii="Arial" w:hAnsi="Arial" w:cs="Arial"/>
          <w:sz w:val="22"/>
          <w:szCs w:val="22"/>
        </w:rPr>
        <w:t xml:space="preserve"> been </w:t>
      </w:r>
      <w:r w:rsidR="006E1AC1" w:rsidRPr="008F7571">
        <w:rPr>
          <w:rFonts w:ascii="Arial" w:hAnsi="Arial" w:cs="Arial"/>
          <w:sz w:val="22"/>
          <w:szCs w:val="22"/>
        </w:rPr>
        <w:t>created digitally</w:t>
      </w:r>
      <w:r w:rsidR="007B34F3" w:rsidRPr="008F7571">
        <w:rPr>
          <w:rFonts w:ascii="Arial" w:hAnsi="Arial" w:cs="Arial"/>
          <w:sz w:val="22"/>
          <w:szCs w:val="22"/>
        </w:rPr>
        <w:t xml:space="preserve"> by over 600 BABCP accredited therapists</w:t>
      </w:r>
      <w:r w:rsidR="00AB1BE3" w:rsidRPr="008F7571">
        <w:rPr>
          <w:rFonts w:ascii="Arial" w:hAnsi="Arial" w:cs="Arial"/>
          <w:sz w:val="22"/>
          <w:szCs w:val="22"/>
        </w:rPr>
        <w:t xml:space="preserve"> </w:t>
      </w:r>
      <w:r w:rsidR="00AF6F34" w:rsidRPr="008F7571">
        <w:rPr>
          <w:rFonts w:ascii="Arial" w:hAnsi="Arial" w:cs="Arial"/>
          <w:sz w:val="22"/>
          <w:szCs w:val="22"/>
        </w:rPr>
        <w:t>since 2012</w:t>
      </w:r>
      <w:r w:rsidR="00AB1BE3" w:rsidRPr="008F7571">
        <w:rPr>
          <w:rFonts w:ascii="Arial" w:hAnsi="Arial" w:cs="Arial"/>
          <w:sz w:val="22"/>
          <w:szCs w:val="22"/>
        </w:rPr>
        <w:t xml:space="preserve">. </w:t>
      </w:r>
      <w:r w:rsidR="000B3754" w:rsidRPr="008F7571">
        <w:rPr>
          <w:rFonts w:ascii="Arial" w:hAnsi="Arial" w:cs="Arial"/>
          <w:sz w:val="22"/>
          <w:szCs w:val="22"/>
        </w:rPr>
        <w:t xml:space="preserve">This </w:t>
      </w:r>
      <w:r w:rsidR="0096644A" w:rsidRPr="008F7571">
        <w:rPr>
          <w:rFonts w:ascii="Arial" w:hAnsi="Arial" w:cs="Arial"/>
          <w:sz w:val="22"/>
          <w:szCs w:val="22"/>
        </w:rPr>
        <w:t>digitally created</w:t>
      </w:r>
      <w:r w:rsidR="000B3754" w:rsidRPr="008F7571">
        <w:rPr>
          <w:rFonts w:ascii="Arial" w:hAnsi="Arial" w:cs="Arial"/>
          <w:sz w:val="22"/>
          <w:szCs w:val="22"/>
        </w:rPr>
        <w:t xml:space="preserve"> data set can be used to study therapist (and patient) behaviour</w:t>
      </w:r>
      <w:r w:rsidR="0096644A" w:rsidRPr="008F7571">
        <w:rPr>
          <w:rFonts w:ascii="Arial" w:hAnsi="Arial" w:cs="Arial"/>
          <w:sz w:val="22"/>
          <w:szCs w:val="22"/>
        </w:rPr>
        <w:t xml:space="preserve">, enabling </w:t>
      </w:r>
      <w:r w:rsidR="00404630" w:rsidRPr="008F7571">
        <w:rPr>
          <w:rFonts w:ascii="Arial" w:hAnsi="Arial" w:cs="Arial"/>
          <w:sz w:val="22"/>
          <w:szCs w:val="22"/>
        </w:rPr>
        <w:t xml:space="preserve">researchers to study, </w:t>
      </w:r>
      <w:r w:rsidR="00B82F3F" w:rsidRPr="008F7571">
        <w:rPr>
          <w:rFonts w:ascii="Arial" w:hAnsi="Arial" w:cs="Arial"/>
          <w:sz w:val="22"/>
          <w:szCs w:val="22"/>
        </w:rPr>
        <w:t>in large volume</w:t>
      </w:r>
      <w:r w:rsidR="00404630" w:rsidRPr="008F7571">
        <w:rPr>
          <w:rFonts w:ascii="Arial" w:hAnsi="Arial" w:cs="Arial"/>
          <w:sz w:val="22"/>
          <w:szCs w:val="22"/>
        </w:rPr>
        <w:t>, real</w:t>
      </w:r>
      <w:r w:rsidR="00BC7CC8" w:rsidRPr="008F7571">
        <w:rPr>
          <w:rFonts w:ascii="Arial" w:hAnsi="Arial" w:cs="Arial"/>
          <w:sz w:val="22"/>
          <w:szCs w:val="22"/>
        </w:rPr>
        <w:t>-</w:t>
      </w:r>
      <w:r w:rsidR="00404630" w:rsidRPr="008F7571">
        <w:rPr>
          <w:rFonts w:ascii="Arial" w:hAnsi="Arial" w:cs="Arial"/>
          <w:sz w:val="22"/>
          <w:szCs w:val="22"/>
        </w:rPr>
        <w:t>world</w:t>
      </w:r>
      <w:r w:rsidR="00B82F3F" w:rsidRPr="008F7571">
        <w:rPr>
          <w:rFonts w:ascii="Arial" w:hAnsi="Arial" w:cs="Arial"/>
          <w:sz w:val="22"/>
          <w:szCs w:val="22"/>
        </w:rPr>
        <w:t xml:space="preserve"> clinical</w:t>
      </w:r>
      <w:r w:rsidR="00404630" w:rsidRPr="008F7571">
        <w:rPr>
          <w:rFonts w:ascii="Arial" w:hAnsi="Arial" w:cs="Arial"/>
          <w:sz w:val="22"/>
          <w:szCs w:val="22"/>
        </w:rPr>
        <w:t xml:space="preserve"> data</w:t>
      </w:r>
      <w:r w:rsidR="00B82F3F" w:rsidRPr="008F7571">
        <w:rPr>
          <w:rFonts w:ascii="Arial" w:hAnsi="Arial" w:cs="Arial"/>
          <w:sz w:val="22"/>
          <w:szCs w:val="22"/>
        </w:rPr>
        <w:t>.</w:t>
      </w:r>
      <w:r w:rsidR="00404630">
        <w:rPr>
          <w:rFonts w:ascii="Arial" w:hAnsi="Arial" w:cs="Arial"/>
          <w:sz w:val="22"/>
          <w:szCs w:val="22"/>
        </w:rPr>
        <w:t xml:space="preserve"> </w:t>
      </w:r>
      <w:r w:rsidR="00C26638">
        <w:rPr>
          <w:rFonts w:ascii="Arial" w:hAnsi="Arial" w:cs="Arial"/>
          <w:sz w:val="22"/>
          <w:szCs w:val="22"/>
        </w:rPr>
        <w:br/>
      </w:r>
    </w:p>
    <w:p w14:paraId="5C06B840" w14:textId="12C3F9D3" w:rsidR="00FF250A" w:rsidRPr="00FF250A" w:rsidRDefault="00FF250A" w:rsidP="00FF250A">
      <w:pPr>
        <w:pStyle w:val="Heading3"/>
        <w:rPr>
          <w:rFonts w:cs="Arial"/>
          <w:color w:val="000000" w:themeColor="text1"/>
          <w:szCs w:val="22"/>
        </w:rPr>
      </w:pPr>
      <w:bookmarkStart w:id="415" w:name="_Toc46770839"/>
      <w:bookmarkStart w:id="416" w:name="_Toc79414250"/>
      <w:r w:rsidRPr="00FF250A">
        <w:rPr>
          <w:rFonts w:cs="Arial"/>
          <w:color w:val="000000" w:themeColor="text1"/>
          <w:szCs w:val="22"/>
        </w:rPr>
        <w:t>6.1.</w:t>
      </w:r>
      <w:r w:rsidR="00607CF3">
        <w:rPr>
          <w:rFonts w:cs="Arial"/>
          <w:color w:val="000000" w:themeColor="text1"/>
          <w:szCs w:val="22"/>
        </w:rPr>
        <w:t>2</w:t>
      </w:r>
      <w:r w:rsidRPr="00FF250A">
        <w:rPr>
          <w:rFonts w:cs="Arial"/>
          <w:color w:val="000000" w:themeColor="text1"/>
          <w:szCs w:val="22"/>
        </w:rPr>
        <w:t xml:space="preserve"> </w:t>
      </w:r>
      <w:r>
        <w:rPr>
          <w:rFonts w:cs="Arial"/>
          <w:color w:val="000000" w:themeColor="text1"/>
          <w:szCs w:val="22"/>
        </w:rPr>
        <w:t>Therapist</w:t>
      </w:r>
      <w:r w:rsidRPr="00FF250A">
        <w:rPr>
          <w:rFonts w:cs="Arial"/>
          <w:color w:val="000000" w:themeColor="text1"/>
          <w:szCs w:val="22"/>
        </w:rPr>
        <w:t xml:space="preserve"> effects</w:t>
      </w:r>
      <w:r>
        <w:rPr>
          <w:rFonts w:cs="Arial"/>
          <w:color w:val="000000" w:themeColor="text1"/>
          <w:szCs w:val="22"/>
        </w:rPr>
        <w:t xml:space="preserve"> research</w:t>
      </w:r>
      <w:r w:rsidRPr="00FF250A">
        <w:rPr>
          <w:rFonts w:cs="Arial"/>
          <w:color w:val="000000" w:themeColor="text1"/>
          <w:szCs w:val="22"/>
        </w:rPr>
        <w:t xml:space="preserve"> using multi-level models</w:t>
      </w:r>
      <w:bookmarkEnd w:id="415"/>
      <w:bookmarkEnd w:id="416"/>
    </w:p>
    <w:p w14:paraId="1BA4D655" w14:textId="77777777" w:rsidR="00170BEB" w:rsidRPr="00A50835" w:rsidRDefault="00170BEB" w:rsidP="00170BEB"/>
    <w:p w14:paraId="1DBF4C7A" w14:textId="6F193F0E" w:rsidR="00170BEB" w:rsidRDefault="003D70D5" w:rsidP="00170BEB">
      <w:pPr>
        <w:spacing w:line="480" w:lineRule="auto"/>
        <w:rPr>
          <w:rFonts w:ascii="Arial" w:hAnsi="Arial" w:cs="Arial"/>
          <w:sz w:val="22"/>
          <w:szCs w:val="22"/>
        </w:rPr>
      </w:pPr>
      <w:r>
        <w:rPr>
          <w:rFonts w:ascii="Arial" w:hAnsi="Arial" w:cs="Arial"/>
          <w:sz w:val="22"/>
          <w:szCs w:val="22"/>
        </w:rPr>
        <w:t xml:space="preserve">The IAPT programme has enabled researchers to analyse </w:t>
      </w:r>
      <w:r w:rsidR="00E96746">
        <w:rPr>
          <w:rFonts w:ascii="Arial" w:hAnsi="Arial" w:cs="Arial"/>
          <w:sz w:val="22"/>
          <w:szCs w:val="22"/>
        </w:rPr>
        <w:t xml:space="preserve">large volumes of outcome data (Layard and Clark, 2014). </w:t>
      </w:r>
      <w:r w:rsidR="003E1C4F">
        <w:rPr>
          <w:rFonts w:ascii="Arial" w:hAnsi="Arial" w:cs="Arial"/>
          <w:sz w:val="22"/>
          <w:szCs w:val="22"/>
        </w:rPr>
        <w:t>Whilst the volume of data has not included</w:t>
      </w:r>
      <w:r w:rsidR="007F47F4">
        <w:rPr>
          <w:rFonts w:ascii="Arial" w:hAnsi="Arial" w:cs="Arial"/>
          <w:sz w:val="22"/>
          <w:szCs w:val="22"/>
        </w:rPr>
        <w:t xml:space="preserve"> access to therapy recordings or transcript</w:t>
      </w:r>
      <w:r w:rsidR="00BC7CC8">
        <w:rPr>
          <w:rFonts w:ascii="Arial" w:hAnsi="Arial" w:cs="Arial"/>
          <w:sz w:val="22"/>
          <w:szCs w:val="22"/>
        </w:rPr>
        <w:t>,</w:t>
      </w:r>
      <w:r w:rsidR="007F47F4">
        <w:rPr>
          <w:rFonts w:ascii="Arial" w:hAnsi="Arial" w:cs="Arial"/>
          <w:sz w:val="22"/>
          <w:szCs w:val="22"/>
        </w:rPr>
        <w:t xml:space="preserve"> the resulting research has </w:t>
      </w:r>
      <w:r w:rsidR="002B71ED">
        <w:rPr>
          <w:rFonts w:ascii="Arial" w:hAnsi="Arial" w:cs="Arial"/>
          <w:sz w:val="22"/>
          <w:szCs w:val="22"/>
        </w:rPr>
        <w:t xml:space="preserve">led to an acknowledgement that </w:t>
      </w:r>
      <w:r w:rsidR="006144A7">
        <w:rPr>
          <w:rFonts w:ascii="Arial" w:hAnsi="Arial" w:cs="Arial"/>
          <w:sz w:val="22"/>
          <w:szCs w:val="22"/>
        </w:rPr>
        <w:t>therapist variables account for some of the variance in outcome reported by IAPT services.</w:t>
      </w:r>
      <w:r w:rsidR="003E1C4F">
        <w:rPr>
          <w:rFonts w:ascii="Arial" w:hAnsi="Arial" w:cs="Arial"/>
          <w:sz w:val="22"/>
          <w:szCs w:val="22"/>
        </w:rPr>
        <w:t xml:space="preserve"> </w:t>
      </w:r>
      <w:r w:rsidR="00A64E76">
        <w:rPr>
          <w:rFonts w:ascii="Arial" w:hAnsi="Arial" w:cs="Arial"/>
          <w:sz w:val="22"/>
          <w:szCs w:val="22"/>
        </w:rPr>
        <w:t>In the last 5 years</w:t>
      </w:r>
      <w:r w:rsidR="00BC7CC8">
        <w:rPr>
          <w:rFonts w:ascii="Arial" w:hAnsi="Arial" w:cs="Arial"/>
          <w:sz w:val="22"/>
          <w:szCs w:val="22"/>
        </w:rPr>
        <w:t>,</w:t>
      </w:r>
      <w:r w:rsidR="00A64E76">
        <w:rPr>
          <w:rFonts w:ascii="Arial" w:hAnsi="Arial" w:cs="Arial"/>
          <w:sz w:val="22"/>
          <w:szCs w:val="22"/>
        </w:rPr>
        <w:t xml:space="preserve"> researchers </w:t>
      </w:r>
      <w:r w:rsidR="00170BEB" w:rsidRPr="00F90E30">
        <w:rPr>
          <w:rFonts w:ascii="Arial" w:hAnsi="Arial" w:cs="Arial"/>
          <w:sz w:val="22"/>
          <w:szCs w:val="22"/>
        </w:rPr>
        <w:t xml:space="preserve">that have </w:t>
      </w:r>
      <w:r w:rsidR="00170BEB">
        <w:rPr>
          <w:rFonts w:ascii="Arial" w:hAnsi="Arial" w:cs="Arial"/>
          <w:sz w:val="22"/>
          <w:szCs w:val="22"/>
        </w:rPr>
        <w:t>investigated</w:t>
      </w:r>
      <w:r w:rsidR="00170BEB" w:rsidRPr="00F90E30">
        <w:rPr>
          <w:rFonts w:ascii="Arial" w:hAnsi="Arial" w:cs="Arial"/>
          <w:sz w:val="22"/>
          <w:szCs w:val="22"/>
        </w:rPr>
        <w:t xml:space="preserve"> the variance in clinical outcomes in evidence</w:t>
      </w:r>
      <w:r w:rsidR="00BC7CC8">
        <w:rPr>
          <w:rFonts w:ascii="Arial" w:hAnsi="Arial" w:cs="Arial"/>
          <w:sz w:val="22"/>
          <w:szCs w:val="22"/>
        </w:rPr>
        <w:t>-</w:t>
      </w:r>
      <w:r w:rsidR="00170BEB" w:rsidRPr="00F90E30">
        <w:rPr>
          <w:rFonts w:ascii="Arial" w:hAnsi="Arial" w:cs="Arial"/>
          <w:sz w:val="22"/>
          <w:szCs w:val="22"/>
        </w:rPr>
        <w:t>based psychological therapies have increasing</w:t>
      </w:r>
      <w:r w:rsidR="00170BEB">
        <w:rPr>
          <w:rFonts w:ascii="Arial" w:hAnsi="Arial" w:cs="Arial"/>
          <w:sz w:val="22"/>
          <w:szCs w:val="22"/>
        </w:rPr>
        <w:t>ly</w:t>
      </w:r>
      <w:r w:rsidR="00170BEB" w:rsidRPr="00F90E30">
        <w:rPr>
          <w:rFonts w:ascii="Arial" w:hAnsi="Arial" w:cs="Arial"/>
          <w:sz w:val="22"/>
          <w:szCs w:val="22"/>
        </w:rPr>
        <w:t xml:space="preserve"> favoured multi-level model statistical analyses (Johns, Kellett, Saxon and Barkham 2019). Multi-</w:t>
      </w:r>
      <w:r w:rsidR="00170BEB">
        <w:rPr>
          <w:rFonts w:ascii="Arial" w:hAnsi="Arial" w:cs="Arial"/>
          <w:sz w:val="22"/>
          <w:szCs w:val="22"/>
        </w:rPr>
        <w:t>l</w:t>
      </w:r>
      <w:r w:rsidR="00170BEB" w:rsidRPr="00F90E30">
        <w:rPr>
          <w:rFonts w:ascii="Arial" w:hAnsi="Arial" w:cs="Arial"/>
          <w:sz w:val="22"/>
          <w:szCs w:val="22"/>
        </w:rPr>
        <w:t>evel models (MLM), sometimes termed hierarchical level modelling (HLM</w:t>
      </w:r>
      <w:r w:rsidR="00170BEB">
        <w:rPr>
          <w:rFonts w:ascii="Arial" w:hAnsi="Arial" w:cs="Arial"/>
          <w:sz w:val="22"/>
          <w:szCs w:val="22"/>
        </w:rPr>
        <w:t xml:space="preserve">) originated in the education sector where data is said to be grouped into hierarchical levels, such as students, class, school and area or town (Raudenbush and Bryk, 2002). MLM models are useful in analysing data where the independent variables are situated at different levels and the data is said to be ‘nested’ (Johns, Barkham, Kellett and Saxon 2019). For example, in an education setting, students are ‘nested’ within classes and classes and are ‘nested’ within schools, and schools are ‘nested’ within areas or towns. These hierarchical groups also exist in psychotherapy where, </w:t>
      </w:r>
      <w:r w:rsidR="00170BEB">
        <w:rPr>
          <w:rFonts w:ascii="Arial" w:hAnsi="Arial" w:cs="Arial"/>
          <w:sz w:val="22"/>
          <w:szCs w:val="22"/>
        </w:rPr>
        <w:lastRenderedPageBreak/>
        <w:t xml:space="preserve">at the lowest level, patients are ‘nested’ in therapists and therapists are ‘nested’ within services (see figure </w:t>
      </w:r>
      <w:r w:rsidR="003D251C">
        <w:rPr>
          <w:rFonts w:ascii="Arial" w:hAnsi="Arial" w:cs="Arial"/>
          <w:sz w:val="22"/>
          <w:szCs w:val="22"/>
        </w:rPr>
        <w:t>6</w:t>
      </w:r>
      <w:r w:rsidR="00170BEB">
        <w:rPr>
          <w:rFonts w:ascii="Arial" w:hAnsi="Arial" w:cs="Arial"/>
          <w:sz w:val="22"/>
          <w:szCs w:val="22"/>
        </w:rPr>
        <w:t>.</w:t>
      </w:r>
      <w:r w:rsidR="003D251C">
        <w:rPr>
          <w:rFonts w:ascii="Arial" w:hAnsi="Arial" w:cs="Arial"/>
          <w:sz w:val="22"/>
          <w:szCs w:val="22"/>
        </w:rPr>
        <w:t>2</w:t>
      </w:r>
      <w:r w:rsidR="00170BEB">
        <w:rPr>
          <w:rFonts w:ascii="Arial" w:hAnsi="Arial" w:cs="Arial"/>
          <w:sz w:val="22"/>
          <w:szCs w:val="22"/>
        </w:rPr>
        <w:t>).</w:t>
      </w:r>
    </w:p>
    <w:p w14:paraId="191A376D" w14:textId="77777777" w:rsidR="008C3766" w:rsidRDefault="008C3766" w:rsidP="00170BEB">
      <w:pPr>
        <w:spacing w:line="480" w:lineRule="auto"/>
        <w:rPr>
          <w:rFonts w:ascii="Arial" w:hAnsi="Arial" w:cs="Arial"/>
          <w:b/>
          <w:bCs/>
          <w:sz w:val="22"/>
          <w:szCs w:val="22"/>
        </w:rPr>
      </w:pPr>
    </w:p>
    <w:p w14:paraId="42152EA3" w14:textId="3F746CE5" w:rsidR="0065523D" w:rsidRDefault="0065523D" w:rsidP="0065523D">
      <w:pPr>
        <w:pStyle w:val="Figures"/>
      </w:pPr>
      <w:bookmarkStart w:id="417" w:name="_Toc46770963"/>
      <w:r w:rsidRPr="0070134C">
        <w:t xml:space="preserve">Figure 6.2 </w:t>
      </w:r>
      <w:r w:rsidRPr="0065523D">
        <w:rPr>
          <w:b w:val="0"/>
        </w:rPr>
        <w:t>Patients nested in therapists</w:t>
      </w:r>
      <w:bookmarkEnd w:id="417"/>
    </w:p>
    <w:p w14:paraId="32F410EA" w14:textId="40B9D07C" w:rsidR="003D251C" w:rsidRDefault="00875268" w:rsidP="00170BEB">
      <w:pPr>
        <w:spacing w:line="480" w:lineRule="auto"/>
        <w:rPr>
          <w:rFonts w:ascii="Arial" w:hAnsi="Arial" w:cs="Arial"/>
          <w:sz w:val="22"/>
          <w:szCs w:val="22"/>
        </w:rPr>
      </w:pPr>
      <w:r>
        <w:rPr>
          <w:noProof/>
        </w:rPr>
        <w:drawing>
          <wp:inline distT="0" distB="0" distL="0" distR="0" wp14:anchorId="337FF3F3" wp14:editId="48F396CE">
            <wp:extent cx="5486400" cy="3718170"/>
            <wp:effectExtent l="0" t="0" r="0" b="0"/>
            <wp:docPr id="25" name="Diagram 25" descr="P3476#yIS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5" r:lo="rId76" r:qs="rId77" r:cs="rId78"/>
              </a:graphicData>
            </a:graphic>
          </wp:inline>
        </w:drawing>
      </w:r>
    </w:p>
    <w:p w14:paraId="4EE5B6BE" w14:textId="77777777" w:rsidR="00170BEB" w:rsidRDefault="00170BEB" w:rsidP="00170BEB">
      <w:pPr>
        <w:spacing w:line="480" w:lineRule="auto"/>
        <w:rPr>
          <w:rFonts w:ascii="Arial" w:hAnsi="Arial" w:cs="Arial"/>
          <w:sz w:val="22"/>
          <w:szCs w:val="22"/>
        </w:rPr>
      </w:pPr>
    </w:p>
    <w:p w14:paraId="5DA0695E" w14:textId="3691D17F" w:rsidR="00170BEB" w:rsidRDefault="00170BEB" w:rsidP="00170BEB">
      <w:pPr>
        <w:spacing w:line="480" w:lineRule="auto"/>
        <w:rPr>
          <w:rFonts w:ascii="Arial" w:hAnsi="Arial" w:cs="Arial"/>
          <w:sz w:val="22"/>
          <w:szCs w:val="22"/>
        </w:rPr>
      </w:pPr>
    </w:p>
    <w:p w14:paraId="3F7B5520" w14:textId="21B75481" w:rsidR="00607CF3" w:rsidRPr="00C26638" w:rsidRDefault="00170BEB" w:rsidP="00C26638">
      <w:pPr>
        <w:spacing w:line="480" w:lineRule="auto"/>
        <w:rPr>
          <w:rFonts w:ascii="Arial" w:hAnsi="Arial" w:cs="Arial"/>
          <w:sz w:val="22"/>
          <w:szCs w:val="22"/>
        </w:rPr>
      </w:pPr>
      <w:r>
        <w:rPr>
          <w:rFonts w:ascii="Arial" w:hAnsi="Arial" w:cs="Arial"/>
          <w:sz w:val="22"/>
          <w:szCs w:val="22"/>
        </w:rPr>
        <w:t>A growing number of studies have used MLM to explore data</w:t>
      </w:r>
      <w:r w:rsidR="0021454B">
        <w:rPr>
          <w:rFonts w:ascii="Arial" w:hAnsi="Arial" w:cs="Arial"/>
          <w:sz w:val="22"/>
          <w:szCs w:val="22"/>
        </w:rPr>
        <w:t>,</w:t>
      </w:r>
      <w:r>
        <w:rPr>
          <w:rFonts w:ascii="Arial" w:hAnsi="Arial" w:cs="Arial"/>
          <w:sz w:val="22"/>
          <w:szCs w:val="22"/>
        </w:rPr>
        <w:t xml:space="preserve"> that is nested in this way</w:t>
      </w:r>
      <w:r w:rsidR="0021454B">
        <w:rPr>
          <w:rFonts w:ascii="Arial" w:hAnsi="Arial" w:cs="Arial"/>
          <w:sz w:val="22"/>
          <w:szCs w:val="22"/>
        </w:rPr>
        <w:t>,</w:t>
      </w:r>
      <w:r>
        <w:rPr>
          <w:rFonts w:ascii="Arial" w:hAnsi="Arial" w:cs="Arial"/>
          <w:sz w:val="22"/>
          <w:szCs w:val="22"/>
        </w:rPr>
        <w:t xml:space="preserve"> in order to understand the comparative impact that therapists have on patients. These studies are known as therapist effects studies (Lutz and Barkham, 2015). At the time of writing there have been at least 118 therapist effects studies, the most significant of which are presented in </w:t>
      </w:r>
      <w:r w:rsidRPr="00F90E30">
        <w:rPr>
          <w:rFonts w:ascii="Arial" w:hAnsi="Arial" w:cs="Arial"/>
          <w:sz w:val="22"/>
          <w:szCs w:val="22"/>
        </w:rPr>
        <w:t>two meta-analyses of therapist effects studies</w:t>
      </w:r>
      <w:r>
        <w:rPr>
          <w:rFonts w:ascii="Arial" w:hAnsi="Arial" w:cs="Arial"/>
          <w:sz w:val="22"/>
          <w:szCs w:val="22"/>
        </w:rPr>
        <w:t>. These were</w:t>
      </w:r>
      <w:r w:rsidRPr="00F90E30">
        <w:rPr>
          <w:rFonts w:ascii="Arial" w:hAnsi="Arial" w:cs="Arial"/>
          <w:sz w:val="22"/>
          <w:szCs w:val="22"/>
        </w:rPr>
        <w:t xml:space="preserve"> undertaken by Baldwin and Imel (2013) and, more recently, Johns, Kellett, Saxon and Barkham (2019)</w:t>
      </w:r>
      <w:r>
        <w:rPr>
          <w:rFonts w:ascii="Arial" w:hAnsi="Arial" w:cs="Arial"/>
          <w:sz w:val="22"/>
          <w:szCs w:val="22"/>
        </w:rPr>
        <w:t>. Johns et al., report a therapist effect of between 0.2% and 29% with a weighted average of 5%, which is comparable to Baldwin and Imel’s (2013) earlier findings of between 3</w:t>
      </w:r>
      <w:r w:rsidR="00BC7CC8">
        <w:rPr>
          <w:rFonts w:ascii="Arial" w:hAnsi="Arial" w:cs="Arial"/>
          <w:sz w:val="22"/>
          <w:szCs w:val="22"/>
        </w:rPr>
        <w:t>%</w:t>
      </w:r>
      <w:r>
        <w:rPr>
          <w:rFonts w:ascii="Arial" w:hAnsi="Arial" w:cs="Arial"/>
          <w:sz w:val="22"/>
          <w:szCs w:val="22"/>
        </w:rPr>
        <w:t xml:space="preserve"> and 7%. However, there is significant heterogeneity in the studies included</w:t>
      </w:r>
      <w:r w:rsidR="0021454B">
        <w:rPr>
          <w:rFonts w:ascii="Arial" w:hAnsi="Arial" w:cs="Arial"/>
          <w:sz w:val="22"/>
          <w:szCs w:val="22"/>
        </w:rPr>
        <w:t xml:space="preserve"> in</w:t>
      </w:r>
      <w:r>
        <w:rPr>
          <w:rFonts w:ascii="Arial" w:hAnsi="Arial" w:cs="Arial"/>
          <w:sz w:val="22"/>
          <w:szCs w:val="22"/>
        </w:rPr>
        <w:t xml:space="preserve"> the meta</w:t>
      </w:r>
      <w:r w:rsidR="00BC7CC8">
        <w:rPr>
          <w:rFonts w:ascii="Arial" w:hAnsi="Arial" w:cs="Arial"/>
          <w:sz w:val="22"/>
          <w:szCs w:val="22"/>
        </w:rPr>
        <w:t>-</w:t>
      </w:r>
      <w:r>
        <w:rPr>
          <w:rFonts w:ascii="Arial" w:hAnsi="Arial" w:cs="Arial"/>
          <w:sz w:val="22"/>
          <w:szCs w:val="22"/>
        </w:rPr>
        <w:t>analyses making it difficult to disentangle the</w:t>
      </w:r>
      <w:r w:rsidR="00EC6DFF">
        <w:rPr>
          <w:rFonts w:ascii="Arial" w:hAnsi="Arial" w:cs="Arial"/>
          <w:sz w:val="22"/>
          <w:szCs w:val="22"/>
        </w:rPr>
        <w:t xml:space="preserve"> findings</w:t>
      </w:r>
      <w:r w:rsidR="00875268">
        <w:rPr>
          <w:rFonts w:ascii="Arial" w:hAnsi="Arial" w:cs="Arial"/>
          <w:sz w:val="22"/>
          <w:szCs w:val="22"/>
        </w:rPr>
        <w:t>.</w:t>
      </w:r>
      <w:r>
        <w:rPr>
          <w:rFonts w:ascii="Arial" w:hAnsi="Arial" w:cs="Arial"/>
          <w:sz w:val="22"/>
          <w:szCs w:val="22"/>
        </w:rPr>
        <w:t xml:space="preserve"> Many of the studies were randomised controlled trials </w:t>
      </w:r>
      <w:r>
        <w:rPr>
          <w:rFonts w:ascii="Arial" w:hAnsi="Arial" w:cs="Arial"/>
          <w:sz w:val="22"/>
          <w:szCs w:val="22"/>
        </w:rPr>
        <w:lastRenderedPageBreak/>
        <w:t xml:space="preserve">where therapist effects were a secondary outcome. In addition, several of the studies were underpowered with a range of 6 – 1800 therapists </w:t>
      </w:r>
      <w:r w:rsidR="0021454B">
        <w:rPr>
          <w:rFonts w:ascii="Arial" w:hAnsi="Arial" w:cs="Arial"/>
          <w:sz w:val="22"/>
          <w:szCs w:val="22"/>
        </w:rPr>
        <w:t>where</w:t>
      </w:r>
      <w:r>
        <w:rPr>
          <w:rFonts w:ascii="Arial" w:hAnsi="Arial" w:cs="Arial"/>
          <w:sz w:val="22"/>
          <w:szCs w:val="22"/>
        </w:rPr>
        <w:t xml:space="preserve"> 13 of the studies had less than 100 therapists</w:t>
      </w:r>
      <w:r w:rsidR="00AE2B91">
        <w:rPr>
          <w:rFonts w:ascii="Arial" w:hAnsi="Arial" w:cs="Arial"/>
          <w:sz w:val="22"/>
          <w:szCs w:val="22"/>
        </w:rPr>
        <w:t xml:space="preserve"> (Schiefele et al</w:t>
      </w:r>
      <w:r w:rsidR="00875268">
        <w:rPr>
          <w:rFonts w:ascii="Arial" w:hAnsi="Arial" w:cs="Arial"/>
          <w:sz w:val="22"/>
          <w:szCs w:val="22"/>
        </w:rPr>
        <w:t>.,</w:t>
      </w:r>
      <w:r w:rsidR="00AE2B91">
        <w:rPr>
          <w:rFonts w:ascii="Arial" w:hAnsi="Arial" w:cs="Arial"/>
          <w:sz w:val="22"/>
          <w:szCs w:val="22"/>
        </w:rPr>
        <w:t xml:space="preserve"> 201</w:t>
      </w:r>
      <w:r w:rsidR="00F420D8">
        <w:rPr>
          <w:rFonts w:ascii="Arial" w:hAnsi="Arial" w:cs="Arial"/>
          <w:sz w:val="22"/>
          <w:szCs w:val="22"/>
        </w:rPr>
        <w:t>6</w:t>
      </w:r>
      <w:r w:rsidR="00AE2B91">
        <w:rPr>
          <w:rFonts w:ascii="Arial" w:hAnsi="Arial" w:cs="Arial"/>
          <w:sz w:val="22"/>
          <w:szCs w:val="22"/>
        </w:rPr>
        <w:t xml:space="preserve">, Johns et al., 2018). </w:t>
      </w:r>
      <w:r>
        <w:rPr>
          <w:rFonts w:ascii="Arial" w:hAnsi="Arial" w:cs="Arial"/>
          <w:sz w:val="22"/>
          <w:szCs w:val="22"/>
        </w:rPr>
        <w:t>However, all of the studies, except one (Goldsmith et al., 2015) reported a significant therapist effect</w:t>
      </w:r>
      <w:r w:rsidR="0021454B">
        <w:rPr>
          <w:rFonts w:ascii="Arial" w:hAnsi="Arial" w:cs="Arial"/>
          <w:sz w:val="22"/>
          <w:szCs w:val="22"/>
        </w:rPr>
        <w:t xml:space="preserve">. These findings </w:t>
      </w:r>
      <w:r>
        <w:rPr>
          <w:rFonts w:ascii="Arial" w:hAnsi="Arial" w:cs="Arial"/>
          <w:sz w:val="22"/>
          <w:szCs w:val="22"/>
        </w:rPr>
        <w:t xml:space="preserve">merit further research in order to understand how </w:t>
      </w:r>
      <w:r w:rsidR="0021454B">
        <w:rPr>
          <w:rFonts w:ascii="Arial" w:hAnsi="Arial" w:cs="Arial"/>
          <w:sz w:val="22"/>
          <w:szCs w:val="22"/>
        </w:rPr>
        <w:t>to improve</w:t>
      </w:r>
      <w:r>
        <w:rPr>
          <w:rFonts w:ascii="Arial" w:hAnsi="Arial" w:cs="Arial"/>
          <w:sz w:val="22"/>
          <w:szCs w:val="22"/>
        </w:rPr>
        <w:t xml:space="preserve"> patient outcomes (Johns et al., 2018). </w:t>
      </w:r>
      <w:r w:rsidR="0021454B">
        <w:rPr>
          <w:rFonts w:ascii="Arial" w:hAnsi="Arial" w:cs="Arial"/>
          <w:sz w:val="22"/>
          <w:szCs w:val="22"/>
        </w:rPr>
        <w:t>Whilst</w:t>
      </w:r>
      <w:r>
        <w:rPr>
          <w:rFonts w:ascii="Arial" w:hAnsi="Arial" w:cs="Arial"/>
          <w:sz w:val="22"/>
          <w:szCs w:val="22"/>
        </w:rPr>
        <w:t xml:space="preserve"> </w:t>
      </w:r>
      <w:r w:rsidRPr="00F90E30">
        <w:rPr>
          <w:rFonts w:ascii="Arial" w:hAnsi="Arial" w:cs="Arial"/>
          <w:sz w:val="22"/>
          <w:szCs w:val="22"/>
        </w:rPr>
        <w:t>this statistical method provide</w:t>
      </w:r>
      <w:r w:rsidR="0021454B">
        <w:rPr>
          <w:rFonts w:ascii="Arial" w:hAnsi="Arial" w:cs="Arial"/>
          <w:sz w:val="22"/>
          <w:szCs w:val="22"/>
        </w:rPr>
        <w:t>s</w:t>
      </w:r>
      <w:r w:rsidRPr="00F90E30">
        <w:rPr>
          <w:rFonts w:ascii="Arial" w:hAnsi="Arial" w:cs="Arial"/>
          <w:sz w:val="22"/>
          <w:szCs w:val="22"/>
        </w:rPr>
        <w:t xml:space="preserve"> </w:t>
      </w:r>
      <w:r w:rsidR="0021454B">
        <w:rPr>
          <w:rFonts w:ascii="Arial" w:hAnsi="Arial" w:cs="Arial"/>
          <w:sz w:val="22"/>
          <w:szCs w:val="22"/>
        </w:rPr>
        <w:t>an</w:t>
      </w:r>
      <w:r w:rsidRPr="00F90E30">
        <w:rPr>
          <w:rFonts w:ascii="Arial" w:hAnsi="Arial" w:cs="Arial"/>
          <w:sz w:val="22"/>
          <w:szCs w:val="22"/>
        </w:rPr>
        <w:t xml:space="preserve"> indication of how much of variance between clinical outcomes is due to therapist effects</w:t>
      </w:r>
      <w:r w:rsidR="0021454B">
        <w:rPr>
          <w:rFonts w:ascii="Arial" w:hAnsi="Arial" w:cs="Arial"/>
          <w:sz w:val="22"/>
          <w:szCs w:val="22"/>
        </w:rPr>
        <w:t>, MLM</w:t>
      </w:r>
      <w:r w:rsidRPr="00F90E30">
        <w:rPr>
          <w:rFonts w:ascii="Arial" w:hAnsi="Arial" w:cs="Arial"/>
          <w:sz w:val="22"/>
          <w:szCs w:val="22"/>
        </w:rPr>
        <w:t xml:space="preserve"> does not explain which therapist variables </w:t>
      </w:r>
      <w:r w:rsidR="0021454B">
        <w:rPr>
          <w:rFonts w:ascii="Arial" w:hAnsi="Arial" w:cs="Arial"/>
          <w:sz w:val="22"/>
          <w:szCs w:val="22"/>
        </w:rPr>
        <w:t>are</w:t>
      </w:r>
      <w:r w:rsidRPr="00F90E30">
        <w:rPr>
          <w:rFonts w:ascii="Arial" w:hAnsi="Arial" w:cs="Arial"/>
          <w:sz w:val="22"/>
          <w:szCs w:val="22"/>
        </w:rPr>
        <w:t xml:space="preserve"> more </w:t>
      </w:r>
      <w:r w:rsidR="0021454B">
        <w:rPr>
          <w:rFonts w:ascii="Arial" w:hAnsi="Arial" w:cs="Arial"/>
          <w:sz w:val="22"/>
          <w:szCs w:val="22"/>
        </w:rPr>
        <w:t>significant</w:t>
      </w:r>
      <w:r w:rsidRPr="00F90E30">
        <w:rPr>
          <w:rFonts w:ascii="Arial" w:hAnsi="Arial" w:cs="Arial"/>
          <w:sz w:val="22"/>
          <w:szCs w:val="22"/>
        </w:rPr>
        <w:t xml:space="preserve"> than others. </w:t>
      </w:r>
      <w:r w:rsidR="00DC2DE7" w:rsidRPr="00F90E30">
        <w:rPr>
          <w:rFonts w:ascii="Arial" w:hAnsi="Arial" w:cs="Arial"/>
          <w:sz w:val="22"/>
          <w:szCs w:val="22"/>
        </w:rPr>
        <w:t>The literature review</w:t>
      </w:r>
      <w:r w:rsidR="003C7DDF">
        <w:rPr>
          <w:rFonts w:ascii="Arial" w:hAnsi="Arial" w:cs="Arial"/>
          <w:sz w:val="22"/>
          <w:szCs w:val="22"/>
        </w:rPr>
        <w:t>,</w:t>
      </w:r>
      <w:r w:rsidR="00DC2DE7" w:rsidRPr="00F90E30">
        <w:rPr>
          <w:rFonts w:ascii="Arial" w:hAnsi="Arial" w:cs="Arial"/>
          <w:sz w:val="22"/>
          <w:szCs w:val="22"/>
        </w:rPr>
        <w:t xml:space="preserve"> </w:t>
      </w:r>
      <w:r w:rsidR="003C7DDF">
        <w:rPr>
          <w:rFonts w:ascii="Arial" w:hAnsi="Arial" w:cs="Arial"/>
          <w:sz w:val="22"/>
          <w:szCs w:val="22"/>
        </w:rPr>
        <w:t xml:space="preserve">contained in this thesis, </w:t>
      </w:r>
      <w:r w:rsidR="00DC2DE7" w:rsidRPr="00F90E30">
        <w:rPr>
          <w:rFonts w:ascii="Arial" w:hAnsi="Arial" w:cs="Arial"/>
          <w:sz w:val="22"/>
          <w:szCs w:val="22"/>
        </w:rPr>
        <w:t>indicated that whilst there is a growing body of work that relates to therapist effect</w:t>
      </w:r>
      <w:r w:rsidR="00AE2B91">
        <w:rPr>
          <w:rFonts w:ascii="Arial" w:hAnsi="Arial" w:cs="Arial"/>
          <w:sz w:val="22"/>
          <w:szCs w:val="22"/>
        </w:rPr>
        <w:t>s in IAPT</w:t>
      </w:r>
      <w:r w:rsidR="000941BA">
        <w:rPr>
          <w:rFonts w:ascii="Arial" w:hAnsi="Arial" w:cs="Arial"/>
          <w:sz w:val="22"/>
          <w:szCs w:val="22"/>
        </w:rPr>
        <w:t>,</w:t>
      </w:r>
      <w:r w:rsidR="00DC2DE7" w:rsidRPr="00F90E30">
        <w:rPr>
          <w:rFonts w:ascii="Arial" w:hAnsi="Arial" w:cs="Arial"/>
          <w:sz w:val="22"/>
          <w:szCs w:val="22"/>
        </w:rPr>
        <w:t xml:space="preserve"> very little is known about why some therapists achieve better outcomes than others</w:t>
      </w:r>
      <w:r w:rsidR="003C7DDF">
        <w:rPr>
          <w:rFonts w:ascii="Arial" w:hAnsi="Arial" w:cs="Arial"/>
          <w:sz w:val="22"/>
          <w:szCs w:val="22"/>
        </w:rPr>
        <w:t xml:space="preserve">. </w:t>
      </w:r>
      <w:r w:rsidR="00DC2DE7" w:rsidRPr="00F90E30">
        <w:rPr>
          <w:rFonts w:ascii="Arial" w:hAnsi="Arial" w:cs="Arial"/>
          <w:sz w:val="22"/>
          <w:szCs w:val="22"/>
        </w:rPr>
        <w:t xml:space="preserve">The scarcity of knowledge in this area is due to the practical problem of accessing sufficient recordings of live therapy sessions that can be </w:t>
      </w:r>
      <w:r w:rsidR="00A23787">
        <w:rPr>
          <w:rFonts w:ascii="Arial" w:hAnsi="Arial" w:cs="Arial"/>
          <w:sz w:val="22"/>
          <w:szCs w:val="22"/>
        </w:rPr>
        <w:t>analysed</w:t>
      </w:r>
      <w:r w:rsidR="00DC2DE7" w:rsidRPr="00F90E30">
        <w:rPr>
          <w:rFonts w:ascii="Arial" w:hAnsi="Arial" w:cs="Arial"/>
          <w:sz w:val="22"/>
          <w:szCs w:val="22"/>
        </w:rPr>
        <w:t xml:space="preserve"> </w:t>
      </w:r>
      <w:r w:rsidR="00A23787">
        <w:rPr>
          <w:rFonts w:ascii="Arial" w:hAnsi="Arial" w:cs="Arial"/>
          <w:sz w:val="22"/>
          <w:szCs w:val="22"/>
        </w:rPr>
        <w:t xml:space="preserve">in order </w:t>
      </w:r>
      <w:r w:rsidR="00DC2DE7" w:rsidRPr="00F90E30">
        <w:rPr>
          <w:rFonts w:ascii="Arial" w:hAnsi="Arial" w:cs="Arial"/>
          <w:sz w:val="22"/>
          <w:szCs w:val="22"/>
        </w:rPr>
        <w:t xml:space="preserve">to understand what therapists may, or may not, be doing with their patients </w:t>
      </w:r>
      <w:r w:rsidR="00DC2DE7">
        <w:rPr>
          <w:rFonts w:ascii="Arial" w:hAnsi="Arial" w:cs="Arial"/>
          <w:sz w:val="22"/>
          <w:szCs w:val="22"/>
        </w:rPr>
        <w:t xml:space="preserve">and how </w:t>
      </w:r>
      <w:r w:rsidR="00DC2DE7" w:rsidRPr="00F90E30">
        <w:rPr>
          <w:rFonts w:ascii="Arial" w:hAnsi="Arial" w:cs="Arial"/>
          <w:sz w:val="22"/>
          <w:szCs w:val="22"/>
        </w:rPr>
        <w:t xml:space="preserve">that </w:t>
      </w:r>
      <w:r w:rsidR="00DC2DE7">
        <w:rPr>
          <w:rFonts w:ascii="Arial" w:hAnsi="Arial" w:cs="Arial"/>
          <w:sz w:val="22"/>
          <w:szCs w:val="22"/>
        </w:rPr>
        <w:t xml:space="preserve">might </w:t>
      </w:r>
      <w:r w:rsidR="00DC2DE7" w:rsidRPr="00F90E30">
        <w:rPr>
          <w:rFonts w:ascii="Arial" w:hAnsi="Arial" w:cs="Arial"/>
          <w:sz w:val="22"/>
          <w:szCs w:val="22"/>
        </w:rPr>
        <w:t>relate to clinical outcome. This identified gap in knowledge</w:t>
      </w:r>
      <w:r w:rsidR="00E300BD">
        <w:rPr>
          <w:rFonts w:ascii="Arial" w:hAnsi="Arial" w:cs="Arial"/>
          <w:sz w:val="22"/>
          <w:szCs w:val="22"/>
        </w:rPr>
        <w:t>,</w:t>
      </w:r>
      <w:r w:rsidR="00AE2B91">
        <w:rPr>
          <w:rFonts w:ascii="Arial" w:hAnsi="Arial" w:cs="Arial"/>
          <w:sz w:val="22"/>
          <w:szCs w:val="22"/>
        </w:rPr>
        <w:t xml:space="preserve"> and the growing knowl</w:t>
      </w:r>
      <w:r w:rsidR="00FF250A">
        <w:rPr>
          <w:rFonts w:ascii="Arial" w:hAnsi="Arial" w:cs="Arial"/>
          <w:sz w:val="22"/>
          <w:szCs w:val="22"/>
        </w:rPr>
        <w:t>e</w:t>
      </w:r>
      <w:r w:rsidR="00AE2B91">
        <w:rPr>
          <w:rFonts w:ascii="Arial" w:hAnsi="Arial" w:cs="Arial"/>
          <w:sz w:val="22"/>
          <w:szCs w:val="22"/>
        </w:rPr>
        <w:t>dge relating to therapist effects</w:t>
      </w:r>
      <w:r w:rsidR="00E300BD">
        <w:rPr>
          <w:rFonts w:ascii="Arial" w:hAnsi="Arial" w:cs="Arial"/>
          <w:sz w:val="22"/>
          <w:szCs w:val="22"/>
        </w:rPr>
        <w:t>,</w:t>
      </w:r>
      <w:r w:rsidR="00AE2B91">
        <w:rPr>
          <w:rFonts w:ascii="Arial" w:hAnsi="Arial" w:cs="Arial"/>
          <w:sz w:val="22"/>
          <w:szCs w:val="22"/>
        </w:rPr>
        <w:t xml:space="preserve"> </w:t>
      </w:r>
      <w:r w:rsidR="00DC2DE7" w:rsidRPr="00F90E30">
        <w:rPr>
          <w:rFonts w:ascii="Arial" w:hAnsi="Arial" w:cs="Arial"/>
          <w:sz w:val="22"/>
          <w:szCs w:val="22"/>
        </w:rPr>
        <w:t xml:space="preserve">led to </w:t>
      </w:r>
      <w:r w:rsidR="00AE2B91">
        <w:rPr>
          <w:rFonts w:ascii="Arial" w:hAnsi="Arial" w:cs="Arial"/>
          <w:sz w:val="22"/>
          <w:szCs w:val="22"/>
        </w:rPr>
        <w:t xml:space="preserve">a decision to not include a therapist effects analysis in this research but instead to focus </w:t>
      </w:r>
      <w:r w:rsidR="00FF250A">
        <w:rPr>
          <w:rFonts w:ascii="Arial" w:hAnsi="Arial" w:cs="Arial"/>
          <w:sz w:val="22"/>
          <w:szCs w:val="22"/>
        </w:rPr>
        <w:t xml:space="preserve">more specifically on therapist variables. This led to </w:t>
      </w:r>
      <w:r w:rsidR="00875268">
        <w:rPr>
          <w:rFonts w:ascii="Arial" w:hAnsi="Arial" w:cs="Arial"/>
          <w:sz w:val="22"/>
          <w:szCs w:val="22"/>
        </w:rPr>
        <w:t>four</w:t>
      </w:r>
      <w:r w:rsidR="00DC2DE7" w:rsidRPr="00F90E30">
        <w:rPr>
          <w:rFonts w:ascii="Arial" w:hAnsi="Arial" w:cs="Arial"/>
          <w:sz w:val="22"/>
          <w:szCs w:val="22"/>
        </w:rPr>
        <w:t xml:space="preserve"> research questions on which this thesis is based. The findings</w:t>
      </w:r>
      <w:r w:rsidR="00FF250A">
        <w:rPr>
          <w:rFonts w:ascii="Arial" w:hAnsi="Arial" w:cs="Arial"/>
          <w:sz w:val="22"/>
          <w:szCs w:val="22"/>
        </w:rPr>
        <w:t>, relating to</w:t>
      </w:r>
      <w:r w:rsidR="00875268">
        <w:rPr>
          <w:rFonts w:ascii="Arial" w:hAnsi="Arial" w:cs="Arial"/>
          <w:sz w:val="22"/>
          <w:szCs w:val="22"/>
        </w:rPr>
        <w:t xml:space="preserve"> </w:t>
      </w:r>
      <w:r w:rsidR="003C7DDF">
        <w:rPr>
          <w:rFonts w:ascii="Arial" w:hAnsi="Arial" w:cs="Arial"/>
          <w:sz w:val="22"/>
          <w:szCs w:val="22"/>
        </w:rPr>
        <w:t xml:space="preserve">each of these questions regarding </w:t>
      </w:r>
      <w:r w:rsidR="00FF250A">
        <w:rPr>
          <w:rFonts w:ascii="Arial" w:hAnsi="Arial" w:cs="Arial"/>
          <w:sz w:val="22"/>
          <w:szCs w:val="22"/>
        </w:rPr>
        <w:t>therapist demographics,</w:t>
      </w:r>
      <w:r w:rsidR="00875268">
        <w:rPr>
          <w:rFonts w:ascii="Arial" w:hAnsi="Arial" w:cs="Arial"/>
          <w:sz w:val="22"/>
          <w:szCs w:val="22"/>
        </w:rPr>
        <w:t xml:space="preserve"> therapist training, therapist competence and therapist adherence </w:t>
      </w:r>
      <w:r w:rsidR="00DC2DE7" w:rsidRPr="00F90E30">
        <w:rPr>
          <w:rFonts w:ascii="Arial" w:hAnsi="Arial" w:cs="Arial"/>
          <w:sz w:val="22"/>
          <w:szCs w:val="22"/>
        </w:rPr>
        <w:t>are summarised in the sections that follow.</w:t>
      </w:r>
      <w:r w:rsidR="00C26638">
        <w:rPr>
          <w:rFonts w:ascii="Arial" w:hAnsi="Arial" w:cs="Arial"/>
          <w:sz w:val="22"/>
          <w:szCs w:val="22"/>
        </w:rPr>
        <w:br/>
      </w:r>
    </w:p>
    <w:p w14:paraId="20CB4130" w14:textId="37275F53" w:rsidR="00DC2DE7" w:rsidRPr="00794297" w:rsidRDefault="00C361CE" w:rsidP="00C361CE">
      <w:pPr>
        <w:pStyle w:val="Heading2"/>
        <w:rPr>
          <w:rFonts w:ascii="Arial" w:hAnsi="Arial" w:cs="Arial"/>
          <w:color w:val="000000" w:themeColor="text1"/>
          <w:sz w:val="22"/>
          <w:szCs w:val="22"/>
        </w:rPr>
      </w:pPr>
      <w:bookmarkStart w:id="418" w:name="_Toc46770840"/>
      <w:bookmarkStart w:id="419" w:name="_Toc79414251"/>
      <w:r w:rsidRPr="00794297">
        <w:rPr>
          <w:rFonts w:ascii="Arial" w:hAnsi="Arial" w:cs="Arial"/>
          <w:color w:val="000000" w:themeColor="text1"/>
          <w:sz w:val="22"/>
          <w:szCs w:val="22"/>
        </w:rPr>
        <w:t>6.2 RESEARCH QUESTION ONE</w:t>
      </w:r>
      <w:r w:rsidR="008F1477">
        <w:rPr>
          <w:rFonts w:ascii="Arial" w:hAnsi="Arial" w:cs="Arial"/>
          <w:color w:val="000000" w:themeColor="text1"/>
          <w:sz w:val="22"/>
          <w:szCs w:val="22"/>
        </w:rPr>
        <w:t>: THERAPIST DEMOGRAPHICS &amp; OUTCOME</w:t>
      </w:r>
      <w:bookmarkEnd w:id="418"/>
      <w:bookmarkEnd w:id="419"/>
      <w:r w:rsidR="00DC2DE7" w:rsidRPr="00794297">
        <w:rPr>
          <w:rFonts w:ascii="Arial" w:hAnsi="Arial" w:cs="Arial"/>
          <w:color w:val="000000" w:themeColor="text1"/>
          <w:sz w:val="22"/>
          <w:szCs w:val="22"/>
        </w:rPr>
        <w:t xml:space="preserve"> </w:t>
      </w:r>
    </w:p>
    <w:p w14:paraId="3090935F" w14:textId="77777777" w:rsidR="00DC2DE7" w:rsidRPr="00CF009D" w:rsidRDefault="00DC2DE7" w:rsidP="00DC2DE7"/>
    <w:p w14:paraId="3AD1946A" w14:textId="6554B583" w:rsidR="00DC2DE7" w:rsidRDefault="00DC2DE7" w:rsidP="00DC2DE7">
      <w:pPr>
        <w:spacing w:line="480" w:lineRule="auto"/>
        <w:rPr>
          <w:rFonts w:ascii="Arial" w:hAnsi="Arial" w:cs="Arial"/>
          <w:sz w:val="22"/>
          <w:szCs w:val="22"/>
        </w:rPr>
      </w:pPr>
      <w:r>
        <w:rPr>
          <w:rFonts w:ascii="Arial" w:hAnsi="Arial" w:cs="Arial"/>
          <w:sz w:val="22"/>
          <w:szCs w:val="22"/>
        </w:rPr>
        <w:t>The first research question</w:t>
      </w:r>
      <w:r w:rsidR="00E300BD">
        <w:rPr>
          <w:rFonts w:ascii="Arial" w:hAnsi="Arial" w:cs="Arial"/>
          <w:sz w:val="22"/>
          <w:szCs w:val="22"/>
        </w:rPr>
        <w:t>,</w:t>
      </w:r>
      <w:r>
        <w:rPr>
          <w:rFonts w:ascii="Arial" w:hAnsi="Arial" w:cs="Arial"/>
          <w:sz w:val="22"/>
          <w:szCs w:val="22"/>
        </w:rPr>
        <w:t xml:space="preserve"> </w:t>
      </w:r>
      <w:r w:rsidR="008C3766">
        <w:rPr>
          <w:rFonts w:ascii="Arial" w:hAnsi="Arial" w:cs="Arial"/>
          <w:sz w:val="22"/>
          <w:szCs w:val="22"/>
        </w:rPr>
        <w:t xml:space="preserve">defined in </w:t>
      </w:r>
      <w:r w:rsidR="00E300BD">
        <w:rPr>
          <w:rFonts w:ascii="Arial" w:hAnsi="Arial" w:cs="Arial"/>
          <w:sz w:val="22"/>
          <w:szCs w:val="22"/>
        </w:rPr>
        <w:t>C</w:t>
      </w:r>
      <w:r w:rsidR="008C3766">
        <w:rPr>
          <w:rFonts w:ascii="Arial" w:hAnsi="Arial" w:cs="Arial"/>
          <w:sz w:val="22"/>
          <w:szCs w:val="22"/>
        </w:rPr>
        <w:t xml:space="preserve">hapter </w:t>
      </w:r>
      <w:r w:rsidR="00E300BD">
        <w:rPr>
          <w:rFonts w:ascii="Arial" w:hAnsi="Arial" w:cs="Arial"/>
          <w:sz w:val="22"/>
          <w:szCs w:val="22"/>
        </w:rPr>
        <w:t>3</w:t>
      </w:r>
      <w:r w:rsidR="008C3766">
        <w:rPr>
          <w:rFonts w:ascii="Arial" w:hAnsi="Arial" w:cs="Arial"/>
          <w:sz w:val="22"/>
          <w:szCs w:val="22"/>
        </w:rPr>
        <w:t xml:space="preserve"> of this thesis</w:t>
      </w:r>
      <w:r w:rsidR="00E300BD">
        <w:rPr>
          <w:rFonts w:ascii="Arial" w:hAnsi="Arial" w:cs="Arial"/>
          <w:sz w:val="22"/>
          <w:szCs w:val="22"/>
        </w:rPr>
        <w:t>,</w:t>
      </w:r>
      <w:r w:rsidR="008C3766">
        <w:rPr>
          <w:rFonts w:ascii="Arial" w:hAnsi="Arial" w:cs="Arial"/>
          <w:sz w:val="22"/>
          <w:szCs w:val="22"/>
        </w:rPr>
        <w:t xml:space="preserve"> sought to understand </w:t>
      </w:r>
      <w:r>
        <w:rPr>
          <w:rFonts w:ascii="Arial" w:hAnsi="Arial" w:cs="Arial"/>
          <w:sz w:val="22"/>
          <w:szCs w:val="22"/>
        </w:rPr>
        <w:t xml:space="preserve">whether a therapist’s age, gender, years of experience or core profession correlates with clinical outcome. Initial research on therapist variables understandably focussed on these </w:t>
      </w:r>
      <w:r w:rsidR="008C3766">
        <w:rPr>
          <w:rFonts w:ascii="Arial" w:hAnsi="Arial" w:cs="Arial"/>
          <w:sz w:val="22"/>
          <w:szCs w:val="22"/>
        </w:rPr>
        <w:t>four</w:t>
      </w:r>
      <w:r>
        <w:rPr>
          <w:rFonts w:ascii="Arial" w:hAnsi="Arial" w:cs="Arial"/>
          <w:sz w:val="22"/>
          <w:szCs w:val="22"/>
        </w:rPr>
        <w:t xml:space="preserve"> variables (see </w:t>
      </w:r>
      <w:r w:rsidR="00C30490">
        <w:rPr>
          <w:rFonts w:ascii="Arial" w:hAnsi="Arial" w:cs="Arial"/>
          <w:sz w:val="22"/>
          <w:szCs w:val="22"/>
        </w:rPr>
        <w:t xml:space="preserve">Stein and Lambert 1984, 1995). </w:t>
      </w:r>
      <w:r>
        <w:rPr>
          <w:rFonts w:ascii="Arial" w:hAnsi="Arial" w:cs="Arial"/>
          <w:sz w:val="22"/>
          <w:szCs w:val="22"/>
        </w:rPr>
        <w:t xml:space="preserve">It would seem a reasonable hypothesis that therapists with more life experience, more clinical experience or higher academic qualifications, such as a Doctorate in Clinical Psychology, would achieve better outcomes </w:t>
      </w:r>
      <w:r>
        <w:rPr>
          <w:rFonts w:ascii="Arial" w:hAnsi="Arial" w:cs="Arial"/>
          <w:sz w:val="22"/>
          <w:szCs w:val="22"/>
        </w:rPr>
        <w:lastRenderedPageBreak/>
        <w:t>than their younger, less</w:t>
      </w:r>
      <w:r w:rsidR="00AF32D6">
        <w:rPr>
          <w:rFonts w:ascii="Arial" w:hAnsi="Arial" w:cs="Arial"/>
          <w:sz w:val="22"/>
          <w:szCs w:val="22"/>
        </w:rPr>
        <w:t>-</w:t>
      </w:r>
      <w:r>
        <w:rPr>
          <w:rFonts w:ascii="Arial" w:hAnsi="Arial" w:cs="Arial"/>
          <w:sz w:val="22"/>
          <w:szCs w:val="22"/>
        </w:rPr>
        <w:t>experienced, less</w:t>
      </w:r>
      <w:r w:rsidR="00AF32D6">
        <w:rPr>
          <w:rFonts w:ascii="Arial" w:hAnsi="Arial" w:cs="Arial"/>
          <w:sz w:val="22"/>
          <w:szCs w:val="22"/>
        </w:rPr>
        <w:t>-</w:t>
      </w:r>
      <w:r>
        <w:rPr>
          <w:rFonts w:ascii="Arial" w:hAnsi="Arial" w:cs="Arial"/>
          <w:sz w:val="22"/>
          <w:szCs w:val="22"/>
        </w:rPr>
        <w:t xml:space="preserve">qualified colleagues. </w:t>
      </w:r>
      <w:r w:rsidRPr="008F7571">
        <w:rPr>
          <w:rFonts w:ascii="Arial" w:hAnsi="Arial" w:cs="Arial"/>
          <w:sz w:val="22"/>
          <w:szCs w:val="22"/>
        </w:rPr>
        <w:t>Whilst there was some early conjecture that supported this hypothesis</w:t>
      </w:r>
      <w:r w:rsidR="00105D08" w:rsidRPr="008F7571">
        <w:rPr>
          <w:rFonts w:ascii="Arial" w:hAnsi="Arial" w:cs="Arial"/>
          <w:sz w:val="22"/>
          <w:szCs w:val="22"/>
        </w:rPr>
        <w:t xml:space="preserve">, these studies had small </w:t>
      </w:r>
      <w:r w:rsidR="004F567D" w:rsidRPr="008F7571">
        <w:rPr>
          <w:rFonts w:ascii="Arial" w:hAnsi="Arial" w:cs="Arial"/>
          <w:sz w:val="22"/>
          <w:szCs w:val="22"/>
        </w:rPr>
        <w:t xml:space="preserve">sample </w:t>
      </w:r>
      <w:r w:rsidR="00105D08" w:rsidRPr="008F7571">
        <w:rPr>
          <w:rFonts w:ascii="Arial" w:hAnsi="Arial" w:cs="Arial"/>
          <w:sz w:val="22"/>
          <w:szCs w:val="22"/>
        </w:rPr>
        <w:t>sizes and tended to be based on trainee therapists rather than qualified therapists</w:t>
      </w:r>
      <w:r w:rsidR="00105D08" w:rsidRPr="00A06870">
        <w:rPr>
          <w:rFonts w:ascii="Arial" w:hAnsi="Arial" w:cs="Arial"/>
          <w:sz w:val="22"/>
          <w:szCs w:val="22"/>
          <w:highlight w:val="yellow"/>
        </w:rPr>
        <w:t>.</w:t>
      </w:r>
      <w:r w:rsidR="00C60F4F">
        <w:rPr>
          <w:rFonts w:ascii="Arial" w:hAnsi="Arial" w:cs="Arial"/>
          <w:sz w:val="22"/>
          <w:szCs w:val="22"/>
        </w:rPr>
        <w:t xml:space="preserve"> One study </w:t>
      </w:r>
      <w:r w:rsidR="00C30490">
        <w:rPr>
          <w:rFonts w:ascii="Arial" w:hAnsi="Arial" w:cs="Arial"/>
          <w:sz w:val="22"/>
          <w:szCs w:val="22"/>
        </w:rPr>
        <w:t>reported</w:t>
      </w:r>
      <w:r w:rsidR="00C60F4F">
        <w:rPr>
          <w:rFonts w:ascii="Arial" w:hAnsi="Arial" w:cs="Arial"/>
          <w:sz w:val="22"/>
          <w:szCs w:val="22"/>
        </w:rPr>
        <w:t xml:space="preserve"> that </w:t>
      </w:r>
      <w:r w:rsidR="00ED4CDA">
        <w:rPr>
          <w:rFonts w:ascii="Arial" w:hAnsi="Arial" w:cs="Arial"/>
          <w:sz w:val="22"/>
          <w:szCs w:val="22"/>
        </w:rPr>
        <w:t xml:space="preserve">IAPT </w:t>
      </w:r>
      <w:r w:rsidR="00C60F4F">
        <w:rPr>
          <w:rFonts w:ascii="Arial" w:hAnsi="Arial" w:cs="Arial"/>
          <w:sz w:val="22"/>
          <w:szCs w:val="22"/>
        </w:rPr>
        <w:t xml:space="preserve">trainees who </w:t>
      </w:r>
      <w:r w:rsidR="00C30490">
        <w:rPr>
          <w:rFonts w:ascii="Arial" w:hAnsi="Arial" w:cs="Arial"/>
          <w:sz w:val="22"/>
          <w:szCs w:val="22"/>
        </w:rPr>
        <w:t>were Clinical Psychologists</w:t>
      </w:r>
      <w:r w:rsidR="00ED4CDA">
        <w:rPr>
          <w:rFonts w:ascii="Arial" w:hAnsi="Arial" w:cs="Arial"/>
          <w:sz w:val="22"/>
          <w:szCs w:val="22"/>
        </w:rPr>
        <w:t xml:space="preserve"> achieved higher </w:t>
      </w:r>
      <w:r w:rsidR="00C30490">
        <w:rPr>
          <w:rFonts w:ascii="Arial" w:hAnsi="Arial" w:cs="Arial"/>
          <w:sz w:val="22"/>
          <w:szCs w:val="22"/>
        </w:rPr>
        <w:t xml:space="preserve">marks for interpersonal effectiveness on the CTS-R (Brosan, Reynolds and Moore, 2006). It should be noted that interpersonal effectiveness is only one of twelve items on the CTS-R and the authors failed to correlate CTS-R scores with clinical outcomes. </w:t>
      </w:r>
      <w:r w:rsidR="00C60F4F">
        <w:rPr>
          <w:rFonts w:ascii="Arial" w:hAnsi="Arial" w:cs="Arial"/>
          <w:sz w:val="22"/>
          <w:szCs w:val="22"/>
        </w:rPr>
        <w:t xml:space="preserve">Despite </w:t>
      </w:r>
      <w:r w:rsidR="00C30490">
        <w:rPr>
          <w:rFonts w:ascii="Arial" w:hAnsi="Arial" w:cs="Arial"/>
          <w:sz w:val="22"/>
          <w:szCs w:val="22"/>
        </w:rPr>
        <w:t>some conjecture</w:t>
      </w:r>
      <w:r w:rsidR="00E300BD">
        <w:rPr>
          <w:rFonts w:ascii="Arial" w:hAnsi="Arial" w:cs="Arial"/>
          <w:sz w:val="22"/>
          <w:szCs w:val="22"/>
        </w:rPr>
        <w:t>,</w:t>
      </w:r>
      <w:r w:rsidR="00ED4CDA">
        <w:rPr>
          <w:rFonts w:ascii="Arial" w:hAnsi="Arial" w:cs="Arial"/>
          <w:sz w:val="22"/>
          <w:szCs w:val="22"/>
        </w:rPr>
        <w:t xml:space="preserve"> </w:t>
      </w:r>
      <w:r w:rsidR="00C60F4F">
        <w:rPr>
          <w:rFonts w:ascii="Arial" w:hAnsi="Arial" w:cs="Arial"/>
          <w:sz w:val="22"/>
          <w:szCs w:val="22"/>
        </w:rPr>
        <w:t>it appears to be</w:t>
      </w:r>
      <w:r>
        <w:rPr>
          <w:rFonts w:ascii="Arial" w:hAnsi="Arial" w:cs="Arial"/>
          <w:sz w:val="22"/>
          <w:szCs w:val="22"/>
        </w:rPr>
        <w:t xml:space="preserve"> commonly agreed </w:t>
      </w:r>
      <w:r w:rsidR="00C60F4F">
        <w:rPr>
          <w:rFonts w:ascii="Arial" w:hAnsi="Arial" w:cs="Arial"/>
          <w:sz w:val="22"/>
          <w:szCs w:val="22"/>
        </w:rPr>
        <w:t>that therapist demographics</w:t>
      </w:r>
      <w:r>
        <w:rPr>
          <w:rFonts w:ascii="Arial" w:hAnsi="Arial" w:cs="Arial"/>
          <w:sz w:val="22"/>
          <w:szCs w:val="22"/>
        </w:rPr>
        <w:t xml:space="preserve"> </w:t>
      </w:r>
      <w:r w:rsidR="00C60F4F">
        <w:rPr>
          <w:rFonts w:ascii="Arial" w:hAnsi="Arial" w:cs="Arial"/>
          <w:sz w:val="22"/>
          <w:szCs w:val="22"/>
        </w:rPr>
        <w:t xml:space="preserve">such as age, gender, years of experience and training </w:t>
      </w:r>
      <w:r>
        <w:rPr>
          <w:rFonts w:ascii="Arial" w:hAnsi="Arial" w:cs="Arial"/>
          <w:sz w:val="22"/>
          <w:szCs w:val="22"/>
        </w:rPr>
        <w:t xml:space="preserve">are </w:t>
      </w:r>
      <w:r w:rsidR="00C60F4F">
        <w:rPr>
          <w:rFonts w:ascii="Arial" w:hAnsi="Arial" w:cs="Arial"/>
          <w:sz w:val="22"/>
          <w:szCs w:val="22"/>
        </w:rPr>
        <w:t>not related to</w:t>
      </w:r>
      <w:r>
        <w:rPr>
          <w:rFonts w:ascii="Arial" w:hAnsi="Arial" w:cs="Arial"/>
          <w:sz w:val="22"/>
          <w:szCs w:val="22"/>
        </w:rPr>
        <w:t xml:space="preserve"> treatment outcome (Weck et al., 2015, Castonguay and Hill 2017). Th</w:t>
      </w:r>
      <w:r w:rsidR="00C60F4F">
        <w:rPr>
          <w:rFonts w:ascii="Arial" w:hAnsi="Arial" w:cs="Arial"/>
          <w:sz w:val="22"/>
          <w:szCs w:val="22"/>
        </w:rPr>
        <w:t>e findings reported in this thesis</w:t>
      </w:r>
      <w:r>
        <w:rPr>
          <w:rFonts w:ascii="Arial" w:hAnsi="Arial" w:cs="Arial"/>
          <w:sz w:val="22"/>
          <w:szCs w:val="22"/>
        </w:rPr>
        <w:t xml:space="preserve"> </w:t>
      </w:r>
      <w:r w:rsidR="008C3766">
        <w:rPr>
          <w:rFonts w:ascii="Arial" w:hAnsi="Arial" w:cs="Arial"/>
          <w:sz w:val="22"/>
          <w:szCs w:val="22"/>
        </w:rPr>
        <w:t xml:space="preserve">supports the existing literature in that a therapist’s age, gender, years of experience or core profession </w:t>
      </w:r>
      <w:r w:rsidR="00ED4CDA">
        <w:rPr>
          <w:rFonts w:ascii="Arial" w:hAnsi="Arial" w:cs="Arial"/>
          <w:sz w:val="22"/>
          <w:szCs w:val="22"/>
        </w:rPr>
        <w:t xml:space="preserve">were </w:t>
      </w:r>
      <w:r w:rsidR="008C3766">
        <w:rPr>
          <w:rFonts w:ascii="Arial" w:hAnsi="Arial" w:cs="Arial"/>
          <w:sz w:val="22"/>
          <w:szCs w:val="22"/>
        </w:rPr>
        <w:t xml:space="preserve">not </w:t>
      </w:r>
      <w:r w:rsidR="00ED4CDA">
        <w:rPr>
          <w:rFonts w:ascii="Arial" w:hAnsi="Arial" w:cs="Arial"/>
          <w:sz w:val="22"/>
          <w:szCs w:val="22"/>
        </w:rPr>
        <w:t xml:space="preserve">found to be </w:t>
      </w:r>
      <w:r w:rsidR="008C3766">
        <w:rPr>
          <w:rFonts w:ascii="Arial" w:hAnsi="Arial" w:cs="Arial"/>
          <w:sz w:val="22"/>
          <w:szCs w:val="22"/>
        </w:rPr>
        <w:t>related to outcome.</w:t>
      </w:r>
    </w:p>
    <w:p w14:paraId="153789B7" w14:textId="77777777" w:rsidR="00DC2DE7" w:rsidRDefault="00DC2DE7" w:rsidP="00DC2DE7">
      <w:pPr>
        <w:spacing w:line="480" w:lineRule="auto"/>
        <w:rPr>
          <w:rFonts w:ascii="Arial" w:hAnsi="Arial" w:cs="Arial"/>
          <w:sz w:val="22"/>
          <w:szCs w:val="22"/>
        </w:rPr>
      </w:pPr>
    </w:p>
    <w:p w14:paraId="0EAAF7D7" w14:textId="3C0AE0C5" w:rsidR="00DC2DE7" w:rsidRPr="008F1477" w:rsidRDefault="00794297" w:rsidP="008F1477">
      <w:pPr>
        <w:pStyle w:val="Heading2"/>
        <w:rPr>
          <w:rFonts w:ascii="Arial" w:hAnsi="Arial" w:cs="Arial"/>
          <w:color w:val="000000" w:themeColor="text1"/>
          <w:sz w:val="22"/>
          <w:szCs w:val="22"/>
        </w:rPr>
      </w:pPr>
      <w:bookmarkStart w:id="420" w:name="_Toc46770841"/>
      <w:bookmarkStart w:id="421" w:name="_Toc79414252"/>
      <w:r w:rsidRPr="008F1477">
        <w:rPr>
          <w:rFonts w:ascii="Arial" w:hAnsi="Arial" w:cs="Arial"/>
          <w:color w:val="000000" w:themeColor="text1"/>
          <w:sz w:val="22"/>
          <w:szCs w:val="22"/>
        </w:rPr>
        <w:t>6.3 RESEARCH QUESTION TWO</w:t>
      </w:r>
      <w:r w:rsidR="008F1477" w:rsidRPr="008F1477">
        <w:rPr>
          <w:rFonts w:ascii="Arial" w:hAnsi="Arial" w:cs="Arial"/>
          <w:color w:val="000000" w:themeColor="text1"/>
          <w:sz w:val="22"/>
          <w:szCs w:val="22"/>
        </w:rPr>
        <w:t>:</w:t>
      </w:r>
      <w:r w:rsidR="00DC2DE7" w:rsidRPr="008F1477">
        <w:rPr>
          <w:rFonts w:ascii="Arial" w:hAnsi="Arial" w:cs="Arial"/>
          <w:color w:val="000000" w:themeColor="text1"/>
          <w:sz w:val="22"/>
          <w:szCs w:val="22"/>
        </w:rPr>
        <w:t xml:space="preserve"> </w:t>
      </w:r>
      <w:r w:rsidRPr="008F1477">
        <w:rPr>
          <w:rFonts w:ascii="Arial" w:hAnsi="Arial" w:cs="Arial"/>
          <w:color w:val="000000" w:themeColor="text1"/>
          <w:sz w:val="22"/>
          <w:szCs w:val="22"/>
        </w:rPr>
        <w:t>HI</w:t>
      </w:r>
      <w:r w:rsidR="00DC2DE7" w:rsidRPr="008F1477">
        <w:rPr>
          <w:rFonts w:ascii="Arial" w:hAnsi="Arial" w:cs="Arial"/>
          <w:color w:val="000000" w:themeColor="text1"/>
          <w:sz w:val="22"/>
          <w:szCs w:val="22"/>
        </w:rPr>
        <w:t xml:space="preserve"> IAPT </w:t>
      </w:r>
      <w:r w:rsidR="008F1477" w:rsidRPr="008F1477">
        <w:rPr>
          <w:rFonts w:ascii="Arial" w:hAnsi="Arial" w:cs="Arial"/>
          <w:color w:val="000000" w:themeColor="text1"/>
          <w:sz w:val="22"/>
          <w:szCs w:val="22"/>
        </w:rPr>
        <w:t>TRAINING &amp; CLINICAL OUTCOME</w:t>
      </w:r>
      <w:bookmarkEnd w:id="420"/>
      <w:bookmarkEnd w:id="421"/>
    </w:p>
    <w:p w14:paraId="4FF2BC16" w14:textId="77777777" w:rsidR="00DC2DE7" w:rsidRPr="002A4E8E" w:rsidRDefault="00DC2DE7" w:rsidP="00DC2DE7"/>
    <w:p w14:paraId="2E266EB0" w14:textId="4DD3A652" w:rsidR="00DC2DE7" w:rsidRDefault="00DC2DE7" w:rsidP="00DC2DE7">
      <w:pPr>
        <w:spacing w:line="480" w:lineRule="auto"/>
        <w:rPr>
          <w:rFonts w:ascii="Arial" w:hAnsi="Arial" w:cs="Arial"/>
          <w:sz w:val="22"/>
          <w:szCs w:val="22"/>
        </w:rPr>
      </w:pPr>
      <w:r>
        <w:rPr>
          <w:rFonts w:ascii="Arial" w:hAnsi="Arial" w:cs="Arial"/>
          <w:sz w:val="22"/>
          <w:szCs w:val="22"/>
        </w:rPr>
        <w:t xml:space="preserve">The High Intensity cognitive behavioural therapist IAPT training programme (see </w:t>
      </w:r>
      <w:r w:rsidR="00E300BD">
        <w:rPr>
          <w:rFonts w:ascii="Arial" w:hAnsi="Arial" w:cs="Arial"/>
          <w:sz w:val="22"/>
          <w:szCs w:val="22"/>
        </w:rPr>
        <w:t>C</w:t>
      </w:r>
      <w:r>
        <w:rPr>
          <w:rFonts w:ascii="Arial" w:hAnsi="Arial" w:cs="Arial"/>
          <w:sz w:val="22"/>
          <w:szCs w:val="22"/>
        </w:rPr>
        <w:t>hapter 2) was developed to train a workforce that could deliver National Institute of Health and Social Care Excellence (NICE) recommended interventions with a significant focus on adherence to evidence based protocols (NHS England, 2018). High Intensity therapists working in IAPT may have either completed the IAPT training programme or may have completed equivalent training elsewhere (mainly prior to IAPT). Whilst there are studies that have investigated the effectiveness of the IAPT training programme (see Macmanus, Westbrook,</w:t>
      </w:r>
      <w:r w:rsidR="003B1ED5">
        <w:rPr>
          <w:rFonts w:ascii="Arial" w:hAnsi="Arial" w:cs="Arial"/>
          <w:sz w:val="22"/>
          <w:szCs w:val="22"/>
        </w:rPr>
        <w:t xml:space="preserve"> </w:t>
      </w:r>
      <w:r>
        <w:rPr>
          <w:rFonts w:ascii="Arial" w:hAnsi="Arial" w:cs="Arial"/>
          <w:sz w:val="22"/>
          <w:szCs w:val="22"/>
        </w:rPr>
        <w:t>Vazquez Montes, Fennel and Kennedy, 2010, Clark 2018, Liness, Beale, Lea, Byrne, Hirsch and Clark 2019) no studies</w:t>
      </w:r>
      <w:r w:rsidR="00AF32D6">
        <w:rPr>
          <w:rFonts w:ascii="Arial" w:hAnsi="Arial" w:cs="Arial"/>
          <w:sz w:val="22"/>
          <w:szCs w:val="22"/>
        </w:rPr>
        <w:t>,</w:t>
      </w:r>
      <w:r>
        <w:rPr>
          <w:rFonts w:ascii="Arial" w:hAnsi="Arial" w:cs="Arial"/>
          <w:sz w:val="22"/>
          <w:szCs w:val="22"/>
        </w:rPr>
        <w:t xml:space="preserve"> to date</w:t>
      </w:r>
      <w:r w:rsidR="00AF32D6">
        <w:rPr>
          <w:rFonts w:ascii="Arial" w:hAnsi="Arial" w:cs="Arial"/>
          <w:sz w:val="22"/>
          <w:szCs w:val="22"/>
        </w:rPr>
        <w:t>,</w:t>
      </w:r>
      <w:r>
        <w:rPr>
          <w:rFonts w:ascii="Arial" w:hAnsi="Arial" w:cs="Arial"/>
          <w:sz w:val="22"/>
          <w:szCs w:val="22"/>
        </w:rPr>
        <w:t xml:space="preserve"> have compared outcomes between therapists who completed the IAPT training and those that have not. It might be argued that the IAPT training programme was developed in order to enhance and improve the training for CBT therapists (Liness et al., 2019) and</w:t>
      </w:r>
      <w:r w:rsidR="00AF32D6">
        <w:rPr>
          <w:rFonts w:ascii="Arial" w:hAnsi="Arial" w:cs="Arial"/>
          <w:sz w:val="22"/>
          <w:szCs w:val="22"/>
        </w:rPr>
        <w:t>,</w:t>
      </w:r>
      <w:r>
        <w:rPr>
          <w:rFonts w:ascii="Arial" w:hAnsi="Arial" w:cs="Arial"/>
          <w:sz w:val="22"/>
          <w:szCs w:val="22"/>
        </w:rPr>
        <w:t xml:space="preserve"> therefore</w:t>
      </w:r>
      <w:r w:rsidR="00AF32D6">
        <w:rPr>
          <w:rFonts w:ascii="Arial" w:hAnsi="Arial" w:cs="Arial"/>
          <w:sz w:val="22"/>
          <w:szCs w:val="22"/>
        </w:rPr>
        <w:t>,</w:t>
      </w:r>
      <w:r>
        <w:rPr>
          <w:rFonts w:ascii="Arial" w:hAnsi="Arial" w:cs="Arial"/>
          <w:sz w:val="22"/>
          <w:szCs w:val="22"/>
        </w:rPr>
        <w:t xml:space="preserve"> IAPT trained therapists might be expected to achieve better outcomes.</w:t>
      </w:r>
    </w:p>
    <w:p w14:paraId="0907ACEF" w14:textId="6533C4A1" w:rsidR="001C6B5E" w:rsidRPr="00C26638" w:rsidRDefault="00DC2DE7" w:rsidP="00C26638">
      <w:pPr>
        <w:spacing w:line="480" w:lineRule="auto"/>
        <w:rPr>
          <w:rFonts w:ascii="Arial" w:hAnsi="Arial" w:cs="Arial"/>
          <w:sz w:val="22"/>
          <w:szCs w:val="22"/>
        </w:rPr>
      </w:pPr>
      <w:r>
        <w:rPr>
          <w:rFonts w:ascii="Arial" w:hAnsi="Arial" w:cs="Arial"/>
          <w:sz w:val="22"/>
          <w:szCs w:val="22"/>
        </w:rPr>
        <w:lastRenderedPageBreak/>
        <w:t>The second research question in this thesis asks whether IAPT trained therapists achieve superior outcomes to non</w:t>
      </w:r>
      <w:r w:rsidR="00AF32D6">
        <w:rPr>
          <w:rFonts w:ascii="Arial" w:hAnsi="Arial" w:cs="Arial"/>
          <w:sz w:val="22"/>
          <w:szCs w:val="22"/>
        </w:rPr>
        <w:t>-</w:t>
      </w:r>
      <w:r>
        <w:rPr>
          <w:rFonts w:ascii="Arial" w:hAnsi="Arial" w:cs="Arial"/>
          <w:sz w:val="22"/>
          <w:szCs w:val="22"/>
        </w:rPr>
        <w:t xml:space="preserve">IAPT trained therapists. This research found that there was no statistically significant correlation between therapists who had received IAPT training and clinical outcomes. In this </w:t>
      </w:r>
      <w:r w:rsidR="000C0AB6">
        <w:rPr>
          <w:rFonts w:ascii="Arial" w:hAnsi="Arial" w:cs="Arial"/>
          <w:sz w:val="22"/>
          <w:szCs w:val="22"/>
        </w:rPr>
        <w:t>sample of therapists</w:t>
      </w:r>
      <w:r w:rsidR="00A23787">
        <w:rPr>
          <w:rFonts w:ascii="Arial" w:hAnsi="Arial" w:cs="Arial"/>
          <w:sz w:val="22"/>
          <w:szCs w:val="22"/>
        </w:rPr>
        <w:t>,</w:t>
      </w:r>
      <w:r>
        <w:rPr>
          <w:rFonts w:ascii="Arial" w:hAnsi="Arial" w:cs="Arial"/>
          <w:sz w:val="22"/>
          <w:szCs w:val="22"/>
        </w:rPr>
        <w:t xml:space="preserve"> it would appear that patients had a similar chance of improvement whether they were seen by an IAPT trained therapist or not. One </w:t>
      </w:r>
      <w:r w:rsidR="00A23787">
        <w:rPr>
          <w:rFonts w:ascii="Arial" w:hAnsi="Arial" w:cs="Arial"/>
          <w:sz w:val="22"/>
          <w:szCs w:val="22"/>
        </w:rPr>
        <w:t xml:space="preserve">hypothesis </w:t>
      </w:r>
      <w:r>
        <w:rPr>
          <w:rFonts w:ascii="Arial" w:hAnsi="Arial" w:cs="Arial"/>
          <w:sz w:val="22"/>
          <w:szCs w:val="22"/>
        </w:rPr>
        <w:t xml:space="preserve">for this finding is that therapists providing CBT online using IECBT are provided with access to an e-learning platform (see </w:t>
      </w:r>
      <w:r w:rsidR="00AF32D6">
        <w:rPr>
          <w:rFonts w:ascii="Arial" w:hAnsi="Arial" w:cs="Arial"/>
          <w:sz w:val="22"/>
          <w:szCs w:val="22"/>
        </w:rPr>
        <w:t>C</w:t>
      </w:r>
      <w:r>
        <w:rPr>
          <w:rFonts w:ascii="Arial" w:hAnsi="Arial" w:cs="Arial"/>
          <w:sz w:val="22"/>
          <w:szCs w:val="22"/>
        </w:rPr>
        <w:t>hapter 1) which provides ‘top</w:t>
      </w:r>
      <w:r w:rsidR="00AF32D6">
        <w:rPr>
          <w:rFonts w:ascii="Arial" w:hAnsi="Arial" w:cs="Arial"/>
          <w:sz w:val="22"/>
          <w:szCs w:val="22"/>
        </w:rPr>
        <w:t>-</w:t>
      </w:r>
      <w:r>
        <w:rPr>
          <w:rFonts w:ascii="Arial" w:hAnsi="Arial" w:cs="Arial"/>
          <w:sz w:val="22"/>
          <w:szCs w:val="22"/>
        </w:rPr>
        <w:t>up’ training based on the IAPT training curricula. This additional training may, in part, neutralise any difference between therapists who have undertaken IAPT training and those that had not, if, indeed, a difference existed in the first place. However, further research would be needed to analyse to what extent therapists</w:t>
      </w:r>
      <w:r w:rsidR="00E300BD">
        <w:rPr>
          <w:rFonts w:ascii="Arial" w:hAnsi="Arial" w:cs="Arial"/>
          <w:sz w:val="22"/>
          <w:szCs w:val="22"/>
        </w:rPr>
        <w:t>,</w:t>
      </w:r>
      <w:r>
        <w:rPr>
          <w:rFonts w:ascii="Arial" w:hAnsi="Arial" w:cs="Arial"/>
          <w:sz w:val="22"/>
          <w:szCs w:val="22"/>
        </w:rPr>
        <w:t xml:space="preserve"> who had not undertaken IAPT training</w:t>
      </w:r>
      <w:r w:rsidR="00E300BD">
        <w:rPr>
          <w:rFonts w:ascii="Arial" w:hAnsi="Arial" w:cs="Arial"/>
          <w:sz w:val="22"/>
          <w:szCs w:val="22"/>
        </w:rPr>
        <w:t>,</w:t>
      </w:r>
      <w:r>
        <w:rPr>
          <w:rFonts w:ascii="Arial" w:hAnsi="Arial" w:cs="Arial"/>
          <w:sz w:val="22"/>
          <w:szCs w:val="22"/>
        </w:rPr>
        <w:t xml:space="preserve"> were using the e-learning platform, compared to those that had completed an IAPT training programme.</w:t>
      </w:r>
      <w:r w:rsidR="00C26638">
        <w:rPr>
          <w:rFonts w:ascii="Arial" w:hAnsi="Arial" w:cs="Arial"/>
          <w:sz w:val="22"/>
          <w:szCs w:val="22"/>
        </w:rPr>
        <w:br/>
      </w:r>
      <w:r w:rsidR="00C26638">
        <w:rPr>
          <w:rFonts w:ascii="Arial" w:hAnsi="Arial" w:cs="Arial"/>
          <w:sz w:val="22"/>
          <w:szCs w:val="22"/>
        </w:rPr>
        <w:br/>
      </w:r>
    </w:p>
    <w:p w14:paraId="20DFCA7B" w14:textId="218B5782" w:rsidR="00DC2DE7" w:rsidRPr="003A60E9" w:rsidRDefault="008A1595" w:rsidP="003A60E9">
      <w:pPr>
        <w:pStyle w:val="Heading2"/>
        <w:rPr>
          <w:rFonts w:ascii="Arial" w:hAnsi="Arial" w:cs="Arial"/>
          <w:color w:val="000000" w:themeColor="text1"/>
          <w:sz w:val="22"/>
          <w:szCs w:val="22"/>
        </w:rPr>
      </w:pPr>
      <w:bookmarkStart w:id="422" w:name="_Toc46770842"/>
      <w:bookmarkStart w:id="423" w:name="_Toc79414253"/>
      <w:r w:rsidRPr="003A60E9">
        <w:rPr>
          <w:rFonts w:ascii="Arial" w:hAnsi="Arial" w:cs="Arial"/>
          <w:color w:val="000000" w:themeColor="text1"/>
          <w:sz w:val="22"/>
          <w:szCs w:val="22"/>
        </w:rPr>
        <w:t>6</w:t>
      </w:r>
      <w:r w:rsidR="00DC2DE7" w:rsidRPr="003A60E9">
        <w:rPr>
          <w:rFonts w:ascii="Arial" w:hAnsi="Arial" w:cs="Arial"/>
          <w:color w:val="000000" w:themeColor="text1"/>
          <w:sz w:val="22"/>
          <w:szCs w:val="22"/>
        </w:rPr>
        <w:t>.</w:t>
      </w:r>
      <w:r w:rsidR="00D847BF" w:rsidRPr="003A60E9">
        <w:rPr>
          <w:rFonts w:ascii="Arial" w:hAnsi="Arial" w:cs="Arial"/>
          <w:color w:val="000000" w:themeColor="text1"/>
          <w:sz w:val="22"/>
          <w:szCs w:val="22"/>
        </w:rPr>
        <w:t>4</w:t>
      </w:r>
      <w:r w:rsidR="00DC2DE7" w:rsidRPr="003A60E9">
        <w:rPr>
          <w:rFonts w:ascii="Arial" w:hAnsi="Arial" w:cs="Arial"/>
          <w:color w:val="000000" w:themeColor="text1"/>
          <w:sz w:val="22"/>
          <w:szCs w:val="22"/>
        </w:rPr>
        <w:t xml:space="preserve"> </w:t>
      </w:r>
      <w:r w:rsidR="008F1477" w:rsidRPr="003A60E9">
        <w:rPr>
          <w:rFonts w:ascii="Arial" w:hAnsi="Arial" w:cs="Arial"/>
          <w:color w:val="000000" w:themeColor="text1"/>
          <w:sz w:val="22"/>
          <w:szCs w:val="22"/>
        </w:rPr>
        <w:t xml:space="preserve">RESEARCH QUESTION </w:t>
      </w:r>
      <w:r w:rsidR="00AD172C">
        <w:rPr>
          <w:rFonts w:ascii="Arial" w:hAnsi="Arial" w:cs="Arial"/>
          <w:color w:val="000000" w:themeColor="text1"/>
          <w:sz w:val="22"/>
          <w:szCs w:val="22"/>
        </w:rPr>
        <w:t>THREE</w:t>
      </w:r>
      <w:r w:rsidR="008F1477" w:rsidRPr="003A60E9">
        <w:rPr>
          <w:rFonts w:ascii="Arial" w:hAnsi="Arial" w:cs="Arial"/>
          <w:color w:val="000000" w:themeColor="text1"/>
          <w:sz w:val="22"/>
          <w:szCs w:val="22"/>
        </w:rPr>
        <w:t>: THERAPIST COMP</w:t>
      </w:r>
      <w:r w:rsidR="003A60E9" w:rsidRPr="003A60E9">
        <w:rPr>
          <w:rFonts w:ascii="Arial" w:hAnsi="Arial" w:cs="Arial"/>
          <w:color w:val="000000" w:themeColor="text1"/>
          <w:sz w:val="22"/>
          <w:szCs w:val="22"/>
        </w:rPr>
        <w:t>ETENCE &amp; OUTCOME</w:t>
      </w:r>
      <w:bookmarkEnd w:id="422"/>
      <w:bookmarkEnd w:id="423"/>
    </w:p>
    <w:p w14:paraId="4467A474" w14:textId="77777777" w:rsidR="00DC2DE7" w:rsidRPr="002C0959" w:rsidRDefault="00DC2DE7" w:rsidP="00DC2DE7"/>
    <w:p w14:paraId="571CD2D3" w14:textId="70DD7774" w:rsidR="00DC2DE7" w:rsidRDefault="00DC2DE7" w:rsidP="00DC2DE7">
      <w:pPr>
        <w:spacing w:line="480" w:lineRule="auto"/>
        <w:rPr>
          <w:rFonts w:ascii="Arial" w:hAnsi="Arial" w:cs="Arial"/>
          <w:sz w:val="22"/>
          <w:szCs w:val="22"/>
        </w:rPr>
      </w:pPr>
      <w:r>
        <w:rPr>
          <w:rFonts w:ascii="Arial" w:hAnsi="Arial" w:cs="Arial"/>
          <w:sz w:val="22"/>
          <w:szCs w:val="22"/>
        </w:rPr>
        <w:t>Whilst it has been commonly assumed that therapist competence is related to clinical outcome (</w:t>
      </w:r>
      <w:r w:rsidR="00921BA1">
        <w:rPr>
          <w:rFonts w:ascii="Arial" w:hAnsi="Arial" w:cs="Arial"/>
          <w:sz w:val="22"/>
          <w:szCs w:val="22"/>
        </w:rPr>
        <w:t xml:space="preserve">Trepka, Rees, Shapiro, Hardy and Barkham, 2004, </w:t>
      </w:r>
      <w:r>
        <w:rPr>
          <w:rFonts w:ascii="Arial" w:hAnsi="Arial" w:cs="Arial"/>
          <w:sz w:val="22"/>
          <w:szCs w:val="22"/>
        </w:rPr>
        <w:t xml:space="preserve">Brosan, Reynolds and Moore, 2006, Strunk, Brotman, DeRubeis and Hollon, 2010, Branson, Shafran and Myles, 2015, Branson and Shafran, 2015, Braun Strunk, Sasso and Cooper, 2015)  there is surprisingly little research </w:t>
      </w:r>
      <w:r w:rsidR="00921BA1">
        <w:rPr>
          <w:rFonts w:ascii="Arial" w:hAnsi="Arial" w:cs="Arial"/>
          <w:sz w:val="22"/>
          <w:szCs w:val="22"/>
        </w:rPr>
        <w:t xml:space="preserve">that proves or disproves this assumption. The dearth of research in this area relates to </w:t>
      </w:r>
      <w:r w:rsidR="0021319C">
        <w:rPr>
          <w:rFonts w:ascii="Arial" w:hAnsi="Arial" w:cs="Arial"/>
          <w:sz w:val="22"/>
          <w:szCs w:val="22"/>
        </w:rPr>
        <w:t>the practical and logistical difficulties associated with accessing recordings of therapy sessions</w:t>
      </w:r>
      <w:r w:rsidR="00921BA1">
        <w:rPr>
          <w:rFonts w:ascii="Arial" w:hAnsi="Arial" w:cs="Arial"/>
          <w:sz w:val="22"/>
          <w:szCs w:val="22"/>
        </w:rPr>
        <w:t xml:space="preserve"> in real</w:t>
      </w:r>
      <w:r w:rsidR="0023735D">
        <w:rPr>
          <w:rFonts w:ascii="Arial" w:hAnsi="Arial" w:cs="Arial"/>
          <w:sz w:val="22"/>
          <w:szCs w:val="22"/>
        </w:rPr>
        <w:t>-</w:t>
      </w:r>
      <w:r w:rsidR="00921BA1">
        <w:rPr>
          <w:rFonts w:ascii="Arial" w:hAnsi="Arial" w:cs="Arial"/>
          <w:sz w:val="22"/>
          <w:szCs w:val="22"/>
        </w:rPr>
        <w:t>world settings</w:t>
      </w:r>
      <w:r w:rsidR="000C0AB6">
        <w:rPr>
          <w:rFonts w:ascii="Arial" w:hAnsi="Arial" w:cs="Arial"/>
          <w:sz w:val="22"/>
          <w:szCs w:val="22"/>
        </w:rPr>
        <w:t>.</w:t>
      </w:r>
      <w:r>
        <w:rPr>
          <w:rFonts w:ascii="Arial" w:hAnsi="Arial" w:cs="Arial"/>
          <w:sz w:val="22"/>
          <w:szCs w:val="22"/>
        </w:rPr>
        <w:t xml:space="preserve"> Where research exists</w:t>
      </w:r>
      <w:r w:rsidR="0021319C">
        <w:rPr>
          <w:rFonts w:ascii="Arial" w:hAnsi="Arial" w:cs="Arial"/>
          <w:sz w:val="22"/>
          <w:szCs w:val="22"/>
        </w:rPr>
        <w:t>,</w:t>
      </w:r>
      <w:r>
        <w:rPr>
          <w:rFonts w:ascii="Arial" w:hAnsi="Arial" w:cs="Arial"/>
          <w:sz w:val="22"/>
          <w:szCs w:val="22"/>
        </w:rPr>
        <w:t xml:space="preserve"> </w:t>
      </w:r>
      <w:r w:rsidR="00921BA1">
        <w:rPr>
          <w:rFonts w:ascii="Arial" w:hAnsi="Arial" w:cs="Arial"/>
          <w:sz w:val="22"/>
          <w:szCs w:val="22"/>
        </w:rPr>
        <w:t>there are significant limitations</w:t>
      </w:r>
      <w:r w:rsidR="004D3E27">
        <w:rPr>
          <w:rFonts w:ascii="Arial" w:hAnsi="Arial" w:cs="Arial"/>
          <w:sz w:val="22"/>
          <w:szCs w:val="22"/>
        </w:rPr>
        <w:t xml:space="preserve"> including repurposing the data from </w:t>
      </w:r>
      <w:r>
        <w:rPr>
          <w:rFonts w:ascii="Arial" w:hAnsi="Arial" w:cs="Arial"/>
          <w:sz w:val="22"/>
          <w:szCs w:val="22"/>
        </w:rPr>
        <w:t>randomised controlled trials (</w:t>
      </w:r>
      <w:r w:rsidR="00921BA1">
        <w:rPr>
          <w:rFonts w:ascii="Arial" w:hAnsi="Arial" w:cs="Arial"/>
          <w:sz w:val="22"/>
          <w:szCs w:val="22"/>
        </w:rPr>
        <w:t xml:space="preserve">see Weck, Richtberg, Jakob, Neng and Hofling, 2015, </w:t>
      </w:r>
      <w:r w:rsidR="004D3E27">
        <w:rPr>
          <w:rFonts w:ascii="Arial" w:hAnsi="Arial" w:cs="Arial"/>
          <w:sz w:val="22"/>
          <w:szCs w:val="22"/>
        </w:rPr>
        <w:t>Ehlers, Hackmann, Grey, Wild, Liness, Albert, et al.,</w:t>
      </w:r>
      <w:r w:rsidR="003B1ED5">
        <w:rPr>
          <w:rFonts w:ascii="Arial" w:hAnsi="Arial" w:cs="Arial"/>
          <w:sz w:val="22"/>
          <w:szCs w:val="22"/>
        </w:rPr>
        <w:t xml:space="preserve"> </w:t>
      </w:r>
      <w:r w:rsidR="004D3E27">
        <w:rPr>
          <w:rFonts w:ascii="Arial" w:hAnsi="Arial" w:cs="Arial"/>
          <w:sz w:val="22"/>
          <w:szCs w:val="22"/>
        </w:rPr>
        <w:t>2014</w:t>
      </w:r>
      <w:r w:rsidR="00B27521">
        <w:rPr>
          <w:rFonts w:ascii="Arial" w:hAnsi="Arial" w:cs="Arial"/>
          <w:sz w:val="22"/>
          <w:szCs w:val="22"/>
        </w:rPr>
        <w:t>, Youn, Xiao, Kim, Castonguay, McAleavey, Newman and Safran, 2017</w:t>
      </w:r>
      <w:r>
        <w:rPr>
          <w:rFonts w:ascii="Arial" w:hAnsi="Arial" w:cs="Arial"/>
          <w:sz w:val="22"/>
          <w:szCs w:val="22"/>
        </w:rPr>
        <w:t>),</w:t>
      </w:r>
      <w:r w:rsidR="0021319C">
        <w:rPr>
          <w:rFonts w:ascii="Arial" w:hAnsi="Arial" w:cs="Arial"/>
          <w:sz w:val="22"/>
          <w:szCs w:val="22"/>
        </w:rPr>
        <w:t xml:space="preserve"> </w:t>
      </w:r>
      <w:r w:rsidR="00921BA1">
        <w:rPr>
          <w:rFonts w:ascii="Arial" w:hAnsi="Arial" w:cs="Arial"/>
          <w:sz w:val="22"/>
          <w:szCs w:val="22"/>
        </w:rPr>
        <w:t>small sample sizes</w:t>
      </w:r>
      <w:r w:rsidR="00C16AEA">
        <w:rPr>
          <w:rFonts w:ascii="Arial" w:hAnsi="Arial" w:cs="Arial"/>
          <w:sz w:val="22"/>
          <w:szCs w:val="22"/>
        </w:rPr>
        <w:t xml:space="preserve"> (see Brosan, </w:t>
      </w:r>
      <w:r w:rsidR="00FC6793">
        <w:rPr>
          <w:rFonts w:ascii="Arial" w:hAnsi="Arial" w:cs="Arial"/>
          <w:sz w:val="22"/>
          <w:szCs w:val="22"/>
        </w:rPr>
        <w:t>R</w:t>
      </w:r>
      <w:r w:rsidR="00C16AEA">
        <w:rPr>
          <w:rFonts w:ascii="Arial" w:hAnsi="Arial" w:cs="Arial"/>
          <w:sz w:val="22"/>
          <w:szCs w:val="22"/>
        </w:rPr>
        <w:t>eynolds and Moore, 2006,</w:t>
      </w:r>
      <w:r w:rsidR="00FC6793">
        <w:rPr>
          <w:rFonts w:ascii="Arial" w:hAnsi="Arial" w:cs="Arial"/>
          <w:sz w:val="22"/>
          <w:szCs w:val="22"/>
        </w:rPr>
        <w:t xml:space="preserve"> Weck, Richtberg, Jakob, Neng and Hofling, 2015,</w:t>
      </w:r>
      <w:r w:rsidR="00C16AEA">
        <w:rPr>
          <w:rFonts w:ascii="Arial" w:hAnsi="Arial" w:cs="Arial"/>
          <w:sz w:val="22"/>
          <w:szCs w:val="22"/>
        </w:rPr>
        <w:t xml:space="preserve"> Youn et al., 2017,)</w:t>
      </w:r>
      <w:r w:rsidR="00921BA1">
        <w:rPr>
          <w:rFonts w:ascii="Arial" w:hAnsi="Arial" w:cs="Arial"/>
          <w:sz w:val="22"/>
          <w:szCs w:val="22"/>
        </w:rPr>
        <w:t xml:space="preserve"> or therapist self-selection of therapy tapes. </w:t>
      </w:r>
      <w:r w:rsidR="004D3E27">
        <w:rPr>
          <w:rFonts w:ascii="Arial" w:hAnsi="Arial" w:cs="Arial"/>
          <w:sz w:val="22"/>
          <w:szCs w:val="22"/>
        </w:rPr>
        <w:t xml:space="preserve">For example, </w:t>
      </w:r>
      <w:r w:rsidR="004D3E27">
        <w:rPr>
          <w:rFonts w:ascii="Arial" w:hAnsi="Arial" w:cs="Arial"/>
          <w:sz w:val="22"/>
          <w:szCs w:val="22"/>
        </w:rPr>
        <w:lastRenderedPageBreak/>
        <w:t>Liness et al., (2019)</w:t>
      </w:r>
      <w:r>
        <w:rPr>
          <w:rFonts w:ascii="Arial" w:hAnsi="Arial" w:cs="Arial"/>
          <w:sz w:val="22"/>
          <w:szCs w:val="22"/>
        </w:rPr>
        <w:t xml:space="preserve"> reports (in a cohort of IAPT trainees) that a 1</w:t>
      </w:r>
      <w:r w:rsidR="00A23787">
        <w:rPr>
          <w:rFonts w:ascii="Arial" w:hAnsi="Arial" w:cs="Arial"/>
          <w:sz w:val="22"/>
          <w:szCs w:val="22"/>
        </w:rPr>
        <w:t>-</w:t>
      </w:r>
      <w:r>
        <w:rPr>
          <w:rFonts w:ascii="Arial" w:hAnsi="Arial" w:cs="Arial"/>
          <w:sz w:val="22"/>
          <w:szCs w:val="22"/>
        </w:rPr>
        <w:t>point increase in the CTS-R score relates to a 0.76% improvement in a patients PHQ-9 score at the end of treatment.  The authors conclude that higher CTS-R scores predict improved outcomes on the PHQ-9.  However, the study allowed trainees to self-select the therapy sessions that were rated</w:t>
      </w:r>
      <w:r w:rsidR="000C0AB6">
        <w:rPr>
          <w:rFonts w:ascii="Arial" w:hAnsi="Arial" w:cs="Arial"/>
          <w:sz w:val="22"/>
          <w:szCs w:val="22"/>
        </w:rPr>
        <w:t xml:space="preserve"> on the CTS-R</w:t>
      </w:r>
      <w:r>
        <w:rPr>
          <w:rFonts w:ascii="Arial" w:hAnsi="Arial" w:cs="Arial"/>
          <w:sz w:val="22"/>
          <w:szCs w:val="22"/>
        </w:rPr>
        <w:t>, thus reducing the likelihood that the findings were representative of the trainees overall practice (</w:t>
      </w:r>
      <w:r w:rsidR="000C0867">
        <w:rPr>
          <w:rFonts w:ascii="Arial" w:hAnsi="Arial" w:cs="Arial"/>
          <w:sz w:val="22"/>
          <w:szCs w:val="22"/>
        </w:rPr>
        <w:t xml:space="preserve">Ginzburg et al., 2012, </w:t>
      </w:r>
      <w:r w:rsidR="00CF6C84">
        <w:rPr>
          <w:rFonts w:ascii="Arial" w:hAnsi="Arial" w:cs="Arial"/>
          <w:sz w:val="22"/>
          <w:szCs w:val="22"/>
        </w:rPr>
        <w:t>Liness et al.,2019</w:t>
      </w:r>
      <w:r>
        <w:rPr>
          <w:rFonts w:ascii="Arial" w:hAnsi="Arial" w:cs="Arial"/>
          <w:sz w:val="22"/>
          <w:szCs w:val="22"/>
        </w:rPr>
        <w:t xml:space="preserve">). Additionally, this study investigated trainees enrolled on an IAPT training programme rather than qualified therapists. Therefore, the recordings that the trainees were submitting for review were part of their formative and summative assessment and there was a requirement that the trainees needed to achieve a score of at least 50% in order to pass the course (Liness et al., 2019). The authors themselves acknowledge that this limits the </w:t>
      </w:r>
      <w:r w:rsidR="0021319C">
        <w:rPr>
          <w:rFonts w:ascii="Arial" w:hAnsi="Arial" w:cs="Arial"/>
          <w:sz w:val="22"/>
          <w:szCs w:val="22"/>
        </w:rPr>
        <w:t>generalisability</w:t>
      </w:r>
      <w:r>
        <w:rPr>
          <w:rFonts w:ascii="Arial" w:hAnsi="Arial" w:cs="Arial"/>
          <w:sz w:val="22"/>
          <w:szCs w:val="22"/>
        </w:rPr>
        <w:t xml:space="preserve"> of their research and</w:t>
      </w:r>
      <w:r w:rsidR="00AF32D6">
        <w:rPr>
          <w:rFonts w:ascii="Arial" w:hAnsi="Arial" w:cs="Arial"/>
          <w:sz w:val="22"/>
          <w:szCs w:val="22"/>
        </w:rPr>
        <w:t>,</w:t>
      </w:r>
      <w:r>
        <w:rPr>
          <w:rFonts w:ascii="Arial" w:hAnsi="Arial" w:cs="Arial"/>
          <w:sz w:val="22"/>
          <w:szCs w:val="22"/>
        </w:rPr>
        <w:t xml:space="preserve"> therefore</w:t>
      </w:r>
      <w:r w:rsidR="00AF32D6">
        <w:rPr>
          <w:rFonts w:ascii="Arial" w:hAnsi="Arial" w:cs="Arial"/>
          <w:sz w:val="22"/>
          <w:szCs w:val="22"/>
        </w:rPr>
        <w:t>,</w:t>
      </w:r>
      <w:r>
        <w:rPr>
          <w:rFonts w:ascii="Arial" w:hAnsi="Arial" w:cs="Arial"/>
          <w:sz w:val="22"/>
          <w:szCs w:val="22"/>
        </w:rPr>
        <w:t xml:space="preserve"> it remains unclear whether competence is associated with outcome</w:t>
      </w:r>
      <w:r w:rsidR="000C0AB6">
        <w:rPr>
          <w:rFonts w:ascii="Arial" w:hAnsi="Arial" w:cs="Arial"/>
          <w:sz w:val="22"/>
          <w:szCs w:val="22"/>
        </w:rPr>
        <w:t xml:space="preserve"> in qualified therapists.</w:t>
      </w:r>
    </w:p>
    <w:p w14:paraId="07D0DCF2" w14:textId="77777777" w:rsidR="00DC2DE7" w:rsidRDefault="00DC2DE7" w:rsidP="00DC2DE7">
      <w:pPr>
        <w:spacing w:line="480" w:lineRule="auto"/>
        <w:rPr>
          <w:rFonts w:ascii="Arial" w:hAnsi="Arial" w:cs="Arial"/>
          <w:sz w:val="22"/>
          <w:szCs w:val="22"/>
        </w:rPr>
      </w:pPr>
    </w:p>
    <w:p w14:paraId="72B8DFCA" w14:textId="7B3C8D61" w:rsidR="00DC2DE7" w:rsidRDefault="00DC2DE7" w:rsidP="00DC2DE7">
      <w:pPr>
        <w:spacing w:line="480" w:lineRule="auto"/>
        <w:rPr>
          <w:rFonts w:ascii="Arial" w:hAnsi="Arial" w:cs="Arial"/>
          <w:sz w:val="22"/>
          <w:szCs w:val="22"/>
        </w:rPr>
      </w:pPr>
      <w:r>
        <w:rPr>
          <w:rFonts w:ascii="Arial" w:hAnsi="Arial" w:cs="Arial"/>
          <w:sz w:val="22"/>
          <w:szCs w:val="22"/>
        </w:rPr>
        <w:t xml:space="preserve">The </w:t>
      </w:r>
      <w:r w:rsidR="00AD172C">
        <w:rPr>
          <w:rFonts w:ascii="Arial" w:hAnsi="Arial" w:cs="Arial"/>
          <w:sz w:val="22"/>
          <w:szCs w:val="22"/>
        </w:rPr>
        <w:t xml:space="preserve">third </w:t>
      </w:r>
      <w:r>
        <w:rPr>
          <w:rFonts w:ascii="Arial" w:hAnsi="Arial" w:cs="Arial"/>
          <w:sz w:val="22"/>
          <w:szCs w:val="22"/>
        </w:rPr>
        <w:t>research question in this thesis asks whether therapist competence (as defined by the CTS-R) is related to clinical outcome. Using a simple Pearson’s Correlation this research found that there was a statistically significant positive correlation (r= 0.167, p 0.019) between the mean of three randomly selected CTS-R scores (termed the F score in this thesis) and recovery. Whilst the answer to this question was affirmative</w:t>
      </w:r>
      <w:r w:rsidR="00E300BD">
        <w:rPr>
          <w:rFonts w:ascii="Arial" w:hAnsi="Arial" w:cs="Arial"/>
          <w:sz w:val="22"/>
          <w:szCs w:val="22"/>
        </w:rPr>
        <w:t>,</w:t>
      </w:r>
      <w:r>
        <w:rPr>
          <w:rFonts w:ascii="Arial" w:hAnsi="Arial" w:cs="Arial"/>
          <w:sz w:val="22"/>
          <w:szCs w:val="22"/>
        </w:rPr>
        <w:t xml:space="preserve"> this research went on to use a linear regression model in order to investigate whether higher scores on individual CTS-R items predict outcome (see section </w:t>
      </w:r>
      <w:r w:rsidR="00A23787">
        <w:rPr>
          <w:rFonts w:ascii="Arial" w:hAnsi="Arial" w:cs="Arial"/>
          <w:sz w:val="22"/>
          <w:szCs w:val="22"/>
        </w:rPr>
        <w:t>2.5</w:t>
      </w:r>
      <w:r>
        <w:rPr>
          <w:rFonts w:ascii="Arial" w:hAnsi="Arial" w:cs="Arial"/>
          <w:sz w:val="22"/>
          <w:szCs w:val="22"/>
        </w:rPr>
        <w:t xml:space="preserve"> for further explanation of the individual CTS-R items). The model failed to predict a statistically significant effect of any of the individual CTS-R items on recovery. Therefore, it is presumed that, in this </w:t>
      </w:r>
      <w:r w:rsidR="0021319C">
        <w:rPr>
          <w:rFonts w:ascii="Arial" w:hAnsi="Arial" w:cs="Arial"/>
          <w:sz w:val="22"/>
          <w:szCs w:val="22"/>
        </w:rPr>
        <w:t>sample</w:t>
      </w:r>
      <w:r>
        <w:rPr>
          <w:rFonts w:ascii="Arial" w:hAnsi="Arial" w:cs="Arial"/>
          <w:sz w:val="22"/>
          <w:szCs w:val="22"/>
        </w:rPr>
        <w:t>, none of the individual CTS-R items are more predictive of recovery than others</w:t>
      </w:r>
      <w:r w:rsidR="0021319C">
        <w:rPr>
          <w:rFonts w:ascii="Arial" w:hAnsi="Arial" w:cs="Arial"/>
          <w:sz w:val="22"/>
          <w:szCs w:val="22"/>
        </w:rPr>
        <w:t>,</w:t>
      </w:r>
      <w:r>
        <w:rPr>
          <w:rFonts w:ascii="Arial" w:hAnsi="Arial" w:cs="Arial"/>
          <w:sz w:val="22"/>
          <w:szCs w:val="22"/>
        </w:rPr>
        <w:t xml:space="preserve"> </w:t>
      </w:r>
      <w:r w:rsidR="0021319C">
        <w:rPr>
          <w:rFonts w:ascii="Arial" w:hAnsi="Arial" w:cs="Arial"/>
          <w:sz w:val="22"/>
          <w:szCs w:val="22"/>
        </w:rPr>
        <w:t>but the combined effect of all</w:t>
      </w:r>
      <w:r>
        <w:rPr>
          <w:rFonts w:ascii="Arial" w:hAnsi="Arial" w:cs="Arial"/>
          <w:sz w:val="22"/>
          <w:szCs w:val="22"/>
        </w:rPr>
        <w:t xml:space="preserve"> 12 item</w:t>
      </w:r>
      <w:r w:rsidR="0021319C">
        <w:rPr>
          <w:rFonts w:ascii="Arial" w:hAnsi="Arial" w:cs="Arial"/>
          <w:sz w:val="22"/>
          <w:szCs w:val="22"/>
        </w:rPr>
        <w:t>s of</w:t>
      </w:r>
      <w:r>
        <w:rPr>
          <w:rFonts w:ascii="Arial" w:hAnsi="Arial" w:cs="Arial"/>
          <w:sz w:val="22"/>
          <w:szCs w:val="22"/>
        </w:rPr>
        <w:t xml:space="preserve"> the CTS-R is correlated to recovery. In order to further test the strength of this relationship a hierarchical multiple regression model was used whereby each of the variables </w:t>
      </w:r>
      <w:r w:rsidR="0021319C">
        <w:rPr>
          <w:rFonts w:ascii="Arial" w:hAnsi="Arial" w:cs="Arial"/>
          <w:sz w:val="22"/>
          <w:szCs w:val="22"/>
        </w:rPr>
        <w:t xml:space="preserve">were </w:t>
      </w:r>
      <w:r>
        <w:rPr>
          <w:rFonts w:ascii="Arial" w:hAnsi="Arial" w:cs="Arial"/>
          <w:sz w:val="22"/>
          <w:szCs w:val="22"/>
        </w:rPr>
        <w:t>added to the model sequentially in order to test the strength of the F score (</w:t>
      </w:r>
      <w:r w:rsidR="000C0AB6">
        <w:rPr>
          <w:rFonts w:ascii="Arial" w:hAnsi="Arial" w:cs="Arial"/>
          <w:sz w:val="22"/>
          <w:szCs w:val="22"/>
        </w:rPr>
        <w:t xml:space="preserve">the </w:t>
      </w:r>
      <w:r>
        <w:rPr>
          <w:rFonts w:ascii="Arial" w:hAnsi="Arial" w:cs="Arial"/>
          <w:sz w:val="22"/>
          <w:szCs w:val="22"/>
        </w:rPr>
        <w:t xml:space="preserve">mean of 3 CTS-Rs) when all of the other variables are added to the model. It was unsurprising that the </w:t>
      </w:r>
      <w:r>
        <w:rPr>
          <w:rFonts w:ascii="Arial" w:hAnsi="Arial" w:cs="Arial"/>
          <w:sz w:val="22"/>
          <w:szCs w:val="22"/>
        </w:rPr>
        <w:lastRenderedPageBreak/>
        <w:t>whole model (which included all the independent variables) failed to be statistically significant as it had already been ascertained that some of the variables</w:t>
      </w:r>
      <w:r w:rsidR="000C0AB6">
        <w:rPr>
          <w:rFonts w:ascii="Arial" w:hAnsi="Arial" w:cs="Arial"/>
          <w:sz w:val="22"/>
          <w:szCs w:val="22"/>
        </w:rPr>
        <w:t xml:space="preserve"> (therapist demographics and therapist training)</w:t>
      </w:r>
      <w:r>
        <w:rPr>
          <w:rFonts w:ascii="Arial" w:hAnsi="Arial" w:cs="Arial"/>
          <w:sz w:val="22"/>
          <w:szCs w:val="22"/>
        </w:rPr>
        <w:t xml:space="preserve"> were not related to recovery. However, the best fitting model, which included just F scores and adherence scores (defined as A scores in this thesis) was significant at the 0.05 level (p= 0.03). The findings from each of these analyses suggest that CTS-R is positively correlated with recovery but at the 0.05 level. </w:t>
      </w:r>
    </w:p>
    <w:p w14:paraId="396E4B35" w14:textId="77777777" w:rsidR="00DC2DE7" w:rsidRDefault="00DC2DE7" w:rsidP="00DC2DE7">
      <w:pPr>
        <w:spacing w:line="480" w:lineRule="auto"/>
        <w:rPr>
          <w:rFonts w:ascii="Arial" w:hAnsi="Arial" w:cs="Arial"/>
          <w:sz w:val="22"/>
          <w:szCs w:val="22"/>
        </w:rPr>
      </w:pPr>
    </w:p>
    <w:p w14:paraId="57480FC9" w14:textId="6D4BF72D" w:rsidR="00DC2DE7" w:rsidRDefault="00DC2DE7" w:rsidP="00DC2DE7">
      <w:pPr>
        <w:spacing w:line="480" w:lineRule="auto"/>
        <w:rPr>
          <w:rFonts w:ascii="Arial" w:hAnsi="Arial" w:cs="Arial"/>
          <w:sz w:val="22"/>
          <w:szCs w:val="22"/>
        </w:rPr>
      </w:pPr>
      <w:r>
        <w:rPr>
          <w:rFonts w:ascii="Arial" w:hAnsi="Arial" w:cs="Arial"/>
          <w:sz w:val="22"/>
          <w:szCs w:val="22"/>
        </w:rPr>
        <w:t xml:space="preserve">A final statistical analysis was included in this research to further examine the associations between the variables. A hierarchical log-linear analysis was conducted to determine the associations between therapist F score and A score, patient variables and clinical outcomes.  This analysis is discussed later in this chapter in section </w:t>
      </w:r>
      <w:r w:rsidR="0021319C">
        <w:rPr>
          <w:rFonts w:ascii="Arial" w:hAnsi="Arial" w:cs="Arial"/>
          <w:sz w:val="22"/>
          <w:szCs w:val="22"/>
        </w:rPr>
        <w:t>6</w:t>
      </w:r>
      <w:r>
        <w:rPr>
          <w:rFonts w:ascii="Arial" w:hAnsi="Arial" w:cs="Arial"/>
          <w:sz w:val="22"/>
          <w:szCs w:val="22"/>
        </w:rPr>
        <w:t>.</w:t>
      </w:r>
      <w:r w:rsidR="00541BFB">
        <w:rPr>
          <w:rFonts w:ascii="Arial" w:hAnsi="Arial" w:cs="Arial"/>
          <w:sz w:val="22"/>
          <w:szCs w:val="22"/>
        </w:rPr>
        <w:t>2.</w:t>
      </w:r>
    </w:p>
    <w:p w14:paraId="16566A0B" w14:textId="0C2EE2AB" w:rsidR="004D3E27" w:rsidRDefault="004D3E27" w:rsidP="00DC2DE7">
      <w:pPr>
        <w:spacing w:line="480" w:lineRule="auto"/>
        <w:rPr>
          <w:rFonts w:ascii="Arial" w:hAnsi="Arial" w:cs="Arial"/>
          <w:sz w:val="22"/>
          <w:szCs w:val="22"/>
        </w:rPr>
      </w:pPr>
    </w:p>
    <w:p w14:paraId="31BAD039" w14:textId="34ADB413" w:rsidR="00D8197B" w:rsidRDefault="004D3E27" w:rsidP="00DC2DE7">
      <w:pPr>
        <w:spacing w:line="480" w:lineRule="auto"/>
        <w:rPr>
          <w:rFonts w:ascii="Arial" w:hAnsi="Arial" w:cs="Arial"/>
          <w:sz w:val="22"/>
          <w:szCs w:val="22"/>
        </w:rPr>
      </w:pPr>
      <w:r>
        <w:rPr>
          <w:rFonts w:ascii="Arial" w:hAnsi="Arial" w:cs="Arial"/>
          <w:sz w:val="22"/>
          <w:szCs w:val="22"/>
        </w:rPr>
        <w:t xml:space="preserve">The affirmative findings of this research, that competence is related to outcome, supports a widely held </w:t>
      </w:r>
      <w:r w:rsidR="00B27521">
        <w:rPr>
          <w:rFonts w:ascii="Arial" w:hAnsi="Arial" w:cs="Arial"/>
          <w:sz w:val="22"/>
          <w:szCs w:val="22"/>
        </w:rPr>
        <w:t>assumption that competence (as rated by the CTS-R) is associated with clinical outcomes (Trepka, Rees, Shapiro, Hardy and Barkham, 2004, Brosan, Reynolds and Moore, 2006, Strunk, Brotman, DeRubeis and Hollon, 2010, Branson, Shafran and Myles, 2015, Branson and Shafran, 2015, Braun Strunk, Sasso and Cooper, 2015). This research addressed the limitations identified in previous studies by increasing the sample size, not allowing therapists to self-select therapy recordings and using data from a real</w:t>
      </w:r>
      <w:r w:rsidR="0023735D">
        <w:rPr>
          <w:rFonts w:ascii="Arial" w:hAnsi="Arial" w:cs="Arial"/>
          <w:sz w:val="22"/>
          <w:szCs w:val="22"/>
        </w:rPr>
        <w:t>-</w:t>
      </w:r>
      <w:r w:rsidR="00B27521">
        <w:rPr>
          <w:rFonts w:ascii="Arial" w:hAnsi="Arial" w:cs="Arial"/>
          <w:sz w:val="22"/>
          <w:szCs w:val="22"/>
        </w:rPr>
        <w:t xml:space="preserve">world setting rather than repurposing data used in a randomised control trial. </w:t>
      </w:r>
      <w:r w:rsidR="00FC6793">
        <w:rPr>
          <w:rFonts w:ascii="Arial" w:hAnsi="Arial" w:cs="Arial"/>
          <w:sz w:val="22"/>
          <w:szCs w:val="22"/>
        </w:rPr>
        <w:t>The findings from this study are similar to Liness et al.,</w:t>
      </w:r>
      <w:r w:rsidR="003B1ED5">
        <w:rPr>
          <w:rFonts w:ascii="Arial" w:hAnsi="Arial" w:cs="Arial"/>
          <w:sz w:val="22"/>
          <w:szCs w:val="22"/>
        </w:rPr>
        <w:t xml:space="preserve"> </w:t>
      </w:r>
      <w:r w:rsidR="00CF6C84">
        <w:rPr>
          <w:rFonts w:ascii="Arial" w:hAnsi="Arial" w:cs="Arial"/>
          <w:sz w:val="22"/>
          <w:szCs w:val="22"/>
        </w:rPr>
        <w:t>(201</w:t>
      </w:r>
      <w:r w:rsidR="00C62BB7">
        <w:rPr>
          <w:rFonts w:ascii="Arial" w:hAnsi="Arial" w:cs="Arial"/>
          <w:sz w:val="22"/>
          <w:szCs w:val="22"/>
        </w:rPr>
        <w:t>8</w:t>
      </w:r>
      <w:r w:rsidR="00CF6C84">
        <w:rPr>
          <w:rFonts w:ascii="Arial" w:hAnsi="Arial" w:cs="Arial"/>
          <w:sz w:val="22"/>
          <w:szCs w:val="22"/>
        </w:rPr>
        <w:t>), who also report a relationship between competence and outcome at the 0.05</w:t>
      </w:r>
      <w:r w:rsidR="000C0AB6">
        <w:rPr>
          <w:rFonts w:ascii="Arial" w:hAnsi="Arial" w:cs="Arial"/>
          <w:sz w:val="22"/>
          <w:szCs w:val="22"/>
        </w:rPr>
        <w:t xml:space="preserve"> level</w:t>
      </w:r>
      <w:r w:rsidR="00CF6C84">
        <w:rPr>
          <w:rFonts w:ascii="Arial" w:hAnsi="Arial" w:cs="Arial"/>
          <w:sz w:val="22"/>
          <w:szCs w:val="22"/>
        </w:rPr>
        <w:t>. However</w:t>
      </w:r>
      <w:r w:rsidR="00D8197B">
        <w:rPr>
          <w:rFonts w:ascii="Arial" w:hAnsi="Arial" w:cs="Arial"/>
          <w:sz w:val="22"/>
          <w:szCs w:val="22"/>
        </w:rPr>
        <w:t>,</w:t>
      </w:r>
      <w:r w:rsidR="00CF6C84">
        <w:rPr>
          <w:rFonts w:ascii="Arial" w:hAnsi="Arial" w:cs="Arial"/>
          <w:sz w:val="22"/>
          <w:szCs w:val="22"/>
        </w:rPr>
        <w:t xml:space="preserve"> these studies did not use recovery as the independent variable</w:t>
      </w:r>
      <w:r w:rsidR="000C0AB6">
        <w:rPr>
          <w:rFonts w:ascii="Arial" w:hAnsi="Arial" w:cs="Arial"/>
          <w:sz w:val="22"/>
          <w:szCs w:val="22"/>
        </w:rPr>
        <w:t>,</w:t>
      </w:r>
      <w:r w:rsidR="00D8197B">
        <w:rPr>
          <w:rFonts w:ascii="Arial" w:hAnsi="Arial" w:cs="Arial"/>
          <w:sz w:val="22"/>
          <w:szCs w:val="22"/>
        </w:rPr>
        <w:t xml:space="preserve"> </w:t>
      </w:r>
      <w:r w:rsidR="00CF6C84">
        <w:rPr>
          <w:rFonts w:ascii="Arial" w:hAnsi="Arial" w:cs="Arial"/>
          <w:sz w:val="22"/>
          <w:szCs w:val="22"/>
        </w:rPr>
        <w:t>and it might be argued that other methods of measuring outcome such as reliable change</w:t>
      </w:r>
      <w:r w:rsidR="00691E3B">
        <w:rPr>
          <w:rFonts w:ascii="Arial" w:hAnsi="Arial" w:cs="Arial"/>
          <w:sz w:val="22"/>
          <w:szCs w:val="22"/>
        </w:rPr>
        <w:t xml:space="preserve"> (as in the Liness et al.,</w:t>
      </w:r>
      <w:r w:rsidR="00865776">
        <w:rPr>
          <w:rFonts w:ascii="Arial" w:hAnsi="Arial" w:cs="Arial"/>
          <w:sz w:val="22"/>
          <w:szCs w:val="22"/>
        </w:rPr>
        <w:t xml:space="preserve"> study)</w:t>
      </w:r>
      <w:r w:rsidR="00CF6C84">
        <w:rPr>
          <w:rFonts w:ascii="Arial" w:hAnsi="Arial" w:cs="Arial"/>
          <w:sz w:val="22"/>
          <w:szCs w:val="22"/>
        </w:rPr>
        <w:t xml:space="preserve"> are easier to achieve.</w:t>
      </w:r>
      <w:r w:rsidR="00D8197B">
        <w:rPr>
          <w:rFonts w:ascii="Arial" w:hAnsi="Arial" w:cs="Arial"/>
          <w:sz w:val="22"/>
          <w:szCs w:val="22"/>
        </w:rPr>
        <w:t xml:space="preserve"> Furthermore</w:t>
      </w:r>
      <w:r w:rsidR="00447706">
        <w:rPr>
          <w:rFonts w:ascii="Arial" w:hAnsi="Arial" w:cs="Arial"/>
          <w:sz w:val="22"/>
          <w:szCs w:val="22"/>
        </w:rPr>
        <w:t>,</w:t>
      </w:r>
      <w:r w:rsidR="00D8197B">
        <w:rPr>
          <w:rFonts w:ascii="Arial" w:hAnsi="Arial" w:cs="Arial"/>
          <w:sz w:val="22"/>
          <w:szCs w:val="22"/>
        </w:rPr>
        <w:t xml:space="preserve"> it may not be meaningful to compare this research to other studies because previous research has either investigated competence in trainees, in therapists providing treatment as part of a randomised controlled trial, or in therapists who may not be delivering CBT</w:t>
      </w:r>
      <w:r w:rsidR="00F437C2">
        <w:rPr>
          <w:rFonts w:ascii="Arial" w:hAnsi="Arial" w:cs="Arial"/>
          <w:sz w:val="22"/>
          <w:szCs w:val="22"/>
        </w:rPr>
        <w:t>.</w:t>
      </w:r>
    </w:p>
    <w:p w14:paraId="7DBA7636" w14:textId="38FC2038" w:rsidR="004D3E27" w:rsidRDefault="00D8197B" w:rsidP="00DC2DE7">
      <w:pPr>
        <w:spacing w:line="480" w:lineRule="auto"/>
        <w:rPr>
          <w:rFonts w:ascii="Arial" w:hAnsi="Arial" w:cs="Arial"/>
          <w:sz w:val="22"/>
          <w:szCs w:val="22"/>
        </w:rPr>
      </w:pPr>
      <w:r>
        <w:rPr>
          <w:rFonts w:ascii="Arial" w:hAnsi="Arial" w:cs="Arial"/>
          <w:sz w:val="22"/>
          <w:szCs w:val="22"/>
        </w:rPr>
        <w:lastRenderedPageBreak/>
        <w:t xml:space="preserve">A second factor that </w:t>
      </w:r>
      <w:r w:rsidR="004165D2">
        <w:rPr>
          <w:rFonts w:ascii="Arial" w:hAnsi="Arial" w:cs="Arial"/>
          <w:sz w:val="22"/>
          <w:szCs w:val="22"/>
        </w:rPr>
        <w:t>should be considered is</w:t>
      </w:r>
      <w:r>
        <w:rPr>
          <w:rFonts w:ascii="Arial" w:hAnsi="Arial" w:cs="Arial"/>
          <w:sz w:val="22"/>
          <w:szCs w:val="22"/>
        </w:rPr>
        <w:t xml:space="preserve"> the heterogenous nature of CBT. The CTS-R was designed to measure Beck’s (1979) Cognitive Therapy for depression.  However, cognitive behavioural therapists in IAPT may deliver other types of CBT such as </w:t>
      </w:r>
      <w:r w:rsidR="00C16AEA">
        <w:rPr>
          <w:rFonts w:ascii="Arial" w:hAnsi="Arial" w:cs="Arial"/>
          <w:sz w:val="22"/>
          <w:szCs w:val="22"/>
        </w:rPr>
        <w:t>Behavioural Activation (</w:t>
      </w:r>
      <w:r w:rsidR="00F437C2">
        <w:rPr>
          <w:rFonts w:ascii="Arial" w:hAnsi="Arial" w:cs="Arial"/>
          <w:sz w:val="22"/>
          <w:szCs w:val="22"/>
        </w:rPr>
        <w:t>Jacobson, Martell and Dimidijian, 2001</w:t>
      </w:r>
      <w:r>
        <w:rPr>
          <w:rFonts w:ascii="Arial" w:hAnsi="Arial" w:cs="Arial"/>
          <w:sz w:val="22"/>
          <w:szCs w:val="22"/>
        </w:rPr>
        <w:t>), Schema Therapy (Young</w:t>
      </w:r>
      <w:r w:rsidR="00F437C2">
        <w:rPr>
          <w:rFonts w:ascii="Arial" w:hAnsi="Arial" w:cs="Arial"/>
          <w:sz w:val="22"/>
          <w:szCs w:val="22"/>
        </w:rPr>
        <w:t>, 1999</w:t>
      </w:r>
      <w:r>
        <w:rPr>
          <w:rFonts w:ascii="Arial" w:hAnsi="Arial" w:cs="Arial"/>
          <w:sz w:val="22"/>
          <w:szCs w:val="22"/>
        </w:rPr>
        <w:t>)</w:t>
      </w:r>
      <w:r w:rsidR="000C0867">
        <w:rPr>
          <w:rFonts w:ascii="Arial" w:hAnsi="Arial" w:cs="Arial"/>
          <w:sz w:val="22"/>
          <w:szCs w:val="22"/>
        </w:rPr>
        <w:t>, Compassion Focussed Therapy (</w:t>
      </w:r>
      <w:r w:rsidR="00F437C2">
        <w:rPr>
          <w:rFonts w:ascii="Arial" w:hAnsi="Arial" w:cs="Arial"/>
          <w:sz w:val="22"/>
          <w:szCs w:val="22"/>
        </w:rPr>
        <w:t>Gilbert, 2010)</w:t>
      </w:r>
      <w:r w:rsidR="000C0867">
        <w:rPr>
          <w:rFonts w:ascii="Arial" w:hAnsi="Arial" w:cs="Arial"/>
          <w:sz w:val="22"/>
          <w:szCs w:val="22"/>
        </w:rPr>
        <w:t>, Acceptance and Commitment Therapy (</w:t>
      </w:r>
      <w:r w:rsidR="00F437C2">
        <w:rPr>
          <w:rFonts w:ascii="Arial" w:hAnsi="Arial" w:cs="Arial"/>
          <w:sz w:val="22"/>
          <w:szCs w:val="22"/>
        </w:rPr>
        <w:t>Hayes, 2004</w:t>
      </w:r>
      <w:r w:rsidR="000C0867">
        <w:rPr>
          <w:rFonts w:ascii="Arial" w:hAnsi="Arial" w:cs="Arial"/>
          <w:sz w:val="22"/>
          <w:szCs w:val="22"/>
        </w:rPr>
        <w:t>) and Mindfulness Based Cognitive Therapy</w:t>
      </w:r>
      <w:r w:rsidR="004A132F">
        <w:rPr>
          <w:rFonts w:ascii="Arial" w:hAnsi="Arial" w:cs="Arial"/>
          <w:sz w:val="22"/>
          <w:szCs w:val="22"/>
        </w:rPr>
        <w:t xml:space="preserve"> (</w:t>
      </w:r>
      <w:r w:rsidR="00F437C2">
        <w:rPr>
          <w:rFonts w:ascii="Arial" w:hAnsi="Arial" w:cs="Arial"/>
          <w:sz w:val="22"/>
          <w:szCs w:val="22"/>
        </w:rPr>
        <w:t>Teasdale, Segal, Williams,</w:t>
      </w:r>
      <w:r w:rsidR="00B31270">
        <w:rPr>
          <w:rFonts w:ascii="Arial" w:hAnsi="Arial" w:cs="Arial"/>
          <w:sz w:val="22"/>
          <w:szCs w:val="22"/>
        </w:rPr>
        <w:t xml:space="preserve"> </w:t>
      </w:r>
      <w:r w:rsidR="00F437C2">
        <w:rPr>
          <w:rFonts w:ascii="Arial" w:hAnsi="Arial" w:cs="Arial"/>
          <w:sz w:val="22"/>
          <w:szCs w:val="22"/>
        </w:rPr>
        <w:t>Ridgeway, Soulsby and Lau</w:t>
      </w:r>
      <w:r w:rsidR="00B31270">
        <w:rPr>
          <w:rFonts w:ascii="Arial" w:hAnsi="Arial" w:cs="Arial"/>
          <w:sz w:val="22"/>
          <w:szCs w:val="22"/>
        </w:rPr>
        <w:t>, 2000</w:t>
      </w:r>
      <w:r w:rsidR="004A132F">
        <w:rPr>
          <w:rFonts w:ascii="Arial" w:hAnsi="Arial" w:cs="Arial"/>
          <w:sz w:val="22"/>
          <w:szCs w:val="22"/>
        </w:rPr>
        <w:t xml:space="preserve">) </w:t>
      </w:r>
      <w:r w:rsidR="000C0867">
        <w:rPr>
          <w:rFonts w:ascii="Arial" w:hAnsi="Arial" w:cs="Arial"/>
          <w:sz w:val="22"/>
          <w:szCs w:val="22"/>
        </w:rPr>
        <w:t xml:space="preserve"> as well as a range of disorder</w:t>
      </w:r>
      <w:r w:rsidR="00AF32D6">
        <w:rPr>
          <w:rFonts w:ascii="Arial" w:hAnsi="Arial" w:cs="Arial"/>
          <w:sz w:val="22"/>
          <w:szCs w:val="22"/>
        </w:rPr>
        <w:t>-</w:t>
      </w:r>
      <w:r w:rsidR="000C0867">
        <w:rPr>
          <w:rFonts w:ascii="Arial" w:hAnsi="Arial" w:cs="Arial"/>
          <w:sz w:val="22"/>
          <w:szCs w:val="22"/>
        </w:rPr>
        <w:t>specific protocols for anxiety disorders. The CTS-R may not be the most effective instrument to assess competence where a therapist is using a therapy other than a traditional Beckian approach. Whilst others have also m</w:t>
      </w:r>
      <w:r w:rsidR="00E300BD">
        <w:rPr>
          <w:rFonts w:ascii="Arial" w:hAnsi="Arial" w:cs="Arial"/>
          <w:sz w:val="22"/>
          <w:szCs w:val="22"/>
        </w:rPr>
        <w:t>oo</w:t>
      </w:r>
      <w:r w:rsidR="000C0867">
        <w:rPr>
          <w:rFonts w:ascii="Arial" w:hAnsi="Arial" w:cs="Arial"/>
          <w:sz w:val="22"/>
          <w:szCs w:val="22"/>
        </w:rPr>
        <w:t>ted this as a possibility (Muse and M</w:t>
      </w:r>
      <w:r w:rsidR="00447706">
        <w:rPr>
          <w:rFonts w:ascii="Arial" w:hAnsi="Arial" w:cs="Arial"/>
          <w:sz w:val="22"/>
          <w:szCs w:val="22"/>
        </w:rPr>
        <w:t>cM</w:t>
      </w:r>
      <w:r w:rsidR="000C0867">
        <w:rPr>
          <w:rFonts w:ascii="Arial" w:hAnsi="Arial" w:cs="Arial"/>
          <w:sz w:val="22"/>
          <w:szCs w:val="22"/>
        </w:rPr>
        <w:t>anus</w:t>
      </w:r>
      <w:r w:rsidR="00447706">
        <w:rPr>
          <w:rFonts w:ascii="Arial" w:hAnsi="Arial" w:cs="Arial"/>
          <w:sz w:val="22"/>
          <w:szCs w:val="22"/>
        </w:rPr>
        <w:t>, 2013</w:t>
      </w:r>
      <w:r w:rsidR="000C0867">
        <w:rPr>
          <w:rFonts w:ascii="Arial" w:hAnsi="Arial" w:cs="Arial"/>
          <w:sz w:val="22"/>
          <w:szCs w:val="22"/>
        </w:rPr>
        <w:t xml:space="preserve">) there is currently no evidence that the CTS-R </w:t>
      </w:r>
      <w:r w:rsidR="008B0009">
        <w:rPr>
          <w:rFonts w:ascii="Arial" w:hAnsi="Arial" w:cs="Arial"/>
          <w:sz w:val="22"/>
          <w:szCs w:val="22"/>
        </w:rPr>
        <w:t>should not be used to assess competence across all methods of delivering CBT.</w:t>
      </w:r>
      <w:r w:rsidR="00585CD7">
        <w:rPr>
          <w:rFonts w:ascii="Arial" w:hAnsi="Arial" w:cs="Arial"/>
          <w:sz w:val="22"/>
          <w:szCs w:val="22"/>
        </w:rPr>
        <w:t xml:space="preserve"> </w:t>
      </w:r>
    </w:p>
    <w:p w14:paraId="6A758757" w14:textId="39D5F33E" w:rsidR="00585CD7" w:rsidRDefault="00585CD7" w:rsidP="00DC2DE7">
      <w:pPr>
        <w:spacing w:line="480" w:lineRule="auto"/>
        <w:rPr>
          <w:rFonts w:ascii="Arial" w:hAnsi="Arial" w:cs="Arial"/>
          <w:sz w:val="22"/>
          <w:szCs w:val="22"/>
        </w:rPr>
      </w:pPr>
    </w:p>
    <w:p w14:paraId="271B3698" w14:textId="742FC944" w:rsidR="002D2330" w:rsidRDefault="004A132F" w:rsidP="002D2330">
      <w:pPr>
        <w:spacing w:line="480" w:lineRule="auto"/>
        <w:rPr>
          <w:rFonts w:ascii="Arial" w:hAnsi="Arial" w:cs="Arial"/>
          <w:sz w:val="22"/>
          <w:szCs w:val="22"/>
        </w:rPr>
      </w:pPr>
      <w:r>
        <w:rPr>
          <w:rFonts w:ascii="Arial" w:hAnsi="Arial" w:cs="Arial"/>
          <w:sz w:val="22"/>
          <w:szCs w:val="22"/>
        </w:rPr>
        <w:t xml:space="preserve">Thirdly, there is significant argument about the inter-rater </w:t>
      </w:r>
      <w:r w:rsidR="00585CD7">
        <w:rPr>
          <w:rFonts w:ascii="Arial" w:hAnsi="Arial" w:cs="Arial"/>
          <w:sz w:val="22"/>
          <w:szCs w:val="22"/>
        </w:rPr>
        <w:t xml:space="preserve">reliability of </w:t>
      </w:r>
      <w:r>
        <w:rPr>
          <w:rFonts w:ascii="Arial" w:hAnsi="Arial" w:cs="Arial"/>
          <w:sz w:val="22"/>
          <w:szCs w:val="22"/>
        </w:rPr>
        <w:t xml:space="preserve">instruments such as the CTS-R and its predecessor, the CTS </w:t>
      </w:r>
      <w:r w:rsidR="00585CD7">
        <w:rPr>
          <w:rFonts w:ascii="Arial" w:hAnsi="Arial" w:cs="Arial"/>
          <w:sz w:val="22"/>
          <w:szCs w:val="22"/>
        </w:rPr>
        <w:t>(Schmidt, Strunk, DeRubeis, Conklin and Braun, 2018)</w:t>
      </w:r>
      <w:r>
        <w:rPr>
          <w:rFonts w:ascii="Arial" w:hAnsi="Arial" w:cs="Arial"/>
          <w:sz w:val="22"/>
          <w:szCs w:val="22"/>
        </w:rPr>
        <w:t>.</w:t>
      </w:r>
      <w:r w:rsidR="006B7CA5">
        <w:rPr>
          <w:rFonts w:ascii="Arial" w:hAnsi="Arial" w:cs="Arial"/>
          <w:sz w:val="22"/>
          <w:szCs w:val="22"/>
        </w:rPr>
        <w:t xml:space="preserve"> Factors such as the rater training and experience in using the CTS-R, fatigue when rating or subjective biases may all influence how the rater scores each therapy session. Whilst the effort to reduce differences in training between raters has been described elsewhere in this thesis it must be emphasised that it is difficult to mediate for rater fatigue or bias and</w:t>
      </w:r>
      <w:r w:rsidR="00AF32D6">
        <w:rPr>
          <w:rFonts w:ascii="Arial" w:hAnsi="Arial" w:cs="Arial"/>
          <w:sz w:val="22"/>
          <w:szCs w:val="22"/>
        </w:rPr>
        <w:t>,</w:t>
      </w:r>
      <w:r w:rsidR="006B7CA5">
        <w:rPr>
          <w:rFonts w:ascii="Arial" w:hAnsi="Arial" w:cs="Arial"/>
          <w:sz w:val="22"/>
          <w:szCs w:val="22"/>
        </w:rPr>
        <w:t xml:space="preserve"> therefore</w:t>
      </w:r>
      <w:r w:rsidR="00AF32D6">
        <w:rPr>
          <w:rFonts w:ascii="Arial" w:hAnsi="Arial" w:cs="Arial"/>
          <w:sz w:val="22"/>
          <w:szCs w:val="22"/>
        </w:rPr>
        <w:t>,</w:t>
      </w:r>
      <w:r w:rsidR="006B7CA5">
        <w:rPr>
          <w:rFonts w:ascii="Arial" w:hAnsi="Arial" w:cs="Arial"/>
          <w:sz w:val="22"/>
          <w:szCs w:val="22"/>
        </w:rPr>
        <w:t xml:space="preserve"> the findings reported in this study should be interpreted with this in mind.  Regardless of these potential difficulties defining therapist competence and understanding</w:t>
      </w:r>
      <w:r w:rsidR="00AF32D6">
        <w:rPr>
          <w:rFonts w:ascii="Arial" w:hAnsi="Arial" w:cs="Arial"/>
          <w:sz w:val="22"/>
          <w:szCs w:val="22"/>
        </w:rPr>
        <w:t>,</w:t>
      </w:r>
      <w:r w:rsidR="006B7CA5">
        <w:rPr>
          <w:rFonts w:ascii="Arial" w:hAnsi="Arial" w:cs="Arial"/>
          <w:sz w:val="22"/>
          <w:szCs w:val="22"/>
        </w:rPr>
        <w:t xml:space="preserve"> the active ingredients of CBT is key </w:t>
      </w:r>
      <w:r w:rsidR="008B0009">
        <w:rPr>
          <w:rFonts w:ascii="Arial" w:hAnsi="Arial" w:cs="Arial"/>
          <w:sz w:val="22"/>
          <w:szCs w:val="22"/>
        </w:rPr>
        <w:t xml:space="preserve">to improving </w:t>
      </w:r>
      <w:r w:rsidR="006B7CA5">
        <w:rPr>
          <w:rFonts w:ascii="Arial" w:hAnsi="Arial" w:cs="Arial"/>
          <w:sz w:val="22"/>
          <w:szCs w:val="22"/>
        </w:rPr>
        <w:t xml:space="preserve">patient </w:t>
      </w:r>
      <w:r w:rsidR="008B0009">
        <w:rPr>
          <w:rFonts w:ascii="Arial" w:hAnsi="Arial" w:cs="Arial"/>
          <w:sz w:val="22"/>
          <w:szCs w:val="22"/>
        </w:rPr>
        <w:t>outcomes (Webb, DeRubeis and Barber, 2010)</w:t>
      </w:r>
      <w:r w:rsidR="006B7CA5">
        <w:rPr>
          <w:rFonts w:ascii="Arial" w:hAnsi="Arial" w:cs="Arial"/>
          <w:sz w:val="22"/>
          <w:szCs w:val="22"/>
        </w:rPr>
        <w:t xml:space="preserve"> and </w:t>
      </w:r>
      <w:r w:rsidR="00C60F4F">
        <w:rPr>
          <w:rFonts w:ascii="Arial" w:hAnsi="Arial" w:cs="Arial"/>
          <w:sz w:val="22"/>
          <w:szCs w:val="22"/>
        </w:rPr>
        <w:t xml:space="preserve">the findings reported in this thesis regarding therapist competence provide </w:t>
      </w:r>
      <w:r w:rsidR="002D2330">
        <w:rPr>
          <w:rFonts w:ascii="Arial" w:hAnsi="Arial" w:cs="Arial"/>
          <w:sz w:val="22"/>
          <w:szCs w:val="22"/>
        </w:rPr>
        <w:t>a unique contribution to knowledge in this area.</w:t>
      </w:r>
    </w:p>
    <w:p w14:paraId="68492019" w14:textId="77777777" w:rsidR="002B10FD" w:rsidRDefault="002B10FD" w:rsidP="002D2330">
      <w:pPr>
        <w:spacing w:line="480" w:lineRule="auto"/>
        <w:rPr>
          <w:rFonts w:ascii="Arial" w:hAnsi="Arial" w:cs="Arial"/>
          <w:sz w:val="22"/>
          <w:szCs w:val="22"/>
        </w:rPr>
      </w:pPr>
    </w:p>
    <w:p w14:paraId="2A29C9D9" w14:textId="77777777" w:rsidR="002B10FD" w:rsidRDefault="002B10FD">
      <w:pPr>
        <w:rPr>
          <w:rFonts w:ascii="Arial" w:eastAsiaTheme="majorEastAsia" w:hAnsi="Arial" w:cs="Arial"/>
          <w:b/>
          <w:bCs/>
          <w:color w:val="000000" w:themeColor="text1"/>
          <w:sz w:val="22"/>
          <w:szCs w:val="22"/>
        </w:rPr>
      </w:pPr>
      <w:r>
        <w:rPr>
          <w:rFonts w:ascii="Arial" w:hAnsi="Arial" w:cs="Arial"/>
          <w:color w:val="000000" w:themeColor="text1"/>
          <w:sz w:val="22"/>
          <w:szCs w:val="22"/>
        </w:rPr>
        <w:br w:type="page"/>
      </w:r>
    </w:p>
    <w:p w14:paraId="0895426A" w14:textId="58615C96" w:rsidR="00DC2DE7" w:rsidRPr="00633677" w:rsidRDefault="008A1595" w:rsidP="00633677">
      <w:pPr>
        <w:pStyle w:val="Heading2"/>
        <w:rPr>
          <w:rFonts w:ascii="Arial" w:hAnsi="Arial" w:cs="Arial"/>
          <w:color w:val="000000" w:themeColor="text1"/>
          <w:sz w:val="22"/>
          <w:szCs w:val="22"/>
        </w:rPr>
      </w:pPr>
      <w:bookmarkStart w:id="424" w:name="_Toc46770843"/>
      <w:bookmarkStart w:id="425" w:name="_Toc79414254"/>
      <w:r w:rsidRPr="00633677">
        <w:rPr>
          <w:rFonts w:ascii="Arial" w:hAnsi="Arial" w:cs="Arial"/>
          <w:color w:val="000000" w:themeColor="text1"/>
          <w:sz w:val="22"/>
          <w:szCs w:val="22"/>
        </w:rPr>
        <w:lastRenderedPageBreak/>
        <w:t>6</w:t>
      </w:r>
      <w:r w:rsidR="00DC2DE7" w:rsidRPr="00633677">
        <w:rPr>
          <w:rFonts w:ascii="Arial" w:hAnsi="Arial" w:cs="Arial"/>
          <w:color w:val="000000" w:themeColor="text1"/>
          <w:sz w:val="22"/>
          <w:szCs w:val="22"/>
        </w:rPr>
        <w:t>.</w:t>
      </w:r>
      <w:r w:rsidR="00D847BF" w:rsidRPr="00633677">
        <w:rPr>
          <w:rFonts w:ascii="Arial" w:hAnsi="Arial" w:cs="Arial"/>
          <w:color w:val="000000" w:themeColor="text1"/>
          <w:sz w:val="22"/>
          <w:szCs w:val="22"/>
        </w:rPr>
        <w:t>5</w:t>
      </w:r>
      <w:r w:rsidR="00DC2DE7" w:rsidRPr="00633677">
        <w:rPr>
          <w:rFonts w:ascii="Arial" w:hAnsi="Arial" w:cs="Arial"/>
          <w:color w:val="000000" w:themeColor="text1"/>
          <w:sz w:val="22"/>
          <w:szCs w:val="22"/>
        </w:rPr>
        <w:t xml:space="preserve"> </w:t>
      </w:r>
      <w:r w:rsidR="003A60E9" w:rsidRPr="00633677">
        <w:rPr>
          <w:rFonts w:ascii="Arial" w:hAnsi="Arial" w:cs="Arial"/>
          <w:color w:val="000000" w:themeColor="text1"/>
          <w:sz w:val="22"/>
          <w:szCs w:val="22"/>
        </w:rPr>
        <w:t xml:space="preserve">RESEARCH QUESTION </w:t>
      </w:r>
      <w:r w:rsidR="00AD172C">
        <w:rPr>
          <w:rFonts w:ascii="Arial" w:hAnsi="Arial" w:cs="Arial"/>
          <w:color w:val="000000" w:themeColor="text1"/>
          <w:sz w:val="22"/>
          <w:szCs w:val="22"/>
        </w:rPr>
        <w:t>FOUR</w:t>
      </w:r>
      <w:r w:rsidR="003A60E9" w:rsidRPr="00633677">
        <w:rPr>
          <w:rFonts w:ascii="Arial" w:hAnsi="Arial" w:cs="Arial"/>
          <w:color w:val="000000" w:themeColor="text1"/>
          <w:sz w:val="22"/>
          <w:szCs w:val="22"/>
        </w:rPr>
        <w:t xml:space="preserve">: THERAPIST ADHERENCE </w:t>
      </w:r>
      <w:r w:rsidR="00633677" w:rsidRPr="00633677">
        <w:rPr>
          <w:rFonts w:ascii="Arial" w:hAnsi="Arial" w:cs="Arial"/>
          <w:color w:val="000000" w:themeColor="text1"/>
          <w:sz w:val="22"/>
          <w:szCs w:val="22"/>
        </w:rPr>
        <w:t>&amp; OUTCOME</w:t>
      </w:r>
      <w:bookmarkEnd w:id="424"/>
      <w:bookmarkEnd w:id="425"/>
      <w:r w:rsidR="00633677" w:rsidRPr="00633677">
        <w:rPr>
          <w:rFonts w:ascii="Arial" w:hAnsi="Arial" w:cs="Arial"/>
          <w:color w:val="000000" w:themeColor="text1"/>
          <w:sz w:val="22"/>
          <w:szCs w:val="22"/>
        </w:rPr>
        <w:t xml:space="preserve"> </w:t>
      </w:r>
    </w:p>
    <w:p w14:paraId="50E3AD3D" w14:textId="77777777" w:rsidR="00633677" w:rsidRPr="00633677" w:rsidRDefault="00633677" w:rsidP="00633677"/>
    <w:p w14:paraId="5F21EDC7" w14:textId="36D0AA83" w:rsidR="00DC2DE7" w:rsidRDefault="00A506A7" w:rsidP="00DC2DE7">
      <w:pPr>
        <w:spacing w:line="480" w:lineRule="auto"/>
        <w:rPr>
          <w:rFonts w:ascii="Arial" w:hAnsi="Arial" w:cs="Arial"/>
          <w:sz w:val="22"/>
          <w:szCs w:val="22"/>
        </w:rPr>
      </w:pPr>
      <w:r>
        <w:rPr>
          <w:rFonts w:ascii="Arial" w:hAnsi="Arial" w:cs="Arial"/>
          <w:sz w:val="22"/>
          <w:szCs w:val="22"/>
        </w:rPr>
        <w:t>This thesis has argued that t</w:t>
      </w:r>
      <w:r w:rsidR="00DC2DE7">
        <w:rPr>
          <w:rFonts w:ascii="Arial" w:hAnsi="Arial" w:cs="Arial"/>
          <w:sz w:val="22"/>
          <w:szCs w:val="22"/>
        </w:rPr>
        <w:t xml:space="preserve">herapist adherence </w:t>
      </w:r>
      <w:r>
        <w:rPr>
          <w:rFonts w:ascii="Arial" w:hAnsi="Arial" w:cs="Arial"/>
          <w:sz w:val="22"/>
          <w:szCs w:val="22"/>
        </w:rPr>
        <w:t>is more effectively</w:t>
      </w:r>
      <w:r w:rsidR="00DC2DE7">
        <w:rPr>
          <w:rFonts w:ascii="Arial" w:hAnsi="Arial" w:cs="Arial"/>
          <w:sz w:val="22"/>
          <w:szCs w:val="22"/>
        </w:rPr>
        <w:t xml:space="preserve"> assess</w:t>
      </w:r>
      <w:r>
        <w:rPr>
          <w:rFonts w:ascii="Arial" w:hAnsi="Arial" w:cs="Arial"/>
          <w:sz w:val="22"/>
          <w:szCs w:val="22"/>
        </w:rPr>
        <w:t>ed when a rater reviews</w:t>
      </w:r>
      <w:r w:rsidR="00DC2DE7">
        <w:rPr>
          <w:rFonts w:ascii="Arial" w:hAnsi="Arial" w:cs="Arial"/>
          <w:sz w:val="22"/>
          <w:szCs w:val="22"/>
        </w:rPr>
        <w:t xml:space="preserve"> every therapy session in a completed episode of care for at least </w:t>
      </w:r>
      <w:r>
        <w:rPr>
          <w:rFonts w:ascii="Arial" w:hAnsi="Arial" w:cs="Arial"/>
          <w:sz w:val="22"/>
          <w:szCs w:val="22"/>
        </w:rPr>
        <w:t>three patients</w:t>
      </w:r>
      <w:r w:rsidR="00DC2DE7">
        <w:rPr>
          <w:rFonts w:ascii="Arial" w:hAnsi="Arial" w:cs="Arial"/>
          <w:sz w:val="22"/>
          <w:szCs w:val="22"/>
        </w:rPr>
        <w:t xml:space="preserve">. Assessing therapist adherence involves a rater assessing whether or not a therapist has delivered therapy using an evidence-based treatment protocol, not just in one </w:t>
      </w:r>
      <w:r>
        <w:rPr>
          <w:rFonts w:ascii="Arial" w:hAnsi="Arial" w:cs="Arial"/>
          <w:sz w:val="22"/>
          <w:szCs w:val="22"/>
        </w:rPr>
        <w:t xml:space="preserve">single therapy </w:t>
      </w:r>
      <w:r w:rsidR="00DC2DE7">
        <w:rPr>
          <w:rFonts w:ascii="Arial" w:hAnsi="Arial" w:cs="Arial"/>
          <w:sz w:val="22"/>
          <w:szCs w:val="22"/>
        </w:rPr>
        <w:t xml:space="preserve">session but for the duration of the entire episode of care for that patient (see </w:t>
      </w:r>
      <w:r w:rsidR="00497E09">
        <w:rPr>
          <w:rFonts w:ascii="Arial" w:hAnsi="Arial" w:cs="Arial"/>
          <w:sz w:val="22"/>
          <w:szCs w:val="22"/>
        </w:rPr>
        <w:t>C</w:t>
      </w:r>
      <w:r w:rsidR="00DC2DE7">
        <w:rPr>
          <w:rFonts w:ascii="Arial" w:hAnsi="Arial" w:cs="Arial"/>
          <w:sz w:val="22"/>
          <w:szCs w:val="22"/>
        </w:rPr>
        <w:t xml:space="preserve">hapter 2 for a full description of evidence-based protocols used in CBT). This thesis has explored how it is problematic to assess </w:t>
      </w:r>
      <w:r>
        <w:rPr>
          <w:rFonts w:ascii="Arial" w:hAnsi="Arial" w:cs="Arial"/>
          <w:sz w:val="22"/>
          <w:szCs w:val="22"/>
        </w:rPr>
        <w:t>whole</w:t>
      </w:r>
      <w:r w:rsidR="00DC2DE7">
        <w:rPr>
          <w:rFonts w:ascii="Arial" w:hAnsi="Arial" w:cs="Arial"/>
          <w:sz w:val="22"/>
          <w:szCs w:val="22"/>
        </w:rPr>
        <w:t xml:space="preserve"> </w:t>
      </w:r>
      <w:r>
        <w:rPr>
          <w:rFonts w:ascii="Arial" w:hAnsi="Arial" w:cs="Arial"/>
          <w:sz w:val="22"/>
          <w:szCs w:val="22"/>
        </w:rPr>
        <w:t>episodes of care</w:t>
      </w:r>
      <w:r w:rsidR="00DC2DE7">
        <w:rPr>
          <w:rFonts w:ascii="Arial" w:hAnsi="Arial" w:cs="Arial"/>
          <w:sz w:val="22"/>
          <w:szCs w:val="22"/>
        </w:rPr>
        <w:t xml:space="preserve"> because of the</w:t>
      </w:r>
      <w:r>
        <w:rPr>
          <w:rFonts w:ascii="Arial" w:hAnsi="Arial" w:cs="Arial"/>
          <w:sz w:val="22"/>
          <w:szCs w:val="22"/>
        </w:rPr>
        <w:t xml:space="preserve"> practical</w:t>
      </w:r>
      <w:r w:rsidR="00DC2DE7">
        <w:rPr>
          <w:rFonts w:ascii="Arial" w:hAnsi="Arial" w:cs="Arial"/>
          <w:sz w:val="22"/>
          <w:szCs w:val="22"/>
        </w:rPr>
        <w:t xml:space="preserve"> difficulty</w:t>
      </w:r>
      <w:r>
        <w:rPr>
          <w:rFonts w:ascii="Arial" w:hAnsi="Arial" w:cs="Arial"/>
          <w:sz w:val="22"/>
          <w:szCs w:val="22"/>
        </w:rPr>
        <w:t xml:space="preserve"> of</w:t>
      </w:r>
      <w:r w:rsidR="00DC2DE7">
        <w:rPr>
          <w:rFonts w:ascii="Arial" w:hAnsi="Arial" w:cs="Arial"/>
          <w:sz w:val="22"/>
          <w:szCs w:val="22"/>
        </w:rPr>
        <w:t xml:space="preserve"> accessing the data in real</w:t>
      </w:r>
      <w:r w:rsidR="00E300BD">
        <w:rPr>
          <w:rFonts w:ascii="Arial" w:hAnsi="Arial" w:cs="Arial"/>
          <w:sz w:val="22"/>
          <w:szCs w:val="22"/>
        </w:rPr>
        <w:t>-</w:t>
      </w:r>
      <w:r w:rsidR="00DC2DE7">
        <w:rPr>
          <w:rFonts w:ascii="Arial" w:hAnsi="Arial" w:cs="Arial"/>
          <w:sz w:val="22"/>
          <w:szCs w:val="22"/>
        </w:rPr>
        <w:t>world clinical settings.  If it is difficult to access individual therapy sessions, then it follows that it is even more problematic to access live therapy material for every treatment session. Consequently, there are very few studies that examine the relationship between adherence and outcome</w:t>
      </w:r>
      <w:r w:rsidR="00E300BD">
        <w:rPr>
          <w:rFonts w:ascii="Arial" w:hAnsi="Arial" w:cs="Arial"/>
          <w:sz w:val="22"/>
          <w:szCs w:val="22"/>
        </w:rPr>
        <w:t>,</w:t>
      </w:r>
      <w:r w:rsidR="00DC2DE7">
        <w:rPr>
          <w:rFonts w:ascii="Arial" w:hAnsi="Arial" w:cs="Arial"/>
          <w:sz w:val="22"/>
          <w:szCs w:val="22"/>
        </w:rPr>
        <w:t xml:space="preserve"> and those that do tend to be in the context of a randomised controlled trial where therapists are trained to adhere to a protocol in order that the efficacy of the intervention can be determined (</w:t>
      </w:r>
      <w:r w:rsidR="00DC2DE7" w:rsidRPr="00B31270">
        <w:rPr>
          <w:rFonts w:ascii="Arial" w:hAnsi="Arial" w:cs="Arial"/>
          <w:sz w:val="22"/>
          <w:szCs w:val="22"/>
        </w:rPr>
        <w:t>Weck et al., 2016).</w:t>
      </w:r>
      <w:r w:rsidR="00DC2DE7">
        <w:rPr>
          <w:rFonts w:ascii="Arial" w:hAnsi="Arial" w:cs="Arial"/>
          <w:sz w:val="22"/>
          <w:szCs w:val="22"/>
        </w:rPr>
        <w:t xml:space="preserve">  Not surprisingly</w:t>
      </w:r>
      <w:r w:rsidR="00497E09">
        <w:rPr>
          <w:rFonts w:ascii="Arial" w:hAnsi="Arial" w:cs="Arial"/>
          <w:sz w:val="22"/>
          <w:szCs w:val="22"/>
        </w:rPr>
        <w:t>,</w:t>
      </w:r>
      <w:r w:rsidR="00DC2DE7">
        <w:rPr>
          <w:rFonts w:ascii="Arial" w:hAnsi="Arial" w:cs="Arial"/>
          <w:sz w:val="22"/>
          <w:szCs w:val="22"/>
        </w:rPr>
        <w:t xml:space="preserve"> many of these studies report that adherence relates to outcomes (see Ginzburg et al., 2012, Weck et al., 2016 and Haug et al., 2016).</w:t>
      </w:r>
      <w:r w:rsidR="00A50597">
        <w:rPr>
          <w:rFonts w:ascii="Arial" w:hAnsi="Arial" w:cs="Arial"/>
          <w:sz w:val="22"/>
          <w:szCs w:val="22"/>
        </w:rPr>
        <w:t xml:space="preserve"> Whi</w:t>
      </w:r>
      <w:r w:rsidR="00F816C7">
        <w:rPr>
          <w:rFonts w:ascii="Arial" w:hAnsi="Arial" w:cs="Arial"/>
          <w:sz w:val="22"/>
          <w:szCs w:val="22"/>
        </w:rPr>
        <w:t>lst Gyanni</w:t>
      </w:r>
      <w:r w:rsidR="00E66DAC">
        <w:rPr>
          <w:rFonts w:ascii="Arial" w:hAnsi="Arial" w:cs="Arial"/>
          <w:sz w:val="22"/>
          <w:szCs w:val="22"/>
        </w:rPr>
        <w:t>, Shafran, Layard and Clark,</w:t>
      </w:r>
      <w:r w:rsidR="00F816C7">
        <w:rPr>
          <w:rFonts w:ascii="Arial" w:hAnsi="Arial" w:cs="Arial"/>
          <w:sz w:val="22"/>
          <w:szCs w:val="22"/>
        </w:rPr>
        <w:t xml:space="preserve"> 2013</w:t>
      </w:r>
      <w:r w:rsidR="009A3FEF">
        <w:rPr>
          <w:rFonts w:ascii="Arial" w:hAnsi="Arial" w:cs="Arial"/>
          <w:sz w:val="22"/>
          <w:szCs w:val="22"/>
        </w:rPr>
        <w:t>,</w:t>
      </w:r>
      <w:r w:rsidR="00F816C7">
        <w:rPr>
          <w:rFonts w:ascii="Arial" w:hAnsi="Arial" w:cs="Arial"/>
          <w:sz w:val="22"/>
          <w:szCs w:val="22"/>
        </w:rPr>
        <w:t xml:space="preserve"> Clark (2018)</w:t>
      </w:r>
      <w:r w:rsidR="009A3FEF">
        <w:rPr>
          <w:rFonts w:ascii="Arial" w:hAnsi="Arial" w:cs="Arial"/>
          <w:sz w:val="22"/>
          <w:szCs w:val="22"/>
        </w:rPr>
        <w:t xml:space="preserve"> and Liness et al., (2019)</w:t>
      </w:r>
      <w:r w:rsidR="00F816C7">
        <w:rPr>
          <w:rFonts w:ascii="Arial" w:hAnsi="Arial" w:cs="Arial"/>
          <w:sz w:val="22"/>
          <w:szCs w:val="22"/>
        </w:rPr>
        <w:t xml:space="preserve"> report that therapist adherence relates </w:t>
      </w:r>
      <w:r w:rsidR="00E66DAC">
        <w:rPr>
          <w:rFonts w:ascii="Arial" w:hAnsi="Arial" w:cs="Arial"/>
          <w:sz w:val="22"/>
          <w:szCs w:val="22"/>
        </w:rPr>
        <w:t xml:space="preserve">to outcomes </w:t>
      </w:r>
      <w:r w:rsidR="00F816C7">
        <w:rPr>
          <w:rFonts w:ascii="Arial" w:hAnsi="Arial" w:cs="Arial"/>
          <w:sz w:val="22"/>
          <w:szCs w:val="22"/>
        </w:rPr>
        <w:t>in IAPT their findings are based on the supposition that IAPT therapists are delivering NICE approved, evidence</w:t>
      </w:r>
      <w:r w:rsidR="00497E09">
        <w:rPr>
          <w:rFonts w:ascii="Arial" w:hAnsi="Arial" w:cs="Arial"/>
          <w:sz w:val="22"/>
          <w:szCs w:val="22"/>
        </w:rPr>
        <w:t>-</w:t>
      </w:r>
      <w:r w:rsidR="00F816C7">
        <w:rPr>
          <w:rFonts w:ascii="Arial" w:hAnsi="Arial" w:cs="Arial"/>
          <w:sz w:val="22"/>
          <w:szCs w:val="22"/>
        </w:rPr>
        <w:t>based protocols. The authors fail to support their argument by extensively reviewing therapy sessions and admit that they do not have access to</w:t>
      </w:r>
      <w:r w:rsidR="00D46EBE">
        <w:rPr>
          <w:rFonts w:ascii="Arial" w:hAnsi="Arial" w:cs="Arial"/>
          <w:sz w:val="22"/>
          <w:szCs w:val="22"/>
        </w:rPr>
        <w:t xml:space="preserve"> any recordings of therapy sessions.</w:t>
      </w:r>
      <w:r w:rsidR="00F816C7">
        <w:rPr>
          <w:rFonts w:ascii="Arial" w:hAnsi="Arial" w:cs="Arial"/>
          <w:sz w:val="22"/>
          <w:szCs w:val="22"/>
        </w:rPr>
        <w:t xml:space="preserve"> Therefore, it reasonable to state that </w:t>
      </w:r>
      <w:r w:rsidR="00DC2DE7">
        <w:rPr>
          <w:rFonts w:ascii="Arial" w:hAnsi="Arial" w:cs="Arial"/>
          <w:sz w:val="22"/>
          <w:szCs w:val="22"/>
        </w:rPr>
        <w:t>there are no real-world studies that examine the relationship between adherence and outcome within IAPT.</w:t>
      </w:r>
      <w:r w:rsidR="00D820E4">
        <w:rPr>
          <w:rFonts w:ascii="Arial" w:hAnsi="Arial" w:cs="Arial"/>
          <w:sz w:val="22"/>
          <w:szCs w:val="22"/>
        </w:rPr>
        <w:t xml:space="preserve"> </w:t>
      </w:r>
      <w:r w:rsidR="00BB7BD7">
        <w:rPr>
          <w:rFonts w:ascii="Arial" w:hAnsi="Arial" w:cs="Arial"/>
          <w:sz w:val="22"/>
          <w:szCs w:val="22"/>
        </w:rPr>
        <w:t>The fact that other than adherence/</w:t>
      </w:r>
      <w:r w:rsidR="005C69E5">
        <w:rPr>
          <w:rFonts w:ascii="Arial" w:hAnsi="Arial" w:cs="Arial"/>
          <w:sz w:val="22"/>
          <w:szCs w:val="22"/>
        </w:rPr>
        <w:t>outcome studies reported in individual RCTs that</w:t>
      </w:r>
      <w:r w:rsidR="009D78DA">
        <w:rPr>
          <w:rFonts w:ascii="Arial" w:hAnsi="Arial" w:cs="Arial"/>
          <w:sz w:val="22"/>
          <w:szCs w:val="22"/>
        </w:rPr>
        <w:t xml:space="preserve"> </w:t>
      </w:r>
      <w:r w:rsidR="00282087">
        <w:rPr>
          <w:rFonts w:ascii="Arial" w:hAnsi="Arial" w:cs="Arial"/>
          <w:sz w:val="22"/>
          <w:szCs w:val="22"/>
        </w:rPr>
        <w:t>there have been no previous attempts to assess adherence</w:t>
      </w:r>
      <w:r w:rsidR="0099017A">
        <w:rPr>
          <w:rFonts w:ascii="Arial" w:hAnsi="Arial" w:cs="Arial"/>
          <w:sz w:val="22"/>
          <w:szCs w:val="22"/>
        </w:rPr>
        <w:t xml:space="preserve"> and as such there is limited criteria </w:t>
      </w:r>
      <w:r w:rsidR="00361A85">
        <w:rPr>
          <w:rFonts w:ascii="Arial" w:hAnsi="Arial" w:cs="Arial"/>
          <w:sz w:val="22"/>
          <w:szCs w:val="22"/>
        </w:rPr>
        <w:t>in relation to how adherence can be assessed in real</w:t>
      </w:r>
      <w:r w:rsidR="0023735D">
        <w:rPr>
          <w:rFonts w:ascii="Arial" w:hAnsi="Arial" w:cs="Arial"/>
          <w:sz w:val="22"/>
          <w:szCs w:val="22"/>
        </w:rPr>
        <w:t>-</w:t>
      </w:r>
      <w:r w:rsidR="00361A85">
        <w:rPr>
          <w:rFonts w:ascii="Arial" w:hAnsi="Arial" w:cs="Arial"/>
          <w:sz w:val="22"/>
          <w:szCs w:val="22"/>
        </w:rPr>
        <w:t xml:space="preserve">world settings. </w:t>
      </w:r>
      <w:r w:rsidR="00732BA7">
        <w:rPr>
          <w:rFonts w:ascii="Arial" w:hAnsi="Arial" w:cs="Arial"/>
          <w:sz w:val="22"/>
          <w:szCs w:val="22"/>
        </w:rPr>
        <w:t xml:space="preserve">The researcher has used the best </w:t>
      </w:r>
      <w:r w:rsidR="00831E5F">
        <w:rPr>
          <w:rFonts w:ascii="Arial" w:hAnsi="Arial" w:cs="Arial"/>
          <w:sz w:val="22"/>
          <w:szCs w:val="22"/>
        </w:rPr>
        <w:t xml:space="preserve">available guidance in relation to IAPT in the form of the </w:t>
      </w:r>
      <w:r w:rsidR="00941D1C">
        <w:rPr>
          <w:rFonts w:ascii="Arial" w:hAnsi="Arial" w:cs="Arial"/>
          <w:sz w:val="22"/>
          <w:szCs w:val="22"/>
        </w:rPr>
        <w:t xml:space="preserve">evidence base used to inform the </w:t>
      </w:r>
      <w:r w:rsidR="0004053C">
        <w:rPr>
          <w:rFonts w:ascii="Arial" w:hAnsi="Arial" w:cs="Arial"/>
          <w:sz w:val="22"/>
          <w:szCs w:val="22"/>
        </w:rPr>
        <w:t xml:space="preserve">national </w:t>
      </w:r>
      <w:r w:rsidR="00941D1C">
        <w:rPr>
          <w:rFonts w:ascii="Arial" w:hAnsi="Arial" w:cs="Arial"/>
          <w:sz w:val="22"/>
          <w:szCs w:val="22"/>
        </w:rPr>
        <w:t>curricul</w:t>
      </w:r>
      <w:r w:rsidR="0004053C">
        <w:rPr>
          <w:rFonts w:ascii="Arial" w:hAnsi="Arial" w:cs="Arial"/>
          <w:sz w:val="22"/>
          <w:szCs w:val="22"/>
        </w:rPr>
        <w:t>u</w:t>
      </w:r>
      <w:r w:rsidR="00941D1C">
        <w:rPr>
          <w:rFonts w:ascii="Arial" w:hAnsi="Arial" w:cs="Arial"/>
          <w:sz w:val="22"/>
          <w:szCs w:val="22"/>
        </w:rPr>
        <w:t xml:space="preserve">m and related summative assessment criteria </w:t>
      </w:r>
      <w:r w:rsidR="0004053C">
        <w:rPr>
          <w:rFonts w:ascii="Arial" w:hAnsi="Arial" w:cs="Arial"/>
          <w:sz w:val="22"/>
          <w:szCs w:val="22"/>
        </w:rPr>
        <w:t xml:space="preserve">within the IAPT training programme.  </w:t>
      </w:r>
      <w:r w:rsidR="00030708">
        <w:rPr>
          <w:rFonts w:ascii="Arial" w:hAnsi="Arial" w:cs="Arial"/>
          <w:sz w:val="22"/>
          <w:szCs w:val="22"/>
        </w:rPr>
        <w:t xml:space="preserve">However, it should be pointed out that trainees are not assessed on their ability </w:t>
      </w:r>
      <w:r w:rsidR="00030708">
        <w:rPr>
          <w:rFonts w:ascii="Arial" w:hAnsi="Arial" w:cs="Arial"/>
          <w:sz w:val="22"/>
          <w:szCs w:val="22"/>
        </w:rPr>
        <w:lastRenderedPageBreak/>
        <w:t xml:space="preserve">to adhere to an evidence-based protocol using recordings of every therapy session.  </w:t>
      </w:r>
      <w:r w:rsidR="00697A4A">
        <w:rPr>
          <w:rFonts w:ascii="Arial" w:hAnsi="Arial" w:cs="Arial"/>
          <w:sz w:val="22"/>
          <w:szCs w:val="22"/>
        </w:rPr>
        <w:t>Therefore</w:t>
      </w:r>
      <w:r w:rsidR="00633677">
        <w:rPr>
          <w:rFonts w:ascii="Arial" w:hAnsi="Arial" w:cs="Arial"/>
          <w:sz w:val="22"/>
          <w:szCs w:val="22"/>
        </w:rPr>
        <w:t>,</w:t>
      </w:r>
      <w:r w:rsidR="00697A4A">
        <w:rPr>
          <w:rFonts w:ascii="Arial" w:hAnsi="Arial" w:cs="Arial"/>
          <w:sz w:val="22"/>
          <w:szCs w:val="22"/>
        </w:rPr>
        <w:t xml:space="preserve"> the method used to assess</w:t>
      </w:r>
      <w:r w:rsidR="00522D09">
        <w:rPr>
          <w:rFonts w:ascii="Arial" w:hAnsi="Arial" w:cs="Arial"/>
          <w:sz w:val="22"/>
          <w:szCs w:val="22"/>
        </w:rPr>
        <w:t xml:space="preserve"> adherence described in this thesis </w:t>
      </w:r>
      <w:r w:rsidR="005825FC">
        <w:rPr>
          <w:rFonts w:ascii="Arial" w:hAnsi="Arial" w:cs="Arial"/>
          <w:sz w:val="22"/>
          <w:szCs w:val="22"/>
        </w:rPr>
        <w:t>has never been used before</w:t>
      </w:r>
      <w:r w:rsidR="00E300BD">
        <w:rPr>
          <w:rFonts w:ascii="Arial" w:hAnsi="Arial" w:cs="Arial"/>
          <w:sz w:val="22"/>
          <w:szCs w:val="22"/>
        </w:rPr>
        <w:t>,</w:t>
      </w:r>
      <w:r w:rsidR="005825FC">
        <w:rPr>
          <w:rFonts w:ascii="Arial" w:hAnsi="Arial" w:cs="Arial"/>
          <w:sz w:val="22"/>
          <w:szCs w:val="22"/>
        </w:rPr>
        <w:t xml:space="preserve"> and the</w:t>
      </w:r>
      <w:r w:rsidR="00CC0583">
        <w:rPr>
          <w:rFonts w:ascii="Arial" w:hAnsi="Arial" w:cs="Arial"/>
          <w:sz w:val="22"/>
          <w:szCs w:val="22"/>
        </w:rPr>
        <w:t xml:space="preserve"> resulting</w:t>
      </w:r>
      <w:r w:rsidR="005825FC">
        <w:rPr>
          <w:rFonts w:ascii="Arial" w:hAnsi="Arial" w:cs="Arial"/>
          <w:sz w:val="22"/>
          <w:szCs w:val="22"/>
        </w:rPr>
        <w:t xml:space="preserve"> </w:t>
      </w:r>
      <w:r w:rsidR="00CC0583">
        <w:rPr>
          <w:rFonts w:ascii="Arial" w:hAnsi="Arial" w:cs="Arial"/>
          <w:sz w:val="22"/>
          <w:szCs w:val="22"/>
        </w:rPr>
        <w:t>findings</w:t>
      </w:r>
      <w:r w:rsidR="005825FC">
        <w:rPr>
          <w:rFonts w:ascii="Arial" w:hAnsi="Arial" w:cs="Arial"/>
          <w:sz w:val="22"/>
          <w:szCs w:val="22"/>
        </w:rPr>
        <w:t xml:space="preserve"> </w:t>
      </w:r>
      <w:r w:rsidR="00CC0583">
        <w:rPr>
          <w:rFonts w:ascii="Arial" w:hAnsi="Arial" w:cs="Arial"/>
          <w:sz w:val="22"/>
          <w:szCs w:val="22"/>
        </w:rPr>
        <w:t>should be interpreted with this in mind.</w:t>
      </w:r>
    </w:p>
    <w:p w14:paraId="1437DF1C" w14:textId="77777777" w:rsidR="00F816C7" w:rsidRDefault="00F816C7" w:rsidP="00DC2DE7">
      <w:pPr>
        <w:spacing w:line="480" w:lineRule="auto"/>
        <w:rPr>
          <w:rFonts w:ascii="Arial" w:hAnsi="Arial" w:cs="Arial"/>
          <w:sz w:val="22"/>
          <w:szCs w:val="22"/>
        </w:rPr>
      </w:pPr>
    </w:p>
    <w:p w14:paraId="71D64574" w14:textId="2481B7D5" w:rsidR="00E66DAC" w:rsidRDefault="00DC2DE7" w:rsidP="00DC2DE7">
      <w:pPr>
        <w:spacing w:line="480" w:lineRule="auto"/>
        <w:rPr>
          <w:rFonts w:ascii="Arial" w:hAnsi="Arial" w:cs="Arial"/>
          <w:sz w:val="22"/>
          <w:szCs w:val="22"/>
        </w:rPr>
      </w:pPr>
      <w:r>
        <w:rPr>
          <w:rFonts w:ascii="Arial" w:hAnsi="Arial" w:cs="Arial"/>
          <w:sz w:val="22"/>
          <w:szCs w:val="22"/>
        </w:rPr>
        <w:t>The f</w:t>
      </w:r>
      <w:r w:rsidR="000C0867">
        <w:rPr>
          <w:rFonts w:ascii="Arial" w:hAnsi="Arial" w:cs="Arial"/>
          <w:sz w:val="22"/>
          <w:szCs w:val="22"/>
        </w:rPr>
        <w:t>ourth</w:t>
      </w:r>
      <w:r>
        <w:rPr>
          <w:rFonts w:ascii="Arial" w:hAnsi="Arial" w:cs="Arial"/>
          <w:sz w:val="22"/>
          <w:szCs w:val="22"/>
        </w:rPr>
        <w:t xml:space="preserve"> and final question in this thesis asks whether therapist adherence (</w:t>
      </w:r>
      <w:r w:rsidR="000C0867">
        <w:rPr>
          <w:rFonts w:ascii="Arial" w:hAnsi="Arial" w:cs="Arial"/>
          <w:sz w:val="22"/>
          <w:szCs w:val="22"/>
        </w:rPr>
        <w:t xml:space="preserve">defined </w:t>
      </w:r>
      <w:r>
        <w:rPr>
          <w:rFonts w:ascii="Arial" w:hAnsi="Arial" w:cs="Arial"/>
          <w:sz w:val="22"/>
          <w:szCs w:val="22"/>
        </w:rPr>
        <w:t>as the A score) to an evidence-based protocol is related to outcome. This research initially conducted a simple Chi Square test for association between the A score and recovery.  There was a statistically significant relationship at the 0.05 level (X</w:t>
      </w:r>
      <w:r w:rsidRPr="00737223">
        <w:rPr>
          <w:rFonts w:ascii="Arial" w:hAnsi="Arial" w:cs="Arial"/>
          <w:sz w:val="22"/>
          <w:szCs w:val="22"/>
          <w:vertAlign w:val="superscript"/>
        </w:rPr>
        <w:t>2</w:t>
      </w:r>
      <w:r>
        <w:rPr>
          <w:rFonts w:ascii="Arial" w:hAnsi="Arial" w:cs="Arial"/>
          <w:sz w:val="22"/>
          <w:szCs w:val="22"/>
        </w:rPr>
        <w:t xml:space="preserve"> = 8.24, p= 0.04). Whilst the answer to this research question was affirmative</w:t>
      </w:r>
      <w:r w:rsidR="00E300BD">
        <w:rPr>
          <w:rFonts w:ascii="Arial" w:hAnsi="Arial" w:cs="Arial"/>
          <w:sz w:val="22"/>
          <w:szCs w:val="22"/>
        </w:rPr>
        <w:t>,</w:t>
      </w:r>
      <w:r>
        <w:rPr>
          <w:rFonts w:ascii="Arial" w:hAnsi="Arial" w:cs="Arial"/>
          <w:sz w:val="22"/>
          <w:szCs w:val="22"/>
        </w:rPr>
        <w:t xml:space="preserve"> this research then went on to further test the strength of the relationship between A scores and recovery. Using the same analyses as those conducted for F scores (see section </w:t>
      </w:r>
      <w:r w:rsidR="00595850">
        <w:rPr>
          <w:rFonts w:ascii="Arial" w:hAnsi="Arial" w:cs="Arial"/>
          <w:sz w:val="22"/>
          <w:szCs w:val="22"/>
        </w:rPr>
        <w:t>6</w:t>
      </w:r>
      <w:r>
        <w:rPr>
          <w:rFonts w:ascii="Arial" w:hAnsi="Arial" w:cs="Arial"/>
          <w:sz w:val="22"/>
          <w:szCs w:val="22"/>
        </w:rPr>
        <w:t>.1.4, above)</w:t>
      </w:r>
      <w:r w:rsidR="00E300BD">
        <w:rPr>
          <w:rFonts w:ascii="Arial" w:hAnsi="Arial" w:cs="Arial"/>
          <w:sz w:val="22"/>
          <w:szCs w:val="22"/>
        </w:rPr>
        <w:t>,</w:t>
      </w:r>
      <w:r>
        <w:rPr>
          <w:rFonts w:ascii="Arial" w:hAnsi="Arial" w:cs="Arial"/>
          <w:sz w:val="22"/>
          <w:szCs w:val="22"/>
        </w:rPr>
        <w:t xml:space="preserve"> A scores were placed in a hierarchical multiple regression model with all the other variables. The model, which included both A and F scores, was significant at the 0.05 level. The findings from both these analyses suggests that adherence is related to outcome at the 0.05 level.</w:t>
      </w:r>
      <w:r w:rsidR="00E66DAC">
        <w:rPr>
          <w:rFonts w:ascii="Arial" w:hAnsi="Arial" w:cs="Arial"/>
          <w:sz w:val="22"/>
          <w:szCs w:val="22"/>
        </w:rPr>
        <w:t xml:space="preserve">  This is the first time that therapy transcripts of every treatment session of 600 patients have been reviewed in order to investigate whether therapists are adhering to an evidence</w:t>
      </w:r>
      <w:r w:rsidR="00E31DE5">
        <w:rPr>
          <w:rFonts w:ascii="Arial" w:hAnsi="Arial" w:cs="Arial"/>
          <w:sz w:val="22"/>
          <w:szCs w:val="22"/>
        </w:rPr>
        <w:t>-</w:t>
      </w:r>
      <w:r w:rsidR="00E66DAC">
        <w:rPr>
          <w:rFonts w:ascii="Arial" w:hAnsi="Arial" w:cs="Arial"/>
          <w:sz w:val="22"/>
          <w:szCs w:val="22"/>
        </w:rPr>
        <w:t>based treatment protocol in IAPT and how adherence relates to outcome. The descriptive statistics in themselves are of great interest</w:t>
      </w:r>
      <w:r w:rsidR="004D4BE4">
        <w:rPr>
          <w:rFonts w:ascii="Arial" w:hAnsi="Arial" w:cs="Arial"/>
          <w:sz w:val="22"/>
          <w:szCs w:val="22"/>
        </w:rPr>
        <w:t xml:space="preserve"> but should be interpreted with caution given </w:t>
      </w:r>
      <w:r w:rsidR="00E300BD">
        <w:rPr>
          <w:rFonts w:ascii="Arial" w:hAnsi="Arial" w:cs="Arial"/>
          <w:sz w:val="22"/>
          <w:szCs w:val="22"/>
        </w:rPr>
        <w:t xml:space="preserve">that </w:t>
      </w:r>
      <w:r w:rsidR="004D4BE4">
        <w:rPr>
          <w:rFonts w:ascii="Arial" w:hAnsi="Arial" w:cs="Arial"/>
          <w:sz w:val="22"/>
          <w:szCs w:val="22"/>
        </w:rPr>
        <w:t>the</w:t>
      </w:r>
      <w:r w:rsidR="00045E01">
        <w:rPr>
          <w:rFonts w:ascii="Arial" w:hAnsi="Arial" w:cs="Arial"/>
          <w:sz w:val="22"/>
          <w:szCs w:val="22"/>
        </w:rPr>
        <w:t xml:space="preserve"> method has never been used before.</w:t>
      </w:r>
      <w:r w:rsidR="00184303">
        <w:rPr>
          <w:rFonts w:ascii="Arial" w:hAnsi="Arial" w:cs="Arial"/>
          <w:sz w:val="22"/>
          <w:szCs w:val="22"/>
        </w:rPr>
        <w:t xml:space="preserve"> </w:t>
      </w:r>
      <w:r w:rsidR="00E31DE5">
        <w:rPr>
          <w:rFonts w:ascii="Arial" w:hAnsi="Arial" w:cs="Arial"/>
          <w:sz w:val="22"/>
          <w:szCs w:val="22"/>
        </w:rPr>
        <w:t xml:space="preserve">Figure 6. </w:t>
      </w:r>
      <w:r w:rsidR="00A506A7">
        <w:rPr>
          <w:rFonts w:ascii="Arial" w:hAnsi="Arial" w:cs="Arial"/>
          <w:sz w:val="22"/>
          <w:szCs w:val="22"/>
        </w:rPr>
        <w:t>3</w:t>
      </w:r>
      <w:r w:rsidR="00E31DE5">
        <w:rPr>
          <w:rFonts w:ascii="Arial" w:hAnsi="Arial" w:cs="Arial"/>
          <w:sz w:val="22"/>
          <w:szCs w:val="22"/>
        </w:rPr>
        <w:t xml:space="preserve"> shows the distribution of A scores across the therapist sample in this research</w:t>
      </w:r>
      <w:r w:rsidR="00C71EDF">
        <w:rPr>
          <w:rFonts w:ascii="Arial" w:hAnsi="Arial" w:cs="Arial"/>
          <w:sz w:val="22"/>
          <w:szCs w:val="22"/>
        </w:rPr>
        <w:t>.</w:t>
      </w:r>
      <w:r w:rsidR="00E31DE5">
        <w:rPr>
          <w:rFonts w:ascii="Arial" w:hAnsi="Arial" w:cs="Arial"/>
          <w:sz w:val="22"/>
          <w:szCs w:val="22"/>
        </w:rPr>
        <w:t xml:space="preserve"> </w:t>
      </w:r>
    </w:p>
    <w:p w14:paraId="11272610" w14:textId="77777777" w:rsidR="00B31270" w:rsidRDefault="00B31270" w:rsidP="00DC2DE7">
      <w:pPr>
        <w:spacing w:line="480" w:lineRule="auto"/>
        <w:rPr>
          <w:rFonts w:ascii="Arial" w:hAnsi="Arial" w:cs="Arial"/>
          <w:b/>
          <w:bCs/>
          <w:sz w:val="22"/>
          <w:szCs w:val="22"/>
        </w:rPr>
      </w:pPr>
    </w:p>
    <w:p w14:paraId="69E347B6" w14:textId="77777777" w:rsidR="00B31270" w:rsidRDefault="00B31270" w:rsidP="00DC2DE7">
      <w:pPr>
        <w:spacing w:line="480" w:lineRule="auto"/>
        <w:rPr>
          <w:rFonts w:ascii="Arial" w:hAnsi="Arial" w:cs="Arial"/>
          <w:b/>
          <w:bCs/>
          <w:sz w:val="22"/>
          <w:szCs w:val="22"/>
        </w:rPr>
      </w:pPr>
    </w:p>
    <w:p w14:paraId="79B33838" w14:textId="77777777" w:rsidR="00A34D08" w:rsidRDefault="00A34D08" w:rsidP="00DC2DE7">
      <w:pPr>
        <w:spacing w:line="480" w:lineRule="auto"/>
        <w:rPr>
          <w:rFonts w:ascii="Arial" w:hAnsi="Arial" w:cs="Arial"/>
          <w:b/>
          <w:bCs/>
          <w:sz w:val="22"/>
          <w:szCs w:val="22"/>
        </w:rPr>
      </w:pPr>
    </w:p>
    <w:p w14:paraId="446C5D01" w14:textId="77777777" w:rsidR="00A34D08" w:rsidRDefault="00A34D08" w:rsidP="00DC2DE7">
      <w:pPr>
        <w:spacing w:line="480" w:lineRule="auto"/>
        <w:rPr>
          <w:rFonts w:ascii="Arial" w:hAnsi="Arial" w:cs="Arial"/>
          <w:b/>
          <w:bCs/>
          <w:sz w:val="22"/>
          <w:szCs w:val="22"/>
        </w:rPr>
      </w:pPr>
    </w:p>
    <w:p w14:paraId="7888ED33" w14:textId="77777777" w:rsidR="00A34D08" w:rsidRDefault="00A34D08" w:rsidP="00DC2DE7">
      <w:pPr>
        <w:spacing w:line="480" w:lineRule="auto"/>
        <w:rPr>
          <w:rFonts w:ascii="Arial" w:hAnsi="Arial" w:cs="Arial"/>
          <w:b/>
          <w:bCs/>
          <w:sz w:val="22"/>
          <w:szCs w:val="22"/>
        </w:rPr>
      </w:pPr>
    </w:p>
    <w:p w14:paraId="0D819772" w14:textId="77777777" w:rsidR="00A34D08" w:rsidRDefault="00A34D08" w:rsidP="00DC2DE7">
      <w:pPr>
        <w:spacing w:line="480" w:lineRule="auto"/>
        <w:rPr>
          <w:rFonts w:ascii="Arial" w:hAnsi="Arial" w:cs="Arial"/>
          <w:b/>
          <w:bCs/>
          <w:sz w:val="22"/>
          <w:szCs w:val="22"/>
        </w:rPr>
      </w:pPr>
    </w:p>
    <w:p w14:paraId="515B4E75" w14:textId="77777777" w:rsidR="00A34D08" w:rsidRDefault="00A34D08" w:rsidP="00DC2DE7">
      <w:pPr>
        <w:spacing w:line="480" w:lineRule="auto"/>
        <w:rPr>
          <w:rFonts w:ascii="Arial" w:hAnsi="Arial" w:cs="Arial"/>
          <w:b/>
          <w:bCs/>
          <w:sz w:val="22"/>
          <w:szCs w:val="22"/>
        </w:rPr>
      </w:pPr>
    </w:p>
    <w:p w14:paraId="324E2836" w14:textId="6AB7594C" w:rsidR="002B10FD" w:rsidRDefault="002B10FD" w:rsidP="002B10FD">
      <w:pPr>
        <w:pStyle w:val="Caption"/>
        <w:keepNext/>
        <w:rPr>
          <w:rStyle w:val="FiguresChar"/>
          <w:b w:val="0"/>
        </w:rPr>
      </w:pPr>
      <w:bookmarkStart w:id="426" w:name="_Toc46770964"/>
      <w:r w:rsidRPr="002B10FD">
        <w:rPr>
          <w:rStyle w:val="FiguresChar"/>
        </w:rPr>
        <w:lastRenderedPageBreak/>
        <w:t xml:space="preserve">Figure 6.3 </w:t>
      </w:r>
      <w:r>
        <w:rPr>
          <w:rStyle w:val="FiguresChar"/>
        </w:rPr>
        <w:t xml:space="preserve"> </w:t>
      </w:r>
      <w:r w:rsidRPr="002B10FD">
        <w:rPr>
          <w:rStyle w:val="FiguresChar"/>
          <w:b w:val="0"/>
        </w:rPr>
        <w:t>Distribution of A scores, showing those therapists (in red) who demonstrated little or no adherence in the 3 episodes of care assessed</w:t>
      </w:r>
      <w:bookmarkEnd w:id="426"/>
    </w:p>
    <w:p w14:paraId="16E99D2B" w14:textId="77777777" w:rsidR="00800052" w:rsidRPr="00800052" w:rsidRDefault="00800052" w:rsidP="00800052"/>
    <w:p w14:paraId="16FBD2D4" w14:textId="722AA499" w:rsidR="0089712F" w:rsidRDefault="0089712F" w:rsidP="00DC2DE7">
      <w:pPr>
        <w:spacing w:line="480" w:lineRule="auto"/>
        <w:rPr>
          <w:rFonts w:ascii="Arial" w:hAnsi="Arial" w:cs="Arial"/>
          <w:sz w:val="22"/>
          <w:szCs w:val="22"/>
        </w:rPr>
      </w:pPr>
      <w:r>
        <w:rPr>
          <w:noProof/>
        </w:rPr>
        <w:drawing>
          <wp:inline distT="0" distB="0" distL="0" distR="0" wp14:anchorId="68F96F33" wp14:editId="0BA7A5A2">
            <wp:extent cx="4572000" cy="2743200"/>
            <wp:effectExtent l="0" t="0" r="12700" b="12700"/>
            <wp:docPr id="59" name="Chart 59" descr="P3516#yIS1">
              <a:extLst xmlns:a="http://schemas.openxmlformats.org/drawingml/2006/main">
                <a:ext uri="{FF2B5EF4-FFF2-40B4-BE49-F238E27FC236}">
                  <a16:creationId xmlns:a16="http://schemas.microsoft.com/office/drawing/2014/main" id="{39C31F8D-925E-2748-A82E-47976FD628A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75F22D51" w14:textId="77777777" w:rsidR="00A506A7" w:rsidRDefault="00A506A7" w:rsidP="00DC2DE7">
      <w:pPr>
        <w:spacing w:line="480" w:lineRule="auto"/>
        <w:rPr>
          <w:rFonts w:ascii="Arial" w:hAnsi="Arial" w:cs="Arial"/>
          <w:sz w:val="22"/>
          <w:szCs w:val="22"/>
        </w:rPr>
      </w:pPr>
    </w:p>
    <w:p w14:paraId="67248D21" w14:textId="1748B084" w:rsidR="00E31DE5" w:rsidRDefault="00C71EDF" w:rsidP="00DC2DE7">
      <w:pPr>
        <w:spacing w:line="480" w:lineRule="auto"/>
        <w:rPr>
          <w:rFonts w:ascii="Arial" w:hAnsi="Arial" w:cs="Arial"/>
          <w:sz w:val="22"/>
          <w:szCs w:val="22"/>
        </w:rPr>
      </w:pPr>
      <w:r w:rsidRPr="008F7571">
        <w:rPr>
          <w:rFonts w:ascii="Arial" w:hAnsi="Arial" w:cs="Arial"/>
          <w:sz w:val="22"/>
          <w:szCs w:val="22"/>
        </w:rPr>
        <w:t xml:space="preserve">Figure 6.3 shows that </w:t>
      </w:r>
      <w:r w:rsidR="00505998" w:rsidRPr="008F7571">
        <w:rPr>
          <w:rFonts w:ascii="Arial" w:hAnsi="Arial" w:cs="Arial"/>
          <w:sz w:val="22"/>
          <w:szCs w:val="22"/>
        </w:rPr>
        <w:t>46.5% (n= 92)</w:t>
      </w:r>
      <w:r w:rsidR="00BB51E4" w:rsidRPr="008F7571">
        <w:rPr>
          <w:rFonts w:ascii="Arial" w:hAnsi="Arial" w:cs="Arial"/>
          <w:sz w:val="22"/>
          <w:szCs w:val="22"/>
        </w:rPr>
        <w:t xml:space="preserve"> of the therapists in this sample</w:t>
      </w:r>
      <w:r w:rsidR="00505998">
        <w:rPr>
          <w:rFonts w:ascii="Arial" w:hAnsi="Arial" w:cs="Arial"/>
          <w:sz w:val="22"/>
          <w:szCs w:val="22"/>
        </w:rPr>
        <w:t xml:space="preserve"> were identified as demonstrating no adherence to a protocol in any of their treatment sessions</w:t>
      </w:r>
      <w:r w:rsidR="00BA445E">
        <w:rPr>
          <w:rFonts w:ascii="Arial" w:hAnsi="Arial" w:cs="Arial"/>
          <w:sz w:val="22"/>
          <w:szCs w:val="22"/>
        </w:rPr>
        <w:t xml:space="preserve"> </w:t>
      </w:r>
      <w:r w:rsidR="00505998">
        <w:rPr>
          <w:rFonts w:ascii="Arial" w:hAnsi="Arial" w:cs="Arial"/>
          <w:sz w:val="22"/>
          <w:szCs w:val="22"/>
        </w:rPr>
        <w:t>or were adhering to a protocol in just one of the cases that were reviewed. Thi</w:t>
      </w:r>
      <w:r w:rsidR="00E31DE5">
        <w:rPr>
          <w:rFonts w:ascii="Arial" w:hAnsi="Arial" w:cs="Arial"/>
          <w:sz w:val="22"/>
          <w:szCs w:val="22"/>
        </w:rPr>
        <w:t>s finding conflicts with that reported by Gyani et al., 2013, Clark 2018 and Liness et al, 2019</w:t>
      </w:r>
      <w:r w:rsidR="009A3FEF">
        <w:rPr>
          <w:rFonts w:ascii="Arial" w:hAnsi="Arial" w:cs="Arial"/>
          <w:sz w:val="22"/>
          <w:szCs w:val="22"/>
        </w:rPr>
        <w:t xml:space="preserve"> </w:t>
      </w:r>
      <w:r w:rsidR="00505998">
        <w:rPr>
          <w:rFonts w:ascii="Arial" w:hAnsi="Arial" w:cs="Arial"/>
          <w:sz w:val="22"/>
          <w:szCs w:val="22"/>
        </w:rPr>
        <w:t xml:space="preserve">who suggest that CBT therapists closely adhere to an evidence-based protocol in IAPT.  It should be noted that Liness et al., (2019) did not rate whole episodes of care and Gyani et al., (2013) and Clark, (2018) relied on therapists’ self-reporting adherence to a protocol. The findings from this research </w:t>
      </w:r>
      <w:r w:rsidR="00E31DE5">
        <w:rPr>
          <w:rFonts w:ascii="Arial" w:hAnsi="Arial" w:cs="Arial"/>
          <w:sz w:val="22"/>
          <w:szCs w:val="22"/>
        </w:rPr>
        <w:t>reflect the arguments cited by Waller</w:t>
      </w:r>
      <w:r w:rsidR="00505998">
        <w:rPr>
          <w:rFonts w:ascii="Arial" w:hAnsi="Arial" w:cs="Arial"/>
          <w:sz w:val="22"/>
          <w:szCs w:val="22"/>
        </w:rPr>
        <w:t xml:space="preserve"> and Turner</w:t>
      </w:r>
      <w:r w:rsidR="00C00B2E">
        <w:rPr>
          <w:rFonts w:ascii="Arial" w:hAnsi="Arial" w:cs="Arial"/>
          <w:sz w:val="22"/>
          <w:szCs w:val="22"/>
        </w:rPr>
        <w:t xml:space="preserve"> (2016) who suggest evidence-based psychological therapies are frequently delivered poorly. They suggest that therapists frequently drift away from delivering an evidence</w:t>
      </w:r>
      <w:r w:rsidR="00D070D0">
        <w:rPr>
          <w:rFonts w:ascii="Arial" w:hAnsi="Arial" w:cs="Arial"/>
          <w:sz w:val="22"/>
          <w:szCs w:val="22"/>
        </w:rPr>
        <w:t>-</w:t>
      </w:r>
      <w:r w:rsidR="00C00B2E">
        <w:rPr>
          <w:rFonts w:ascii="Arial" w:hAnsi="Arial" w:cs="Arial"/>
          <w:sz w:val="22"/>
          <w:szCs w:val="22"/>
        </w:rPr>
        <w:t>based protocol</w:t>
      </w:r>
      <w:r w:rsidR="00D070D0">
        <w:rPr>
          <w:rFonts w:ascii="Arial" w:hAnsi="Arial" w:cs="Arial"/>
          <w:sz w:val="22"/>
          <w:szCs w:val="22"/>
        </w:rPr>
        <w:t xml:space="preserve"> due to a range of therapist characteristics</w:t>
      </w:r>
      <w:r w:rsidR="00192078">
        <w:rPr>
          <w:rFonts w:ascii="Arial" w:hAnsi="Arial" w:cs="Arial"/>
          <w:sz w:val="22"/>
          <w:szCs w:val="22"/>
        </w:rPr>
        <w:t>,</w:t>
      </w:r>
      <w:r w:rsidR="00D070D0">
        <w:rPr>
          <w:rFonts w:ascii="Arial" w:hAnsi="Arial" w:cs="Arial"/>
          <w:sz w:val="22"/>
          <w:szCs w:val="22"/>
        </w:rPr>
        <w:t xml:space="preserve"> such </w:t>
      </w:r>
      <w:r w:rsidR="00192078">
        <w:rPr>
          <w:rFonts w:ascii="Arial" w:hAnsi="Arial" w:cs="Arial"/>
          <w:sz w:val="22"/>
          <w:szCs w:val="22"/>
        </w:rPr>
        <w:t xml:space="preserve">as </w:t>
      </w:r>
      <w:r w:rsidR="00D070D0">
        <w:rPr>
          <w:rFonts w:ascii="Arial" w:hAnsi="Arial" w:cs="Arial"/>
          <w:sz w:val="22"/>
          <w:szCs w:val="22"/>
        </w:rPr>
        <w:t>lack of knowledge, fear or a poor self-efficacy, whereby the therapist is concerned that they do not have the required skill set or attributes to follow the evidence base. Waller and Turner also suggest that therapists may believe that they are adhering to a protocol when they are not. It would appear that data derived from real</w:t>
      </w:r>
      <w:r w:rsidR="0023735D">
        <w:rPr>
          <w:rFonts w:ascii="Arial" w:hAnsi="Arial" w:cs="Arial"/>
          <w:sz w:val="22"/>
          <w:szCs w:val="22"/>
        </w:rPr>
        <w:t>-</w:t>
      </w:r>
      <w:r w:rsidR="00D070D0">
        <w:rPr>
          <w:rFonts w:ascii="Arial" w:hAnsi="Arial" w:cs="Arial"/>
          <w:sz w:val="22"/>
          <w:szCs w:val="22"/>
        </w:rPr>
        <w:t xml:space="preserve">world research might differ from that reported in </w:t>
      </w:r>
      <w:r w:rsidR="00EB0993">
        <w:rPr>
          <w:rFonts w:ascii="Arial" w:hAnsi="Arial" w:cs="Arial"/>
          <w:sz w:val="22"/>
          <w:szCs w:val="22"/>
        </w:rPr>
        <w:t>r</w:t>
      </w:r>
      <w:r w:rsidR="00D070D0">
        <w:rPr>
          <w:rFonts w:ascii="Arial" w:hAnsi="Arial" w:cs="Arial"/>
          <w:sz w:val="22"/>
          <w:szCs w:val="22"/>
        </w:rPr>
        <w:t xml:space="preserve">andomised </w:t>
      </w:r>
      <w:r w:rsidR="00EB0993">
        <w:rPr>
          <w:rFonts w:ascii="Arial" w:hAnsi="Arial" w:cs="Arial"/>
          <w:sz w:val="22"/>
          <w:szCs w:val="22"/>
        </w:rPr>
        <w:t>c</w:t>
      </w:r>
      <w:r w:rsidR="00D070D0">
        <w:rPr>
          <w:rFonts w:ascii="Arial" w:hAnsi="Arial" w:cs="Arial"/>
          <w:sz w:val="22"/>
          <w:szCs w:val="22"/>
        </w:rPr>
        <w:t xml:space="preserve">ontrolled </w:t>
      </w:r>
      <w:r w:rsidR="00EB0993">
        <w:rPr>
          <w:rFonts w:ascii="Arial" w:hAnsi="Arial" w:cs="Arial"/>
          <w:sz w:val="22"/>
          <w:szCs w:val="22"/>
        </w:rPr>
        <w:t>t</w:t>
      </w:r>
      <w:r w:rsidR="00D070D0">
        <w:rPr>
          <w:rFonts w:ascii="Arial" w:hAnsi="Arial" w:cs="Arial"/>
          <w:sz w:val="22"/>
          <w:szCs w:val="22"/>
        </w:rPr>
        <w:t>rials where therapist adher</w:t>
      </w:r>
      <w:r w:rsidR="003A6F88">
        <w:rPr>
          <w:rFonts w:ascii="Arial" w:hAnsi="Arial" w:cs="Arial"/>
          <w:sz w:val="22"/>
          <w:szCs w:val="22"/>
        </w:rPr>
        <w:t>e</w:t>
      </w:r>
      <w:r w:rsidR="00D070D0">
        <w:rPr>
          <w:rFonts w:ascii="Arial" w:hAnsi="Arial" w:cs="Arial"/>
          <w:sz w:val="22"/>
          <w:szCs w:val="22"/>
        </w:rPr>
        <w:t xml:space="preserve">nce is </w:t>
      </w:r>
      <w:r w:rsidR="003A6F88">
        <w:rPr>
          <w:rFonts w:ascii="Arial" w:hAnsi="Arial" w:cs="Arial"/>
          <w:sz w:val="22"/>
          <w:szCs w:val="22"/>
        </w:rPr>
        <w:t xml:space="preserve">more rigidly controlled and monitored. If a significant minority of therapists are failing to adhere to </w:t>
      </w:r>
      <w:r w:rsidR="003A6F88">
        <w:rPr>
          <w:rFonts w:ascii="Arial" w:hAnsi="Arial" w:cs="Arial"/>
          <w:sz w:val="22"/>
          <w:szCs w:val="22"/>
        </w:rPr>
        <w:lastRenderedPageBreak/>
        <w:t xml:space="preserve">the evidence base and </w:t>
      </w:r>
      <w:r w:rsidR="00EB0993">
        <w:rPr>
          <w:rFonts w:ascii="Arial" w:hAnsi="Arial" w:cs="Arial"/>
          <w:sz w:val="22"/>
          <w:szCs w:val="22"/>
        </w:rPr>
        <w:t>r</w:t>
      </w:r>
      <w:r w:rsidR="003A6F88">
        <w:rPr>
          <w:rFonts w:ascii="Arial" w:hAnsi="Arial" w:cs="Arial"/>
          <w:sz w:val="22"/>
          <w:szCs w:val="22"/>
        </w:rPr>
        <w:t xml:space="preserve">andomised </w:t>
      </w:r>
      <w:r w:rsidR="00EB0993">
        <w:rPr>
          <w:rFonts w:ascii="Arial" w:hAnsi="Arial" w:cs="Arial"/>
          <w:sz w:val="22"/>
          <w:szCs w:val="22"/>
        </w:rPr>
        <w:t>c</w:t>
      </w:r>
      <w:r w:rsidR="003A6F88">
        <w:rPr>
          <w:rFonts w:ascii="Arial" w:hAnsi="Arial" w:cs="Arial"/>
          <w:sz w:val="22"/>
          <w:szCs w:val="22"/>
        </w:rPr>
        <w:t xml:space="preserve">ontrolled </w:t>
      </w:r>
      <w:r w:rsidR="00EB0993">
        <w:rPr>
          <w:rFonts w:ascii="Arial" w:hAnsi="Arial" w:cs="Arial"/>
          <w:sz w:val="22"/>
          <w:szCs w:val="22"/>
        </w:rPr>
        <w:t>t</w:t>
      </w:r>
      <w:r w:rsidR="003A6F88">
        <w:rPr>
          <w:rFonts w:ascii="Arial" w:hAnsi="Arial" w:cs="Arial"/>
          <w:sz w:val="22"/>
          <w:szCs w:val="22"/>
        </w:rPr>
        <w:t>rials suggest that protocol adherence relates to patient recovery</w:t>
      </w:r>
      <w:r w:rsidR="00192078">
        <w:rPr>
          <w:rFonts w:ascii="Arial" w:hAnsi="Arial" w:cs="Arial"/>
          <w:sz w:val="22"/>
          <w:szCs w:val="22"/>
        </w:rPr>
        <w:t>,</w:t>
      </w:r>
      <w:r w:rsidR="003A6F88">
        <w:rPr>
          <w:rFonts w:ascii="Arial" w:hAnsi="Arial" w:cs="Arial"/>
          <w:sz w:val="22"/>
          <w:szCs w:val="22"/>
        </w:rPr>
        <w:t xml:space="preserve"> then it might be argued that therapists in real</w:t>
      </w:r>
      <w:r w:rsidR="0023735D">
        <w:rPr>
          <w:rFonts w:ascii="Arial" w:hAnsi="Arial" w:cs="Arial"/>
          <w:sz w:val="22"/>
          <w:szCs w:val="22"/>
        </w:rPr>
        <w:t>-</w:t>
      </w:r>
      <w:r w:rsidR="003A6F88">
        <w:rPr>
          <w:rFonts w:ascii="Arial" w:hAnsi="Arial" w:cs="Arial"/>
          <w:sz w:val="22"/>
          <w:szCs w:val="22"/>
        </w:rPr>
        <w:t>world settings need to encounter similar rigour (in terms of therapist selection, therapist training and therapist monitoring) in order to achieve similar outcomes. Alternatively, it might be argued evidence-based psychological therapy needs to move towards a new methodology, incorporating more real-world data in order that more patients can benefit from psychological therapies that make a meaningful difference to their lives.</w:t>
      </w:r>
    </w:p>
    <w:p w14:paraId="3604804F" w14:textId="65BB1B08" w:rsidR="00DA1A05" w:rsidRDefault="00DA1A05" w:rsidP="00DC2DE7">
      <w:pPr>
        <w:spacing w:line="480" w:lineRule="auto"/>
        <w:rPr>
          <w:rFonts w:ascii="Arial" w:hAnsi="Arial" w:cs="Arial"/>
          <w:sz w:val="22"/>
          <w:szCs w:val="22"/>
        </w:rPr>
      </w:pPr>
    </w:p>
    <w:p w14:paraId="4F35EFAE" w14:textId="6E379936" w:rsidR="001C6B5E" w:rsidRPr="00C26638" w:rsidRDefault="00DA1A05" w:rsidP="00C26638">
      <w:pPr>
        <w:spacing w:line="480" w:lineRule="auto"/>
        <w:rPr>
          <w:rFonts w:ascii="Arial" w:hAnsi="Arial" w:cs="Arial"/>
          <w:sz w:val="22"/>
          <w:szCs w:val="22"/>
        </w:rPr>
      </w:pPr>
      <w:r>
        <w:rPr>
          <w:rFonts w:ascii="Arial" w:hAnsi="Arial" w:cs="Arial"/>
          <w:sz w:val="22"/>
          <w:szCs w:val="22"/>
        </w:rPr>
        <w:t xml:space="preserve">The findings from the research discussed in this thesis are </w:t>
      </w:r>
      <w:r w:rsidR="000E2288">
        <w:rPr>
          <w:rFonts w:ascii="Arial" w:hAnsi="Arial" w:cs="Arial"/>
          <w:sz w:val="22"/>
          <w:szCs w:val="22"/>
        </w:rPr>
        <w:t>important</w:t>
      </w:r>
      <w:r>
        <w:rPr>
          <w:rFonts w:ascii="Arial" w:hAnsi="Arial" w:cs="Arial"/>
          <w:sz w:val="22"/>
          <w:szCs w:val="22"/>
        </w:rPr>
        <w:t>. This is the first time that has been possible to examine the work of IAPT therapists in order to learn whether competence and adherence relate to outcome. The findings support the conjecture that many therapists fail to adhere to a protocol (Waller and Turner, 2016, Simmons, Milnes and Anderson, 2008, Cowdrey and Waller,</w:t>
      </w:r>
      <w:r w:rsidR="00445F21">
        <w:rPr>
          <w:rFonts w:ascii="Arial" w:hAnsi="Arial" w:cs="Arial"/>
          <w:sz w:val="22"/>
          <w:szCs w:val="22"/>
        </w:rPr>
        <w:t xml:space="preserve">2016, </w:t>
      </w:r>
      <w:r>
        <w:rPr>
          <w:rFonts w:ascii="Arial" w:hAnsi="Arial" w:cs="Arial"/>
          <w:sz w:val="22"/>
          <w:szCs w:val="22"/>
        </w:rPr>
        <w:t xml:space="preserve"> Stobie,</w:t>
      </w:r>
      <w:r w:rsidR="00483D78">
        <w:rPr>
          <w:rFonts w:ascii="Arial" w:hAnsi="Arial" w:cs="Arial"/>
          <w:sz w:val="22"/>
          <w:szCs w:val="22"/>
        </w:rPr>
        <w:t xml:space="preserve"> </w:t>
      </w:r>
      <w:r>
        <w:rPr>
          <w:rFonts w:ascii="Arial" w:hAnsi="Arial" w:cs="Arial"/>
          <w:sz w:val="22"/>
          <w:szCs w:val="22"/>
        </w:rPr>
        <w:t>Taylor, Quigley, Ewing and Salkovskis, 2007)</w:t>
      </w:r>
      <w:r w:rsidR="00686364">
        <w:rPr>
          <w:rFonts w:ascii="Arial" w:hAnsi="Arial" w:cs="Arial"/>
          <w:sz w:val="22"/>
          <w:szCs w:val="22"/>
        </w:rPr>
        <w:t xml:space="preserve"> and</w:t>
      </w:r>
      <w:r>
        <w:rPr>
          <w:rFonts w:ascii="Arial" w:hAnsi="Arial" w:cs="Arial"/>
          <w:sz w:val="22"/>
          <w:szCs w:val="22"/>
        </w:rPr>
        <w:t xml:space="preserve"> refute</w:t>
      </w:r>
      <w:r w:rsidR="00686364">
        <w:rPr>
          <w:rFonts w:ascii="Arial" w:hAnsi="Arial" w:cs="Arial"/>
          <w:sz w:val="22"/>
          <w:szCs w:val="22"/>
        </w:rPr>
        <w:t>s</w:t>
      </w:r>
      <w:r>
        <w:rPr>
          <w:rFonts w:ascii="Arial" w:hAnsi="Arial" w:cs="Arial"/>
          <w:sz w:val="22"/>
          <w:szCs w:val="22"/>
        </w:rPr>
        <w:t xml:space="preserve"> the argument widely cited in the IAPT literature that therapists closely adhere to evidence-based protocols and NICE guidance</w:t>
      </w:r>
      <w:r w:rsidR="00686364">
        <w:rPr>
          <w:rFonts w:ascii="Arial" w:hAnsi="Arial" w:cs="Arial"/>
          <w:sz w:val="22"/>
          <w:szCs w:val="22"/>
        </w:rPr>
        <w:t xml:space="preserve"> (Gyani et al., 2013 and Clark, 2018)</w:t>
      </w:r>
      <w:r>
        <w:rPr>
          <w:rFonts w:ascii="Arial" w:hAnsi="Arial" w:cs="Arial"/>
          <w:sz w:val="22"/>
          <w:szCs w:val="22"/>
        </w:rPr>
        <w:t xml:space="preserve">. However, the findings from this research do appear to support the evidence base </w:t>
      </w:r>
      <w:r w:rsidR="00686364">
        <w:rPr>
          <w:rFonts w:ascii="Arial" w:hAnsi="Arial" w:cs="Arial"/>
          <w:sz w:val="22"/>
          <w:szCs w:val="22"/>
        </w:rPr>
        <w:t>in</w:t>
      </w:r>
      <w:r>
        <w:rPr>
          <w:rFonts w:ascii="Arial" w:hAnsi="Arial" w:cs="Arial"/>
          <w:sz w:val="22"/>
          <w:szCs w:val="22"/>
        </w:rPr>
        <w:t xml:space="preserve"> that therapist adherence is correlated with clinical outcome at the 0.05 level. </w:t>
      </w:r>
      <w:r w:rsidR="00DC2DE7">
        <w:rPr>
          <w:rFonts w:ascii="Arial" w:hAnsi="Arial" w:cs="Arial"/>
          <w:sz w:val="22"/>
          <w:szCs w:val="22"/>
        </w:rPr>
        <w:t>A final analysis</w:t>
      </w:r>
      <w:r>
        <w:rPr>
          <w:rFonts w:ascii="Arial" w:hAnsi="Arial" w:cs="Arial"/>
          <w:sz w:val="22"/>
          <w:szCs w:val="22"/>
        </w:rPr>
        <w:t>, further testing the strength of this relationship,</w:t>
      </w:r>
      <w:r w:rsidR="00DC2DE7">
        <w:rPr>
          <w:rFonts w:ascii="Arial" w:hAnsi="Arial" w:cs="Arial"/>
          <w:sz w:val="22"/>
          <w:szCs w:val="22"/>
        </w:rPr>
        <w:t xml:space="preserve"> combining therapist A scores, F scores, clinical outcomes and patient variables is discussed in section</w:t>
      </w:r>
      <w:r>
        <w:rPr>
          <w:rFonts w:ascii="Arial" w:hAnsi="Arial" w:cs="Arial"/>
          <w:sz w:val="22"/>
          <w:szCs w:val="22"/>
        </w:rPr>
        <w:t xml:space="preserve"> 6.</w:t>
      </w:r>
      <w:r w:rsidR="008C4832">
        <w:rPr>
          <w:rFonts w:ascii="Arial" w:hAnsi="Arial" w:cs="Arial"/>
          <w:sz w:val="22"/>
          <w:szCs w:val="22"/>
        </w:rPr>
        <w:t>6</w:t>
      </w:r>
      <w:r w:rsidR="00DC2DE7">
        <w:rPr>
          <w:rFonts w:ascii="Arial" w:hAnsi="Arial" w:cs="Arial"/>
          <w:sz w:val="22"/>
          <w:szCs w:val="22"/>
        </w:rPr>
        <w:t>, below.</w:t>
      </w:r>
      <w:r w:rsidR="00C26638">
        <w:rPr>
          <w:rFonts w:ascii="Arial" w:hAnsi="Arial" w:cs="Arial"/>
          <w:sz w:val="22"/>
          <w:szCs w:val="22"/>
        </w:rPr>
        <w:br/>
      </w:r>
    </w:p>
    <w:p w14:paraId="5E869149" w14:textId="3BB90F71" w:rsidR="00DC2DE7" w:rsidRPr="00EE3128" w:rsidRDefault="008A1595" w:rsidP="001C6B5E">
      <w:pPr>
        <w:pStyle w:val="Heading2"/>
        <w:spacing w:line="480" w:lineRule="auto"/>
        <w:rPr>
          <w:rFonts w:ascii="Arial" w:hAnsi="Arial" w:cs="Arial"/>
          <w:color w:val="000000" w:themeColor="text1"/>
          <w:sz w:val="22"/>
          <w:szCs w:val="22"/>
        </w:rPr>
      </w:pPr>
      <w:bookmarkStart w:id="427" w:name="_Toc46770844"/>
      <w:bookmarkStart w:id="428" w:name="_Toc79414255"/>
      <w:r>
        <w:rPr>
          <w:rFonts w:ascii="Arial" w:hAnsi="Arial" w:cs="Arial"/>
          <w:color w:val="000000" w:themeColor="text1"/>
          <w:sz w:val="22"/>
          <w:szCs w:val="22"/>
        </w:rPr>
        <w:t>6</w:t>
      </w:r>
      <w:r w:rsidR="00DC2DE7" w:rsidRPr="00EE3128">
        <w:rPr>
          <w:rFonts w:ascii="Arial" w:hAnsi="Arial" w:cs="Arial"/>
          <w:color w:val="000000" w:themeColor="text1"/>
          <w:sz w:val="22"/>
          <w:szCs w:val="22"/>
        </w:rPr>
        <w:t>.</w:t>
      </w:r>
      <w:r w:rsidR="00633677">
        <w:rPr>
          <w:rFonts w:ascii="Arial" w:hAnsi="Arial" w:cs="Arial"/>
          <w:color w:val="000000" w:themeColor="text1"/>
          <w:sz w:val="22"/>
          <w:szCs w:val="22"/>
        </w:rPr>
        <w:t>6</w:t>
      </w:r>
      <w:r w:rsidR="00DC2DE7" w:rsidRPr="00EE3128">
        <w:rPr>
          <w:rFonts w:ascii="Arial" w:hAnsi="Arial" w:cs="Arial"/>
          <w:color w:val="000000" w:themeColor="text1"/>
          <w:sz w:val="22"/>
          <w:szCs w:val="22"/>
        </w:rPr>
        <w:t xml:space="preserve"> DETERMINING THE ASSOCIATIONS BETWEEN THERAPIST VARIABLES, PATIENT VARIABLES AND OUTCOME</w:t>
      </w:r>
      <w:bookmarkEnd w:id="427"/>
      <w:bookmarkEnd w:id="428"/>
      <w:r w:rsidR="00DC2DE7" w:rsidRPr="00EE3128">
        <w:rPr>
          <w:rFonts w:ascii="Arial" w:hAnsi="Arial" w:cs="Arial"/>
          <w:color w:val="000000" w:themeColor="text1"/>
          <w:sz w:val="22"/>
          <w:szCs w:val="22"/>
        </w:rPr>
        <w:t xml:space="preserve"> </w:t>
      </w:r>
    </w:p>
    <w:p w14:paraId="6B809541" w14:textId="77777777" w:rsidR="00DC2DE7" w:rsidRPr="00D320DC" w:rsidRDefault="00DC2DE7" w:rsidP="00DC2DE7"/>
    <w:p w14:paraId="35D93438" w14:textId="27AAD1C8" w:rsidR="00686364" w:rsidRDefault="00DC2DE7" w:rsidP="00DC2DE7">
      <w:pPr>
        <w:spacing w:line="480" w:lineRule="auto"/>
        <w:rPr>
          <w:rFonts w:ascii="Arial" w:hAnsi="Arial" w:cs="Arial"/>
          <w:sz w:val="22"/>
          <w:szCs w:val="22"/>
        </w:rPr>
      </w:pPr>
      <w:r>
        <w:rPr>
          <w:rFonts w:ascii="Arial" w:hAnsi="Arial" w:cs="Arial"/>
          <w:sz w:val="22"/>
          <w:szCs w:val="22"/>
        </w:rPr>
        <w:t xml:space="preserve">The findings from this research discussed in this thesis have so far determined that therapist demographics are not related to outcome but that both therapist competence (F scores) and therapist adherence to an evidenced based protocol (A scores) are related to recovery, albeit at the lower 0.05 level.  In </w:t>
      </w:r>
      <w:r w:rsidR="00497E09">
        <w:rPr>
          <w:rFonts w:ascii="Arial" w:hAnsi="Arial" w:cs="Arial"/>
          <w:sz w:val="22"/>
          <w:szCs w:val="22"/>
        </w:rPr>
        <w:t>C</w:t>
      </w:r>
      <w:r>
        <w:rPr>
          <w:rFonts w:ascii="Arial" w:hAnsi="Arial" w:cs="Arial"/>
          <w:sz w:val="22"/>
          <w:szCs w:val="22"/>
        </w:rPr>
        <w:t>hapter</w:t>
      </w:r>
      <w:r w:rsidR="00497E09">
        <w:rPr>
          <w:rFonts w:ascii="Arial" w:hAnsi="Arial" w:cs="Arial"/>
          <w:sz w:val="22"/>
          <w:szCs w:val="22"/>
        </w:rPr>
        <w:t>s</w:t>
      </w:r>
      <w:r w:rsidR="00D847BF">
        <w:rPr>
          <w:rFonts w:ascii="Arial" w:hAnsi="Arial" w:cs="Arial"/>
          <w:sz w:val="22"/>
          <w:szCs w:val="22"/>
        </w:rPr>
        <w:t xml:space="preserve"> </w:t>
      </w:r>
      <w:r w:rsidR="00497E09">
        <w:rPr>
          <w:rFonts w:ascii="Arial" w:hAnsi="Arial" w:cs="Arial"/>
          <w:sz w:val="22"/>
          <w:szCs w:val="22"/>
        </w:rPr>
        <w:t>2</w:t>
      </w:r>
      <w:r w:rsidR="00D847BF">
        <w:rPr>
          <w:rFonts w:ascii="Arial" w:hAnsi="Arial" w:cs="Arial"/>
          <w:sz w:val="22"/>
          <w:szCs w:val="22"/>
        </w:rPr>
        <w:t xml:space="preserve"> and </w:t>
      </w:r>
      <w:r w:rsidR="00497E09">
        <w:rPr>
          <w:rFonts w:ascii="Arial" w:hAnsi="Arial" w:cs="Arial"/>
          <w:sz w:val="22"/>
          <w:szCs w:val="22"/>
        </w:rPr>
        <w:t>3,</w:t>
      </w:r>
      <w:r>
        <w:rPr>
          <w:rFonts w:ascii="Arial" w:hAnsi="Arial" w:cs="Arial"/>
          <w:sz w:val="22"/>
          <w:szCs w:val="22"/>
        </w:rPr>
        <w:t xml:space="preserve"> this thesis explored some of the hypotheses that have been cited that explore the reasons for variance in reported outcomes </w:t>
      </w:r>
      <w:r>
        <w:rPr>
          <w:rFonts w:ascii="Arial" w:hAnsi="Arial" w:cs="Arial"/>
          <w:sz w:val="22"/>
          <w:szCs w:val="22"/>
        </w:rPr>
        <w:lastRenderedPageBreak/>
        <w:t xml:space="preserve">in IAPT. Whilst the focus of this research has been to examine what therapist variables may account for this variance, one other variable that is also likely to account for the variance are the patient variables. These include the patient’s age, gender and severity of symptoms at the start of treatment </w:t>
      </w:r>
      <w:r w:rsidRPr="008F7571">
        <w:rPr>
          <w:rFonts w:ascii="Arial" w:hAnsi="Arial" w:cs="Arial"/>
          <w:sz w:val="22"/>
          <w:szCs w:val="22"/>
        </w:rPr>
        <w:t>(</w:t>
      </w:r>
      <w:r w:rsidR="00686364" w:rsidRPr="008F7571">
        <w:rPr>
          <w:rFonts w:ascii="Arial" w:hAnsi="Arial" w:cs="Arial"/>
          <w:sz w:val="22"/>
          <w:szCs w:val="22"/>
        </w:rPr>
        <w:t>Catarino, Bateup, Tablan,</w:t>
      </w:r>
      <w:r w:rsidR="00525B47" w:rsidRPr="008F7571">
        <w:rPr>
          <w:rFonts w:ascii="Arial" w:hAnsi="Arial" w:cs="Arial"/>
          <w:sz w:val="22"/>
          <w:szCs w:val="22"/>
        </w:rPr>
        <w:t xml:space="preserve"> </w:t>
      </w:r>
      <w:r w:rsidR="00686364" w:rsidRPr="008F7571">
        <w:rPr>
          <w:rFonts w:ascii="Arial" w:hAnsi="Arial" w:cs="Arial"/>
          <w:sz w:val="22"/>
          <w:szCs w:val="22"/>
        </w:rPr>
        <w:t>Innes, Freer, Richards et al., 201</w:t>
      </w:r>
      <w:r w:rsidR="000633E5" w:rsidRPr="008F7571">
        <w:rPr>
          <w:rFonts w:ascii="Arial" w:hAnsi="Arial" w:cs="Arial"/>
          <w:sz w:val="22"/>
          <w:szCs w:val="22"/>
        </w:rPr>
        <w:t>8</w:t>
      </w:r>
      <w:r w:rsidR="00686364" w:rsidRPr="008F7571">
        <w:rPr>
          <w:rFonts w:ascii="Arial" w:hAnsi="Arial" w:cs="Arial"/>
          <w:sz w:val="22"/>
          <w:szCs w:val="22"/>
        </w:rPr>
        <w:t>, Health and Social Care Information Centre, 2016)</w:t>
      </w:r>
      <w:r w:rsidRPr="008F7571">
        <w:rPr>
          <w:rFonts w:ascii="Arial" w:hAnsi="Arial" w:cs="Arial"/>
          <w:sz w:val="22"/>
          <w:szCs w:val="22"/>
        </w:rPr>
        <w:t>.</w:t>
      </w:r>
      <w:r>
        <w:rPr>
          <w:rFonts w:ascii="Arial" w:hAnsi="Arial" w:cs="Arial"/>
          <w:sz w:val="22"/>
          <w:szCs w:val="22"/>
        </w:rPr>
        <w:t xml:space="preserve"> </w:t>
      </w:r>
    </w:p>
    <w:p w14:paraId="0729BF8B" w14:textId="77777777" w:rsidR="00686364" w:rsidRDefault="00686364" w:rsidP="00DC2DE7">
      <w:pPr>
        <w:spacing w:line="480" w:lineRule="auto"/>
        <w:rPr>
          <w:rFonts w:ascii="Arial" w:hAnsi="Arial" w:cs="Arial"/>
          <w:sz w:val="22"/>
          <w:szCs w:val="22"/>
        </w:rPr>
      </w:pPr>
    </w:p>
    <w:p w14:paraId="3EEAC27E" w14:textId="66C2A90B" w:rsidR="00DC2DE7" w:rsidRDefault="00DC2DE7" w:rsidP="00DC2DE7">
      <w:pPr>
        <w:spacing w:line="480" w:lineRule="auto"/>
        <w:rPr>
          <w:rFonts w:ascii="Arial" w:hAnsi="Arial" w:cs="Arial"/>
          <w:sz w:val="22"/>
          <w:szCs w:val="22"/>
        </w:rPr>
      </w:pPr>
      <w:r>
        <w:rPr>
          <w:rFonts w:ascii="Arial" w:hAnsi="Arial" w:cs="Arial"/>
          <w:sz w:val="22"/>
          <w:szCs w:val="22"/>
        </w:rPr>
        <w:t>The function of adding patient variables at this juncture is not to deviate away from the primary theme but to further examine the therapist A score and F score in the context of recovery and patient age, gender and severity. A hierarchical loglinear analysis was conducted as the final statistical analysis in this research. This additional analysis was unforeseen in the earlier stages of this research but was added in order to explore the differing effects between the variables. Hierarchical loglinear analyses require all variables to be categorical in nature (Everitt</w:t>
      </w:r>
      <w:r w:rsidR="00483D78">
        <w:rPr>
          <w:rFonts w:ascii="Arial" w:hAnsi="Arial" w:cs="Arial"/>
          <w:sz w:val="22"/>
          <w:szCs w:val="22"/>
        </w:rPr>
        <w:t>,</w:t>
      </w:r>
      <w:r>
        <w:rPr>
          <w:rFonts w:ascii="Arial" w:hAnsi="Arial" w:cs="Arial"/>
          <w:sz w:val="22"/>
          <w:szCs w:val="22"/>
        </w:rPr>
        <w:t xml:space="preserve"> 1977) and the data </w:t>
      </w:r>
      <w:r w:rsidR="00497E09">
        <w:rPr>
          <w:rFonts w:ascii="Arial" w:hAnsi="Arial" w:cs="Arial"/>
          <w:sz w:val="22"/>
          <w:szCs w:val="22"/>
        </w:rPr>
        <w:t>was</w:t>
      </w:r>
      <w:r>
        <w:rPr>
          <w:rFonts w:ascii="Arial" w:hAnsi="Arial" w:cs="Arial"/>
          <w:sz w:val="22"/>
          <w:szCs w:val="22"/>
        </w:rPr>
        <w:t xml:space="preserve"> converted to reflect this (see </w:t>
      </w:r>
      <w:r w:rsidR="00192078">
        <w:rPr>
          <w:rFonts w:ascii="Arial" w:hAnsi="Arial" w:cs="Arial"/>
          <w:sz w:val="22"/>
          <w:szCs w:val="22"/>
        </w:rPr>
        <w:t>C</w:t>
      </w:r>
      <w:r>
        <w:rPr>
          <w:rFonts w:ascii="Arial" w:hAnsi="Arial" w:cs="Arial"/>
          <w:sz w:val="22"/>
          <w:szCs w:val="22"/>
        </w:rPr>
        <w:t xml:space="preserve">hapter </w:t>
      </w:r>
      <w:r w:rsidR="00D847BF">
        <w:rPr>
          <w:rFonts w:ascii="Arial" w:hAnsi="Arial" w:cs="Arial"/>
          <w:sz w:val="22"/>
          <w:szCs w:val="22"/>
        </w:rPr>
        <w:t>5</w:t>
      </w:r>
      <w:r w:rsidR="00B31270">
        <w:rPr>
          <w:rFonts w:ascii="Arial" w:hAnsi="Arial" w:cs="Arial"/>
          <w:sz w:val="22"/>
          <w:szCs w:val="22"/>
        </w:rPr>
        <w:t>,</w:t>
      </w:r>
      <w:r>
        <w:rPr>
          <w:rFonts w:ascii="Arial" w:hAnsi="Arial" w:cs="Arial"/>
          <w:sz w:val="22"/>
          <w:szCs w:val="22"/>
        </w:rPr>
        <w:t xml:space="preserve"> section </w:t>
      </w:r>
      <w:r w:rsidR="00D847BF">
        <w:rPr>
          <w:rFonts w:ascii="Arial" w:hAnsi="Arial" w:cs="Arial"/>
          <w:sz w:val="22"/>
          <w:szCs w:val="22"/>
        </w:rPr>
        <w:t>5</w:t>
      </w:r>
      <w:r>
        <w:rPr>
          <w:rFonts w:ascii="Arial" w:hAnsi="Arial" w:cs="Arial"/>
          <w:sz w:val="22"/>
          <w:szCs w:val="22"/>
        </w:rPr>
        <w:t>.</w:t>
      </w:r>
      <w:r w:rsidR="00B31270">
        <w:rPr>
          <w:rFonts w:ascii="Arial" w:hAnsi="Arial" w:cs="Arial"/>
          <w:sz w:val="22"/>
          <w:szCs w:val="22"/>
        </w:rPr>
        <w:t>6</w:t>
      </w:r>
      <w:r>
        <w:rPr>
          <w:rFonts w:ascii="Arial" w:hAnsi="Arial" w:cs="Arial"/>
          <w:sz w:val="22"/>
          <w:szCs w:val="22"/>
        </w:rPr>
        <w:t xml:space="preserve">). The findings from the model are presented illustratively in figure </w:t>
      </w:r>
      <w:r w:rsidR="00D847BF">
        <w:rPr>
          <w:rFonts w:ascii="Arial" w:hAnsi="Arial" w:cs="Arial"/>
          <w:sz w:val="22"/>
          <w:szCs w:val="22"/>
        </w:rPr>
        <w:t>6</w:t>
      </w:r>
      <w:r>
        <w:rPr>
          <w:rFonts w:ascii="Arial" w:hAnsi="Arial" w:cs="Arial"/>
          <w:sz w:val="22"/>
          <w:szCs w:val="22"/>
        </w:rPr>
        <w:t>.</w:t>
      </w:r>
      <w:r w:rsidR="008C4832">
        <w:rPr>
          <w:rFonts w:ascii="Arial" w:hAnsi="Arial" w:cs="Arial"/>
          <w:sz w:val="22"/>
          <w:szCs w:val="22"/>
        </w:rPr>
        <w:t>4</w:t>
      </w:r>
      <w:r w:rsidR="00D847BF">
        <w:rPr>
          <w:rFonts w:ascii="Arial" w:hAnsi="Arial" w:cs="Arial"/>
          <w:sz w:val="22"/>
          <w:szCs w:val="22"/>
        </w:rPr>
        <w:t>.</w:t>
      </w:r>
      <w:r>
        <w:rPr>
          <w:rFonts w:ascii="Arial" w:hAnsi="Arial" w:cs="Arial"/>
          <w:sz w:val="22"/>
          <w:szCs w:val="22"/>
        </w:rPr>
        <w:t xml:space="preserve"> The model is divided into three sections to reflect the three categories of variables, where red indicates the therapist variables of A and F scores, blue represents the patient variables of age, gender and severity at the start of treatment on the PHQ-9 and GAD-7 (see </w:t>
      </w:r>
      <w:r w:rsidR="00497E09">
        <w:rPr>
          <w:rFonts w:ascii="Arial" w:hAnsi="Arial" w:cs="Arial"/>
          <w:sz w:val="22"/>
          <w:szCs w:val="22"/>
        </w:rPr>
        <w:t>C</w:t>
      </w:r>
      <w:r>
        <w:rPr>
          <w:rFonts w:ascii="Arial" w:hAnsi="Arial" w:cs="Arial"/>
          <w:sz w:val="22"/>
          <w:szCs w:val="22"/>
        </w:rPr>
        <w:t xml:space="preserve">hapter 2 for descriptions of these outcome measures) and green represents the outcome variables of recovery and reliable improvement. Reliable improvement (as described in </w:t>
      </w:r>
      <w:r w:rsidR="00497E09">
        <w:rPr>
          <w:rFonts w:ascii="Arial" w:hAnsi="Arial" w:cs="Arial"/>
          <w:sz w:val="22"/>
          <w:szCs w:val="22"/>
        </w:rPr>
        <w:t>C</w:t>
      </w:r>
      <w:r>
        <w:rPr>
          <w:rFonts w:ascii="Arial" w:hAnsi="Arial" w:cs="Arial"/>
          <w:sz w:val="22"/>
          <w:szCs w:val="22"/>
        </w:rPr>
        <w:t xml:space="preserve">hapter 2 of this thesis) was included in this model in order to examine whether this outcome variable had a stronger association with the predictor variables than recovery, which has been used throughout this research as the outcome variable. The illustration is used to highlight the strength of the association between the respective </w:t>
      </w:r>
      <w:r w:rsidRPr="008F7571">
        <w:rPr>
          <w:rFonts w:ascii="Arial" w:hAnsi="Arial" w:cs="Arial"/>
          <w:sz w:val="22"/>
          <w:szCs w:val="22"/>
        </w:rPr>
        <w:t xml:space="preserve">categories of variables through the </w:t>
      </w:r>
      <w:r w:rsidR="005911A9" w:rsidRPr="008F7571">
        <w:rPr>
          <w:rFonts w:ascii="Arial" w:hAnsi="Arial" w:cs="Arial"/>
          <w:sz w:val="22"/>
          <w:szCs w:val="22"/>
        </w:rPr>
        <w:t xml:space="preserve">numbers of lines </w:t>
      </w:r>
      <w:r w:rsidRPr="008F7571">
        <w:rPr>
          <w:rFonts w:ascii="Arial" w:hAnsi="Arial" w:cs="Arial"/>
          <w:sz w:val="22"/>
          <w:szCs w:val="22"/>
        </w:rPr>
        <w:t xml:space="preserve">connecting individual variables, where </w:t>
      </w:r>
      <w:r w:rsidR="00336694" w:rsidRPr="008F7571">
        <w:rPr>
          <w:rFonts w:ascii="Arial" w:hAnsi="Arial" w:cs="Arial"/>
          <w:sz w:val="22"/>
          <w:szCs w:val="22"/>
        </w:rPr>
        <w:t>3</w:t>
      </w:r>
      <w:r w:rsidRPr="008F7571">
        <w:rPr>
          <w:rFonts w:ascii="Arial" w:hAnsi="Arial" w:cs="Arial"/>
          <w:sz w:val="22"/>
          <w:szCs w:val="22"/>
        </w:rPr>
        <w:t xml:space="preserve"> lines represent a p value of </w:t>
      </w:r>
      <w:r w:rsidRPr="008F7571">
        <w:rPr>
          <w:rFonts w:ascii="Arial" w:hAnsi="Arial" w:cs="Arial"/>
          <w:sz w:val="22"/>
          <w:szCs w:val="22"/>
        </w:rPr>
        <w:sym w:font="Symbol" w:char="F03E"/>
      </w:r>
      <w:r w:rsidRPr="008F7571">
        <w:rPr>
          <w:rFonts w:ascii="Arial" w:hAnsi="Arial" w:cs="Arial"/>
          <w:sz w:val="22"/>
          <w:szCs w:val="22"/>
        </w:rPr>
        <w:t xml:space="preserve"> 0.001.</w:t>
      </w:r>
      <w:r>
        <w:rPr>
          <w:rFonts w:ascii="Arial" w:hAnsi="Arial" w:cs="Arial"/>
          <w:sz w:val="22"/>
          <w:szCs w:val="22"/>
        </w:rPr>
        <w:t xml:space="preserve"> The model illustrates the strong association between therapist F scores and A scores. This is likely to suggest that therapists who demonstrate a higher level of fidelity to the model (F score) are also more likely to adhere to an evidence-based protocol</w:t>
      </w:r>
      <w:r w:rsidR="00497E09">
        <w:rPr>
          <w:rFonts w:ascii="Arial" w:hAnsi="Arial" w:cs="Arial"/>
          <w:sz w:val="22"/>
          <w:szCs w:val="22"/>
        </w:rPr>
        <w:t>,</w:t>
      </w:r>
      <w:r>
        <w:rPr>
          <w:rFonts w:ascii="Arial" w:hAnsi="Arial" w:cs="Arial"/>
          <w:sz w:val="22"/>
          <w:szCs w:val="22"/>
        </w:rPr>
        <w:t xml:space="preserve"> and vice versa. The </w:t>
      </w:r>
      <w:r w:rsidR="00A50597">
        <w:rPr>
          <w:rFonts w:ascii="Arial" w:hAnsi="Arial" w:cs="Arial"/>
          <w:sz w:val="22"/>
          <w:szCs w:val="22"/>
        </w:rPr>
        <w:t xml:space="preserve">loglinear </w:t>
      </w:r>
      <w:r>
        <w:rPr>
          <w:rFonts w:ascii="Arial" w:hAnsi="Arial" w:cs="Arial"/>
          <w:sz w:val="22"/>
          <w:szCs w:val="22"/>
        </w:rPr>
        <w:t>model also conf</w:t>
      </w:r>
      <w:r w:rsidR="00A50597">
        <w:rPr>
          <w:rFonts w:ascii="Arial" w:hAnsi="Arial" w:cs="Arial"/>
          <w:sz w:val="22"/>
          <w:szCs w:val="22"/>
        </w:rPr>
        <w:t>i</w:t>
      </w:r>
      <w:r>
        <w:rPr>
          <w:rFonts w:ascii="Arial" w:hAnsi="Arial" w:cs="Arial"/>
          <w:sz w:val="22"/>
          <w:szCs w:val="22"/>
        </w:rPr>
        <w:t xml:space="preserve">rms the previous findings, reported earlier in this </w:t>
      </w:r>
      <w:r>
        <w:rPr>
          <w:rFonts w:ascii="Arial" w:hAnsi="Arial" w:cs="Arial"/>
          <w:sz w:val="22"/>
          <w:szCs w:val="22"/>
        </w:rPr>
        <w:lastRenderedPageBreak/>
        <w:t xml:space="preserve">chapter, that fidelity to the model is associated with recovery. </w:t>
      </w:r>
      <w:r w:rsidR="00380415">
        <w:rPr>
          <w:rFonts w:ascii="Arial" w:hAnsi="Arial" w:cs="Arial"/>
          <w:sz w:val="22"/>
          <w:szCs w:val="22"/>
        </w:rPr>
        <w:t>It is important to note that</w:t>
      </w:r>
      <w:r>
        <w:rPr>
          <w:rFonts w:ascii="Arial" w:hAnsi="Arial" w:cs="Arial"/>
          <w:sz w:val="22"/>
          <w:szCs w:val="22"/>
        </w:rPr>
        <w:t xml:space="preserve"> adherence (A score) was only associated with recovery via the F score (fidelity to the CBT model). This finding might be best understood in relation to the CBT training curricula (see </w:t>
      </w:r>
      <w:r w:rsidR="00056769">
        <w:rPr>
          <w:rFonts w:ascii="Arial" w:hAnsi="Arial" w:cs="Arial"/>
          <w:sz w:val="22"/>
          <w:szCs w:val="22"/>
        </w:rPr>
        <w:t>C</w:t>
      </w:r>
      <w:r>
        <w:rPr>
          <w:rFonts w:ascii="Arial" w:hAnsi="Arial" w:cs="Arial"/>
          <w:sz w:val="22"/>
          <w:szCs w:val="22"/>
        </w:rPr>
        <w:t>hapter 2) and the conceptual framework of CBT in general, whereby therapists are trained to structure sessions to incorporate the various elements that the CTS-R captures. These features are incorporated into therapy sessions regardless of the evidence-based protocol that the therapist has selected to treat their patients. It might be argued</w:t>
      </w:r>
      <w:r w:rsidR="00056769">
        <w:rPr>
          <w:rFonts w:ascii="Arial" w:hAnsi="Arial" w:cs="Arial"/>
          <w:sz w:val="22"/>
          <w:szCs w:val="22"/>
        </w:rPr>
        <w:t>,</w:t>
      </w:r>
      <w:r>
        <w:rPr>
          <w:rFonts w:ascii="Arial" w:hAnsi="Arial" w:cs="Arial"/>
          <w:sz w:val="22"/>
          <w:szCs w:val="22"/>
        </w:rPr>
        <w:t xml:space="preserve"> therefore</w:t>
      </w:r>
      <w:r w:rsidR="00056769">
        <w:rPr>
          <w:rFonts w:ascii="Arial" w:hAnsi="Arial" w:cs="Arial"/>
          <w:sz w:val="22"/>
          <w:szCs w:val="22"/>
        </w:rPr>
        <w:t>,</w:t>
      </w:r>
      <w:r>
        <w:rPr>
          <w:rFonts w:ascii="Arial" w:hAnsi="Arial" w:cs="Arial"/>
          <w:sz w:val="22"/>
          <w:szCs w:val="22"/>
        </w:rPr>
        <w:t xml:space="preserve"> that therapists need to focus on the delivering CBT with fidelity to the model</w:t>
      </w:r>
      <w:r w:rsidR="00056769">
        <w:rPr>
          <w:rFonts w:ascii="Arial" w:hAnsi="Arial" w:cs="Arial"/>
          <w:sz w:val="22"/>
          <w:szCs w:val="22"/>
        </w:rPr>
        <w:t>,</w:t>
      </w:r>
      <w:r>
        <w:rPr>
          <w:rFonts w:ascii="Arial" w:hAnsi="Arial" w:cs="Arial"/>
          <w:sz w:val="22"/>
          <w:szCs w:val="22"/>
        </w:rPr>
        <w:t xml:space="preserve"> first and foremost</w:t>
      </w:r>
      <w:r w:rsidR="00056769">
        <w:rPr>
          <w:rFonts w:ascii="Arial" w:hAnsi="Arial" w:cs="Arial"/>
          <w:sz w:val="22"/>
          <w:szCs w:val="22"/>
        </w:rPr>
        <w:t>,</w:t>
      </w:r>
      <w:r>
        <w:rPr>
          <w:rFonts w:ascii="Arial" w:hAnsi="Arial" w:cs="Arial"/>
          <w:sz w:val="22"/>
          <w:szCs w:val="22"/>
        </w:rPr>
        <w:t xml:space="preserve"> and the adherence to a protocol is secondary. That is not to say that it should be assumed that adherence is in some way inferior to a therapist fidelity to the model (F score) but that it is likely that a therapist needs to have high fidelity to the model in order to deliver an evidence-based protocol.</w:t>
      </w:r>
      <w:r w:rsidR="00A50597">
        <w:rPr>
          <w:rFonts w:ascii="Arial" w:hAnsi="Arial" w:cs="Arial"/>
          <w:sz w:val="22"/>
          <w:szCs w:val="22"/>
        </w:rPr>
        <w:t xml:space="preserve"> This hypothesis is supported by earlier suggestions by Elkin (1999) and Kuyken and Tsivrikos, (2009), that competence is the channel through which other therapist variables effect outcome. </w:t>
      </w:r>
      <w:r>
        <w:rPr>
          <w:rFonts w:ascii="Arial" w:hAnsi="Arial" w:cs="Arial"/>
          <w:sz w:val="22"/>
          <w:szCs w:val="22"/>
        </w:rPr>
        <w:t xml:space="preserve"> As both A score and F score are closely associated</w:t>
      </w:r>
      <w:r w:rsidR="00192078">
        <w:rPr>
          <w:rFonts w:ascii="Arial" w:hAnsi="Arial" w:cs="Arial"/>
          <w:sz w:val="22"/>
          <w:szCs w:val="22"/>
        </w:rPr>
        <w:t>,</w:t>
      </w:r>
      <w:r>
        <w:rPr>
          <w:rFonts w:ascii="Arial" w:hAnsi="Arial" w:cs="Arial"/>
          <w:sz w:val="22"/>
          <w:szCs w:val="22"/>
        </w:rPr>
        <w:t xml:space="preserve"> it </w:t>
      </w:r>
      <w:r w:rsidR="00686364">
        <w:rPr>
          <w:rFonts w:ascii="Arial" w:hAnsi="Arial" w:cs="Arial"/>
          <w:sz w:val="22"/>
          <w:szCs w:val="22"/>
        </w:rPr>
        <w:t xml:space="preserve">would </w:t>
      </w:r>
      <w:r>
        <w:rPr>
          <w:rFonts w:ascii="Arial" w:hAnsi="Arial" w:cs="Arial"/>
          <w:sz w:val="22"/>
          <w:szCs w:val="22"/>
        </w:rPr>
        <w:t>appear that both elements are important in their association with outcome</w:t>
      </w:r>
      <w:r w:rsidR="00B31270">
        <w:rPr>
          <w:rFonts w:ascii="Arial" w:hAnsi="Arial" w:cs="Arial"/>
          <w:sz w:val="22"/>
          <w:szCs w:val="22"/>
        </w:rPr>
        <w:t>,</w:t>
      </w:r>
      <w:r w:rsidR="00A50597">
        <w:rPr>
          <w:rFonts w:ascii="Arial" w:hAnsi="Arial" w:cs="Arial"/>
          <w:sz w:val="22"/>
          <w:szCs w:val="22"/>
        </w:rPr>
        <w:t xml:space="preserve"> but that competence is a vehicle through which adherence is driven. </w:t>
      </w:r>
      <w:r>
        <w:rPr>
          <w:rFonts w:ascii="Arial" w:hAnsi="Arial" w:cs="Arial"/>
          <w:sz w:val="22"/>
          <w:szCs w:val="22"/>
        </w:rPr>
        <w:t xml:space="preserve">Both variables require discreet skills but there is clearly some overlap between the two. The implications of this finding are discussed more extensively </w:t>
      </w:r>
      <w:r w:rsidR="006A3B85">
        <w:rPr>
          <w:rFonts w:ascii="Arial" w:hAnsi="Arial" w:cs="Arial"/>
          <w:sz w:val="22"/>
          <w:szCs w:val="22"/>
        </w:rPr>
        <w:t>later in this chapter</w:t>
      </w:r>
      <w:r>
        <w:rPr>
          <w:rFonts w:ascii="Arial" w:hAnsi="Arial" w:cs="Arial"/>
          <w:sz w:val="22"/>
          <w:szCs w:val="22"/>
        </w:rPr>
        <w:t>.</w:t>
      </w:r>
    </w:p>
    <w:p w14:paraId="4F343A8F" w14:textId="77777777" w:rsidR="00DC2DE7" w:rsidRDefault="00DC2DE7" w:rsidP="00DC2DE7">
      <w:pPr>
        <w:spacing w:line="480" w:lineRule="auto"/>
        <w:rPr>
          <w:rFonts w:ascii="Arial" w:hAnsi="Arial" w:cs="Arial"/>
          <w:sz w:val="22"/>
          <w:szCs w:val="22"/>
        </w:rPr>
      </w:pPr>
    </w:p>
    <w:p w14:paraId="10B1DAEE" w14:textId="7707B02B" w:rsidR="00DC2DE7" w:rsidRDefault="00DC2DE7" w:rsidP="00DC2DE7">
      <w:pPr>
        <w:spacing w:line="480" w:lineRule="auto"/>
        <w:rPr>
          <w:rFonts w:ascii="Arial" w:hAnsi="Arial" w:cs="Arial"/>
          <w:sz w:val="22"/>
          <w:szCs w:val="22"/>
        </w:rPr>
      </w:pPr>
      <w:r>
        <w:rPr>
          <w:rFonts w:ascii="Arial" w:hAnsi="Arial" w:cs="Arial"/>
          <w:sz w:val="22"/>
          <w:szCs w:val="22"/>
        </w:rPr>
        <w:t>The findings relating to patient variables are less surprising and confirm what is already well</w:t>
      </w:r>
      <w:r w:rsidR="00056769">
        <w:rPr>
          <w:rFonts w:ascii="Arial" w:hAnsi="Arial" w:cs="Arial"/>
          <w:sz w:val="22"/>
          <w:szCs w:val="22"/>
        </w:rPr>
        <w:t>-</w:t>
      </w:r>
      <w:r>
        <w:rPr>
          <w:rFonts w:ascii="Arial" w:hAnsi="Arial" w:cs="Arial"/>
          <w:sz w:val="22"/>
          <w:szCs w:val="22"/>
        </w:rPr>
        <w:t xml:space="preserve">documented in the literature. The model illustrates that there is significant relationship between severity on both the PHQ-9 and GAD-7 at the </w:t>
      </w:r>
      <w:r>
        <w:rPr>
          <w:rFonts w:ascii="Arial" w:hAnsi="Arial" w:cs="Arial"/>
          <w:sz w:val="22"/>
          <w:szCs w:val="22"/>
        </w:rPr>
        <w:sym w:font="Symbol" w:char="F03C"/>
      </w:r>
      <w:r>
        <w:rPr>
          <w:rFonts w:ascii="Arial" w:hAnsi="Arial" w:cs="Arial"/>
          <w:sz w:val="22"/>
          <w:szCs w:val="22"/>
        </w:rPr>
        <w:t xml:space="preserve"> 0.001 level. That is to say</w:t>
      </w:r>
      <w:r w:rsidR="00192078">
        <w:rPr>
          <w:rFonts w:ascii="Arial" w:hAnsi="Arial" w:cs="Arial"/>
          <w:sz w:val="22"/>
          <w:szCs w:val="22"/>
        </w:rPr>
        <w:t>,</w:t>
      </w:r>
      <w:r>
        <w:rPr>
          <w:rFonts w:ascii="Arial" w:hAnsi="Arial" w:cs="Arial"/>
          <w:sz w:val="22"/>
          <w:szCs w:val="22"/>
        </w:rPr>
        <w:t xml:space="preserve"> that patients are likely to present with similar levels of severity on both scales (</w:t>
      </w:r>
      <w:r w:rsidR="006A3B85">
        <w:rPr>
          <w:rFonts w:ascii="Arial" w:hAnsi="Arial" w:cs="Arial"/>
          <w:sz w:val="22"/>
          <w:szCs w:val="22"/>
        </w:rPr>
        <w:t>Lamers, van Oppen, Comijs, Smit, Spinhoven, van Blakom et al. 2011</w:t>
      </w:r>
      <w:r>
        <w:rPr>
          <w:rFonts w:ascii="Arial" w:hAnsi="Arial" w:cs="Arial"/>
          <w:sz w:val="22"/>
          <w:szCs w:val="22"/>
        </w:rPr>
        <w:t xml:space="preserve">) at the start of treatment. Severity, as measured by the GAD-7, is closed associated with recovery, also at the </w:t>
      </w:r>
      <w:r>
        <w:rPr>
          <w:rFonts w:ascii="Arial" w:hAnsi="Arial" w:cs="Arial"/>
          <w:sz w:val="22"/>
          <w:szCs w:val="22"/>
        </w:rPr>
        <w:sym w:font="Symbol" w:char="F03C"/>
      </w:r>
      <w:r>
        <w:rPr>
          <w:rFonts w:ascii="Arial" w:hAnsi="Arial" w:cs="Arial"/>
          <w:sz w:val="22"/>
          <w:szCs w:val="22"/>
        </w:rPr>
        <w:t xml:space="preserve">0.001 level. This suggests that patients who present with an anxiety disorder (but potentially also with a similar score of severity on the PHQ-9) might be more likely to recover. This finding is </w:t>
      </w:r>
      <w:r>
        <w:rPr>
          <w:rFonts w:ascii="Arial" w:hAnsi="Arial" w:cs="Arial"/>
          <w:sz w:val="22"/>
          <w:szCs w:val="22"/>
        </w:rPr>
        <w:lastRenderedPageBreak/>
        <w:t xml:space="preserve">supported by </w:t>
      </w:r>
      <w:r w:rsidR="00EA1EE5">
        <w:rPr>
          <w:rFonts w:ascii="Arial" w:hAnsi="Arial" w:cs="Arial"/>
          <w:sz w:val="22"/>
          <w:szCs w:val="22"/>
        </w:rPr>
        <w:t>Gyani, Shafran, Layard and Clark, (2013)</w:t>
      </w:r>
      <w:r>
        <w:rPr>
          <w:rFonts w:ascii="Arial" w:hAnsi="Arial" w:cs="Arial"/>
          <w:sz w:val="22"/>
          <w:szCs w:val="22"/>
        </w:rPr>
        <w:t xml:space="preserve"> </w:t>
      </w:r>
      <w:r w:rsidR="00056769">
        <w:rPr>
          <w:rFonts w:ascii="Arial" w:hAnsi="Arial" w:cs="Arial"/>
          <w:sz w:val="22"/>
          <w:szCs w:val="22"/>
        </w:rPr>
        <w:t xml:space="preserve">who </w:t>
      </w:r>
      <w:r>
        <w:rPr>
          <w:rFonts w:ascii="Arial" w:hAnsi="Arial" w:cs="Arial"/>
          <w:sz w:val="22"/>
          <w:szCs w:val="22"/>
        </w:rPr>
        <w:t>report higher recovery for patients who present</w:t>
      </w:r>
      <w:r w:rsidR="00EA1EE5">
        <w:rPr>
          <w:rFonts w:ascii="Arial" w:hAnsi="Arial" w:cs="Arial"/>
          <w:sz w:val="22"/>
          <w:szCs w:val="22"/>
        </w:rPr>
        <w:t>ed</w:t>
      </w:r>
      <w:r>
        <w:rPr>
          <w:rFonts w:ascii="Arial" w:hAnsi="Arial" w:cs="Arial"/>
          <w:sz w:val="22"/>
          <w:szCs w:val="22"/>
        </w:rPr>
        <w:t xml:space="preserve"> with </w:t>
      </w:r>
      <w:r w:rsidR="00EA1EE5">
        <w:rPr>
          <w:rFonts w:ascii="Arial" w:hAnsi="Arial" w:cs="Arial"/>
          <w:sz w:val="22"/>
          <w:szCs w:val="22"/>
        </w:rPr>
        <w:t xml:space="preserve">Generalised Anxiety Disorder </w:t>
      </w:r>
      <w:r>
        <w:rPr>
          <w:rFonts w:ascii="Arial" w:hAnsi="Arial" w:cs="Arial"/>
          <w:sz w:val="22"/>
          <w:szCs w:val="22"/>
        </w:rPr>
        <w:t>than those who present</w:t>
      </w:r>
      <w:r w:rsidR="00EA1EE5">
        <w:rPr>
          <w:rFonts w:ascii="Arial" w:hAnsi="Arial" w:cs="Arial"/>
          <w:sz w:val="22"/>
          <w:szCs w:val="22"/>
        </w:rPr>
        <w:t>ed</w:t>
      </w:r>
      <w:r>
        <w:rPr>
          <w:rFonts w:ascii="Arial" w:hAnsi="Arial" w:cs="Arial"/>
          <w:sz w:val="22"/>
          <w:szCs w:val="22"/>
        </w:rPr>
        <w:t xml:space="preserve"> with depression. Furthermore, the findings from th</w:t>
      </w:r>
      <w:r w:rsidR="00EA1EE5">
        <w:rPr>
          <w:rFonts w:ascii="Arial" w:hAnsi="Arial" w:cs="Arial"/>
          <w:sz w:val="22"/>
          <w:szCs w:val="22"/>
        </w:rPr>
        <w:t>e</w:t>
      </w:r>
      <w:r>
        <w:rPr>
          <w:rFonts w:ascii="Arial" w:hAnsi="Arial" w:cs="Arial"/>
          <w:sz w:val="22"/>
          <w:szCs w:val="22"/>
        </w:rPr>
        <w:t xml:space="preserve"> research</w:t>
      </w:r>
      <w:r w:rsidR="00EA1EE5">
        <w:rPr>
          <w:rFonts w:ascii="Arial" w:hAnsi="Arial" w:cs="Arial"/>
          <w:sz w:val="22"/>
          <w:szCs w:val="22"/>
        </w:rPr>
        <w:t xml:space="preserve"> reported in this thesis</w:t>
      </w:r>
      <w:r>
        <w:rPr>
          <w:rFonts w:ascii="Arial" w:hAnsi="Arial" w:cs="Arial"/>
          <w:sz w:val="22"/>
          <w:szCs w:val="22"/>
        </w:rPr>
        <w:t xml:space="preserve"> suggest that older patients (those over 60 years of age) are more likely to present with an anxiety disorder (p= </w:t>
      </w:r>
      <w:r>
        <w:rPr>
          <w:rFonts w:ascii="Arial" w:hAnsi="Arial" w:cs="Arial"/>
          <w:sz w:val="22"/>
          <w:szCs w:val="22"/>
        </w:rPr>
        <w:sym w:font="Symbol" w:char="F03C"/>
      </w:r>
      <w:r>
        <w:rPr>
          <w:rFonts w:ascii="Arial" w:hAnsi="Arial" w:cs="Arial"/>
          <w:sz w:val="22"/>
          <w:szCs w:val="22"/>
        </w:rPr>
        <w:t xml:space="preserve">0.01) and older patients are more likely to recover (p= </w:t>
      </w:r>
      <w:r>
        <w:rPr>
          <w:rFonts w:ascii="Arial" w:hAnsi="Arial" w:cs="Arial"/>
          <w:sz w:val="22"/>
          <w:szCs w:val="22"/>
        </w:rPr>
        <w:sym w:font="Symbol" w:char="F03C"/>
      </w:r>
      <w:r>
        <w:rPr>
          <w:rFonts w:ascii="Arial" w:hAnsi="Arial" w:cs="Arial"/>
          <w:sz w:val="22"/>
          <w:szCs w:val="22"/>
        </w:rPr>
        <w:t xml:space="preserve">0.05). These findings confirm those that are reported by </w:t>
      </w:r>
      <w:r w:rsidR="00A50597">
        <w:rPr>
          <w:rFonts w:ascii="Arial" w:hAnsi="Arial" w:cs="Arial"/>
          <w:sz w:val="22"/>
          <w:szCs w:val="22"/>
        </w:rPr>
        <w:t>Burch,</w:t>
      </w:r>
      <w:r w:rsidR="00483D78">
        <w:rPr>
          <w:rFonts w:ascii="Arial" w:hAnsi="Arial" w:cs="Arial"/>
          <w:sz w:val="22"/>
          <w:szCs w:val="22"/>
        </w:rPr>
        <w:t xml:space="preserve"> </w:t>
      </w:r>
      <w:r w:rsidR="006A3B85">
        <w:rPr>
          <w:rFonts w:ascii="Arial" w:hAnsi="Arial" w:cs="Arial"/>
          <w:sz w:val="22"/>
          <w:szCs w:val="22"/>
        </w:rPr>
        <w:t>Preston,</w:t>
      </w:r>
      <w:r w:rsidR="00A50597">
        <w:rPr>
          <w:rFonts w:ascii="Arial" w:hAnsi="Arial" w:cs="Arial"/>
          <w:sz w:val="22"/>
          <w:szCs w:val="22"/>
        </w:rPr>
        <w:t xml:space="preserve"> Bateup</w:t>
      </w:r>
      <w:r w:rsidR="006A3B85">
        <w:rPr>
          <w:rFonts w:ascii="Arial" w:hAnsi="Arial" w:cs="Arial"/>
          <w:sz w:val="22"/>
          <w:szCs w:val="22"/>
        </w:rPr>
        <w:t xml:space="preserve"> and Hina</w:t>
      </w:r>
      <w:r w:rsidR="00A50597">
        <w:rPr>
          <w:rFonts w:ascii="Arial" w:hAnsi="Arial" w:cs="Arial"/>
          <w:sz w:val="22"/>
          <w:szCs w:val="22"/>
        </w:rPr>
        <w:t xml:space="preserve"> (2018) and Catarino, Bateup</w:t>
      </w:r>
      <w:r w:rsidR="00686364">
        <w:rPr>
          <w:rFonts w:ascii="Arial" w:hAnsi="Arial" w:cs="Arial"/>
          <w:sz w:val="22"/>
          <w:szCs w:val="22"/>
        </w:rPr>
        <w:t>,</w:t>
      </w:r>
      <w:r w:rsidR="00A50597">
        <w:rPr>
          <w:rFonts w:ascii="Arial" w:hAnsi="Arial" w:cs="Arial"/>
          <w:sz w:val="22"/>
          <w:szCs w:val="22"/>
        </w:rPr>
        <w:t xml:space="preserve"> </w:t>
      </w:r>
      <w:r w:rsidR="00686364">
        <w:rPr>
          <w:rFonts w:ascii="Arial" w:hAnsi="Arial" w:cs="Arial"/>
          <w:sz w:val="22"/>
          <w:szCs w:val="22"/>
        </w:rPr>
        <w:t>Tablan, Innes, Freer, Richards et al.,</w:t>
      </w:r>
      <w:r w:rsidR="00A50597">
        <w:rPr>
          <w:rFonts w:ascii="Arial" w:hAnsi="Arial" w:cs="Arial"/>
          <w:sz w:val="22"/>
          <w:szCs w:val="22"/>
        </w:rPr>
        <w:t xml:space="preserve"> 2018)</w:t>
      </w:r>
      <w:r>
        <w:rPr>
          <w:rFonts w:ascii="Arial" w:hAnsi="Arial" w:cs="Arial"/>
          <w:sz w:val="22"/>
          <w:szCs w:val="22"/>
        </w:rPr>
        <w:t xml:space="preserve"> and those that are reported by IAPT (NHS England</w:t>
      </w:r>
      <w:r w:rsidR="0034627A">
        <w:rPr>
          <w:rFonts w:ascii="Arial" w:hAnsi="Arial" w:cs="Arial"/>
          <w:sz w:val="22"/>
          <w:szCs w:val="22"/>
        </w:rPr>
        <w:t>,</w:t>
      </w:r>
      <w:r>
        <w:rPr>
          <w:rFonts w:ascii="Arial" w:hAnsi="Arial" w:cs="Arial"/>
          <w:sz w:val="22"/>
          <w:szCs w:val="22"/>
        </w:rPr>
        <w:t xml:space="preserve"> 2018). However, the </w:t>
      </w:r>
      <w:r w:rsidR="00EA1EE5">
        <w:rPr>
          <w:rFonts w:ascii="Arial" w:hAnsi="Arial" w:cs="Arial"/>
          <w:sz w:val="22"/>
          <w:szCs w:val="22"/>
        </w:rPr>
        <w:t xml:space="preserve">current </w:t>
      </w:r>
      <w:r>
        <w:rPr>
          <w:rFonts w:ascii="Arial" w:hAnsi="Arial" w:cs="Arial"/>
          <w:sz w:val="22"/>
          <w:szCs w:val="22"/>
        </w:rPr>
        <w:t>national data set reported by IAPT does not suggest there is a significant difference in recovery rates between patients who present with an anxiety disorder and those that are seeking treatment for depression (NHS England</w:t>
      </w:r>
      <w:r w:rsidR="00483D78">
        <w:rPr>
          <w:rFonts w:ascii="Arial" w:hAnsi="Arial" w:cs="Arial"/>
          <w:sz w:val="22"/>
          <w:szCs w:val="22"/>
        </w:rPr>
        <w:t>,</w:t>
      </w:r>
      <w:r>
        <w:rPr>
          <w:rFonts w:ascii="Arial" w:hAnsi="Arial" w:cs="Arial"/>
          <w:sz w:val="22"/>
          <w:szCs w:val="22"/>
        </w:rPr>
        <w:t xml:space="preserve"> 2018). Therefore, the findings in this thesis should be interpreted with caution</w:t>
      </w:r>
      <w:r w:rsidR="00056769">
        <w:rPr>
          <w:rFonts w:ascii="Arial" w:hAnsi="Arial" w:cs="Arial"/>
          <w:sz w:val="22"/>
          <w:szCs w:val="22"/>
        </w:rPr>
        <w:t>,</w:t>
      </w:r>
      <w:r>
        <w:rPr>
          <w:rFonts w:ascii="Arial" w:hAnsi="Arial" w:cs="Arial"/>
          <w:sz w:val="22"/>
          <w:szCs w:val="22"/>
        </w:rPr>
        <w:t xml:space="preserve"> as they may only represent an artefact of the cohort of therapists/patients included in this research.  </w:t>
      </w:r>
    </w:p>
    <w:p w14:paraId="12289D0D" w14:textId="77777777" w:rsidR="00DC2DE7" w:rsidRDefault="00DC2DE7" w:rsidP="00DC2DE7">
      <w:pPr>
        <w:spacing w:line="480" w:lineRule="auto"/>
        <w:rPr>
          <w:rFonts w:ascii="Arial" w:hAnsi="Arial" w:cs="Arial"/>
          <w:sz w:val="22"/>
          <w:szCs w:val="22"/>
        </w:rPr>
      </w:pPr>
    </w:p>
    <w:p w14:paraId="3B1DC53A" w14:textId="44693F81" w:rsidR="00DC2DE7" w:rsidRDefault="00DC2DE7" w:rsidP="00DC2DE7">
      <w:pPr>
        <w:spacing w:line="480" w:lineRule="auto"/>
        <w:rPr>
          <w:rFonts w:ascii="Arial" w:hAnsi="Arial" w:cs="Arial"/>
          <w:sz w:val="22"/>
          <w:szCs w:val="22"/>
        </w:rPr>
      </w:pPr>
      <w:r>
        <w:rPr>
          <w:rFonts w:ascii="Arial" w:hAnsi="Arial" w:cs="Arial"/>
          <w:sz w:val="22"/>
          <w:szCs w:val="22"/>
        </w:rPr>
        <w:t>A final finding illustrated in the model is patient gender</w:t>
      </w:r>
      <w:r w:rsidR="00192078">
        <w:rPr>
          <w:rFonts w:ascii="Arial" w:hAnsi="Arial" w:cs="Arial"/>
          <w:sz w:val="22"/>
          <w:szCs w:val="22"/>
        </w:rPr>
        <w:t>,</w:t>
      </w:r>
      <w:r>
        <w:rPr>
          <w:rFonts w:ascii="Arial" w:hAnsi="Arial" w:cs="Arial"/>
          <w:sz w:val="22"/>
          <w:szCs w:val="22"/>
        </w:rPr>
        <w:t xml:space="preserve"> which did not interact with any of the other variables. This might suggest that patient gender, on its own, is not </w:t>
      </w:r>
      <w:r w:rsidR="0034627A">
        <w:rPr>
          <w:rFonts w:ascii="Arial" w:hAnsi="Arial" w:cs="Arial"/>
          <w:sz w:val="22"/>
          <w:szCs w:val="22"/>
        </w:rPr>
        <w:t xml:space="preserve">a </w:t>
      </w:r>
      <w:r>
        <w:rPr>
          <w:rFonts w:ascii="Arial" w:hAnsi="Arial" w:cs="Arial"/>
          <w:sz w:val="22"/>
          <w:szCs w:val="22"/>
        </w:rPr>
        <w:t xml:space="preserve">significant factor in predicting outcome. This finding is also reported by </w:t>
      </w:r>
      <w:r w:rsidR="00EA1EE5">
        <w:rPr>
          <w:rFonts w:ascii="Arial" w:hAnsi="Arial" w:cs="Arial"/>
          <w:sz w:val="22"/>
          <w:szCs w:val="22"/>
        </w:rPr>
        <w:t>Cuijpers,</w:t>
      </w:r>
      <w:r w:rsidR="002123AA">
        <w:rPr>
          <w:rFonts w:ascii="Arial" w:hAnsi="Arial" w:cs="Arial"/>
          <w:sz w:val="22"/>
          <w:szCs w:val="22"/>
        </w:rPr>
        <w:t xml:space="preserve"> Weitz, Twisk, Kuehner, Cristea, David et al., (2014)</w:t>
      </w:r>
      <w:r>
        <w:rPr>
          <w:rFonts w:ascii="Arial" w:hAnsi="Arial" w:cs="Arial"/>
          <w:sz w:val="22"/>
          <w:szCs w:val="22"/>
        </w:rPr>
        <w:t xml:space="preserve"> and suggests that gender is only important when it is considered in relation to other variables like age or severity. For example</w:t>
      </w:r>
      <w:r w:rsidR="00A50597">
        <w:rPr>
          <w:rFonts w:ascii="Arial" w:hAnsi="Arial" w:cs="Arial"/>
          <w:sz w:val="22"/>
          <w:szCs w:val="22"/>
        </w:rPr>
        <w:t>,</w:t>
      </w:r>
      <w:r>
        <w:rPr>
          <w:rFonts w:ascii="Arial" w:hAnsi="Arial" w:cs="Arial"/>
          <w:sz w:val="22"/>
          <w:szCs w:val="22"/>
        </w:rPr>
        <w:t xml:space="preserve"> it is widely reported that male patients under the age of 25 who present with greater severity are less likely to recover (</w:t>
      </w:r>
      <w:r w:rsidR="002123AA">
        <w:rPr>
          <w:rFonts w:ascii="Arial" w:hAnsi="Arial" w:cs="Arial"/>
          <w:sz w:val="22"/>
          <w:szCs w:val="22"/>
        </w:rPr>
        <w:t>Baker, 2018</w:t>
      </w:r>
      <w:r>
        <w:rPr>
          <w:rFonts w:ascii="Arial" w:hAnsi="Arial" w:cs="Arial"/>
          <w:sz w:val="22"/>
          <w:szCs w:val="22"/>
        </w:rPr>
        <w:t xml:space="preserve">). </w:t>
      </w:r>
    </w:p>
    <w:p w14:paraId="0024232E" w14:textId="77777777" w:rsidR="00DC2DE7" w:rsidRDefault="00DC2DE7" w:rsidP="00DC2DE7">
      <w:pPr>
        <w:spacing w:line="480" w:lineRule="auto"/>
        <w:rPr>
          <w:rFonts w:ascii="Arial" w:hAnsi="Arial" w:cs="Arial"/>
          <w:sz w:val="22"/>
          <w:szCs w:val="22"/>
        </w:rPr>
      </w:pPr>
    </w:p>
    <w:p w14:paraId="05665EC7" w14:textId="29086A19" w:rsidR="00DC2DE7" w:rsidRDefault="00DC2DE7" w:rsidP="00DC2DE7">
      <w:pPr>
        <w:spacing w:line="480" w:lineRule="auto"/>
        <w:rPr>
          <w:rFonts w:ascii="Arial" w:hAnsi="Arial" w:cs="Arial"/>
          <w:sz w:val="22"/>
          <w:szCs w:val="22"/>
        </w:rPr>
      </w:pPr>
      <w:r>
        <w:rPr>
          <w:rFonts w:ascii="Arial" w:hAnsi="Arial" w:cs="Arial"/>
          <w:sz w:val="22"/>
          <w:szCs w:val="22"/>
        </w:rPr>
        <w:t>This final analyses ha</w:t>
      </w:r>
      <w:r w:rsidR="00056769">
        <w:rPr>
          <w:rFonts w:ascii="Arial" w:hAnsi="Arial" w:cs="Arial"/>
          <w:sz w:val="22"/>
          <w:szCs w:val="22"/>
        </w:rPr>
        <w:t>ve</w:t>
      </w:r>
      <w:r>
        <w:rPr>
          <w:rFonts w:ascii="Arial" w:hAnsi="Arial" w:cs="Arial"/>
          <w:sz w:val="22"/>
          <w:szCs w:val="22"/>
        </w:rPr>
        <w:t xml:space="preserve"> further confirmed the findings</w:t>
      </w:r>
      <w:r w:rsidR="00686364">
        <w:rPr>
          <w:rFonts w:ascii="Arial" w:hAnsi="Arial" w:cs="Arial"/>
          <w:sz w:val="22"/>
          <w:szCs w:val="22"/>
        </w:rPr>
        <w:t xml:space="preserve"> reported earlier in this thesis</w:t>
      </w:r>
      <w:r>
        <w:rPr>
          <w:rFonts w:ascii="Arial" w:hAnsi="Arial" w:cs="Arial"/>
          <w:sz w:val="22"/>
          <w:szCs w:val="22"/>
        </w:rPr>
        <w:t xml:space="preserve"> from the Pearson’s Correlation, Chi Square Test for Association and regression models, whereby competence as measured by the CTS-R (F score) and therapist adherence to an evidence</w:t>
      </w:r>
      <w:r w:rsidR="00192078">
        <w:rPr>
          <w:rFonts w:ascii="Arial" w:hAnsi="Arial" w:cs="Arial"/>
          <w:sz w:val="22"/>
          <w:szCs w:val="22"/>
        </w:rPr>
        <w:t>-</w:t>
      </w:r>
      <w:r>
        <w:rPr>
          <w:rFonts w:ascii="Arial" w:hAnsi="Arial" w:cs="Arial"/>
          <w:sz w:val="22"/>
          <w:szCs w:val="22"/>
        </w:rPr>
        <w:t>based protocol are significantly related to clinical outcome</w:t>
      </w:r>
      <w:r w:rsidR="00686364">
        <w:rPr>
          <w:rFonts w:ascii="Arial" w:hAnsi="Arial" w:cs="Arial"/>
          <w:sz w:val="22"/>
          <w:szCs w:val="22"/>
        </w:rPr>
        <w:t xml:space="preserve"> at the 0.05 level.</w:t>
      </w:r>
    </w:p>
    <w:p w14:paraId="434E9B36" w14:textId="77777777" w:rsidR="00DC2DE7" w:rsidRDefault="00DC2DE7" w:rsidP="00DC2DE7">
      <w:pPr>
        <w:spacing w:line="480" w:lineRule="auto"/>
        <w:rPr>
          <w:rFonts w:ascii="Arial" w:hAnsi="Arial" w:cs="Arial"/>
          <w:sz w:val="22"/>
          <w:szCs w:val="22"/>
        </w:rPr>
      </w:pPr>
      <w:r>
        <w:rPr>
          <w:rFonts w:ascii="Arial" w:hAnsi="Arial" w:cs="Arial"/>
          <w:sz w:val="22"/>
          <w:szCs w:val="22"/>
        </w:rPr>
        <w:t xml:space="preserve"> </w:t>
      </w:r>
    </w:p>
    <w:p w14:paraId="39A54131" w14:textId="77777777" w:rsidR="00DC2DE7" w:rsidRDefault="00DC2DE7" w:rsidP="00DC2DE7">
      <w:pPr>
        <w:spacing w:line="480" w:lineRule="auto"/>
        <w:rPr>
          <w:rFonts w:ascii="Arial" w:hAnsi="Arial" w:cs="Arial"/>
          <w:sz w:val="22"/>
          <w:szCs w:val="22"/>
        </w:rPr>
      </w:pPr>
    </w:p>
    <w:p w14:paraId="13C2CEF1" w14:textId="77777777" w:rsidR="00DC2DE7" w:rsidRDefault="00DC2DE7" w:rsidP="00DC2DE7">
      <w:pPr>
        <w:spacing w:line="480" w:lineRule="auto"/>
        <w:rPr>
          <w:rFonts w:ascii="Arial" w:hAnsi="Arial" w:cs="Arial"/>
          <w:sz w:val="22"/>
          <w:szCs w:val="22"/>
        </w:rPr>
      </w:pPr>
    </w:p>
    <w:p w14:paraId="51B2C0B3" w14:textId="77777777" w:rsidR="00DC2DE7" w:rsidRDefault="00DC2DE7" w:rsidP="00DC2DE7">
      <w:pPr>
        <w:spacing w:line="480" w:lineRule="auto"/>
        <w:rPr>
          <w:rFonts w:ascii="Arial" w:hAnsi="Arial" w:cs="Arial"/>
          <w:sz w:val="22"/>
          <w:szCs w:val="22"/>
        </w:rPr>
        <w:sectPr w:rsidR="00DC2DE7" w:rsidSect="006B4EAC">
          <w:pgSz w:w="11900" w:h="16840"/>
          <w:pgMar w:top="1440" w:right="1440" w:bottom="1440" w:left="1440" w:header="708" w:footer="708" w:gutter="0"/>
          <w:cols w:space="708"/>
          <w:docGrid w:linePitch="360"/>
        </w:sectPr>
      </w:pPr>
    </w:p>
    <w:p w14:paraId="402CBF93" w14:textId="64760138" w:rsidR="00797CBE" w:rsidRDefault="00797CBE" w:rsidP="00797CBE">
      <w:pPr>
        <w:pStyle w:val="Figures"/>
      </w:pPr>
      <w:bookmarkStart w:id="429" w:name="_Toc46770965"/>
      <w:r w:rsidRPr="00953EA7">
        <w:lastRenderedPageBreak/>
        <w:t>Figure 6.</w:t>
      </w:r>
      <w:r w:rsidR="008C4832">
        <w:t>4</w:t>
      </w:r>
      <w:r w:rsidR="008C4832" w:rsidRPr="00797CBE">
        <w:rPr>
          <w:b w:val="0"/>
        </w:rPr>
        <w:t xml:space="preserve"> </w:t>
      </w:r>
      <w:r w:rsidRPr="00797CBE">
        <w:rPr>
          <w:b w:val="0"/>
        </w:rPr>
        <w:t>Log-linear analysis model illustration</w:t>
      </w:r>
      <w:bookmarkEnd w:id="429"/>
    </w:p>
    <w:bookmarkStart w:id="430" w:name="_MON_1655027861"/>
    <w:bookmarkEnd w:id="430"/>
    <w:p w14:paraId="24E35138" w14:textId="70D307F3" w:rsidR="002F30FD" w:rsidRDefault="008F1519" w:rsidP="00DC2DE7">
      <w:pPr>
        <w:spacing w:line="480" w:lineRule="auto"/>
        <w:rPr>
          <w:rFonts w:ascii="Arial" w:hAnsi="Arial" w:cs="Arial"/>
          <w:sz w:val="22"/>
          <w:szCs w:val="22"/>
        </w:rPr>
        <w:sectPr w:rsidR="002F30FD" w:rsidSect="00800052">
          <w:pgSz w:w="11900" w:h="16840"/>
          <w:pgMar w:top="1440" w:right="1440" w:bottom="1440" w:left="1440" w:header="708" w:footer="708" w:gutter="0"/>
          <w:cols w:space="708"/>
          <w:docGrid w:linePitch="360"/>
        </w:sectPr>
      </w:pPr>
      <w:r>
        <w:rPr>
          <w:rFonts w:ascii="Arial" w:hAnsi="Arial" w:cs="Arial"/>
          <w:noProof/>
          <w:sz w:val="22"/>
          <w:szCs w:val="22"/>
        </w:rPr>
        <w:object w:dxaOrig="9020" w:dyaOrig="8880" w14:anchorId="4F463A56">
          <v:shape id="_x0000_i1027" type="#_x0000_t75" alt="P3537#yIS1" style="width:450.9pt;height:444pt;mso-width-percent:0;mso-height-percent:0;mso-width-percent:0;mso-height-percent:0" o:ole="">
            <v:imagedata r:id="rId81" o:title=""/>
          </v:shape>
          <o:OLEObject Type="Embed" ProgID="Word.Document.12" ShapeID="_x0000_i1027" DrawAspect="Content" ObjectID="_1690028219" r:id="rId82">
            <o:FieldCodes>\s</o:FieldCodes>
          </o:OLEObject>
        </w:object>
      </w:r>
    </w:p>
    <w:p w14:paraId="3FAF898A" w14:textId="13644A48" w:rsidR="00DC2DE7" w:rsidRPr="00F90E30" w:rsidRDefault="008A1595" w:rsidP="00DC2DE7">
      <w:pPr>
        <w:pStyle w:val="Heading2"/>
        <w:rPr>
          <w:rFonts w:ascii="Arial" w:hAnsi="Arial" w:cs="Arial"/>
          <w:color w:val="000000" w:themeColor="text1"/>
          <w:sz w:val="22"/>
          <w:szCs w:val="22"/>
        </w:rPr>
      </w:pPr>
      <w:bookmarkStart w:id="431" w:name="_Toc46770845"/>
      <w:bookmarkStart w:id="432" w:name="_Toc79414256"/>
      <w:r>
        <w:rPr>
          <w:rFonts w:ascii="Arial" w:hAnsi="Arial" w:cs="Arial"/>
          <w:color w:val="000000" w:themeColor="text1"/>
          <w:sz w:val="22"/>
          <w:szCs w:val="22"/>
        </w:rPr>
        <w:lastRenderedPageBreak/>
        <w:t>6</w:t>
      </w:r>
      <w:r w:rsidR="00DC2DE7" w:rsidRPr="00F90E30">
        <w:rPr>
          <w:rFonts w:ascii="Arial" w:hAnsi="Arial" w:cs="Arial"/>
          <w:color w:val="000000" w:themeColor="text1"/>
          <w:sz w:val="22"/>
          <w:szCs w:val="22"/>
        </w:rPr>
        <w:t>.</w:t>
      </w:r>
      <w:r w:rsidR="00633677">
        <w:rPr>
          <w:rFonts w:ascii="Arial" w:hAnsi="Arial" w:cs="Arial"/>
          <w:color w:val="000000" w:themeColor="text1"/>
          <w:sz w:val="22"/>
          <w:szCs w:val="22"/>
        </w:rPr>
        <w:t>7</w:t>
      </w:r>
      <w:r w:rsidR="00DC2DE7" w:rsidRPr="00F90E30">
        <w:rPr>
          <w:rFonts w:ascii="Arial" w:hAnsi="Arial" w:cs="Arial"/>
          <w:color w:val="000000" w:themeColor="text1"/>
          <w:sz w:val="22"/>
          <w:szCs w:val="22"/>
        </w:rPr>
        <w:t xml:space="preserve"> LIMITATIONS OF THIS RESEARCH</w:t>
      </w:r>
      <w:bookmarkEnd w:id="431"/>
      <w:bookmarkEnd w:id="432"/>
    </w:p>
    <w:p w14:paraId="4C3C55D0" w14:textId="77777777" w:rsidR="00DC2DE7" w:rsidRPr="00F90E30" w:rsidRDefault="00DC2DE7" w:rsidP="00DC2DE7">
      <w:pPr>
        <w:rPr>
          <w:sz w:val="22"/>
          <w:szCs w:val="22"/>
        </w:rPr>
      </w:pPr>
    </w:p>
    <w:p w14:paraId="41B4EEDE" w14:textId="0376AB9C" w:rsidR="00DC2DE7" w:rsidRDefault="00DC2DE7" w:rsidP="00DC2DE7">
      <w:pPr>
        <w:spacing w:line="480" w:lineRule="auto"/>
        <w:rPr>
          <w:rFonts w:ascii="Arial" w:hAnsi="Arial" w:cs="Arial"/>
          <w:sz w:val="22"/>
          <w:szCs w:val="22"/>
        </w:rPr>
      </w:pPr>
      <w:r w:rsidRPr="00F90E30">
        <w:rPr>
          <w:rFonts w:ascii="Arial" w:hAnsi="Arial" w:cs="Arial"/>
          <w:sz w:val="22"/>
          <w:szCs w:val="22"/>
        </w:rPr>
        <w:t>Various limitations of this research are identified</w:t>
      </w:r>
      <w:r w:rsidR="002123AA">
        <w:rPr>
          <w:rFonts w:ascii="Arial" w:hAnsi="Arial" w:cs="Arial"/>
          <w:sz w:val="22"/>
          <w:szCs w:val="22"/>
        </w:rPr>
        <w:t>,</w:t>
      </w:r>
      <w:r w:rsidRPr="00F90E30">
        <w:rPr>
          <w:rFonts w:ascii="Arial" w:hAnsi="Arial" w:cs="Arial"/>
          <w:sz w:val="22"/>
          <w:szCs w:val="22"/>
        </w:rPr>
        <w:t xml:space="preserve"> and these should be considered whilst interpreting the results and when planning future research.</w:t>
      </w:r>
    </w:p>
    <w:p w14:paraId="7AA237B7" w14:textId="77777777" w:rsidR="00C70A79" w:rsidRDefault="00C70A79" w:rsidP="00DC2DE7">
      <w:pPr>
        <w:spacing w:line="480" w:lineRule="auto"/>
        <w:rPr>
          <w:rFonts w:ascii="Arial" w:hAnsi="Arial" w:cs="Arial"/>
          <w:sz w:val="22"/>
          <w:szCs w:val="22"/>
        </w:rPr>
      </w:pPr>
    </w:p>
    <w:p w14:paraId="553CA07A" w14:textId="6CCBF6CB" w:rsidR="00DC2DE7" w:rsidRDefault="008A1595" w:rsidP="00DC2DE7">
      <w:pPr>
        <w:pStyle w:val="Heading3"/>
        <w:rPr>
          <w:rFonts w:cs="Arial"/>
          <w:b w:val="0"/>
          <w:color w:val="000000" w:themeColor="text1"/>
          <w:szCs w:val="22"/>
        </w:rPr>
      </w:pPr>
      <w:bookmarkStart w:id="433" w:name="_Toc46770846"/>
      <w:bookmarkStart w:id="434" w:name="_Toc79414257"/>
      <w:r>
        <w:rPr>
          <w:rFonts w:cs="Arial"/>
          <w:color w:val="000000" w:themeColor="text1"/>
          <w:szCs w:val="22"/>
        </w:rPr>
        <w:t>6</w:t>
      </w:r>
      <w:r w:rsidR="00DC2DE7" w:rsidRPr="00144A94">
        <w:rPr>
          <w:rFonts w:cs="Arial"/>
          <w:color w:val="000000" w:themeColor="text1"/>
          <w:szCs w:val="22"/>
        </w:rPr>
        <w:t>.</w:t>
      </w:r>
      <w:r w:rsidR="00633677">
        <w:rPr>
          <w:rFonts w:cs="Arial"/>
          <w:color w:val="000000" w:themeColor="text1"/>
          <w:szCs w:val="22"/>
        </w:rPr>
        <w:t>7</w:t>
      </w:r>
      <w:r w:rsidR="00DC2DE7" w:rsidRPr="00144A94">
        <w:rPr>
          <w:rFonts w:cs="Arial"/>
          <w:color w:val="000000" w:themeColor="text1"/>
          <w:szCs w:val="22"/>
        </w:rPr>
        <w:t>.1 Generalisability of the results</w:t>
      </w:r>
      <w:bookmarkEnd w:id="433"/>
      <w:bookmarkEnd w:id="434"/>
    </w:p>
    <w:p w14:paraId="11E53C65" w14:textId="77777777" w:rsidR="00DC2DE7" w:rsidRDefault="00DC2DE7" w:rsidP="00DC2DE7"/>
    <w:p w14:paraId="224A9A87" w14:textId="06730A82" w:rsidR="00DC2DE7" w:rsidRDefault="00DC2DE7" w:rsidP="00DC2DE7">
      <w:pPr>
        <w:spacing w:line="480" w:lineRule="auto"/>
        <w:rPr>
          <w:rFonts w:ascii="Arial" w:hAnsi="Arial" w:cs="Arial"/>
          <w:sz w:val="22"/>
          <w:szCs w:val="22"/>
        </w:rPr>
      </w:pPr>
      <w:r w:rsidRPr="00B27463">
        <w:rPr>
          <w:rFonts w:ascii="Arial" w:hAnsi="Arial" w:cs="Arial"/>
          <w:sz w:val="22"/>
          <w:szCs w:val="22"/>
        </w:rPr>
        <w:t>The IECBT</w:t>
      </w:r>
      <w:r w:rsidR="00367CBF">
        <w:rPr>
          <w:rFonts w:ascii="Arial" w:hAnsi="Arial" w:cs="Arial"/>
          <w:sz w:val="22"/>
          <w:szCs w:val="22"/>
        </w:rPr>
        <w:t xml:space="preserve"> method</w:t>
      </w:r>
      <w:r w:rsidRPr="00B27463">
        <w:rPr>
          <w:rFonts w:ascii="Arial" w:hAnsi="Arial" w:cs="Arial"/>
          <w:sz w:val="22"/>
          <w:szCs w:val="22"/>
        </w:rPr>
        <w:t xml:space="preserve"> of delivering CBT is relatively new</w:t>
      </w:r>
      <w:r>
        <w:rPr>
          <w:rFonts w:ascii="Arial" w:hAnsi="Arial" w:cs="Arial"/>
          <w:sz w:val="22"/>
          <w:szCs w:val="22"/>
        </w:rPr>
        <w:t>.</w:t>
      </w:r>
      <w:r w:rsidRPr="00B27463">
        <w:rPr>
          <w:rFonts w:ascii="Arial" w:hAnsi="Arial" w:cs="Arial"/>
          <w:sz w:val="22"/>
          <w:szCs w:val="22"/>
        </w:rPr>
        <w:t xml:space="preserve"> </w:t>
      </w:r>
      <w:r>
        <w:rPr>
          <w:rFonts w:ascii="Arial" w:hAnsi="Arial" w:cs="Arial"/>
          <w:sz w:val="22"/>
          <w:szCs w:val="22"/>
        </w:rPr>
        <w:t>At the</w:t>
      </w:r>
      <w:r w:rsidRPr="00B27463">
        <w:rPr>
          <w:rFonts w:ascii="Arial" w:hAnsi="Arial" w:cs="Arial"/>
          <w:sz w:val="22"/>
          <w:szCs w:val="22"/>
        </w:rPr>
        <w:t xml:space="preserve"> time of writing</w:t>
      </w:r>
      <w:r w:rsidR="00192078">
        <w:rPr>
          <w:rFonts w:ascii="Arial" w:hAnsi="Arial" w:cs="Arial"/>
          <w:sz w:val="22"/>
          <w:szCs w:val="22"/>
        </w:rPr>
        <w:t>,</w:t>
      </w:r>
      <w:r w:rsidRPr="00B27463">
        <w:rPr>
          <w:rFonts w:ascii="Arial" w:hAnsi="Arial" w:cs="Arial"/>
          <w:sz w:val="22"/>
          <w:szCs w:val="22"/>
        </w:rPr>
        <w:t xml:space="preserve"> there are no other services</w:t>
      </w:r>
      <w:r>
        <w:rPr>
          <w:rFonts w:ascii="Arial" w:hAnsi="Arial" w:cs="Arial"/>
          <w:sz w:val="22"/>
          <w:szCs w:val="22"/>
        </w:rPr>
        <w:t>,</w:t>
      </w:r>
      <w:r w:rsidRPr="00B27463">
        <w:rPr>
          <w:rFonts w:ascii="Arial" w:hAnsi="Arial" w:cs="Arial"/>
          <w:sz w:val="22"/>
          <w:szCs w:val="22"/>
        </w:rPr>
        <w:t xml:space="preserve"> delivering this method of CBT</w:t>
      </w:r>
      <w:r>
        <w:rPr>
          <w:rFonts w:ascii="Arial" w:hAnsi="Arial" w:cs="Arial"/>
          <w:sz w:val="22"/>
          <w:szCs w:val="22"/>
        </w:rPr>
        <w:t>. Therefore, it is not possible to</w:t>
      </w:r>
      <w:r w:rsidRPr="00B27463">
        <w:rPr>
          <w:rFonts w:ascii="Arial" w:hAnsi="Arial" w:cs="Arial"/>
          <w:sz w:val="22"/>
          <w:szCs w:val="22"/>
        </w:rPr>
        <w:t xml:space="preserve"> benchmark the findings from this research</w:t>
      </w:r>
      <w:r>
        <w:rPr>
          <w:rFonts w:ascii="Arial" w:hAnsi="Arial" w:cs="Arial"/>
          <w:sz w:val="22"/>
          <w:szCs w:val="22"/>
        </w:rPr>
        <w:t xml:space="preserve"> against an IECBT comparative data set.  Whil</w:t>
      </w:r>
      <w:r w:rsidR="00056769">
        <w:rPr>
          <w:rFonts w:ascii="Arial" w:hAnsi="Arial" w:cs="Arial"/>
          <w:sz w:val="22"/>
          <w:szCs w:val="22"/>
        </w:rPr>
        <w:t>e</w:t>
      </w:r>
      <w:r>
        <w:rPr>
          <w:rFonts w:ascii="Arial" w:hAnsi="Arial" w:cs="Arial"/>
          <w:sz w:val="22"/>
          <w:szCs w:val="22"/>
        </w:rPr>
        <w:t xml:space="preserve"> this thesis set out to demonstrate some </w:t>
      </w:r>
      <w:r w:rsidR="00660F24">
        <w:rPr>
          <w:rFonts w:ascii="Arial" w:hAnsi="Arial" w:cs="Arial"/>
          <w:sz w:val="22"/>
          <w:szCs w:val="22"/>
        </w:rPr>
        <w:t>similarities</w:t>
      </w:r>
      <w:r>
        <w:rPr>
          <w:rFonts w:ascii="Arial" w:hAnsi="Arial" w:cs="Arial"/>
          <w:sz w:val="22"/>
          <w:szCs w:val="22"/>
        </w:rPr>
        <w:t xml:space="preserve"> between traditional face-to-face CBT and IECBT (see discussion in </w:t>
      </w:r>
      <w:r w:rsidR="00056769">
        <w:rPr>
          <w:rFonts w:ascii="Arial" w:hAnsi="Arial" w:cs="Arial"/>
          <w:sz w:val="22"/>
          <w:szCs w:val="22"/>
        </w:rPr>
        <w:t>C</w:t>
      </w:r>
      <w:r>
        <w:rPr>
          <w:rFonts w:ascii="Arial" w:hAnsi="Arial" w:cs="Arial"/>
          <w:sz w:val="22"/>
          <w:szCs w:val="22"/>
        </w:rPr>
        <w:t xml:space="preserve">hapter </w:t>
      </w:r>
      <w:r w:rsidR="00541BFB">
        <w:rPr>
          <w:rFonts w:ascii="Arial" w:hAnsi="Arial" w:cs="Arial"/>
          <w:sz w:val="22"/>
          <w:szCs w:val="22"/>
        </w:rPr>
        <w:t>2</w:t>
      </w:r>
      <w:r>
        <w:rPr>
          <w:rFonts w:ascii="Arial" w:hAnsi="Arial" w:cs="Arial"/>
          <w:sz w:val="22"/>
          <w:szCs w:val="22"/>
        </w:rPr>
        <w:t xml:space="preserve">, section </w:t>
      </w:r>
      <w:r w:rsidR="00541BFB">
        <w:rPr>
          <w:rFonts w:ascii="Arial" w:hAnsi="Arial" w:cs="Arial"/>
          <w:sz w:val="22"/>
          <w:szCs w:val="22"/>
        </w:rPr>
        <w:t>2</w:t>
      </w:r>
      <w:r>
        <w:rPr>
          <w:rFonts w:ascii="Arial" w:hAnsi="Arial" w:cs="Arial"/>
          <w:sz w:val="22"/>
          <w:szCs w:val="22"/>
        </w:rPr>
        <w:t>.</w:t>
      </w:r>
      <w:r w:rsidR="00521CCA">
        <w:rPr>
          <w:rFonts w:ascii="Arial" w:hAnsi="Arial" w:cs="Arial"/>
          <w:sz w:val="22"/>
          <w:szCs w:val="22"/>
        </w:rPr>
        <w:t>11</w:t>
      </w:r>
      <w:r>
        <w:rPr>
          <w:rFonts w:ascii="Arial" w:hAnsi="Arial" w:cs="Arial"/>
          <w:sz w:val="22"/>
          <w:szCs w:val="22"/>
        </w:rPr>
        <w:t xml:space="preserve">) it is not clear whether therapists behave in similar ways online and in face-to-face settings. Further research is required to </w:t>
      </w:r>
      <w:r w:rsidR="00541BFB">
        <w:rPr>
          <w:rFonts w:ascii="Arial" w:hAnsi="Arial" w:cs="Arial"/>
          <w:sz w:val="22"/>
          <w:szCs w:val="22"/>
        </w:rPr>
        <w:t>establish</w:t>
      </w:r>
      <w:r>
        <w:rPr>
          <w:rFonts w:ascii="Arial" w:hAnsi="Arial" w:cs="Arial"/>
          <w:sz w:val="22"/>
          <w:szCs w:val="22"/>
        </w:rPr>
        <w:t xml:space="preserve"> this. Therefore, whilst there is some assumption </w:t>
      </w:r>
      <w:r w:rsidR="00976621">
        <w:rPr>
          <w:rFonts w:ascii="Arial" w:hAnsi="Arial" w:cs="Arial"/>
          <w:sz w:val="22"/>
          <w:szCs w:val="22"/>
        </w:rPr>
        <w:t>that the two methods of delivering CBT are broadly similar</w:t>
      </w:r>
      <w:r>
        <w:rPr>
          <w:rFonts w:ascii="Arial" w:hAnsi="Arial" w:cs="Arial"/>
          <w:sz w:val="22"/>
          <w:szCs w:val="22"/>
        </w:rPr>
        <w:t xml:space="preserve">, both in terms of outcomes and </w:t>
      </w:r>
      <w:r w:rsidR="00FC73C9">
        <w:rPr>
          <w:rFonts w:ascii="Arial" w:hAnsi="Arial" w:cs="Arial"/>
          <w:sz w:val="22"/>
          <w:szCs w:val="22"/>
        </w:rPr>
        <w:t>the</w:t>
      </w:r>
      <w:r>
        <w:rPr>
          <w:rFonts w:ascii="Arial" w:hAnsi="Arial" w:cs="Arial"/>
          <w:sz w:val="22"/>
          <w:szCs w:val="22"/>
        </w:rPr>
        <w:t xml:space="preserve"> sample of therapists that </w:t>
      </w:r>
      <w:r w:rsidR="00FC73C9">
        <w:rPr>
          <w:rFonts w:ascii="Arial" w:hAnsi="Arial" w:cs="Arial"/>
          <w:sz w:val="22"/>
          <w:szCs w:val="22"/>
        </w:rPr>
        <w:t xml:space="preserve">largely </w:t>
      </w:r>
      <w:r>
        <w:rPr>
          <w:rFonts w:ascii="Arial" w:hAnsi="Arial" w:cs="Arial"/>
          <w:sz w:val="22"/>
          <w:szCs w:val="22"/>
        </w:rPr>
        <w:t xml:space="preserve">represents those working in the national IAPT programme, results from this research cannot be assumed to generalise to other settings. In addition, as reported elsewhere in this thesis, it was difficult to reduce the likelihood of sample bias. </w:t>
      </w:r>
      <w:r w:rsidR="00521CCA">
        <w:rPr>
          <w:rFonts w:ascii="Arial" w:hAnsi="Arial" w:cs="Arial"/>
          <w:sz w:val="22"/>
          <w:szCs w:val="22"/>
        </w:rPr>
        <w:t xml:space="preserve">474 </w:t>
      </w:r>
      <w:r>
        <w:rPr>
          <w:rFonts w:ascii="Arial" w:hAnsi="Arial" w:cs="Arial"/>
          <w:sz w:val="22"/>
          <w:szCs w:val="22"/>
        </w:rPr>
        <w:t>therapists, treating patients at Ieso Digital Health, were invited to participate in this study. Despite an attempt to recruit a large enough sample size, it is possible that only those therapists who felt confident about their clinical work agreed to participate. Therefore, it is possible that the sample is not wholly representative of the whole population</w:t>
      </w:r>
      <w:r w:rsidR="00E36A8F">
        <w:rPr>
          <w:rFonts w:ascii="Arial" w:hAnsi="Arial" w:cs="Arial"/>
          <w:sz w:val="22"/>
          <w:szCs w:val="22"/>
        </w:rPr>
        <w:t xml:space="preserve">. </w:t>
      </w:r>
      <w:r>
        <w:rPr>
          <w:rFonts w:ascii="Arial" w:hAnsi="Arial" w:cs="Arial"/>
          <w:sz w:val="22"/>
          <w:szCs w:val="22"/>
        </w:rPr>
        <w:t>The potential for sample bias might have been reduced by waiting for more therapists to consent to participate in this research (thus increasing the sample size). Unfortunately, due to the time constraints of this research, this was not a viable option.</w:t>
      </w:r>
    </w:p>
    <w:p w14:paraId="2316EA7C" w14:textId="77777777" w:rsidR="00DC2DE7" w:rsidRPr="00B27463" w:rsidRDefault="00DC2DE7" w:rsidP="00DC2DE7">
      <w:pPr>
        <w:spacing w:line="480" w:lineRule="auto"/>
        <w:rPr>
          <w:rFonts w:ascii="Arial" w:hAnsi="Arial" w:cs="Arial"/>
          <w:sz w:val="22"/>
          <w:szCs w:val="22"/>
        </w:rPr>
      </w:pPr>
    </w:p>
    <w:p w14:paraId="0D12FF1E" w14:textId="77777777" w:rsidR="00C70A79" w:rsidRDefault="00C70A79">
      <w:pPr>
        <w:rPr>
          <w:rFonts w:ascii="Arial" w:eastAsiaTheme="majorEastAsia" w:hAnsi="Arial" w:cs="Arial"/>
          <w:b/>
          <w:bCs/>
          <w:color w:val="000000" w:themeColor="text1"/>
          <w:sz w:val="22"/>
          <w:szCs w:val="22"/>
        </w:rPr>
      </w:pPr>
      <w:r>
        <w:rPr>
          <w:rFonts w:ascii="Arial" w:hAnsi="Arial" w:cs="Arial"/>
          <w:color w:val="000000" w:themeColor="text1"/>
          <w:sz w:val="22"/>
          <w:szCs w:val="22"/>
        </w:rPr>
        <w:br w:type="page"/>
      </w:r>
    </w:p>
    <w:p w14:paraId="2D5D09C2" w14:textId="3C406297" w:rsidR="00DC2DE7" w:rsidRDefault="008A1595" w:rsidP="00DC2DE7">
      <w:pPr>
        <w:pStyle w:val="Heading3"/>
        <w:rPr>
          <w:rFonts w:cs="Arial"/>
          <w:b w:val="0"/>
          <w:color w:val="000000" w:themeColor="text1"/>
          <w:szCs w:val="22"/>
        </w:rPr>
      </w:pPr>
      <w:bookmarkStart w:id="435" w:name="_Toc46770847"/>
      <w:bookmarkStart w:id="436" w:name="_Toc79414258"/>
      <w:r>
        <w:rPr>
          <w:rFonts w:cs="Arial"/>
          <w:color w:val="000000" w:themeColor="text1"/>
          <w:szCs w:val="22"/>
        </w:rPr>
        <w:lastRenderedPageBreak/>
        <w:t>6</w:t>
      </w:r>
      <w:r w:rsidR="00DC2DE7" w:rsidRPr="004D03E3">
        <w:rPr>
          <w:rFonts w:cs="Arial"/>
          <w:color w:val="000000" w:themeColor="text1"/>
          <w:szCs w:val="22"/>
        </w:rPr>
        <w:t>.</w:t>
      </w:r>
      <w:r w:rsidR="00633677">
        <w:rPr>
          <w:rFonts w:cs="Arial"/>
          <w:color w:val="000000" w:themeColor="text1"/>
          <w:szCs w:val="22"/>
        </w:rPr>
        <w:t>7</w:t>
      </w:r>
      <w:r w:rsidR="00DC2DE7" w:rsidRPr="004D03E3">
        <w:rPr>
          <w:rFonts w:cs="Arial"/>
          <w:color w:val="000000" w:themeColor="text1"/>
          <w:szCs w:val="22"/>
        </w:rPr>
        <w:t>.2 Data analysis</w:t>
      </w:r>
      <w:bookmarkEnd w:id="435"/>
      <w:bookmarkEnd w:id="436"/>
    </w:p>
    <w:p w14:paraId="654C312A" w14:textId="77777777" w:rsidR="00DC2DE7" w:rsidRPr="004D03E3" w:rsidRDefault="00DC2DE7" w:rsidP="00DC2DE7"/>
    <w:p w14:paraId="3707025B" w14:textId="016545FE" w:rsidR="00DC2DE7" w:rsidRDefault="00DC2DE7" w:rsidP="00DC2DE7">
      <w:pPr>
        <w:spacing w:line="480" w:lineRule="auto"/>
        <w:rPr>
          <w:rFonts w:ascii="Arial" w:hAnsi="Arial" w:cs="Arial"/>
          <w:sz w:val="22"/>
          <w:szCs w:val="22"/>
        </w:rPr>
      </w:pPr>
      <w:r>
        <w:rPr>
          <w:rFonts w:ascii="Arial" w:hAnsi="Arial" w:cs="Arial"/>
          <w:sz w:val="22"/>
          <w:szCs w:val="22"/>
        </w:rPr>
        <w:t>The data from this research was analysed quantitatively. Despite the focus on a well- defined and established outcome variable</w:t>
      </w:r>
      <w:r w:rsidR="007465DF">
        <w:rPr>
          <w:rFonts w:ascii="Arial" w:hAnsi="Arial" w:cs="Arial"/>
          <w:sz w:val="22"/>
          <w:szCs w:val="22"/>
        </w:rPr>
        <w:t xml:space="preserve">, </w:t>
      </w:r>
      <w:r>
        <w:rPr>
          <w:rFonts w:ascii="Arial" w:hAnsi="Arial" w:cs="Arial"/>
          <w:sz w:val="22"/>
          <w:szCs w:val="22"/>
        </w:rPr>
        <w:t>type I errors cannot be excluded. The potential for type I errors might have been further reduced by increasing the sample size</w:t>
      </w:r>
      <w:r w:rsidR="00674D2A">
        <w:rPr>
          <w:rFonts w:ascii="Arial" w:hAnsi="Arial" w:cs="Arial"/>
          <w:sz w:val="22"/>
          <w:szCs w:val="22"/>
        </w:rPr>
        <w:t xml:space="preserve"> of therapists and</w:t>
      </w:r>
      <w:r>
        <w:rPr>
          <w:rFonts w:ascii="Arial" w:hAnsi="Arial" w:cs="Arial"/>
          <w:sz w:val="22"/>
          <w:szCs w:val="22"/>
        </w:rPr>
        <w:t xml:space="preserve"> increasing the acceptable number of patients treated by each therapist and</w:t>
      </w:r>
      <w:r w:rsidR="00674D2A">
        <w:rPr>
          <w:rFonts w:ascii="Arial" w:hAnsi="Arial" w:cs="Arial"/>
          <w:sz w:val="22"/>
          <w:szCs w:val="22"/>
        </w:rPr>
        <w:t xml:space="preserve"> therefore</w:t>
      </w:r>
      <w:r>
        <w:rPr>
          <w:rFonts w:ascii="Arial" w:hAnsi="Arial" w:cs="Arial"/>
          <w:sz w:val="22"/>
          <w:szCs w:val="22"/>
        </w:rPr>
        <w:t xml:space="preserve"> rating more sessions/completed cases per therapist. </w:t>
      </w:r>
      <w:r w:rsidR="00674D2A">
        <w:rPr>
          <w:rFonts w:ascii="Arial" w:hAnsi="Arial" w:cs="Arial"/>
          <w:sz w:val="22"/>
          <w:szCs w:val="22"/>
        </w:rPr>
        <w:t>Increasing the number of sessions rated for each therapist may have assisted in the ability to more reliably assess therapist competency (Kazantis, Clayton, Cronin, Farchione, Limburg and Dobson 2018). However, u</w:t>
      </w:r>
      <w:r>
        <w:rPr>
          <w:rFonts w:ascii="Arial" w:hAnsi="Arial" w:cs="Arial"/>
          <w:sz w:val="22"/>
          <w:szCs w:val="22"/>
        </w:rPr>
        <w:t>ndertaking these changes would have significantly extended the duration of this research and</w:t>
      </w:r>
      <w:r w:rsidR="00056769">
        <w:rPr>
          <w:rFonts w:ascii="Arial" w:hAnsi="Arial" w:cs="Arial"/>
          <w:sz w:val="22"/>
          <w:szCs w:val="22"/>
        </w:rPr>
        <w:t>,</w:t>
      </w:r>
      <w:r>
        <w:rPr>
          <w:rFonts w:ascii="Arial" w:hAnsi="Arial" w:cs="Arial"/>
          <w:sz w:val="22"/>
          <w:szCs w:val="22"/>
        </w:rPr>
        <w:t xml:space="preserve"> consequently</w:t>
      </w:r>
      <w:r w:rsidR="00056769">
        <w:rPr>
          <w:rFonts w:ascii="Arial" w:hAnsi="Arial" w:cs="Arial"/>
          <w:sz w:val="22"/>
          <w:szCs w:val="22"/>
        </w:rPr>
        <w:t>,</w:t>
      </w:r>
      <w:r>
        <w:rPr>
          <w:rFonts w:ascii="Arial" w:hAnsi="Arial" w:cs="Arial"/>
          <w:sz w:val="22"/>
          <w:szCs w:val="22"/>
        </w:rPr>
        <w:t xml:space="preserve"> it was not possible in the context of this professional doctorate. </w:t>
      </w:r>
    </w:p>
    <w:p w14:paraId="22F23EB1" w14:textId="77777777" w:rsidR="00DC2DE7" w:rsidRDefault="00DC2DE7" w:rsidP="00DC2DE7">
      <w:pPr>
        <w:spacing w:line="480" w:lineRule="auto"/>
        <w:rPr>
          <w:rFonts w:ascii="Arial" w:hAnsi="Arial" w:cs="Arial"/>
          <w:sz w:val="22"/>
          <w:szCs w:val="22"/>
        </w:rPr>
      </w:pPr>
    </w:p>
    <w:p w14:paraId="425BD9C7" w14:textId="6DD079FA" w:rsidR="00DC2DE7" w:rsidRDefault="00DC2DE7" w:rsidP="00DC2DE7">
      <w:pPr>
        <w:spacing w:line="480" w:lineRule="auto"/>
        <w:rPr>
          <w:rFonts w:ascii="Arial" w:hAnsi="Arial" w:cs="Arial"/>
          <w:sz w:val="22"/>
          <w:szCs w:val="22"/>
        </w:rPr>
      </w:pPr>
      <w:r>
        <w:rPr>
          <w:rFonts w:ascii="Arial" w:hAnsi="Arial" w:cs="Arial"/>
          <w:sz w:val="22"/>
          <w:szCs w:val="22"/>
        </w:rPr>
        <w:t xml:space="preserve">Quantitative analyses were necessary in this research in order to compare and contrast the findings to existing research. However, additional qualitative analysis would have added another dimension to the findings. Given the availability of therapy transcripts, qualitative analysis might have included conversational analysis or thematic analysis of the transcripts in order to identify </w:t>
      </w:r>
      <w:r w:rsidR="00376B9A">
        <w:rPr>
          <w:rFonts w:ascii="Arial" w:hAnsi="Arial" w:cs="Arial"/>
          <w:sz w:val="22"/>
          <w:szCs w:val="22"/>
        </w:rPr>
        <w:t xml:space="preserve">linguistic </w:t>
      </w:r>
      <w:r>
        <w:rPr>
          <w:rFonts w:ascii="Arial" w:hAnsi="Arial" w:cs="Arial"/>
          <w:sz w:val="22"/>
          <w:szCs w:val="22"/>
        </w:rPr>
        <w:t xml:space="preserve">themes within the transcripts that might correlate with outcome. Whilst this was beyond the scope of this research it is a recommendation for future research and may yield important information that may add to the knowledge in this area. </w:t>
      </w:r>
    </w:p>
    <w:p w14:paraId="58BE7A16" w14:textId="77777777" w:rsidR="00DC2DE7" w:rsidRDefault="00DC2DE7" w:rsidP="00DC2DE7">
      <w:pPr>
        <w:spacing w:line="480" w:lineRule="auto"/>
        <w:rPr>
          <w:rFonts w:ascii="Arial" w:hAnsi="Arial" w:cs="Arial"/>
          <w:sz w:val="22"/>
          <w:szCs w:val="22"/>
        </w:rPr>
      </w:pPr>
    </w:p>
    <w:p w14:paraId="1E5E932F" w14:textId="4B1E194D" w:rsidR="00DC2DE7" w:rsidRDefault="008A1595" w:rsidP="00DC2DE7">
      <w:pPr>
        <w:pStyle w:val="Heading3"/>
        <w:rPr>
          <w:rFonts w:cs="Arial"/>
          <w:b w:val="0"/>
          <w:color w:val="000000" w:themeColor="text1"/>
          <w:szCs w:val="22"/>
        </w:rPr>
      </w:pPr>
      <w:bookmarkStart w:id="437" w:name="_Toc46770848"/>
      <w:bookmarkStart w:id="438" w:name="_Toc79414259"/>
      <w:r>
        <w:rPr>
          <w:rFonts w:cs="Arial"/>
          <w:color w:val="000000" w:themeColor="text1"/>
          <w:szCs w:val="22"/>
        </w:rPr>
        <w:t>6</w:t>
      </w:r>
      <w:r w:rsidR="00DC2DE7" w:rsidRPr="004D03E3">
        <w:rPr>
          <w:rFonts w:cs="Arial"/>
          <w:color w:val="000000" w:themeColor="text1"/>
          <w:szCs w:val="22"/>
        </w:rPr>
        <w:t>.</w:t>
      </w:r>
      <w:r w:rsidR="00633677">
        <w:rPr>
          <w:rFonts w:cs="Arial"/>
          <w:color w:val="000000" w:themeColor="text1"/>
          <w:szCs w:val="22"/>
        </w:rPr>
        <w:t>7</w:t>
      </w:r>
      <w:r w:rsidR="00DC2DE7" w:rsidRPr="004D03E3">
        <w:rPr>
          <w:rFonts w:cs="Arial"/>
          <w:color w:val="000000" w:themeColor="text1"/>
          <w:szCs w:val="22"/>
        </w:rPr>
        <w:t>.3 Instruments used to assess competence and adherence</w:t>
      </w:r>
      <w:bookmarkEnd w:id="437"/>
      <w:bookmarkEnd w:id="438"/>
    </w:p>
    <w:p w14:paraId="2D4128D9" w14:textId="77777777" w:rsidR="00DC2DE7" w:rsidRPr="004D03E3" w:rsidRDefault="00DC2DE7" w:rsidP="00DC2DE7"/>
    <w:p w14:paraId="37C8DE34" w14:textId="2F421382" w:rsidR="00DC2DE7" w:rsidRDefault="00DC2DE7" w:rsidP="00DC2DE7">
      <w:pPr>
        <w:spacing w:line="480" w:lineRule="auto"/>
        <w:rPr>
          <w:rFonts w:ascii="Arial" w:hAnsi="Arial" w:cs="Arial"/>
          <w:sz w:val="22"/>
          <w:szCs w:val="22"/>
        </w:rPr>
      </w:pPr>
      <w:r>
        <w:rPr>
          <w:rFonts w:ascii="Arial" w:hAnsi="Arial" w:cs="Arial"/>
          <w:sz w:val="22"/>
          <w:szCs w:val="22"/>
        </w:rPr>
        <w:t>The CTS-R is the most widely used instrument to assess competence in IAPT (Liness, Beale, Lea, Hirsch and Clark, 2019). However, its ability to demonstrate whether or a therapist is competent is widely debated, particularly for qualified therapists (</w:t>
      </w:r>
      <w:r w:rsidR="00674D2A">
        <w:rPr>
          <w:rFonts w:ascii="Arial" w:hAnsi="Arial" w:cs="Arial"/>
          <w:sz w:val="22"/>
          <w:szCs w:val="22"/>
        </w:rPr>
        <w:t>Trepka,</w:t>
      </w:r>
      <w:r w:rsidR="00483D78">
        <w:rPr>
          <w:rFonts w:ascii="Arial" w:hAnsi="Arial" w:cs="Arial"/>
          <w:sz w:val="22"/>
          <w:szCs w:val="22"/>
        </w:rPr>
        <w:t xml:space="preserve"> </w:t>
      </w:r>
      <w:r w:rsidR="00674D2A">
        <w:rPr>
          <w:rFonts w:ascii="Arial" w:hAnsi="Arial" w:cs="Arial"/>
          <w:sz w:val="22"/>
          <w:szCs w:val="22"/>
        </w:rPr>
        <w:t>Rees, Shapiro, Hardy, Barkham, 2004, Kazantis, Clayton, Cronin, Farchione, Limburg and Dobson</w:t>
      </w:r>
      <w:r w:rsidR="00F72E7F">
        <w:rPr>
          <w:rFonts w:ascii="Arial" w:hAnsi="Arial" w:cs="Arial"/>
          <w:sz w:val="22"/>
          <w:szCs w:val="22"/>
        </w:rPr>
        <w:t>,</w:t>
      </w:r>
      <w:r w:rsidR="00674D2A">
        <w:rPr>
          <w:rFonts w:ascii="Arial" w:hAnsi="Arial" w:cs="Arial"/>
          <w:sz w:val="22"/>
          <w:szCs w:val="22"/>
        </w:rPr>
        <w:t xml:space="preserve"> 2018</w:t>
      </w:r>
      <w:r>
        <w:rPr>
          <w:rFonts w:ascii="Arial" w:hAnsi="Arial" w:cs="Arial"/>
          <w:sz w:val="22"/>
          <w:szCs w:val="22"/>
        </w:rPr>
        <w:t>). Competence in itself is something that is yet to be quantified, probably because of the difficulty in knowing what therapists are doing with their patients</w:t>
      </w:r>
      <w:r w:rsidR="00674D2A">
        <w:rPr>
          <w:rFonts w:ascii="Arial" w:hAnsi="Arial" w:cs="Arial"/>
          <w:sz w:val="22"/>
          <w:szCs w:val="22"/>
        </w:rPr>
        <w:t xml:space="preserve"> (Trepka et al, 2004, Hill and Castonguay, 2017)</w:t>
      </w:r>
      <w:r>
        <w:rPr>
          <w:rFonts w:ascii="Arial" w:hAnsi="Arial" w:cs="Arial"/>
          <w:sz w:val="22"/>
          <w:szCs w:val="22"/>
        </w:rPr>
        <w:t xml:space="preserve">. Therefore, it cannot be assumed that higher scores on the CTS-R relate </w:t>
      </w:r>
      <w:r>
        <w:rPr>
          <w:rFonts w:ascii="Arial" w:hAnsi="Arial" w:cs="Arial"/>
          <w:sz w:val="22"/>
          <w:szCs w:val="22"/>
        </w:rPr>
        <w:lastRenderedPageBreak/>
        <w:t>to competence in qualified therapists. Furthermore, there are no standardised or validated instruments available that assess therapist adherence to a disorder specific protocol.  Primarily, this is because there are a number of treatment protocols, most of which are disorder specific. In the absence of an established instrument</w:t>
      </w:r>
      <w:r w:rsidR="00056769">
        <w:rPr>
          <w:rFonts w:ascii="Arial" w:hAnsi="Arial" w:cs="Arial"/>
          <w:sz w:val="22"/>
          <w:szCs w:val="22"/>
        </w:rPr>
        <w:t>,</w:t>
      </w:r>
      <w:r>
        <w:rPr>
          <w:rFonts w:ascii="Arial" w:hAnsi="Arial" w:cs="Arial"/>
          <w:sz w:val="22"/>
          <w:szCs w:val="22"/>
        </w:rPr>
        <w:t xml:space="preserve"> this research used the Roth and Pilling (20</w:t>
      </w:r>
      <w:r w:rsidR="00674D2A">
        <w:rPr>
          <w:rFonts w:ascii="Arial" w:hAnsi="Arial" w:cs="Arial"/>
          <w:sz w:val="22"/>
          <w:szCs w:val="22"/>
        </w:rPr>
        <w:t>07, 2008</w:t>
      </w:r>
      <w:r>
        <w:rPr>
          <w:rFonts w:ascii="Arial" w:hAnsi="Arial" w:cs="Arial"/>
          <w:sz w:val="22"/>
          <w:szCs w:val="22"/>
        </w:rPr>
        <w:t>) competencies to form the basis of the rating of therapist adherence. The Roth and Pilling competencies form part of the IAPT training programme curricul</w:t>
      </w:r>
      <w:r w:rsidR="0030734E">
        <w:rPr>
          <w:rFonts w:ascii="Arial" w:hAnsi="Arial" w:cs="Arial"/>
          <w:sz w:val="22"/>
          <w:szCs w:val="22"/>
        </w:rPr>
        <w:t xml:space="preserve">um </w:t>
      </w:r>
      <w:r>
        <w:rPr>
          <w:rFonts w:ascii="Arial" w:hAnsi="Arial" w:cs="Arial"/>
          <w:sz w:val="22"/>
          <w:szCs w:val="22"/>
        </w:rPr>
        <w:t xml:space="preserve">described in </w:t>
      </w:r>
      <w:r w:rsidR="00056769">
        <w:rPr>
          <w:rFonts w:ascii="Arial" w:hAnsi="Arial" w:cs="Arial"/>
          <w:sz w:val="22"/>
          <w:szCs w:val="22"/>
        </w:rPr>
        <w:t>C</w:t>
      </w:r>
      <w:r>
        <w:rPr>
          <w:rFonts w:ascii="Arial" w:hAnsi="Arial" w:cs="Arial"/>
          <w:sz w:val="22"/>
          <w:szCs w:val="22"/>
        </w:rPr>
        <w:t>hapter 2 of this thesis. It should be noted that IAPT training programmes do not use the Roth and Pilling competencies to assess adherence using live therapy material and</w:t>
      </w:r>
      <w:r w:rsidR="00056769">
        <w:rPr>
          <w:rFonts w:ascii="Arial" w:hAnsi="Arial" w:cs="Arial"/>
          <w:sz w:val="22"/>
          <w:szCs w:val="22"/>
        </w:rPr>
        <w:t>,</w:t>
      </w:r>
      <w:r>
        <w:rPr>
          <w:rFonts w:ascii="Arial" w:hAnsi="Arial" w:cs="Arial"/>
          <w:sz w:val="22"/>
          <w:szCs w:val="22"/>
        </w:rPr>
        <w:t xml:space="preserve"> therefore</w:t>
      </w:r>
      <w:r w:rsidR="00056769">
        <w:rPr>
          <w:rFonts w:ascii="Arial" w:hAnsi="Arial" w:cs="Arial"/>
          <w:sz w:val="22"/>
          <w:szCs w:val="22"/>
        </w:rPr>
        <w:t>,</w:t>
      </w:r>
      <w:r>
        <w:rPr>
          <w:rFonts w:ascii="Arial" w:hAnsi="Arial" w:cs="Arial"/>
          <w:sz w:val="22"/>
          <w:szCs w:val="22"/>
        </w:rPr>
        <w:t xml:space="preserve"> the use of this method is untested and subject to the opinion of the raters used in this research. Despite the fact that inter-rater reliability training was conducted</w:t>
      </w:r>
      <w:r w:rsidR="00056769">
        <w:rPr>
          <w:rFonts w:ascii="Arial" w:hAnsi="Arial" w:cs="Arial"/>
          <w:sz w:val="22"/>
          <w:szCs w:val="22"/>
        </w:rPr>
        <w:t>,</w:t>
      </w:r>
      <w:r>
        <w:rPr>
          <w:rFonts w:ascii="Arial" w:hAnsi="Arial" w:cs="Arial"/>
          <w:sz w:val="22"/>
          <w:szCs w:val="22"/>
        </w:rPr>
        <w:t xml:space="preserve"> it cannot be assumed that each of the raters were able to be equally objective.</w:t>
      </w:r>
      <w:r w:rsidR="00432B8D">
        <w:rPr>
          <w:rFonts w:ascii="Arial" w:hAnsi="Arial" w:cs="Arial"/>
          <w:sz w:val="22"/>
          <w:szCs w:val="22"/>
        </w:rPr>
        <w:t xml:space="preserve"> Neither can it be assumed that this method of assessing adherence is</w:t>
      </w:r>
      <w:r w:rsidR="000F6245">
        <w:rPr>
          <w:rFonts w:ascii="Arial" w:hAnsi="Arial" w:cs="Arial"/>
          <w:sz w:val="22"/>
          <w:szCs w:val="22"/>
        </w:rPr>
        <w:t xml:space="preserve"> appropriate or effective.</w:t>
      </w:r>
    </w:p>
    <w:p w14:paraId="300154C5" w14:textId="77777777" w:rsidR="00DC2DE7" w:rsidRDefault="00DC2DE7" w:rsidP="00DC2DE7">
      <w:pPr>
        <w:spacing w:line="480" w:lineRule="auto"/>
        <w:rPr>
          <w:rFonts w:ascii="Arial" w:hAnsi="Arial" w:cs="Arial"/>
          <w:sz w:val="22"/>
          <w:szCs w:val="22"/>
        </w:rPr>
      </w:pPr>
    </w:p>
    <w:p w14:paraId="3E1DE847" w14:textId="6C29B139" w:rsidR="00DC2DE7" w:rsidRDefault="008A1595" w:rsidP="008A1595">
      <w:pPr>
        <w:pStyle w:val="Heading3"/>
        <w:rPr>
          <w:rFonts w:cs="Arial"/>
          <w:color w:val="000000" w:themeColor="text1"/>
          <w:szCs w:val="22"/>
        </w:rPr>
      </w:pPr>
      <w:bookmarkStart w:id="439" w:name="_Toc46770849"/>
      <w:bookmarkStart w:id="440" w:name="_Toc79414260"/>
      <w:r w:rsidRPr="008A1595">
        <w:rPr>
          <w:rFonts w:cs="Arial"/>
          <w:color w:val="000000" w:themeColor="text1"/>
          <w:szCs w:val="22"/>
        </w:rPr>
        <w:t>6</w:t>
      </w:r>
      <w:r w:rsidR="00DC2DE7" w:rsidRPr="008A1595">
        <w:rPr>
          <w:rFonts w:cs="Arial"/>
          <w:color w:val="000000" w:themeColor="text1"/>
          <w:szCs w:val="22"/>
        </w:rPr>
        <w:t>.</w:t>
      </w:r>
      <w:r w:rsidR="00633677">
        <w:rPr>
          <w:rFonts w:cs="Arial"/>
          <w:color w:val="000000" w:themeColor="text1"/>
          <w:szCs w:val="22"/>
        </w:rPr>
        <w:t>7</w:t>
      </w:r>
      <w:r w:rsidR="00DC2DE7" w:rsidRPr="008A1595">
        <w:rPr>
          <w:rFonts w:cs="Arial"/>
          <w:color w:val="000000" w:themeColor="text1"/>
          <w:szCs w:val="22"/>
        </w:rPr>
        <w:t>.4 Inter-rater reliability</w:t>
      </w:r>
      <w:bookmarkEnd w:id="439"/>
      <w:bookmarkEnd w:id="440"/>
    </w:p>
    <w:p w14:paraId="41643186" w14:textId="77777777" w:rsidR="008A1595" w:rsidRPr="008A1595" w:rsidRDefault="008A1595" w:rsidP="008A1595"/>
    <w:p w14:paraId="1C64B60D" w14:textId="4E40B8CB" w:rsidR="00DC2DE7" w:rsidRDefault="00DC2DE7" w:rsidP="00DC2DE7">
      <w:pPr>
        <w:spacing w:line="480" w:lineRule="auto"/>
        <w:rPr>
          <w:rFonts w:ascii="Arial" w:hAnsi="Arial" w:cs="Arial"/>
          <w:sz w:val="22"/>
          <w:szCs w:val="22"/>
        </w:rPr>
      </w:pPr>
      <w:r>
        <w:rPr>
          <w:rFonts w:ascii="Arial" w:hAnsi="Arial" w:cs="Arial"/>
          <w:sz w:val="22"/>
          <w:szCs w:val="22"/>
        </w:rPr>
        <w:t>Whilst the int</w:t>
      </w:r>
      <w:r w:rsidR="00CC72C7">
        <w:rPr>
          <w:rFonts w:ascii="Arial" w:hAnsi="Arial" w:cs="Arial"/>
          <w:sz w:val="22"/>
          <w:szCs w:val="22"/>
        </w:rPr>
        <w:t>ra</w:t>
      </w:r>
      <w:r>
        <w:rPr>
          <w:rFonts w:ascii="Arial" w:hAnsi="Arial" w:cs="Arial"/>
          <w:sz w:val="22"/>
          <w:szCs w:val="22"/>
        </w:rPr>
        <w:t>-</w:t>
      </w:r>
      <w:r w:rsidR="00F6169B">
        <w:rPr>
          <w:rFonts w:ascii="Arial" w:hAnsi="Arial" w:cs="Arial"/>
          <w:sz w:val="22"/>
          <w:szCs w:val="22"/>
        </w:rPr>
        <w:t>class correlation</w:t>
      </w:r>
      <w:r>
        <w:rPr>
          <w:rFonts w:ascii="Arial" w:hAnsi="Arial" w:cs="Arial"/>
          <w:sz w:val="22"/>
          <w:szCs w:val="22"/>
        </w:rPr>
        <w:t xml:space="preserve"> in this research was good, </w:t>
      </w:r>
      <w:r w:rsidR="0045578D">
        <w:rPr>
          <w:rFonts w:ascii="Arial" w:hAnsi="Arial" w:cs="Arial"/>
          <w:sz w:val="22"/>
          <w:szCs w:val="22"/>
        </w:rPr>
        <w:t>(</w:t>
      </w:r>
      <w:r>
        <w:rPr>
          <w:rFonts w:ascii="Arial" w:hAnsi="Arial" w:cs="Arial"/>
          <w:sz w:val="22"/>
          <w:szCs w:val="22"/>
        </w:rPr>
        <w:t>ICC 0.98</w:t>
      </w:r>
      <w:r w:rsidR="0045578D">
        <w:rPr>
          <w:rFonts w:ascii="Arial" w:hAnsi="Arial" w:cs="Arial"/>
          <w:sz w:val="22"/>
          <w:szCs w:val="22"/>
        </w:rPr>
        <w:t>)</w:t>
      </w:r>
      <w:r>
        <w:rPr>
          <w:rFonts w:ascii="Arial" w:hAnsi="Arial" w:cs="Arial"/>
          <w:sz w:val="22"/>
          <w:szCs w:val="22"/>
        </w:rPr>
        <w:t>, it cannot be assumed that this eradicated subjective variance between raters. Whilst based on qualifying criteria, rating fidelity to the CBT model and adherence is likely to be subjective. Raters scores may be altered by many phenomen</w:t>
      </w:r>
      <w:r w:rsidR="00B224E0">
        <w:rPr>
          <w:rFonts w:ascii="Arial" w:hAnsi="Arial" w:cs="Arial"/>
          <w:sz w:val="22"/>
          <w:szCs w:val="22"/>
        </w:rPr>
        <w:t>a</w:t>
      </w:r>
      <w:r>
        <w:rPr>
          <w:rFonts w:ascii="Arial" w:hAnsi="Arial" w:cs="Arial"/>
          <w:sz w:val="22"/>
          <w:szCs w:val="22"/>
        </w:rPr>
        <w:t xml:space="preserve"> including tiredness, ill-health or the effect of rating one therapist’s work after another, where the first therapist’s work was poor which may make the subsequent therapist’s work look superior</w:t>
      </w:r>
      <w:r w:rsidR="00686364">
        <w:rPr>
          <w:rFonts w:ascii="Arial" w:hAnsi="Arial" w:cs="Arial"/>
          <w:sz w:val="22"/>
          <w:szCs w:val="22"/>
        </w:rPr>
        <w:t xml:space="preserve"> </w:t>
      </w:r>
      <w:r>
        <w:rPr>
          <w:rFonts w:ascii="Arial" w:hAnsi="Arial" w:cs="Arial"/>
          <w:sz w:val="22"/>
          <w:szCs w:val="22"/>
        </w:rPr>
        <w:t>(</w:t>
      </w:r>
      <w:r w:rsidR="0045578D">
        <w:rPr>
          <w:rFonts w:ascii="Arial" w:hAnsi="Arial" w:cs="Arial"/>
          <w:sz w:val="22"/>
          <w:szCs w:val="22"/>
        </w:rPr>
        <w:t>Schmidt, Strunk, DeRubeis, Conklin and Braun, 2018</w:t>
      </w:r>
      <w:r>
        <w:rPr>
          <w:rFonts w:ascii="Arial" w:hAnsi="Arial" w:cs="Arial"/>
          <w:sz w:val="22"/>
          <w:szCs w:val="22"/>
        </w:rPr>
        <w:t xml:space="preserve">). Whilst it is not possible to eradicate this effect completely the effect might have been modified through the inclusion of rating each therapy session and treatment episode twice, using two separate raters, and then using a third rater to moderate the scores where there is a significant ( </w:t>
      </w:r>
      <w:r>
        <w:rPr>
          <w:rFonts w:ascii="Arial" w:hAnsi="Arial" w:cs="Arial"/>
          <w:sz w:val="22"/>
          <w:szCs w:val="22"/>
        </w:rPr>
        <w:sym w:font="Symbol" w:char="F03E"/>
      </w:r>
      <w:r>
        <w:rPr>
          <w:rFonts w:ascii="Arial" w:hAnsi="Arial" w:cs="Arial"/>
          <w:sz w:val="22"/>
          <w:szCs w:val="22"/>
        </w:rPr>
        <w:t xml:space="preserve"> 10%) difference between the scores. This process is similar to that used in the marking of IAPT trainees CTS-Rs (NHS England</w:t>
      </w:r>
      <w:r w:rsidR="00483D78">
        <w:rPr>
          <w:rFonts w:ascii="Arial" w:hAnsi="Arial" w:cs="Arial"/>
          <w:sz w:val="22"/>
          <w:szCs w:val="22"/>
        </w:rPr>
        <w:t>,</w:t>
      </w:r>
      <w:r>
        <w:rPr>
          <w:rFonts w:ascii="Arial" w:hAnsi="Arial" w:cs="Arial"/>
          <w:sz w:val="22"/>
          <w:szCs w:val="22"/>
        </w:rPr>
        <w:t xml:space="preserve"> 2018), however, it is time</w:t>
      </w:r>
      <w:r w:rsidR="00056769">
        <w:rPr>
          <w:rFonts w:ascii="Arial" w:hAnsi="Arial" w:cs="Arial"/>
          <w:sz w:val="22"/>
          <w:szCs w:val="22"/>
        </w:rPr>
        <w:t>-</w:t>
      </w:r>
      <w:r>
        <w:rPr>
          <w:rFonts w:ascii="Arial" w:hAnsi="Arial" w:cs="Arial"/>
          <w:sz w:val="22"/>
          <w:szCs w:val="22"/>
        </w:rPr>
        <w:t>consuming and was not possible in the scope of this doctoral research.</w:t>
      </w:r>
    </w:p>
    <w:p w14:paraId="5EA8C46C" w14:textId="77777777" w:rsidR="00DC2DE7" w:rsidRDefault="00DC2DE7" w:rsidP="00DC2DE7">
      <w:pPr>
        <w:spacing w:line="480" w:lineRule="auto"/>
        <w:rPr>
          <w:rFonts w:ascii="Arial" w:hAnsi="Arial" w:cs="Arial"/>
          <w:sz w:val="22"/>
          <w:szCs w:val="22"/>
        </w:rPr>
      </w:pPr>
    </w:p>
    <w:p w14:paraId="0B8449D1" w14:textId="65F0CDF2" w:rsidR="00DC2DE7" w:rsidRDefault="008A1595" w:rsidP="008A1595">
      <w:pPr>
        <w:pStyle w:val="Heading3"/>
        <w:rPr>
          <w:rFonts w:cs="Arial"/>
          <w:color w:val="000000" w:themeColor="text1"/>
          <w:szCs w:val="22"/>
        </w:rPr>
      </w:pPr>
      <w:bookmarkStart w:id="441" w:name="_Toc46770850"/>
      <w:bookmarkStart w:id="442" w:name="_Toc79414261"/>
      <w:r w:rsidRPr="008A1595">
        <w:rPr>
          <w:rFonts w:cs="Arial"/>
          <w:color w:val="000000" w:themeColor="text1"/>
          <w:szCs w:val="22"/>
        </w:rPr>
        <w:lastRenderedPageBreak/>
        <w:t>6</w:t>
      </w:r>
      <w:r w:rsidR="00DC2DE7" w:rsidRPr="008A1595">
        <w:rPr>
          <w:rFonts w:cs="Arial"/>
          <w:color w:val="000000" w:themeColor="text1"/>
          <w:szCs w:val="22"/>
        </w:rPr>
        <w:t>.</w:t>
      </w:r>
      <w:r w:rsidR="00633677">
        <w:rPr>
          <w:rFonts w:cs="Arial"/>
          <w:color w:val="000000" w:themeColor="text1"/>
          <w:szCs w:val="22"/>
        </w:rPr>
        <w:t>7</w:t>
      </w:r>
      <w:r w:rsidR="00DC2DE7" w:rsidRPr="008A1595">
        <w:rPr>
          <w:rFonts w:cs="Arial"/>
          <w:color w:val="000000" w:themeColor="text1"/>
          <w:szCs w:val="22"/>
        </w:rPr>
        <w:t>.</w:t>
      </w:r>
      <w:r w:rsidR="009A07EB">
        <w:rPr>
          <w:rFonts w:cs="Arial"/>
          <w:color w:val="000000" w:themeColor="text1"/>
          <w:szCs w:val="22"/>
        </w:rPr>
        <w:t>5</w:t>
      </w:r>
      <w:r w:rsidR="00DC2DE7" w:rsidRPr="008A1595">
        <w:rPr>
          <w:rFonts w:cs="Arial"/>
          <w:color w:val="000000" w:themeColor="text1"/>
          <w:szCs w:val="22"/>
        </w:rPr>
        <w:t xml:space="preserve"> Outcome metrics</w:t>
      </w:r>
      <w:bookmarkEnd w:id="441"/>
      <w:bookmarkEnd w:id="442"/>
    </w:p>
    <w:p w14:paraId="28760B99" w14:textId="77777777" w:rsidR="008A1595" w:rsidRPr="008A1595" w:rsidRDefault="008A1595" w:rsidP="008A1595"/>
    <w:p w14:paraId="4ACF8784" w14:textId="30C94CC6" w:rsidR="00DC2DE7" w:rsidRPr="00F90E30" w:rsidRDefault="00DC2DE7" w:rsidP="00DC2DE7">
      <w:pPr>
        <w:spacing w:line="480" w:lineRule="auto"/>
        <w:rPr>
          <w:rFonts w:ascii="Arial" w:hAnsi="Arial" w:cs="Arial"/>
          <w:sz w:val="22"/>
          <w:szCs w:val="22"/>
        </w:rPr>
      </w:pPr>
      <w:r>
        <w:rPr>
          <w:rFonts w:ascii="Arial" w:hAnsi="Arial" w:cs="Arial"/>
          <w:sz w:val="22"/>
          <w:szCs w:val="22"/>
        </w:rPr>
        <w:t>The PHQ-9 and GAD-7 were used as the primary outcome measures in this study, including the IAPT definition of recovery and reliable improvement. These outcome metrics and change indices were selected because their use is mandated within the IAPT programme and</w:t>
      </w:r>
      <w:r w:rsidR="00056769">
        <w:rPr>
          <w:rFonts w:ascii="Arial" w:hAnsi="Arial" w:cs="Arial"/>
          <w:sz w:val="22"/>
          <w:szCs w:val="22"/>
        </w:rPr>
        <w:t>,</w:t>
      </w:r>
      <w:r>
        <w:rPr>
          <w:rFonts w:ascii="Arial" w:hAnsi="Arial" w:cs="Arial"/>
          <w:sz w:val="22"/>
          <w:szCs w:val="22"/>
        </w:rPr>
        <w:t xml:space="preserve"> therefore</w:t>
      </w:r>
      <w:r w:rsidR="00056769">
        <w:rPr>
          <w:rFonts w:ascii="Arial" w:hAnsi="Arial" w:cs="Arial"/>
          <w:sz w:val="22"/>
          <w:szCs w:val="22"/>
        </w:rPr>
        <w:t>,</w:t>
      </w:r>
      <w:r>
        <w:rPr>
          <w:rFonts w:ascii="Arial" w:hAnsi="Arial" w:cs="Arial"/>
          <w:sz w:val="22"/>
          <w:szCs w:val="22"/>
        </w:rPr>
        <w:t xml:space="preserve"> it is possible to benchmark this research against prior and future research within IAPT. However, it is possible that these are not the most effective measures of outcome</w:t>
      </w:r>
      <w:r w:rsidR="00791E91">
        <w:rPr>
          <w:rFonts w:ascii="Arial" w:hAnsi="Arial" w:cs="Arial"/>
          <w:sz w:val="22"/>
          <w:szCs w:val="22"/>
        </w:rPr>
        <w:t xml:space="preserve"> in that </w:t>
      </w:r>
      <w:r w:rsidR="00824EEA">
        <w:rPr>
          <w:rFonts w:ascii="Arial" w:hAnsi="Arial" w:cs="Arial"/>
          <w:sz w:val="22"/>
          <w:szCs w:val="22"/>
        </w:rPr>
        <w:t>diagnosis specific measures</w:t>
      </w:r>
      <w:r w:rsidR="00FA7B0C">
        <w:rPr>
          <w:rFonts w:ascii="Arial" w:hAnsi="Arial" w:cs="Arial"/>
          <w:sz w:val="22"/>
          <w:szCs w:val="22"/>
        </w:rPr>
        <w:t>,</w:t>
      </w:r>
      <w:r w:rsidR="00824EEA">
        <w:rPr>
          <w:rFonts w:ascii="Arial" w:hAnsi="Arial" w:cs="Arial"/>
          <w:sz w:val="22"/>
          <w:szCs w:val="22"/>
        </w:rPr>
        <w:t xml:space="preserve"> such as the PHQ-9</w:t>
      </w:r>
      <w:r w:rsidR="00FA7B0C">
        <w:rPr>
          <w:rFonts w:ascii="Arial" w:hAnsi="Arial" w:cs="Arial"/>
          <w:sz w:val="22"/>
          <w:szCs w:val="22"/>
        </w:rPr>
        <w:t>,</w:t>
      </w:r>
      <w:r w:rsidR="00824EEA">
        <w:rPr>
          <w:rFonts w:ascii="Arial" w:hAnsi="Arial" w:cs="Arial"/>
          <w:sz w:val="22"/>
          <w:szCs w:val="22"/>
        </w:rPr>
        <w:t xml:space="preserve"> </w:t>
      </w:r>
      <w:r w:rsidR="00D8129E">
        <w:rPr>
          <w:rFonts w:ascii="Arial" w:hAnsi="Arial" w:cs="Arial"/>
          <w:sz w:val="22"/>
          <w:szCs w:val="22"/>
        </w:rPr>
        <w:t>may</w:t>
      </w:r>
      <w:r w:rsidR="00E405BD">
        <w:rPr>
          <w:rFonts w:ascii="Arial" w:hAnsi="Arial" w:cs="Arial"/>
          <w:sz w:val="22"/>
          <w:szCs w:val="22"/>
        </w:rPr>
        <w:t xml:space="preserve"> not be the</w:t>
      </w:r>
      <w:r w:rsidR="0032351B">
        <w:rPr>
          <w:rFonts w:ascii="Arial" w:hAnsi="Arial" w:cs="Arial"/>
          <w:sz w:val="22"/>
          <w:szCs w:val="22"/>
        </w:rPr>
        <w:t xml:space="preserve"> most</w:t>
      </w:r>
      <w:r w:rsidR="00E405BD">
        <w:rPr>
          <w:rFonts w:ascii="Arial" w:hAnsi="Arial" w:cs="Arial"/>
          <w:sz w:val="22"/>
          <w:szCs w:val="22"/>
        </w:rPr>
        <w:t xml:space="preserve"> reliable measure of progress for every patient</w:t>
      </w:r>
      <w:r w:rsidR="00B7670E">
        <w:rPr>
          <w:rFonts w:ascii="Arial" w:hAnsi="Arial" w:cs="Arial"/>
          <w:sz w:val="22"/>
          <w:szCs w:val="22"/>
        </w:rPr>
        <w:t>.</w:t>
      </w:r>
      <w:r w:rsidR="00890EBD">
        <w:rPr>
          <w:rFonts w:ascii="Arial" w:hAnsi="Arial" w:cs="Arial"/>
          <w:sz w:val="22"/>
          <w:szCs w:val="22"/>
        </w:rPr>
        <w:t xml:space="preserve"> </w:t>
      </w:r>
      <w:r w:rsidR="00B7670E">
        <w:rPr>
          <w:rFonts w:ascii="Arial" w:hAnsi="Arial" w:cs="Arial"/>
          <w:sz w:val="22"/>
          <w:szCs w:val="22"/>
        </w:rPr>
        <w:t>I</w:t>
      </w:r>
      <w:r w:rsidR="00890EBD">
        <w:rPr>
          <w:rFonts w:ascii="Arial" w:hAnsi="Arial" w:cs="Arial"/>
          <w:sz w:val="22"/>
          <w:szCs w:val="22"/>
        </w:rPr>
        <w:t xml:space="preserve">t has even been argued that the PHQ-9 and GAD-7 have not been </w:t>
      </w:r>
      <w:r w:rsidR="00EA363F">
        <w:rPr>
          <w:rFonts w:ascii="Arial" w:hAnsi="Arial" w:cs="Arial"/>
          <w:sz w:val="22"/>
          <w:szCs w:val="22"/>
        </w:rPr>
        <w:t xml:space="preserve">rigorously tested in </w:t>
      </w:r>
      <w:r w:rsidR="001D15C6">
        <w:rPr>
          <w:rFonts w:ascii="Arial" w:hAnsi="Arial" w:cs="Arial"/>
          <w:sz w:val="22"/>
          <w:szCs w:val="22"/>
        </w:rPr>
        <w:t>a primary care population of patients</w:t>
      </w:r>
      <w:r w:rsidR="00961AC1">
        <w:rPr>
          <w:rFonts w:ascii="Arial" w:hAnsi="Arial" w:cs="Arial"/>
          <w:sz w:val="22"/>
          <w:szCs w:val="22"/>
        </w:rPr>
        <w:t xml:space="preserve"> such as</w:t>
      </w:r>
      <w:r w:rsidR="001D15C6">
        <w:rPr>
          <w:rFonts w:ascii="Arial" w:hAnsi="Arial" w:cs="Arial"/>
          <w:sz w:val="22"/>
          <w:szCs w:val="22"/>
        </w:rPr>
        <w:t xml:space="preserve"> IAPT</w:t>
      </w:r>
      <w:r w:rsidR="00E405BD">
        <w:rPr>
          <w:rFonts w:ascii="Arial" w:hAnsi="Arial" w:cs="Arial"/>
          <w:sz w:val="22"/>
          <w:szCs w:val="22"/>
        </w:rPr>
        <w:t xml:space="preserve"> (Bohnke, Lutz</w:t>
      </w:r>
      <w:r w:rsidR="0032351B">
        <w:rPr>
          <w:rFonts w:ascii="Arial" w:hAnsi="Arial" w:cs="Arial"/>
          <w:sz w:val="22"/>
          <w:szCs w:val="22"/>
        </w:rPr>
        <w:t xml:space="preserve"> and Delgadillo, 2014). </w:t>
      </w:r>
      <w:r w:rsidR="00961AC1">
        <w:rPr>
          <w:rFonts w:ascii="Arial" w:hAnsi="Arial" w:cs="Arial"/>
          <w:sz w:val="22"/>
          <w:szCs w:val="22"/>
        </w:rPr>
        <w:t>Additionally, g</w:t>
      </w:r>
      <w:r w:rsidR="00C93A46">
        <w:rPr>
          <w:rFonts w:ascii="Arial" w:hAnsi="Arial" w:cs="Arial"/>
          <w:sz w:val="22"/>
          <w:szCs w:val="22"/>
        </w:rPr>
        <w:t>iven that patients with depression may also have symptoms of anxiety</w:t>
      </w:r>
      <w:r w:rsidR="00874FFA">
        <w:rPr>
          <w:rFonts w:ascii="Arial" w:hAnsi="Arial" w:cs="Arial"/>
          <w:sz w:val="22"/>
          <w:szCs w:val="22"/>
        </w:rPr>
        <w:t xml:space="preserve"> and that features of depression vary from one patient to another (</w:t>
      </w:r>
      <w:r w:rsidR="00BE1BA3">
        <w:rPr>
          <w:rFonts w:ascii="Arial" w:hAnsi="Arial" w:cs="Arial"/>
          <w:sz w:val="22"/>
          <w:szCs w:val="22"/>
        </w:rPr>
        <w:t>Krause, Lutz</w:t>
      </w:r>
      <w:r w:rsidR="00C12F88">
        <w:rPr>
          <w:rFonts w:ascii="Arial" w:hAnsi="Arial" w:cs="Arial"/>
          <w:sz w:val="22"/>
          <w:szCs w:val="22"/>
        </w:rPr>
        <w:t xml:space="preserve"> and Boehnke, 2011)</w:t>
      </w:r>
      <w:r w:rsidR="00192078">
        <w:rPr>
          <w:rFonts w:ascii="Arial" w:hAnsi="Arial" w:cs="Arial"/>
          <w:sz w:val="22"/>
          <w:szCs w:val="22"/>
        </w:rPr>
        <w:t>,</w:t>
      </w:r>
      <w:r w:rsidR="00C12F88">
        <w:rPr>
          <w:rFonts w:ascii="Arial" w:hAnsi="Arial" w:cs="Arial"/>
          <w:sz w:val="22"/>
          <w:szCs w:val="22"/>
        </w:rPr>
        <w:t xml:space="preserve"> then </w:t>
      </w:r>
      <w:r w:rsidR="00437760">
        <w:rPr>
          <w:rFonts w:ascii="Arial" w:hAnsi="Arial" w:cs="Arial"/>
          <w:sz w:val="22"/>
          <w:szCs w:val="22"/>
        </w:rPr>
        <w:t xml:space="preserve">it may follow that </w:t>
      </w:r>
      <w:r w:rsidR="008946FE">
        <w:rPr>
          <w:rFonts w:ascii="Arial" w:hAnsi="Arial" w:cs="Arial"/>
          <w:sz w:val="22"/>
          <w:szCs w:val="22"/>
        </w:rPr>
        <w:t xml:space="preserve">other methods of measurement including </w:t>
      </w:r>
      <w:r w:rsidR="00437760">
        <w:rPr>
          <w:rFonts w:ascii="Arial" w:hAnsi="Arial" w:cs="Arial"/>
          <w:sz w:val="22"/>
          <w:szCs w:val="22"/>
        </w:rPr>
        <w:t xml:space="preserve">transdiagnostic </w:t>
      </w:r>
      <w:r w:rsidR="008946FE">
        <w:rPr>
          <w:rFonts w:ascii="Arial" w:hAnsi="Arial" w:cs="Arial"/>
          <w:sz w:val="22"/>
          <w:szCs w:val="22"/>
        </w:rPr>
        <w:t xml:space="preserve">tools </w:t>
      </w:r>
      <w:r w:rsidR="00BB5345">
        <w:rPr>
          <w:rFonts w:ascii="Arial" w:hAnsi="Arial" w:cs="Arial"/>
          <w:sz w:val="22"/>
          <w:szCs w:val="22"/>
        </w:rPr>
        <w:t>(Bohnke, Lutz and Delgadillo) or quality of life measures</w:t>
      </w:r>
      <w:r w:rsidR="00322B80">
        <w:rPr>
          <w:rFonts w:ascii="Arial" w:hAnsi="Arial" w:cs="Arial"/>
          <w:sz w:val="22"/>
          <w:szCs w:val="22"/>
        </w:rPr>
        <w:t xml:space="preserve"> (Smits, Paap, and Bohnke, 2018)</w:t>
      </w:r>
      <w:r w:rsidR="00105754">
        <w:rPr>
          <w:rFonts w:ascii="Arial" w:hAnsi="Arial" w:cs="Arial"/>
          <w:sz w:val="22"/>
          <w:szCs w:val="22"/>
        </w:rPr>
        <w:t xml:space="preserve"> may be useful</w:t>
      </w:r>
      <w:r w:rsidR="00322B80">
        <w:rPr>
          <w:rFonts w:ascii="Arial" w:hAnsi="Arial" w:cs="Arial"/>
          <w:sz w:val="22"/>
          <w:szCs w:val="22"/>
        </w:rPr>
        <w:t>.</w:t>
      </w:r>
      <w:r w:rsidR="003C07D9">
        <w:rPr>
          <w:rFonts w:ascii="Arial" w:hAnsi="Arial" w:cs="Arial"/>
          <w:sz w:val="22"/>
          <w:szCs w:val="22"/>
        </w:rPr>
        <w:t xml:space="preserve"> It is evident that further research is required to ensure that </w:t>
      </w:r>
      <w:r w:rsidR="00CA011A">
        <w:rPr>
          <w:rFonts w:ascii="Arial" w:hAnsi="Arial" w:cs="Arial"/>
          <w:sz w:val="22"/>
          <w:szCs w:val="22"/>
        </w:rPr>
        <w:t>services and researchers use tools that effectively measure patient outcome</w:t>
      </w:r>
      <w:r w:rsidR="00947F0C">
        <w:rPr>
          <w:rFonts w:ascii="Arial" w:hAnsi="Arial" w:cs="Arial"/>
          <w:sz w:val="22"/>
          <w:szCs w:val="22"/>
        </w:rPr>
        <w:t>. Whilst this is beyond the scope of the research reported in this thesis</w:t>
      </w:r>
      <w:r w:rsidR="00371525">
        <w:rPr>
          <w:rFonts w:ascii="Arial" w:hAnsi="Arial" w:cs="Arial"/>
          <w:sz w:val="22"/>
          <w:szCs w:val="22"/>
        </w:rPr>
        <w:t>,</w:t>
      </w:r>
      <w:r w:rsidR="00947F0C">
        <w:rPr>
          <w:rFonts w:ascii="Arial" w:hAnsi="Arial" w:cs="Arial"/>
          <w:sz w:val="22"/>
          <w:szCs w:val="22"/>
        </w:rPr>
        <w:t xml:space="preserve"> it is important to </w:t>
      </w:r>
      <w:r w:rsidR="002C4351">
        <w:rPr>
          <w:rFonts w:ascii="Arial" w:hAnsi="Arial" w:cs="Arial"/>
          <w:sz w:val="22"/>
          <w:szCs w:val="22"/>
        </w:rPr>
        <w:t>interpret the findings from this research with caution</w:t>
      </w:r>
      <w:r w:rsidR="00371525">
        <w:rPr>
          <w:rFonts w:ascii="Arial" w:hAnsi="Arial" w:cs="Arial"/>
          <w:sz w:val="22"/>
          <w:szCs w:val="22"/>
        </w:rPr>
        <w:t>,</w:t>
      </w:r>
      <w:r w:rsidR="000035E2">
        <w:rPr>
          <w:rFonts w:ascii="Arial" w:hAnsi="Arial" w:cs="Arial"/>
          <w:sz w:val="22"/>
          <w:szCs w:val="22"/>
        </w:rPr>
        <w:t xml:space="preserve"> bearing in mind that the PHQ-9 and GAD-7 may not be the most effective tools for measuring patient recovery.</w:t>
      </w:r>
    </w:p>
    <w:p w14:paraId="168EB4D0" w14:textId="77777777" w:rsidR="00DC2DE7" w:rsidRPr="00F90E30" w:rsidRDefault="00DC2DE7" w:rsidP="00DC2DE7">
      <w:pPr>
        <w:spacing w:line="480" w:lineRule="auto"/>
        <w:rPr>
          <w:rFonts w:ascii="Arial" w:hAnsi="Arial" w:cs="Arial"/>
          <w:sz w:val="22"/>
          <w:szCs w:val="22"/>
        </w:rPr>
      </w:pPr>
    </w:p>
    <w:p w14:paraId="5B4F598F" w14:textId="7C93EFCE" w:rsidR="00DC2DE7" w:rsidRDefault="008A1595" w:rsidP="00C54F79">
      <w:pPr>
        <w:pStyle w:val="Heading3"/>
      </w:pPr>
      <w:bookmarkStart w:id="443" w:name="_Toc46770851"/>
      <w:bookmarkStart w:id="444" w:name="_Toc79414262"/>
      <w:r w:rsidRPr="00EB335A">
        <w:t>6</w:t>
      </w:r>
      <w:r w:rsidR="00DC2DE7" w:rsidRPr="00EB335A">
        <w:t>.</w:t>
      </w:r>
      <w:r w:rsidR="00633677">
        <w:t>7</w:t>
      </w:r>
      <w:r w:rsidR="007215D5" w:rsidRPr="00EB335A">
        <w:t>.</w:t>
      </w:r>
      <w:r w:rsidR="009A07EB">
        <w:t>6</w:t>
      </w:r>
      <w:r w:rsidR="00DC2DE7" w:rsidRPr="00EB335A">
        <w:t xml:space="preserve"> </w:t>
      </w:r>
      <w:r w:rsidR="007215D5" w:rsidRPr="00EB335A">
        <w:t>Attempts to remove bias</w:t>
      </w:r>
      <w:bookmarkEnd w:id="443"/>
      <w:bookmarkEnd w:id="444"/>
    </w:p>
    <w:p w14:paraId="6080293B" w14:textId="2465405F" w:rsidR="009A07EB" w:rsidRPr="00C26638" w:rsidRDefault="00C26638" w:rsidP="00C26638">
      <w:pPr>
        <w:spacing w:line="480" w:lineRule="auto"/>
        <w:rPr>
          <w:rFonts w:ascii="Arial" w:hAnsi="Arial" w:cs="Arial"/>
          <w:sz w:val="22"/>
          <w:szCs w:val="22"/>
        </w:rPr>
      </w:pPr>
      <w:r>
        <w:rPr>
          <w:rFonts w:ascii="Arial" w:hAnsi="Arial" w:cs="Arial"/>
          <w:sz w:val="22"/>
          <w:szCs w:val="22"/>
        </w:rPr>
        <w:br/>
      </w:r>
      <w:r w:rsidR="00DC2DE7" w:rsidRPr="00F26726">
        <w:rPr>
          <w:rFonts w:ascii="Arial" w:hAnsi="Arial" w:cs="Arial"/>
          <w:sz w:val="22"/>
          <w:szCs w:val="22"/>
        </w:rPr>
        <w:t>Whilst it is not possible to complet</w:t>
      </w:r>
      <w:r w:rsidR="00DC2DE7">
        <w:rPr>
          <w:rFonts w:ascii="Arial" w:hAnsi="Arial" w:cs="Arial"/>
          <w:sz w:val="22"/>
          <w:szCs w:val="22"/>
        </w:rPr>
        <w:t>ely</w:t>
      </w:r>
      <w:r w:rsidR="00DC2DE7" w:rsidRPr="00F26726">
        <w:rPr>
          <w:rFonts w:ascii="Arial" w:hAnsi="Arial" w:cs="Arial"/>
          <w:sz w:val="22"/>
          <w:szCs w:val="22"/>
        </w:rPr>
        <w:t xml:space="preserve"> eradicate bias</w:t>
      </w:r>
      <w:r w:rsidR="00DC2DE7">
        <w:rPr>
          <w:rFonts w:ascii="Arial" w:hAnsi="Arial" w:cs="Arial"/>
          <w:sz w:val="22"/>
          <w:szCs w:val="22"/>
        </w:rPr>
        <w:t>,</w:t>
      </w:r>
      <w:r w:rsidR="00DC2DE7" w:rsidRPr="00F26726">
        <w:rPr>
          <w:rFonts w:ascii="Arial" w:hAnsi="Arial" w:cs="Arial"/>
          <w:sz w:val="22"/>
          <w:szCs w:val="22"/>
        </w:rPr>
        <w:t xml:space="preserve"> attempts to reduce </w:t>
      </w:r>
      <w:r w:rsidR="00DC2DE7">
        <w:rPr>
          <w:rFonts w:ascii="Arial" w:hAnsi="Arial" w:cs="Arial"/>
          <w:sz w:val="22"/>
          <w:szCs w:val="22"/>
        </w:rPr>
        <w:t>it</w:t>
      </w:r>
      <w:r w:rsidR="00DC2DE7" w:rsidRPr="00F26726">
        <w:rPr>
          <w:rFonts w:ascii="Arial" w:hAnsi="Arial" w:cs="Arial"/>
          <w:sz w:val="22"/>
          <w:szCs w:val="22"/>
        </w:rPr>
        <w:t xml:space="preserve"> were incorporated into this research at each stage.</w:t>
      </w:r>
      <w:r>
        <w:rPr>
          <w:rFonts w:ascii="Arial" w:hAnsi="Arial" w:cs="Arial"/>
          <w:sz w:val="22"/>
          <w:szCs w:val="22"/>
        </w:rPr>
        <w:br/>
      </w:r>
    </w:p>
    <w:p w14:paraId="460EF7ED" w14:textId="3CA93716" w:rsidR="00DC2DE7" w:rsidRDefault="008A1595" w:rsidP="00DC2DE7">
      <w:pPr>
        <w:pStyle w:val="Heading3"/>
        <w:rPr>
          <w:rFonts w:cs="Arial"/>
          <w:b w:val="0"/>
          <w:color w:val="000000" w:themeColor="text1"/>
          <w:szCs w:val="22"/>
        </w:rPr>
      </w:pPr>
      <w:bookmarkStart w:id="445" w:name="_Toc46770852"/>
      <w:bookmarkStart w:id="446" w:name="_Toc79414263"/>
      <w:r>
        <w:rPr>
          <w:rFonts w:cs="Arial"/>
          <w:color w:val="000000" w:themeColor="text1"/>
          <w:szCs w:val="22"/>
        </w:rPr>
        <w:t>6</w:t>
      </w:r>
      <w:r w:rsidR="00DC2DE7" w:rsidRPr="00933E6F">
        <w:rPr>
          <w:rFonts w:cs="Arial"/>
          <w:color w:val="000000" w:themeColor="text1"/>
          <w:szCs w:val="22"/>
        </w:rPr>
        <w:t>.</w:t>
      </w:r>
      <w:r w:rsidR="00633677">
        <w:rPr>
          <w:rFonts w:cs="Arial"/>
          <w:color w:val="000000" w:themeColor="text1"/>
          <w:szCs w:val="22"/>
        </w:rPr>
        <w:t>7</w:t>
      </w:r>
      <w:r w:rsidR="00DC2DE7" w:rsidRPr="00933E6F">
        <w:rPr>
          <w:rFonts w:cs="Arial"/>
          <w:color w:val="000000" w:themeColor="text1"/>
          <w:szCs w:val="22"/>
        </w:rPr>
        <w:t>.</w:t>
      </w:r>
      <w:r w:rsidR="009A07EB">
        <w:rPr>
          <w:rFonts w:cs="Arial"/>
          <w:color w:val="000000" w:themeColor="text1"/>
          <w:szCs w:val="22"/>
        </w:rPr>
        <w:t>7</w:t>
      </w:r>
      <w:r w:rsidR="00DC2DE7" w:rsidRPr="00933E6F">
        <w:rPr>
          <w:rFonts w:cs="Arial"/>
          <w:color w:val="000000" w:themeColor="text1"/>
          <w:szCs w:val="22"/>
        </w:rPr>
        <w:t xml:space="preserve"> Selection bias</w:t>
      </w:r>
      <w:bookmarkEnd w:id="445"/>
      <w:bookmarkEnd w:id="446"/>
    </w:p>
    <w:p w14:paraId="474A2899" w14:textId="77777777" w:rsidR="00DC2DE7" w:rsidRPr="00933E6F" w:rsidRDefault="00DC2DE7" w:rsidP="00DC2DE7"/>
    <w:p w14:paraId="030445D6" w14:textId="63A1BCFF" w:rsidR="00DC2DE7" w:rsidRDefault="00DC2DE7" w:rsidP="00DC2DE7">
      <w:pPr>
        <w:spacing w:line="480" w:lineRule="auto"/>
        <w:rPr>
          <w:rFonts w:ascii="Arial" w:hAnsi="Arial" w:cs="Arial"/>
          <w:sz w:val="22"/>
          <w:szCs w:val="22"/>
        </w:rPr>
      </w:pPr>
      <w:r>
        <w:rPr>
          <w:rFonts w:ascii="Arial" w:hAnsi="Arial" w:cs="Arial"/>
          <w:sz w:val="22"/>
          <w:szCs w:val="22"/>
        </w:rPr>
        <w:t xml:space="preserve">All therapists who had treated patients on the Ieso Digital Health platform were invited to participate in this research regardless of their clinical outcomes. </w:t>
      </w:r>
      <w:r w:rsidR="00B224E0">
        <w:rPr>
          <w:rFonts w:ascii="Arial" w:hAnsi="Arial" w:cs="Arial"/>
          <w:sz w:val="22"/>
          <w:szCs w:val="22"/>
        </w:rPr>
        <w:t>Statistical guidance</w:t>
      </w:r>
      <w:r w:rsidR="00127BCF">
        <w:rPr>
          <w:rFonts w:ascii="Arial" w:hAnsi="Arial" w:cs="Arial"/>
          <w:sz w:val="22"/>
          <w:szCs w:val="22"/>
        </w:rPr>
        <w:t>,</w:t>
      </w:r>
      <w:r w:rsidR="00B224E0">
        <w:rPr>
          <w:rFonts w:ascii="Arial" w:hAnsi="Arial" w:cs="Arial"/>
          <w:sz w:val="22"/>
          <w:szCs w:val="22"/>
        </w:rPr>
        <w:t xml:space="preserve"> </w:t>
      </w:r>
      <w:r w:rsidR="00127BCF">
        <w:rPr>
          <w:rFonts w:ascii="Arial" w:hAnsi="Arial" w:cs="Arial"/>
          <w:sz w:val="22"/>
          <w:szCs w:val="22"/>
        </w:rPr>
        <w:t xml:space="preserve">in the </w:t>
      </w:r>
      <w:r w:rsidR="00127BCF">
        <w:rPr>
          <w:rFonts w:ascii="Arial" w:hAnsi="Arial" w:cs="Arial"/>
          <w:sz w:val="22"/>
          <w:szCs w:val="22"/>
        </w:rPr>
        <w:lastRenderedPageBreak/>
        <w:t xml:space="preserve">form of </w:t>
      </w:r>
      <w:r w:rsidR="00B224E0">
        <w:rPr>
          <w:rFonts w:ascii="Arial" w:hAnsi="Arial" w:cs="Arial"/>
          <w:sz w:val="22"/>
          <w:szCs w:val="22"/>
        </w:rPr>
        <w:t>sample size</w:t>
      </w:r>
      <w:r w:rsidR="00127BCF">
        <w:rPr>
          <w:rFonts w:ascii="Arial" w:hAnsi="Arial" w:cs="Arial"/>
          <w:sz w:val="22"/>
          <w:szCs w:val="22"/>
        </w:rPr>
        <w:t xml:space="preserve"> tables,</w:t>
      </w:r>
      <w:r w:rsidR="00B224E0">
        <w:rPr>
          <w:rFonts w:ascii="Arial" w:hAnsi="Arial" w:cs="Arial"/>
          <w:sz w:val="22"/>
          <w:szCs w:val="22"/>
        </w:rPr>
        <w:t xml:space="preserve"> was drawn from Schiefele, Lutz, Barkham, Rubel, Bohnke, Delgadillo et al., (2016). </w:t>
      </w:r>
      <w:r>
        <w:rPr>
          <w:rFonts w:ascii="Arial" w:hAnsi="Arial" w:cs="Arial"/>
          <w:sz w:val="22"/>
          <w:szCs w:val="22"/>
        </w:rPr>
        <w:t xml:space="preserve"> </w:t>
      </w:r>
      <w:r w:rsidR="00127BCF">
        <w:rPr>
          <w:rFonts w:ascii="Arial" w:hAnsi="Arial" w:cs="Arial"/>
          <w:sz w:val="22"/>
          <w:szCs w:val="22"/>
        </w:rPr>
        <w:t>Additionally, this research sought to exceed the sample size of all pre-existing process outcome research in the field of IAPT. Whilst t</w:t>
      </w:r>
      <w:r>
        <w:rPr>
          <w:rFonts w:ascii="Arial" w:hAnsi="Arial" w:cs="Arial"/>
          <w:sz w:val="22"/>
          <w:szCs w:val="22"/>
        </w:rPr>
        <w:t xml:space="preserve">his research </w:t>
      </w:r>
      <w:r w:rsidR="00127BCF">
        <w:rPr>
          <w:rFonts w:ascii="Arial" w:hAnsi="Arial" w:cs="Arial"/>
          <w:sz w:val="22"/>
          <w:szCs w:val="22"/>
        </w:rPr>
        <w:t>followed the Schiefele</w:t>
      </w:r>
      <w:r w:rsidR="00483D78">
        <w:rPr>
          <w:rFonts w:ascii="Arial" w:hAnsi="Arial" w:cs="Arial"/>
          <w:sz w:val="22"/>
          <w:szCs w:val="22"/>
        </w:rPr>
        <w:t xml:space="preserve"> et al., (2016)</w:t>
      </w:r>
      <w:r w:rsidR="00127BCF">
        <w:rPr>
          <w:rFonts w:ascii="Arial" w:hAnsi="Arial" w:cs="Arial"/>
          <w:sz w:val="22"/>
          <w:szCs w:val="22"/>
        </w:rPr>
        <w:t xml:space="preserve"> guidelines and exceeded the sample size of other similar studies in IAPT it might be argued that the sample (n=200) were self-selecting and therefore not wholly representative of the population.</w:t>
      </w:r>
    </w:p>
    <w:p w14:paraId="55F7C475" w14:textId="77777777" w:rsidR="00DC2DE7" w:rsidRDefault="00DC2DE7" w:rsidP="00DC2DE7">
      <w:pPr>
        <w:spacing w:line="480" w:lineRule="auto"/>
        <w:rPr>
          <w:rFonts w:ascii="Arial" w:hAnsi="Arial" w:cs="Arial"/>
          <w:sz w:val="22"/>
          <w:szCs w:val="22"/>
        </w:rPr>
      </w:pPr>
    </w:p>
    <w:p w14:paraId="1D38B2AC" w14:textId="6AEB94F9" w:rsidR="00DC2DE7" w:rsidRDefault="008A1595" w:rsidP="00DC2DE7">
      <w:pPr>
        <w:pStyle w:val="Heading3"/>
        <w:rPr>
          <w:rFonts w:cs="Arial"/>
          <w:b w:val="0"/>
          <w:color w:val="000000" w:themeColor="text1"/>
          <w:szCs w:val="22"/>
        </w:rPr>
      </w:pPr>
      <w:bookmarkStart w:id="447" w:name="_Toc46770853"/>
      <w:bookmarkStart w:id="448" w:name="_Toc79414264"/>
      <w:r>
        <w:rPr>
          <w:rFonts w:cs="Arial"/>
          <w:color w:val="000000" w:themeColor="text1"/>
          <w:szCs w:val="22"/>
        </w:rPr>
        <w:t>6</w:t>
      </w:r>
      <w:r w:rsidR="00DC2DE7" w:rsidRPr="00933E6F">
        <w:rPr>
          <w:rFonts w:cs="Arial"/>
          <w:color w:val="000000" w:themeColor="text1"/>
          <w:szCs w:val="22"/>
        </w:rPr>
        <w:t>.</w:t>
      </w:r>
      <w:r w:rsidR="00633677">
        <w:rPr>
          <w:rFonts w:cs="Arial"/>
          <w:color w:val="000000" w:themeColor="text1"/>
          <w:szCs w:val="22"/>
        </w:rPr>
        <w:t>7</w:t>
      </w:r>
      <w:r w:rsidR="00DC2DE7" w:rsidRPr="00933E6F">
        <w:rPr>
          <w:rFonts w:cs="Arial"/>
          <w:color w:val="000000" w:themeColor="text1"/>
          <w:szCs w:val="22"/>
        </w:rPr>
        <w:t>.</w:t>
      </w:r>
      <w:r w:rsidR="009A07EB">
        <w:rPr>
          <w:rFonts w:cs="Arial"/>
          <w:color w:val="000000" w:themeColor="text1"/>
          <w:szCs w:val="22"/>
        </w:rPr>
        <w:t>8</w:t>
      </w:r>
      <w:r w:rsidR="00DC2DE7" w:rsidRPr="00933E6F">
        <w:rPr>
          <w:rFonts w:cs="Arial"/>
          <w:color w:val="000000" w:themeColor="text1"/>
          <w:szCs w:val="22"/>
        </w:rPr>
        <w:t xml:space="preserve"> Blinding</w:t>
      </w:r>
      <w:bookmarkEnd w:id="447"/>
      <w:bookmarkEnd w:id="448"/>
    </w:p>
    <w:p w14:paraId="232B25C3" w14:textId="77777777" w:rsidR="00DC2DE7" w:rsidRPr="00933E6F" w:rsidRDefault="00DC2DE7" w:rsidP="00DC2DE7"/>
    <w:p w14:paraId="495462EF" w14:textId="66A7F653" w:rsidR="00DC2DE7" w:rsidRDefault="00DC2DE7" w:rsidP="00DC2DE7">
      <w:pPr>
        <w:spacing w:line="480" w:lineRule="auto"/>
        <w:rPr>
          <w:rFonts w:ascii="Arial" w:hAnsi="Arial" w:cs="Arial"/>
          <w:sz w:val="22"/>
          <w:szCs w:val="22"/>
        </w:rPr>
      </w:pPr>
      <w:r>
        <w:rPr>
          <w:rFonts w:ascii="Arial" w:hAnsi="Arial" w:cs="Arial"/>
          <w:sz w:val="22"/>
          <w:szCs w:val="22"/>
        </w:rPr>
        <w:t xml:space="preserve">In </w:t>
      </w:r>
      <w:r w:rsidR="00023EA9">
        <w:rPr>
          <w:rFonts w:ascii="Arial" w:hAnsi="Arial" w:cs="Arial"/>
          <w:sz w:val="22"/>
          <w:szCs w:val="22"/>
        </w:rPr>
        <w:t>an attempt</w:t>
      </w:r>
      <w:r>
        <w:rPr>
          <w:rFonts w:ascii="Arial" w:hAnsi="Arial" w:cs="Arial"/>
          <w:sz w:val="22"/>
          <w:szCs w:val="22"/>
        </w:rPr>
        <w:t xml:space="preserve"> to reduce the </w:t>
      </w:r>
      <w:r w:rsidR="0045578D">
        <w:rPr>
          <w:rFonts w:ascii="Arial" w:hAnsi="Arial" w:cs="Arial"/>
          <w:sz w:val="22"/>
          <w:szCs w:val="22"/>
        </w:rPr>
        <w:t>Hawthorne</w:t>
      </w:r>
      <w:r>
        <w:rPr>
          <w:rFonts w:ascii="Arial" w:hAnsi="Arial" w:cs="Arial"/>
          <w:sz w:val="22"/>
          <w:szCs w:val="22"/>
        </w:rPr>
        <w:t xml:space="preserve"> effect</w:t>
      </w:r>
      <w:r w:rsidR="0045578D">
        <w:rPr>
          <w:rFonts w:ascii="Arial" w:hAnsi="Arial" w:cs="Arial"/>
          <w:sz w:val="22"/>
          <w:szCs w:val="22"/>
        </w:rPr>
        <w:t xml:space="preserve">, whereby the therapists and/or the raters may </w:t>
      </w:r>
      <w:r w:rsidR="00023EA9">
        <w:rPr>
          <w:rFonts w:ascii="Arial" w:hAnsi="Arial" w:cs="Arial"/>
          <w:sz w:val="22"/>
          <w:szCs w:val="22"/>
        </w:rPr>
        <w:t>be</w:t>
      </w:r>
      <w:r w:rsidR="0045578D">
        <w:rPr>
          <w:rFonts w:ascii="Arial" w:hAnsi="Arial" w:cs="Arial"/>
          <w:sz w:val="22"/>
          <w:szCs w:val="22"/>
        </w:rPr>
        <w:t xml:space="preserve"> influenced by the purpose </w:t>
      </w:r>
      <w:r w:rsidR="00023EA9">
        <w:rPr>
          <w:rFonts w:ascii="Arial" w:hAnsi="Arial" w:cs="Arial"/>
          <w:sz w:val="22"/>
          <w:szCs w:val="22"/>
        </w:rPr>
        <w:t>of a</w:t>
      </w:r>
      <w:r w:rsidR="0045578D">
        <w:rPr>
          <w:rFonts w:ascii="Arial" w:hAnsi="Arial" w:cs="Arial"/>
          <w:sz w:val="22"/>
          <w:szCs w:val="22"/>
        </w:rPr>
        <w:t xml:space="preserve"> research </w:t>
      </w:r>
      <w:r w:rsidR="00023EA9">
        <w:rPr>
          <w:rFonts w:ascii="Arial" w:hAnsi="Arial" w:cs="Arial"/>
          <w:sz w:val="22"/>
          <w:szCs w:val="22"/>
        </w:rPr>
        <w:t xml:space="preserve">study </w:t>
      </w:r>
      <w:r w:rsidR="0045578D">
        <w:rPr>
          <w:rFonts w:ascii="Arial" w:hAnsi="Arial" w:cs="Arial"/>
          <w:sz w:val="22"/>
          <w:szCs w:val="22"/>
        </w:rPr>
        <w:t>(Sedgwick, 2012)</w:t>
      </w:r>
      <w:r w:rsidR="00023EA9">
        <w:rPr>
          <w:rFonts w:ascii="Arial" w:hAnsi="Arial" w:cs="Arial"/>
          <w:sz w:val="22"/>
          <w:szCs w:val="22"/>
        </w:rPr>
        <w:t>,</w:t>
      </w:r>
      <w:r w:rsidR="0045578D">
        <w:rPr>
          <w:rFonts w:ascii="Arial" w:hAnsi="Arial" w:cs="Arial"/>
          <w:sz w:val="22"/>
          <w:szCs w:val="22"/>
        </w:rPr>
        <w:t xml:space="preserve"> both </w:t>
      </w:r>
      <w:r>
        <w:rPr>
          <w:rFonts w:ascii="Arial" w:hAnsi="Arial" w:cs="Arial"/>
          <w:sz w:val="22"/>
          <w:szCs w:val="22"/>
        </w:rPr>
        <w:t>raters and therapists were blind to the hypotheses for this research. In addition</w:t>
      </w:r>
      <w:r w:rsidR="00023EA9">
        <w:rPr>
          <w:rFonts w:ascii="Arial" w:hAnsi="Arial" w:cs="Arial"/>
          <w:sz w:val="22"/>
          <w:szCs w:val="22"/>
        </w:rPr>
        <w:t>,</w:t>
      </w:r>
      <w:r>
        <w:rPr>
          <w:rFonts w:ascii="Arial" w:hAnsi="Arial" w:cs="Arial"/>
          <w:sz w:val="22"/>
          <w:szCs w:val="22"/>
        </w:rPr>
        <w:t xml:space="preserve"> </w:t>
      </w:r>
      <w:r w:rsidR="00023EA9">
        <w:rPr>
          <w:rFonts w:ascii="Arial" w:hAnsi="Arial" w:cs="Arial"/>
          <w:sz w:val="22"/>
          <w:szCs w:val="22"/>
        </w:rPr>
        <w:t>to reduce the likelihood that the raters would be positively or negatively inclined towards the therapists</w:t>
      </w:r>
      <w:r w:rsidR="00127BCF">
        <w:rPr>
          <w:rFonts w:ascii="Arial" w:hAnsi="Arial" w:cs="Arial"/>
          <w:sz w:val="22"/>
          <w:szCs w:val="22"/>
        </w:rPr>
        <w:t>’</w:t>
      </w:r>
      <w:r w:rsidR="00023EA9">
        <w:rPr>
          <w:rFonts w:ascii="Arial" w:hAnsi="Arial" w:cs="Arial"/>
          <w:sz w:val="22"/>
          <w:szCs w:val="22"/>
        </w:rPr>
        <w:t xml:space="preserve"> clinical sessions, </w:t>
      </w:r>
      <w:r>
        <w:rPr>
          <w:rFonts w:ascii="Arial" w:hAnsi="Arial" w:cs="Arial"/>
          <w:sz w:val="22"/>
          <w:szCs w:val="22"/>
        </w:rPr>
        <w:t xml:space="preserve">the raters were blind to the </w:t>
      </w:r>
      <w:r w:rsidR="00023EA9">
        <w:rPr>
          <w:rFonts w:ascii="Arial" w:hAnsi="Arial" w:cs="Arial"/>
          <w:sz w:val="22"/>
          <w:szCs w:val="22"/>
        </w:rPr>
        <w:t xml:space="preserve">clinical </w:t>
      </w:r>
      <w:r>
        <w:rPr>
          <w:rFonts w:ascii="Arial" w:hAnsi="Arial" w:cs="Arial"/>
          <w:sz w:val="22"/>
          <w:szCs w:val="22"/>
        </w:rPr>
        <w:t>outcomes of each therapist’s cases</w:t>
      </w:r>
      <w:r w:rsidR="00023EA9">
        <w:rPr>
          <w:rFonts w:ascii="Arial" w:hAnsi="Arial" w:cs="Arial"/>
          <w:sz w:val="22"/>
          <w:szCs w:val="22"/>
        </w:rPr>
        <w:t xml:space="preserve">. </w:t>
      </w:r>
    </w:p>
    <w:p w14:paraId="45645466" w14:textId="77777777" w:rsidR="00DC2DE7" w:rsidRDefault="00DC2DE7" w:rsidP="00DC2DE7">
      <w:pPr>
        <w:spacing w:line="480" w:lineRule="auto"/>
        <w:rPr>
          <w:rFonts w:ascii="Arial" w:hAnsi="Arial" w:cs="Arial"/>
          <w:sz w:val="22"/>
          <w:szCs w:val="22"/>
        </w:rPr>
      </w:pPr>
    </w:p>
    <w:p w14:paraId="3506A446" w14:textId="3EBC5240" w:rsidR="00DC2DE7" w:rsidRDefault="008A1595" w:rsidP="00DC2DE7">
      <w:pPr>
        <w:pStyle w:val="Heading3"/>
        <w:rPr>
          <w:rFonts w:cs="Arial"/>
          <w:b w:val="0"/>
          <w:color w:val="000000" w:themeColor="text1"/>
          <w:szCs w:val="22"/>
        </w:rPr>
      </w:pPr>
      <w:bookmarkStart w:id="449" w:name="_Toc46770854"/>
      <w:bookmarkStart w:id="450" w:name="_Toc79414265"/>
      <w:r>
        <w:rPr>
          <w:rFonts w:cs="Arial"/>
          <w:color w:val="000000" w:themeColor="text1"/>
          <w:szCs w:val="22"/>
        </w:rPr>
        <w:t>6</w:t>
      </w:r>
      <w:r w:rsidR="00DC2DE7" w:rsidRPr="00933E6F">
        <w:rPr>
          <w:rFonts w:cs="Arial"/>
          <w:color w:val="000000" w:themeColor="text1"/>
          <w:szCs w:val="22"/>
        </w:rPr>
        <w:t>.</w:t>
      </w:r>
      <w:r w:rsidR="00633677">
        <w:rPr>
          <w:rFonts w:cs="Arial"/>
          <w:color w:val="000000" w:themeColor="text1"/>
          <w:szCs w:val="22"/>
        </w:rPr>
        <w:t>7</w:t>
      </w:r>
      <w:r w:rsidR="007215D5">
        <w:rPr>
          <w:rFonts w:cs="Arial"/>
          <w:color w:val="000000" w:themeColor="text1"/>
          <w:szCs w:val="22"/>
        </w:rPr>
        <w:t>.</w:t>
      </w:r>
      <w:r w:rsidR="009A07EB">
        <w:rPr>
          <w:rFonts w:cs="Arial"/>
          <w:color w:val="000000" w:themeColor="text1"/>
          <w:szCs w:val="22"/>
        </w:rPr>
        <w:t>9</w:t>
      </w:r>
      <w:r w:rsidR="00DC2DE7" w:rsidRPr="00933E6F">
        <w:rPr>
          <w:rFonts w:cs="Arial"/>
          <w:color w:val="000000" w:themeColor="text1"/>
          <w:szCs w:val="22"/>
        </w:rPr>
        <w:t xml:space="preserve"> Observer bias</w:t>
      </w:r>
      <w:bookmarkEnd w:id="449"/>
      <w:bookmarkEnd w:id="450"/>
    </w:p>
    <w:p w14:paraId="5AD8D563" w14:textId="77777777" w:rsidR="00DC2DE7" w:rsidRPr="00933E6F" w:rsidRDefault="00DC2DE7" w:rsidP="00DC2DE7"/>
    <w:p w14:paraId="4B7F2D80" w14:textId="786C0CC7" w:rsidR="00DC2DE7" w:rsidRDefault="00DC2DE7" w:rsidP="00DC2DE7">
      <w:pPr>
        <w:spacing w:line="480" w:lineRule="auto"/>
        <w:rPr>
          <w:rFonts w:ascii="Arial" w:hAnsi="Arial" w:cs="Arial"/>
          <w:sz w:val="22"/>
          <w:szCs w:val="22"/>
        </w:rPr>
      </w:pPr>
      <w:r>
        <w:rPr>
          <w:rFonts w:ascii="Arial" w:hAnsi="Arial" w:cs="Arial"/>
          <w:sz w:val="22"/>
          <w:szCs w:val="22"/>
        </w:rPr>
        <w:t xml:space="preserve">There is evidence that raters </w:t>
      </w:r>
      <w:r w:rsidR="00483D78">
        <w:rPr>
          <w:rFonts w:ascii="Arial" w:hAnsi="Arial" w:cs="Arial"/>
          <w:sz w:val="22"/>
          <w:szCs w:val="22"/>
        </w:rPr>
        <w:t>may</w:t>
      </w:r>
      <w:r>
        <w:rPr>
          <w:rFonts w:ascii="Arial" w:hAnsi="Arial" w:cs="Arial"/>
          <w:sz w:val="22"/>
          <w:szCs w:val="22"/>
        </w:rPr>
        <w:t xml:space="preserve"> have a positive bias towards a therapist they have  </w:t>
      </w:r>
      <w:r w:rsidR="00127BCF">
        <w:rPr>
          <w:rFonts w:ascii="Arial" w:hAnsi="Arial" w:cs="Arial"/>
          <w:sz w:val="22"/>
          <w:szCs w:val="22"/>
        </w:rPr>
        <w:t xml:space="preserve">previously </w:t>
      </w:r>
      <w:r>
        <w:rPr>
          <w:rFonts w:ascii="Arial" w:hAnsi="Arial" w:cs="Arial"/>
          <w:sz w:val="22"/>
          <w:szCs w:val="22"/>
        </w:rPr>
        <w:t>supervised (</w:t>
      </w:r>
      <w:r w:rsidR="00127BCF">
        <w:rPr>
          <w:rFonts w:ascii="Arial" w:hAnsi="Arial" w:cs="Arial"/>
          <w:sz w:val="22"/>
          <w:szCs w:val="22"/>
        </w:rPr>
        <w:t>Dennhag, Gibbons, Barber, Gallop and Crits-Christoph, 2012</w:t>
      </w:r>
      <w:r>
        <w:rPr>
          <w:rFonts w:ascii="Arial" w:hAnsi="Arial" w:cs="Arial"/>
          <w:sz w:val="22"/>
          <w:szCs w:val="22"/>
        </w:rPr>
        <w:t>)</w:t>
      </w:r>
      <w:r w:rsidR="00127BCF">
        <w:rPr>
          <w:rFonts w:ascii="Arial" w:hAnsi="Arial" w:cs="Arial"/>
          <w:sz w:val="22"/>
          <w:szCs w:val="22"/>
        </w:rPr>
        <w:t>. To minimise such bias</w:t>
      </w:r>
      <w:r w:rsidR="00D85021">
        <w:rPr>
          <w:rFonts w:ascii="Arial" w:hAnsi="Arial" w:cs="Arial"/>
          <w:sz w:val="22"/>
          <w:szCs w:val="22"/>
        </w:rPr>
        <w:t>,</w:t>
      </w:r>
      <w:r w:rsidR="00127BCF">
        <w:rPr>
          <w:rFonts w:ascii="Arial" w:hAnsi="Arial" w:cs="Arial"/>
          <w:sz w:val="22"/>
          <w:szCs w:val="22"/>
        </w:rPr>
        <w:t xml:space="preserve"> raters were allocated therapists who were not known to them. </w:t>
      </w:r>
      <w:r w:rsidR="00825342">
        <w:rPr>
          <w:rFonts w:ascii="Arial" w:hAnsi="Arial" w:cs="Arial"/>
          <w:sz w:val="22"/>
          <w:szCs w:val="22"/>
        </w:rPr>
        <w:t>Additionally, raters were asked to declare if the therapist was known to them and</w:t>
      </w:r>
      <w:r w:rsidR="00D85021">
        <w:rPr>
          <w:rFonts w:ascii="Arial" w:hAnsi="Arial" w:cs="Arial"/>
          <w:sz w:val="22"/>
          <w:szCs w:val="22"/>
        </w:rPr>
        <w:t>,</w:t>
      </w:r>
      <w:r w:rsidR="00825342">
        <w:rPr>
          <w:rFonts w:ascii="Arial" w:hAnsi="Arial" w:cs="Arial"/>
          <w:sz w:val="22"/>
          <w:szCs w:val="22"/>
        </w:rPr>
        <w:t xml:space="preserve"> where this was the case</w:t>
      </w:r>
      <w:r w:rsidR="00D85021">
        <w:rPr>
          <w:rFonts w:ascii="Arial" w:hAnsi="Arial" w:cs="Arial"/>
          <w:sz w:val="22"/>
          <w:szCs w:val="22"/>
        </w:rPr>
        <w:t>,</w:t>
      </w:r>
      <w:r w:rsidR="00825342">
        <w:rPr>
          <w:rFonts w:ascii="Arial" w:hAnsi="Arial" w:cs="Arial"/>
          <w:sz w:val="22"/>
          <w:szCs w:val="22"/>
        </w:rPr>
        <w:t xml:space="preserve"> the therapist was allocated to another rater. </w:t>
      </w:r>
      <w:r w:rsidR="00127BCF">
        <w:rPr>
          <w:rFonts w:ascii="Arial" w:hAnsi="Arial" w:cs="Arial"/>
          <w:sz w:val="22"/>
          <w:szCs w:val="22"/>
        </w:rPr>
        <w:t>However,</w:t>
      </w:r>
      <w:r w:rsidR="00825342">
        <w:rPr>
          <w:rFonts w:ascii="Arial" w:hAnsi="Arial" w:cs="Arial"/>
          <w:sz w:val="22"/>
          <w:szCs w:val="22"/>
        </w:rPr>
        <w:t xml:space="preserve"> despite these attempts</w:t>
      </w:r>
      <w:r w:rsidR="00483D78">
        <w:rPr>
          <w:rFonts w:ascii="Arial" w:hAnsi="Arial" w:cs="Arial"/>
          <w:sz w:val="22"/>
          <w:szCs w:val="22"/>
        </w:rPr>
        <w:t>,</w:t>
      </w:r>
      <w:r w:rsidR="00825342">
        <w:rPr>
          <w:rFonts w:ascii="Arial" w:hAnsi="Arial" w:cs="Arial"/>
          <w:sz w:val="22"/>
          <w:szCs w:val="22"/>
        </w:rPr>
        <w:t xml:space="preserve"> </w:t>
      </w:r>
      <w:r w:rsidR="00127BCF">
        <w:rPr>
          <w:rFonts w:ascii="Arial" w:hAnsi="Arial" w:cs="Arial"/>
          <w:sz w:val="22"/>
          <w:szCs w:val="22"/>
        </w:rPr>
        <w:t xml:space="preserve"> it must be noted that was not possible to completely eradicate the possibility that the rater had some prior knowledge</w:t>
      </w:r>
      <w:r w:rsidR="00825342">
        <w:rPr>
          <w:rFonts w:ascii="Arial" w:hAnsi="Arial" w:cs="Arial"/>
          <w:sz w:val="22"/>
          <w:szCs w:val="22"/>
        </w:rPr>
        <w:t xml:space="preserve"> of the therapist and that this may have influenced the way they rated the therapists’ work.</w:t>
      </w:r>
    </w:p>
    <w:p w14:paraId="69016EF9" w14:textId="77777777" w:rsidR="00DC2DE7" w:rsidRDefault="00DC2DE7" w:rsidP="00DC2DE7">
      <w:pPr>
        <w:spacing w:line="480" w:lineRule="auto"/>
        <w:rPr>
          <w:rFonts w:ascii="Arial" w:hAnsi="Arial" w:cs="Arial"/>
          <w:sz w:val="22"/>
          <w:szCs w:val="22"/>
        </w:rPr>
      </w:pPr>
    </w:p>
    <w:p w14:paraId="1CDBE3C8" w14:textId="77777777" w:rsidR="00C54F79" w:rsidRDefault="00C54F79">
      <w:pPr>
        <w:rPr>
          <w:rFonts w:ascii="Arial" w:eastAsiaTheme="majorEastAsia" w:hAnsi="Arial" w:cs="Arial"/>
          <w:b/>
          <w:bCs/>
          <w:color w:val="000000" w:themeColor="text1"/>
          <w:sz w:val="22"/>
          <w:szCs w:val="22"/>
        </w:rPr>
      </w:pPr>
      <w:r>
        <w:rPr>
          <w:rFonts w:cs="Arial"/>
          <w:color w:val="000000" w:themeColor="text1"/>
          <w:szCs w:val="22"/>
        </w:rPr>
        <w:br w:type="page"/>
      </w:r>
    </w:p>
    <w:p w14:paraId="770B40BD" w14:textId="33609FB6" w:rsidR="00DC2DE7" w:rsidRDefault="008A1595" w:rsidP="00DC2DE7">
      <w:pPr>
        <w:pStyle w:val="Heading3"/>
        <w:rPr>
          <w:rFonts w:cs="Arial"/>
          <w:b w:val="0"/>
          <w:color w:val="000000" w:themeColor="text1"/>
          <w:szCs w:val="22"/>
        </w:rPr>
      </w:pPr>
      <w:bookmarkStart w:id="451" w:name="_Toc46770855"/>
      <w:bookmarkStart w:id="452" w:name="_Toc79414266"/>
      <w:r>
        <w:rPr>
          <w:rFonts w:cs="Arial"/>
          <w:color w:val="000000" w:themeColor="text1"/>
          <w:szCs w:val="22"/>
        </w:rPr>
        <w:lastRenderedPageBreak/>
        <w:t>6</w:t>
      </w:r>
      <w:r w:rsidR="00DC2DE7" w:rsidRPr="00933E6F">
        <w:rPr>
          <w:rFonts w:cs="Arial"/>
          <w:color w:val="000000" w:themeColor="text1"/>
          <w:szCs w:val="22"/>
        </w:rPr>
        <w:t>.</w:t>
      </w:r>
      <w:r w:rsidR="00633677">
        <w:rPr>
          <w:rFonts w:cs="Arial"/>
          <w:color w:val="000000" w:themeColor="text1"/>
          <w:szCs w:val="22"/>
        </w:rPr>
        <w:t>7</w:t>
      </w:r>
      <w:r w:rsidR="007215D5">
        <w:rPr>
          <w:rFonts w:cs="Arial"/>
          <w:color w:val="000000" w:themeColor="text1"/>
          <w:szCs w:val="22"/>
        </w:rPr>
        <w:t>.</w:t>
      </w:r>
      <w:r w:rsidR="009A07EB">
        <w:rPr>
          <w:rFonts w:cs="Arial"/>
          <w:color w:val="000000" w:themeColor="text1"/>
          <w:szCs w:val="22"/>
        </w:rPr>
        <w:t>10</w:t>
      </w:r>
      <w:r w:rsidR="00DC2DE7" w:rsidRPr="00933E6F">
        <w:rPr>
          <w:rFonts w:cs="Arial"/>
          <w:color w:val="000000" w:themeColor="text1"/>
          <w:szCs w:val="22"/>
        </w:rPr>
        <w:t xml:space="preserve"> Measurement bias</w:t>
      </w:r>
      <w:bookmarkEnd w:id="451"/>
      <w:bookmarkEnd w:id="452"/>
    </w:p>
    <w:p w14:paraId="05BF7D49" w14:textId="77777777" w:rsidR="00DC2DE7" w:rsidRPr="00933E6F" w:rsidRDefault="00DC2DE7" w:rsidP="00DC2DE7"/>
    <w:p w14:paraId="1E361F48" w14:textId="54A1CCA1" w:rsidR="00DC2DE7" w:rsidRPr="00F26726" w:rsidRDefault="00DC2DE7" w:rsidP="00DC2DE7">
      <w:pPr>
        <w:spacing w:line="480" w:lineRule="auto"/>
        <w:rPr>
          <w:rFonts w:ascii="Arial" w:hAnsi="Arial" w:cs="Arial"/>
          <w:sz w:val="22"/>
          <w:szCs w:val="22"/>
        </w:rPr>
      </w:pPr>
      <w:r>
        <w:rPr>
          <w:rFonts w:ascii="Arial" w:hAnsi="Arial" w:cs="Arial"/>
          <w:sz w:val="22"/>
          <w:szCs w:val="22"/>
        </w:rPr>
        <w:t>This research used standardised validated instruments and outcome indices with the exception of the assessment of therapist adherence to an evidence</w:t>
      </w:r>
      <w:r w:rsidR="00D85021">
        <w:rPr>
          <w:rFonts w:ascii="Arial" w:hAnsi="Arial" w:cs="Arial"/>
          <w:sz w:val="22"/>
          <w:szCs w:val="22"/>
        </w:rPr>
        <w:t>-</w:t>
      </w:r>
      <w:r>
        <w:rPr>
          <w:rFonts w:ascii="Arial" w:hAnsi="Arial" w:cs="Arial"/>
          <w:sz w:val="22"/>
          <w:szCs w:val="22"/>
        </w:rPr>
        <w:t>based protocol where no instrument is currently available. However, this research made attempts to base the assessment of adherence on quantifiable competencies that form the curricul</w:t>
      </w:r>
      <w:r w:rsidR="00B614AA">
        <w:rPr>
          <w:rFonts w:ascii="Arial" w:hAnsi="Arial" w:cs="Arial"/>
          <w:sz w:val="22"/>
          <w:szCs w:val="22"/>
        </w:rPr>
        <w:t>um</w:t>
      </w:r>
      <w:r>
        <w:rPr>
          <w:rFonts w:ascii="Arial" w:hAnsi="Arial" w:cs="Arial"/>
          <w:sz w:val="22"/>
          <w:szCs w:val="22"/>
        </w:rPr>
        <w:t xml:space="preserve"> for the IAPT training programme and explicit and objective criteria were outlined to the raters during inter-rater reliability training.</w:t>
      </w:r>
    </w:p>
    <w:p w14:paraId="1D5AC4C1" w14:textId="77777777" w:rsidR="00DC2DE7" w:rsidRPr="00F90E30" w:rsidRDefault="00DC2DE7" w:rsidP="00DC2DE7">
      <w:pPr>
        <w:spacing w:line="480" w:lineRule="auto"/>
        <w:rPr>
          <w:rFonts w:ascii="Arial" w:hAnsi="Arial" w:cs="Arial"/>
          <w:b/>
          <w:sz w:val="22"/>
          <w:szCs w:val="22"/>
        </w:rPr>
      </w:pPr>
    </w:p>
    <w:p w14:paraId="3E3AF169" w14:textId="62EFA31A" w:rsidR="00DC2DE7" w:rsidRPr="009A07EB" w:rsidRDefault="008A1595" w:rsidP="009A07EB">
      <w:pPr>
        <w:pStyle w:val="Heading2"/>
        <w:rPr>
          <w:rFonts w:ascii="Arial" w:hAnsi="Arial" w:cs="Arial"/>
          <w:color w:val="000000" w:themeColor="text1"/>
          <w:sz w:val="22"/>
          <w:szCs w:val="22"/>
        </w:rPr>
      </w:pPr>
      <w:bookmarkStart w:id="453" w:name="_Toc46770856"/>
      <w:bookmarkStart w:id="454" w:name="_Toc79414267"/>
      <w:r w:rsidRPr="009A07EB">
        <w:rPr>
          <w:rFonts w:ascii="Arial" w:hAnsi="Arial" w:cs="Arial"/>
          <w:color w:val="000000" w:themeColor="text1"/>
          <w:sz w:val="22"/>
          <w:szCs w:val="22"/>
        </w:rPr>
        <w:t>6</w:t>
      </w:r>
      <w:r w:rsidR="00DC2DE7" w:rsidRPr="009A07EB">
        <w:rPr>
          <w:rFonts w:ascii="Arial" w:hAnsi="Arial" w:cs="Arial"/>
          <w:color w:val="000000" w:themeColor="text1"/>
          <w:sz w:val="22"/>
          <w:szCs w:val="22"/>
        </w:rPr>
        <w:t>.</w:t>
      </w:r>
      <w:r w:rsidR="00633677">
        <w:rPr>
          <w:rFonts w:ascii="Arial" w:hAnsi="Arial" w:cs="Arial"/>
          <w:color w:val="000000" w:themeColor="text1"/>
          <w:sz w:val="22"/>
          <w:szCs w:val="22"/>
        </w:rPr>
        <w:t>8</w:t>
      </w:r>
      <w:r w:rsidR="00DC2DE7" w:rsidRPr="009A07EB">
        <w:rPr>
          <w:rFonts w:ascii="Arial" w:hAnsi="Arial" w:cs="Arial"/>
          <w:color w:val="000000" w:themeColor="text1"/>
          <w:sz w:val="22"/>
          <w:szCs w:val="22"/>
        </w:rPr>
        <w:t xml:space="preserve"> STRENGTHS</w:t>
      </w:r>
      <w:bookmarkEnd w:id="453"/>
      <w:bookmarkEnd w:id="454"/>
    </w:p>
    <w:p w14:paraId="1D5F1153" w14:textId="77777777" w:rsidR="009A07EB" w:rsidRPr="009A07EB" w:rsidRDefault="009A07EB" w:rsidP="009A07EB"/>
    <w:p w14:paraId="764C260D" w14:textId="5E342DB4" w:rsidR="00DC2DE7" w:rsidRPr="00F90E30" w:rsidRDefault="00DC2DE7" w:rsidP="00DC2DE7">
      <w:pPr>
        <w:spacing w:line="480" w:lineRule="auto"/>
        <w:rPr>
          <w:rFonts w:ascii="Arial" w:hAnsi="Arial" w:cs="Arial"/>
          <w:sz w:val="22"/>
          <w:szCs w:val="22"/>
        </w:rPr>
      </w:pPr>
      <w:r w:rsidRPr="00F90E30">
        <w:rPr>
          <w:rFonts w:ascii="Arial" w:hAnsi="Arial" w:cs="Arial"/>
          <w:sz w:val="22"/>
          <w:szCs w:val="22"/>
        </w:rPr>
        <w:t xml:space="preserve">This </w:t>
      </w:r>
      <w:r>
        <w:rPr>
          <w:rFonts w:ascii="Arial" w:hAnsi="Arial" w:cs="Arial"/>
          <w:sz w:val="22"/>
          <w:szCs w:val="22"/>
        </w:rPr>
        <w:t xml:space="preserve">research has a number of strengths compared to others in the field. This is </w:t>
      </w:r>
      <w:r w:rsidRPr="00F90E30">
        <w:rPr>
          <w:rFonts w:ascii="Arial" w:hAnsi="Arial" w:cs="Arial"/>
          <w:sz w:val="22"/>
          <w:szCs w:val="22"/>
        </w:rPr>
        <w:t xml:space="preserve">the largest </w:t>
      </w:r>
      <w:r>
        <w:rPr>
          <w:rFonts w:ascii="Arial" w:hAnsi="Arial" w:cs="Arial"/>
          <w:sz w:val="22"/>
          <w:szCs w:val="22"/>
        </w:rPr>
        <w:t xml:space="preserve">naturalistic process-outcome study, </w:t>
      </w:r>
      <w:r w:rsidRPr="00F90E30">
        <w:rPr>
          <w:rFonts w:ascii="Arial" w:hAnsi="Arial" w:cs="Arial"/>
          <w:sz w:val="22"/>
          <w:szCs w:val="22"/>
        </w:rPr>
        <w:t>to date</w:t>
      </w:r>
      <w:r>
        <w:rPr>
          <w:rFonts w:ascii="Arial" w:hAnsi="Arial" w:cs="Arial"/>
          <w:sz w:val="22"/>
          <w:szCs w:val="22"/>
        </w:rPr>
        <w:t>,</w:t>
      </w:r>
      <w:r w:rsidRPr="00F90E30">
        <w:rPr>
          <w:rFonts w:ascii="Arial" w:hAnsi="Arial" w:cs="Arial"/>
          <w:sz w:val="22"/>
          <w:szCs w:val="22"/>
        </w:rPr>
        <w:t xml:space="preserve"> using live therapy materia</w:t>
      </w:r>
      <w:r>
        <w:rPr>
          <w:rFonts w:ascii="Arial" w:hAnsi="Arial" w:cs="Arial"/>
          <w:sz w:val="22"/>
          <w:szCs w:val="22"/>
        </w:rPr>
        <w:t>l in addition to clinical outcomes and therapist demographics. This is the first time that transcripts of therapy sessions, for whole episodes of care, have been available in therapist variables/therapist effects studies in a real-world setting. Furthermore, this is the first time that it has been possible to rate adherence to an evidence-based protocol by rating the entire episode of care, rather than just one or two sessions. Additionally, this research is strengthened by the process of randomly selecting cases/sessions from a therapist’s caseload rather than allowing a therapist to self-select a session for review. This research uses standardised validated instruments and outcome indices that are routinely used in all IAPT services, thus enabling the findings from this research to be used in the design of future research in this field. One of the problems cited that relates to existing research is the heterogenous nature of the studies, with a wide range of outcome measures, change indices, tools to assess therapist competence and statistical analyses being employed (</w:t>
      </w:r>
      <w:r w:rsidRPr="00F90E30">
        <w:rPr>
          <w:rFonts w:ascii="Arial" w:hAnsi="Arial" w:cs="Arial"/>
          <w:sz w:val="22"/>
          <w:szCs w:val="22"/>
        </w:rPr>
        <w:t>Johns, Kellett, Saxon and Barkham</w:t>
      </w:r>
      <w:r w:rsidR="00F72E7F">
        <w:rPr>
          <w:rFonts w:ascii="Arial" w:hAnsi="Arial" w:cs="Arial"/>
          <w:sz w:val="22"/>
          <w:szCs w:val="22"/>
        </w:rPr>
        <w:t>,</w:t>
      </w:r>
      <w:r w:rsidRPr="00F90E30">
        <w:rPr>
          <w:rFonts w:ascii="Arial" w:hAnsi="Arial" w:cs="Arial"/>
          <w:sz w:val="22"/>
          <w:szCs w:val="22"/>
        </w:rPr>
        <w:t xml:space="preserve"> 2019)</w:t>
      </w:r>
      <w:r>
        <w:rPr>
          <w:rFonts w:ascii="Arial" w:hAnsi="Arial" w:cs="Arial"/>
          <w:sz w:val="22"/>
          <w:szCs w:val="22"/>
        </w:rPr>
        <w:t>. The data collected from this research has been analysed using a number of statistical methods, primarily focussing on those that have been commonly utilised in therapist effects/therapist variables research.</w:t>
      </w:r>
    </w:p>
    <w:p w14:paraId="0BAE1620" w14:textId="3ABE4141" w:rsidR="00C70A79" w:rsidRDefault="00C70A79">
      <w:pPr>
        <w:rPr>
          <w:rFonts w:ascii="Arial" w:eastAsiaTheme="majorEastAsia" w:hAnsi="Arial" w:cs="Arial"/>
          <w:b/>
          <w:bCs/>
          <w:color w:val="000000" w:themeColor="text1"/>
          <w:sz w:val="22"/>
          <w:szCs w:val="22"/>
        </w:rPr>
      </w:pPr>
      <w:r>
        <w:rPr>
          <w:rFonts w:ascii="Arial" w:hAnsi="Arial" w:cs="Arial"/>
          <w:color w:val="000000" w:themeColor="text1"/>
          <w:sz w:val="22"/>
          <w:szCs w:val="22"/>
        </w:rPr>
        <w:br w:type="page"/>
      </w:r>
    </w:p>
    <w:p w14:paraId="625CC9EA" w14:textId="42326CC7" w:rsidR="00DC2DE7" w:rsidRPr="009A07EB" w:rsidRDefault="008A1595" w:rsidP="009A07EB">
      <w:pPr>
        <w:pStyle w:val="Heading2"/>
        <w:rPr>
          <w:rFonts w:ascii="Arial" w:hAnsi="Arial" w:cs="Arial"/>
          <w:sz w:val="22"/>
          <w:szCs w:val="22"/>
        </w:rPr>
      </w:pPr>
      <w:bookmarkStart w:id="455" w:name="_Toc46770857"/>
      <w:bookmarkStart w:id="456" w:name="_Toc79414268"/>
      <w:r w:rsidRPr="009A07EB">
        <w:rPr>
          <w:rFonts w:ascii="Arial" w:hAnsi="Arial" w:cs="Arial"/>
          <w:color w:val="000000" w:themeColor="text1"/>
          <w:sz w:val="22"/>
          <w:szCs w:val="22"/>
        </w:rPr>
        <w:lastRenderedPageBreak/>
        <w:t>6</w:t>
      </w:r>
      <w:r w:rsidR="00DC2DE7" w:rsidRPr="009A07EB">
        <w:rPr>
          <w:rFonts w:ascii="Arial" w:hAnsi="Arial" w:cs="Arial"/>
          <w:color w:val="000000" w:themeColor="text1"/>
          <w:sz w:val="22"/>
          <w:szCs w:val="22"/>
        </w:rPr>
        <w:t>.</w:t>
      </w:r>
      <w:r w:rsidR="00633677">
        <w:rPr>
          <w:rFonts w:ascii="Arial" w:hAnsi="Arial" w:cs="Arial"/>
          <w:color w:val="000000" w:themeColor="text1"/>
          <w:sz w:val="22"/>
          <w:szCs w:val="22"/>
        </w:rPr>
        <w:t>9</w:t>
      </w:r>
      <w:r w:rsidR="00DC2DE7" w:rsidRPr="009A07EB">
        <w:rPr>
          <w:rFonts w:ascii="Arial" w:hAnsi="Arial" w:cs="Arial"/>
          <w:color w:val="000000" w:themeColor="text1"/>
          <w:sz w:val="22"/>
          <w:szCs w:val="22"/>
        </w:rPr>
        <w:t xml:space="preserve"> CONTRIBUTIONS TO KNOWLEDGE</w:t>
      </w:r>
      <w:bookmarkEnd w:id="455"/>
      <w:bookmarkEnd w:id="456"/>
    </w:p>
    <w:p w14:paraId="1CBB0654" w14:textId="77777777" w:rsidR="00DC2DE7" w:rsidRPr="00F90E30" w:rsidRDefault="00DC2DE7" w:rsidP="00DC2DE7">
      <w:pPr>
        <w:spacing w:line="480" w:lineRule="auto"/>
        <w:rPr>
          <w:rFonts w:ascii="Arial" w:hAnsi="Arial" w:cs="Arial"/>
          <w:sz w:val="22"/>
          <w:szCs w:val="22"/>
        </w:rPr>
      </w:pPr>
    </w:p>
    <w:p w14:paraId="4DEE82B5" w14:textId="77777777" w:rsidR="00DC2DE7" w:rsidRDefault="00DC2DE7" w:rsidP="00DC2DE7">
      <w:pPr>
        <w:spacing w:line="480" w:lineRule="auto"/>
        <w:rPr>
          <w:rFonts w:ascii="Arial" w:hAnsi="Arial" w:cs="Arial"/>
          <w:sz w:val="22"/>
          <w:szCs w:val="22"/>
        </w:rPr>
      </w:pPr>
      <w:r w:rsidRPr="00F90E30">
        <w:rPr>
          <w:rFonts w:ascii="Arial" w:hAnsi="Arial" w:cs="Arial"/>
          <w:sz w:val="22"/>
          <w:szCs w:val="22"/>
        </w:rPr>
        <w:t>This study sought to go beyond estimating how therapist effects account for the variance in clinical outcomes. Current research suggests that approximately 5-8% of the variability in clinical outcomes is due to therapist effects (Lutz et al., 2015). Whilst therapist effects</w:t>
      </w:r>
      <w:r>
        <w:rPr>
          <w:rFonts w:ascii="Arial" w:hAnsi="Arial" w:cs="Arial"/>
          <w:sz w:val="22"/>
          <w:szCs w:val="22"/>
        </w:rPr>
        <w:t xml:space="preserve"> research is a highly useful method to understand the variance in therapist outcome, it</w:t>
      </w:r>
      <w:r w:rsidRPr="00F90E30">
        <w:rPr>
          <w:rFonts w:ascii="Arial" w:hAnsi="Arial" w:cs="Arial"/>
          <w:sz w:val="22"/>
          <w:szCs w:val="22"/>
        </w:rPr>
        <w:t xml:space="preserve"> reveal</w:t>
      </w:r>
      <w:r>
        <w:rPr>
          <w:rFonts w:ascii="Arial" w:hAnsi="Arial" w:cs="Arial"/>
          <w:sz w:val="22"/>
          <w:szCs w:val="22"/>
        </w:rPr>
        <w:t>s</w:t>
      </w:r>
      <w:r w:rsidRPr="00F90E30">
        <w:rPr>
          <w:rFonts w:ascii="Arial" w:hAnsi="Arial" w:cs="Arial"/>
          <w:sz w:val="22"/>
          <w:szCs w:val="22"/>
        </w:rPr>
        <w:t xml:space="preserve"> very little about what the most, or least, effective therapists are doing with their patients.</w:t>
      </w:r>
      <w:r>
        <w:rPr>
          <w:rFonts w:ascii="Arial" w:hAnsi="Arial" w:cs="Arial"/>
          <w:sz w:val="22"/>
          <w:szCs w:val="22"/>
        </w:rPr>
        <w:t xml:space="preserve"> This limitation of therapist effects studies is a commonly</w:t>
      </w:r>
      <w:r w:rsidRPr="00F90E30">
        <w:rPr>
          <w:rFonts w:ascii="Arial" w:hAnsi="Arial" w:cs="Arial"/>
          <w:sz w:val="22"/>
          <w:szCs w:val="22"/>
        </w:rPr>
        <w:t xml:space="preserve"> </w:t>
      </w:r>
      <w:r>
        <w:rPr>
          <w:rFonts w:ascii="Arial" w:hAnsi="Arial" w:cs="Arial"/>
          <w:sz w:val="22"/>
          <w:szCs w:val="22"/>
        </w:rPr>
        <w:t>cited phenomenon (</w:t>
      </w:r>
      <w:r w:rsidRPr="00F90E30">
        <w:rPr>
          <w:rFonts w:ascii="Arial" w:hAnsi="Arial" w:cs="Arial"/>
          <w:sz w:val="22"/>
          <w:szCs w:val="22"/>
        </w:rPr>
        <w:t>Johns, Kellett, Saxon and Barkham (2019)</w:t>
      </w:r>
      <w:r>
        <w:rPr>
          <w:rFonts w:ascii="Arial" w:hAnsi="Arial" w:cs="Arial"/>
          <w:sz w:val="22"/>
          <w:szCs w:val="22"/>
        </w:rPr>
        <w:t xml:space="preserve">. </w:t>
      </w:r>
      <w:r w:rsidRPr="00F90E30">
        <w:rPr>
          <w:rFonts w:ascii="Arial" w:hAnsi="Arial" w:cs="Arial"/>
          <w:sz w:val="22"/>
          <w:szCs w:val="22"/>
        </w:rPr>
        <w:t xml:space="preserve">Therefore, this study focussed on understanding whether therapist behaviour, in relation to fidelity to the CBT model and adherence to the evidence-base, </w:t>
      </w:r>
      <w:r>
        <w:rPr>
          <w:rFonts w:ascii="Arial" w:hAnsi="Arial" w:cs="Arial"/>
          <w:sz w:val="22"/>
          <w:szCs w:val="22"/>
        </w:rPr>
        <w:t xml:space="preserve">is </w:t>
      </w:r>
      <w:r w:rsidRPr="00F90E30">
        <w:rPr>
          <w:rFonts w:ascii="Arial" w:hAnsi="Arial" w:cs="Arial"/>
          <w:sz w:val="22"/>
          <w:szCs w:val="22"/>
        </w:rPr>
        <w:t xml:space="preserve">related to clinical outcome.  This was only possible because of the availability of verbatim therapy transcripts for every therapy session delivered by each therapist who participated in the study. </w:t>
      </w:r>
    </w:p>
    <w:p w14:paraId="5462D341" w14:textId="77777777" w:rsidR="007215D5" w:rsidRDefault="007215D5" w:rsidP="00DC2DE7">
      <w:pPr>
        <w:spacing w:line="480" w:lineRule="auto"/>
        <w:rPr>
          <w:rFonts w:ascii="Arial" w:hAnsi="Arial" w:cs="Arial"/>
          <w:sz w:val="22"/>
          <w:szCs w:val="22"/>
        </w:rPr>
      </w:pPr>
    </w:p>
    <w:p w14:paraId="52192A73" w14:textId="52BD0D71" w:rsidR="00DC2DE7" w:rsidRDefault="009A07EB" w:rsidP="007215D5">
      <w:pPr>
        <w:pStyle w:val="Heading3"/>
        <w:rPr>
          <w:rFonts w:cs="Arial"/>
          <w:color w:val="000000" w:themeColor="text1"/>
          <w:szCs w:val="22"/>
        </w:rPr>
      </w:pPr>
      <w:bookmarkStart w:id="457" w:name="_Toc46770858"/>
      <w:bookmarkStart w:id="458" w:name="_Toc79414269"/>
      <w:r>
        <w:rPr>
          <w:rFonts w:cs="Arial"/>
          <w:color w:val="000000" w:themeColor="text1"/>
          <w:szCs w:val="22"/>
        </w:rPr>
        <w:t>6.</w:t>
      </w:r>
      <w:r w:rsidR="00633677">
        <w:rPr>
          <w:rFonts w:cs="Arial"/>
          <w:color w:val="000000" w:themeColor="text1"/>
          <w:szCs w:val="22"/>
        </w:rPr>
        <w:t>9</w:t>
      </w:r>
      <w:r>
        <w:rPr>
          <w:rFonts w:cs="Arial"/>
          <w:color w:val="000000" w:themeColor="text1"/>
          <w:szCs w:val="22"/>
        </w:rPr>
        <w:t>.1</w:t>
      </w:r>
      <w:r w:rsidR="00DC2DE7" w:rsidRPr="007215D5">
        <w:rPr>
          <w:rFonts w:cs="Arial"/>
          <w:color w:val="000000" w:themeColor="text1"/>
          <w:szCs w:val="22"/>
        </w:rPr>
        <w:t xml:space="preserve"> Variance in outcome</w:t>
      </w:r>
      <w:bookmarkEnd w:id="457"/>
      <w:bookmarkEnd w:id="458"/>
    </w:p>
    <w:p w14:paraId="7049E340" w14:textId="77777777" w:rsidR="007215D5" w:rsidRPr="007215D5" w:rsidRDefault="007215D5" w:rsidP="007215D5"/>
    <w:p w14:paraId="2A7E6FAC" w14:textId="0660EAF4" w:rsidR="00DC2DE7" w:rsidRDefault="00DC2DE7" w:rsidP="00DC2DE7">
      <w:pPr>
        <w:spacing w:line="480" w:lineRule="auto"/>
        <w:rPr>
          <w:rFonts w:ascii="Arial" w:hAnsi="Arial" w:cs="Arial"/>
          <w:sz w:val="22"/>
          <w:szCs w:val="22"/>
        </w:rPr>
      </w:pPr>
      <w:r w:rsidRPr="00F90E30">
        <w:rPr>
          <w:rFonts w:ascii="Arial" w:hAnsi="Arial" w:cs="Arial"/>
          <w:sz w:val="22"/>
          <w:szCs w:val="22"/>
        </w:rPr>
        <w:t>It is widely accepted that therapists vary in their ability to effectively deliver interventions to patients</w:t>
      </w:r>
      <w:r>
        <w:rPr>
          <w:rFonts w:ascii="Arial" w:hAnsi="Arial" w:cs="Arial"/>
          <w:sz w:val="22"/>
          <w:szCs w:val="22"/>
        </w:rPr>
        <w:t>,</w:t>
      </w:r>
      <w:r w:rsidRPr="00F90E30">
        <w:rPr>
          <w:rFonts w:ascii="Arial" w:hAnsi="Arial" w:cs="Arial"/>
          <w:sz w:val="22"/>
          <w:szCs w:val="22"/>
        </w:rPr>
        <w:t xml:space="preserve"> with some being far better than others (Lutz et al., 2015, Baldwin and Imel, 2013, Saxon and Barkham 2012).</w:t>
      </w:r>
      <w:r>
        <w:rPr>
          <w:rFonts w:ascii="Arial" w:hAnsi="Arial" w:cs="Arial"/>
          <w:sz w:val="22"/>
          <w:szCs w:val="22"/>
        </w:rPr>
        <w:t xml:space="preserve"> This research reports a similar finding with a significant variance between those therapists with the best outcomes and those with the worst outcomes. Figure </w:t>
      </w:r>
      <w:r w:rsidR="008A1595">
        <w:rPr>
          <w:rFonts w:ascii="Arial" w:hAnsi="Arial" w:cs="Arial"/>
          <w:sz w:val="22"/>
          <w:szCs w:val="22"/>
        </w:rPr>
        <w:t>6</w:t>
      </w:r>
      <w:r>
        <w:rPr>
          <w:rFonts w:ascii="Arial" w:hAnsi="Arial" w:cs="Arial"/>
          <w:sz w:val="22"/>
          <w:szCs w:val="22"/>
        </w:rPr>
        <w:t>.</w:t>
      </w:r>
      <w:r w:rsidR="00445577">
        <w:rPr>
          <w:rFonts w:ascii="Arial" w:hAnsi="Arial" w:cs="Arial"/>
          <w:sz w:val="22"/>
          <w:szCs w:val="22"/>
        </w:rPr>
        <w:t>5</w:t>
      </w:r>
      <w:r>
        <w:rPr>
          <w:rFonts w:ascii="Arial" w:hAnsi="Arial" w:cs="Arial"/>
          <w:sz w:val="22"/>
          <w:szCs w:val="22"/>
        </w:rPr>
        <w:t xml:space="preserve"> illustrates the variance between the therapists in this research</w:t>
      </w:r>
      <w:r w:rsidR="00445577">
        <w:rPr>
          <w:rFonts w:ascii="Arial" w:hAnsi="Arial" w:cs="Arial"/>
          <w:sz w:val="22"/>
          <w:szCs w:val="22"/>
        </w:rPr>
        <w:t xml:space="preserve">, </w:t>
      </w:r>
      <w:r w:rsidR="00445577" w:rsidRPr="008F7571">
        <w:rPr>
          <w:rFonts w:ascii="Arial" w:hAnsi="Arial" w:cs="Arial"/>
          <w:sz w:val="22"/>
          <w:szCs w:val="22"/>
        </w:rPr>
        <w:t>showing the rank position of each therapist.</w:t>
      </w:r>
    </w:p>
    <w:p w14:paraId="4F8ED08E" w14:textId="77777777" w:rsidR="00DC2DE7" w:rsidRDefault="00DC2DE7" w:rsidP="00DC2DE7">
      <w:pPr>
        <w:spacing w:line="480" w:lineRule="auto"/>
        <w:rPr>
          <w:rFonts w:ascii="Arial" w:hAnsi="Arial" w:cs="Arial"/>
          <w:sz w:val="22"/>
          <w:szCs w:val="22"/>
        </w:rPr>
      </w:pPr>
    </w:p>
    <w:p w14:paraId="5F601502" w14:textId="77777777" w:rsidR="007215D5" w:rsidRDefault="007215D5" w:rsidP="00DC2DE7">
      <w:pPr>
        <w:spacing w:line="480" w:lineRule="auto"/>
        <w:rPr>
          <w:rFonts w:ascii="Arial" w:hAnsi="Arial" w:cs="Arial"/>
          <w:sz w:val="22"/>
          <w:szCs w:val="22"/>
        </w:rPr>
      </w:pPr>
    </w:p>
    <w:p w14:paraId="61D79C51" w14:textId="77777777" w:rsidR="007215D5" w:rsidRDefault="007215D5" w:rsidP="00DC2DE7">
      <w:pPr>
        <w:spacing w:line="480" w:lineRule="auto"/>
        <w:rPr>
          <w:rFonts w:ascii="Arial" w:hAnsi="Arial" w:cs="Arial"/>
          <w:sz w:val="22"/>
          <w:szCs w:val="22"/>
        </w:rPr>
      </w:pPr>
    </w:p>
    <w:p w14:paraId="3611BECE" w14:textId="77777777" w:rsidR="009A07EB" w:rsidRDefault="009A07EB" w:rsidP="00DC2DE7">
      <w:pPr>
        <w:spacing w:line="480" w:lineRule="auto"/>
        <w:rPr>
          <w:rFonts w:ascii="Arial" w:hAnsi="Arial" w:cs="Arial"/>
          <w:b/>
          <w:bCs/>
          <w:sz w:val="22"/>
          <w:szCs w:val="22"/>
        </w:rPr>
      </w:pPr>
    </w:p>
    <w:p w14:paraId="43E0A34D" w14:textId="77777777" w:rsidR="009A07EB" w:rsidRDefault="009A07EB" w:rsidP="00DC2DE7">
      <w:pPr>
        <w:spacing w:line="480" w:lineRule="auto"/>
        <w:rPr>
          <w:rFonts w:ascii="Arial" w:hAnsi="Arial" w:cs="Arial"/>
          <w:b/>
          <w:bCs/>
          <w:sz w:val="22"/>
          <w:szCs w:val="22"/>
        </w:rPr>
      </w:pPr>
    </w:p>
    <w:p w14:paraId="4FE18CB8" w14:textId="77777777" w:rsidR="009A07EB" w:rsidRDefault="009A07EB" w:rsidP="00DC2DE7">
      <w:pPr>
        <w:spacing w:line="480" w:lineRule="auto"/>
        <w:rPr>
          <w:rFonts w:ascii="Arial" w:hAnsi="Arial" w:cs="Arial"/>
          <w:b/>
          <w:bCs/>
          <w:sz w:val="22"/>
          <w:szCs w:val="22"/>
        </w:rPr>
      </w:pPr>
    </w:p>
    <w:p w14:paraId="2C14536F" w14:textId="77777777" w:rsidR="009A07EB" w:rsidRDefault="009A07EB" w:rsidP="00DC2DE7">
      <w:pPr>
        <w:spacing w:line="480" w:lineRule="auto"/>
        <w:rPr>
          <w:rFonts w:ascii="Arial" w:hAnsi="Arial" w:cs="Arial"/>
          <w:b/>
          <w:bCs/>
          <w:sz w:val="22"/>
          <w:szCs w:val="22"/>
        </w:rPr>
      </w:pPr>
    </w:p>
    <w:p w14:paraId="77B65AE3" w14:textId="63F66788" w:rsidR="00C70A79" w:rsidRPr="00C54F79" w:rsidRDefault="00C70A79" w:rsidP="00C54F79">
      <w:pPr>
        <w:pStyle w:val="Figures"/>
        <w:rPr>
          <w:rFonts w:cs="Arial"/>
          <w:bCs/>
          <w:szCs w:val="22"/>
        </w:rPr>
      </w:pPr>
      <w:r>
        <w:rPr>
          <w:rFonts w:cs="Arial"/>
          <w:bCs/>
          <w:szCs w:val="22"/>
        </w:rPr>
        <w:br w:type="page"/>
      </w:r>
      <w:bookmarkStart w:id="459" w:name="_Toc46770966"/>
      <w:r w:rsidRPr="00C54F79">
        <w:lastRenderedPageBreak/>
        <w:t>Figure 6.</w:t>
      </w:r>
      <w:r w:rsidR="008C4832" w:rsidRPr="00C54F79">
        <w:t>5</w:t>
      </w:r>
      <w:r w:rsidR="008C4832" w:rsidRPr="00C54F79">
        <w:rPr>
          <w:b w:val="0"/>
          <w:bCs/>
        </w:rPr>
        <w:t xml:space="preserve"> </w:t>
      </w:r>
      <w:r w:rsidRPr="00C54F79">
        <w:rPr>
          <w:b w:val="0"/>
          <w:bCs/>
        </w:rPr>
        <w:t>Therapist rank position</w:t>
      </w:r>
      <w:bookmarkEnd w:id="459"/>
    </w:p>
    <w:p w14:paraId="2E350BF7" w14:textId="77777777" w:rsidR="002B4D9D" w:rsidRDefault="002B4D9D" w:rsidP="00C70A79">
      <w:pPr>
        <w:pStyle w:val="Figures"/>
      </w:pPr>
    </w:p>
    <w:p w14:paraId="2102F2C7" w14:textId="77777777" w:rsidR="00DC2DE7" w:rsidRDefault="00DC2DE7" w:rsidP="007F4F00">
      <w:pPr>
        <w:autoSpaceDE w:val="0"/>
        <w:autoSpaceDN w:val="0"/>
        <w:adjustRightInd w:val="0"/>
        <w:rPr>
          <w:rFonts w:ascii="Times New Roman" w:eastAsiaTheme="minorHAnsi" w:hAnsi="Times New Roman" w:cs="Times New Roman"/>
          <w:lang w:val="en-US"/>
        </w:rPr>
      </w:pPr>
      <w:r>
        <w:rPr>
          <w:rFonts w:ascii="Times New Roman" w:eastAsiaTheme="minorHAnsi" w:hAnsi="Times New Roman" w:cs="Times New Roman"/>
          <w:noProof/>
          <w:lang w:val="en-US"/>
        </w:rPr>
        <w:drawing>
          <wp:inline distT="0" distB="0" distL="0" distR="0" wp14:anchorId="781504F3" wp14:editId="0C3EFCD4">
            <wp:extent cx="6008618" cy="3840321"/>
            <wp:effectExtent l="0" t="0" r="0" b="8255"/>
            <wp:docPr id="21" name="Picture 21" descr="P360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P3604#yIS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036417" cy="3858088"/>
                    </a:xfrm>
                    <a:prstGeom prst="rect">
                      <a:avLst/>
                    </a:prstGeom>
                    <a:noFill/>
                    <a:ln>
                      <a:noFill/>
                    </a:ln>
                  </pic:spPr>
                </pic:pic>
              </a:graphicData>
            </a:graphic>
          </wp:inline>
        </w:drawing>
      </w:r>
    </w:p>
    <w:p w14:paraId="09287624" w14:textId="77777777" w:rsidR="00DC2DE7" w:rsidRDefault="00DC2DE7" w:rsidP="00DC2DE7">
      <w:pPr>
        <w:autoSpaceDE w:val="0"/>
        <w:autoSpaceDN w:val="0"/>
        <w:adjustRightInd w:val="0"/>
        <w:rPr>
          <w:rFonts w:ascii="Times New Roman" w:eastAsiaTheme="minorHAnsi" w:hAnsi="Times New Roman" w:cs="Times New Roman"/>
          <w:lang w:val="en-US"/>
        </w:rPr>
      </w:pPr>
    </w:p>
    <w:p w14:paraId="7048FF3E" w14:textId="77777777" w:rsidR="00DC2DE7" w:rsidRDefault="00DC2DE7" w:rsidP="00DC2DE7">
      <w:pPr>
        <w:autoSpaceDE w:val="0"/>
        <w:autoSpaceDN w:val="0"/>
        <w:adjustRightInd w:val="0"/>
        <w:spacing w:line="400" w:lineRule="atLeast"/>
        <w:rPr>
          <w:rFonts w:ascii="Times New Roman" w:eastAsiaTheme="minorHAnsi" w:hAnsi="Times New Roman" w:cs="Times New Roman"/>
          <w:lang w:val="en-US"/>
        </w:rPr>
      </w:pPr>
    </w:p>
    <w:p w14:paraId="3B74E842" w14:textId="77777777" w:rsidR="00DC2DE7" w:rsidRDefault="00DC2DE7" w:rsidP="00DC2DE7">
      <w:pPr>
        <w:spacing w:line="480" w:lineRule="auto"/>
        <w:rPr>
          <w:rFonts w:ascii="Arial" w:hAnsi="Arial" w:cs="Arial"/>
          <w:sz w:val="22"/>
          <w:szCs w:val="22"/>
        </w:rPr>
      </w:pPr>
    </w:p>
    <w:p w14:paraId="02FEC541" w14:textId="77777777" w:rsidR="007F4F00" w:rsidRDefault="007F4F00">
      <w:pPr>
        <w:rPr>
          <w:rFonts w:ascii="Arial" w:hAnsi="Arial" w:cs="Arial"/>
          <w:sz w:val="22"/>
          <w:szCs w:val="22"/>
        </w:rPr>
      </w:pPr>
      <w:r>
        <w:rPr>
          <w:rFonts w:ascii="Arial" w:hAnsi="Arial" w:cs="Arial"/>
          <w:sz w:val="22"/>
          <w:szCs w:val="22"/>
        </w:rPr>
        <w:br w:type="page"/>
      </w:r>
    </w:p>
    <w:p w14:paraId="0EFEF3D6" w14:textId="3849D1B4" w:rsidR="00DC2DE7" w:rsidRPr="00F90E30" w:rsidRDefault="00DC2DE7" w:rsidP="00DC2DE7">
      <w:pPr>
        <w:spacing w:line="480" w:lineRule="auto"/>
        <w:rPr>
          <w:rFonts w:ascii="Arial" w:hAnsi="Arial" w:cs="Arial"/>
          <w:sz w:val="22"/>
          <w:szCs w:val="22"/>
        </w:rPr>
      </w:pPr>
      <w:r>
        <w:rPr>
          <w:rFonts w:ascii="Arial" w:hAnsi="Arial" w:cs="Arial"/>
          <w:sz w:val="22"/>
          <w:szCs w:val="22"/>
        </w:rPr>
        <w:lastRenderedPageBreak/>
        <w:t xml:space="preserve">Figure </w:t>
      </w:r>
      <w:r w:rsidR="008A1595">
        <w:rPr>
          <w:rFonts w:ascii="Arial" w:hAnsi="Arial" w:cs="Arial"/>
          <w:sz w:val="22"/>
          <w:szCs w:val="22"/>
        </w:rPr>
        <w:t>6</w:t>
      </w:r>
      <w:r>
        <w:rPr>
          <w:rFonts w:ascii="Arial" w:hAnsi="Arial" w:cs="Arial"/>
          <w:sz w:val="22"/>
          <w:szCs w:val="22"/>
        </w:rPr>
        <w:t>.</w:t>
      </w:r>
      <w:r w:rsidR="008C4832">
        <w:rPr>
          <w:rFonts w:ascii="Arial" w:hAnsi="Arial" w:cs="Arial"/>
          <w:sz w:val="22"/>
          <w:szCs w:val="22"/>
        </w:rPr>
        <w:t xml:space="preserve">5 </w:t>
      </w:r>
      <w:r>
        <w:rPr>
          <w:rFonts w:ascii="Arial" w:hAnsi="Arial" w:cs="Arial"/>
          <w:sz w:val="22"/>
          <w:szCs w:val="22"/>
        </w:rPr>
        <w:t xml:space="preserve">shows the recovery rate for each therapist in the sample ranging from the most effective to the least effective. The mean recovery rate for all the therapists was 50% (SD 19.02, SE 1.35) with a range of 0% to 100%. </w:t>
      </w:r>
      <w:r w:rsidRPr="00F90E30">
        <w:rPr>
          <w:rFonts w:ascii="Arial" w:hAnsi="Arial" w:cs="Arial"/>
          <w:sz w:val="22"/>
          <w:szCs w:val="22"/>
        </w:rPr>
        <w:t>Understanding what the most effective therapists are doing with their patients has the potential to significantly impact on therapist training</w:t>
      </w:r>
      <w:r>
        <w:rPr>
          <w:rFonts w:ascii="Arial" w:hAnsi="Arial" w:cs="Arial"/>
          <w:sz w:val="22"/>
          <w:szCs w:val="22"/>
        </w:rPr>
        <w:t>, continuing professional development</w:t>
      </w:r>
      <w:r w:rsidRPr="00F90E30">
        <w:rPr>
          <w:rFonts w:ascii="Arial" w:hAnsi="Arial" w:cs="Arial"/>
          <w:sz w:val="22"/>
          <w:szCs w:val="22"/>
        </w:rPr>
        <w:t xml:space="preserve"> and </w:t>
      </w:r>
      <w:r>
        <w:rPr>
          <w:rFonts w:ascii="Arial" w:hAnsi="Arial" w:cs="Arial"/>
          <w:sz w:val="22"/>
          <w:szCs w:val="22"/>
        </w:rPr>
        <w:t xml:space="preserve">clinical </w:t>
      </w:r>
      <w:r w:rsidRPr="00F90E30">
        <w:rPr>
          <w:rFonts w:ascii="Arial" w:hAnsi="Arial" w:cs="Arial"/>
          <w:sz w:val="22"/>
          <w:szCs w:val="22"/>
        </w:rPr>
        <w:t>supervision and may result in more patients reaching clinical recovery (Castonguay, Eubanks, Goldfried, Muran and Lutz, 2015).</w:t>
      </w:r>
    </w:p>
    <w:p w14:paraId="65DD13A2" w14:textId="77777777" w:rsidR="00DC2DE7" w:rsidRDefault="00DC2DE7" w:rsidP="00DC2DE7">
      <w:pPr>
        <w:spacing w:line="480" w:lineRule="auto"/>
        <w:rPr>
          <w:rFonts w:ascii="Arial" w:hAnsi="Arial" w:cs="Arial"/>
          <w:sz w:val="22"/>
          <w:szCs w:val="22"/>
        </w:rPr>
      </w:pPr>
    </w:p>
    <w:p w14:paraId="6D472536" w14:textId="1C657D41" w:rsidR="00DC2DE7" w:rsidRDefault="008A1595" w:rsidP="00DC2DE7">
      <w:pPr>
        <w:pStyle w:val="Heading3"/>
        <w:rPr>
          <w:rFonts w:cs="Arial"/>
          <w:b w:val="0"/>
          <w:color w:val="000000" w:themeColor="text1"/>
          <w:szCs w:val="22"/>
        </w:rPr>
      </w:pPr>
      <w:bookmarkStart w:id="460" w:name="_Toc46770859"/>
      <w:bookmarkStart w:id="461" w:name="_Toc79414270"/>
      <w:r>
        <w:rPr>
          <w:rFonts w:cs="Arial"/>
          <w:color w:val="000000" w:themeColor="text1"/>
          <w:szCs w:val="22"/>
        </w:rPr>
        <w:t>6</w:t>
      </w:r>
      <w:r w:rsidR="00DC2DE7" w:rsidRPr="00624006">
        <w:rPr>
          <w:rFonts w:cs="Arial"/>
          <w:color w:val="000000" w:themeColor="text1"/>
          <w:szCs w:val="22"/>
        </w:rPr>
        <w:t>.</w:t>
      </w:r>
      <w:r w:rsidR="00633677">
        <w:rPr>
          <w:rFonts w:cs="Arial"/>
          <w:color w:val="000000" w:themeColor="text1"/>
          <w:szCs w:val="22"/>
        </w:rPr>
        <w:t>9</w:t>
      </w:r>
      <w:r w:rsidR="00DC2DE7" w:rsidRPr="00624006">
        <w:rPr>
          <w:rFonts w:cs="Arial"/>
          <w:color w:val="000000" w:themeColor="text1"/>
          <w:szCs w:val="22"/>
        </w:rPr>
        <w:t>.2 Therapist Demographics</w:t>
      </w:r>
      <w:bookmarkEnd w:id="460"/>
      <w:bookmarkEnd w:id="461"/>
    </w:p>
    <w:p w14:paraId="5D6B7004" w14:textId="77777777" w:rsidR="00DC2DE7" w:rsidRPr="00624006" w:rsidRDefault="00DC2DE7" w:rsidP="00DC2DE7"/>
    <w:p w14:paraId="7DB53CC4" w14:textId="665CD067" w:rsidR="00DC2DE7" w:rsidRDefault="00DC2DE7" w:rsidP="00DC2DE7">
      <w:pPr>
        <w:spacing w:line="480" w:lineRule="auto"/>
        <w:rPr>
          <w:rFonts w:ascii="Arial" w:hAnsi="Arial" w:cs="Arial"/>
          <w:sz w:val="22"/>
          <w:szCs w:val="22"/>
        </w:rPr>
      </w:pPr>
      <w:r>
        <w:rPr>
          <w:rFonts w:ascii="Arial" w:hAnsi="Arial" w:cs="Arial"/>
          <w:sz w:val="22"/>
          <w:szCs w:val="22"/>
        </w:rPr>
        <w:t xml:space="preserve">This research found that therapists demographics did not account for the variance in </w:t>
      </w:r>
      <w:r w:rsidR="00030708">
        <w:rPr>
          <w:rFonts w:ascii="Arial" w:hAnsi="Arial" w:cs="Arial"/>
          <w:sz w:val="22"/>
          <w:szCs w:val="22"/>
        </w:rPr>
        <w:t>outcomes</w:t>
      </w:r>
      <w:r>
        <w:rPr>
          <w:rFonts w:ascii="Arial" w:hAnsi="Arial" w:cs="Arial"/>
          <w:sz w:val="22"/>
          <w:szCs w:val="22"/>
        </w:rPr>
        <w:t>. This finding is unsurprising in that it is already well accepted that therapist demographics are unimportant in relation to outcome (</w:t>
      </w:r>
      <w:r w:rsidR="00C101BA">
        <w:rPr>
          <w:rFonts w:ascii="Arial" w:hAnsi="Arial" w:cs="Arial"/>
          <w:sz w:val="22"/>
          <w:szCs w:val="22"/>
        </w:rPr>
        <w:t>Hill and Castonguay, 2017</w:t>
      </w:r>
      <w:r>
        <w:rPr>
          <w:rFonts w:ascii="Arial" w:hAnsi="Arial" w:cs="Arial"/>
          <w:sz w:val="22"/>
          <w:szCs w:val="22"/>
        </w:rPr>
        <w:t xml:space="preserve">).  Two noteworthy exceptions to these finding exist. Branson and Shafran, 2015 and Brosan, Reynolds and Moore, 2006 both report that those therapists with higher academic qualifications tended to score better on the CTS-R and academic writing (Branson and Shafran). However, neither study use clinical outcomes and therefore it is impossible to state whether higher academic qualifications would have corelated with outcome in their respective studies.  </w:t>
      </w:r>
    </w:p>
    <w:p w14:paraId="704F6DD2" w14:textId="77777777" w:rsidR="00DC2DE7" w:rsidRDefault="00DC2DE7" w:rsidP="00DC2DE7">
      <w:pPr>
        <w:spacing w:line="480" w:lineRule="auto"/>
        <w:rPr>
          <w:rFonts w:ascii="Arial" w:hAnsi="Arial" w:cs="Arial"/>
          <w:sz w:val="22"/>
          <w:szCs w:val="22"/>
        </w:rPr>
      </w:pPr>
    </w:p>
    <w:p w14:paraId="3765F21C" w14:textId="4418C6D7" w:rsidR="00DC2DE7" w:rsidRDefault="008A1595" w:rsidP="00DC2DE7">
      <w:pPr>
        <w:pStyle w:val="Heading3"/>
        <w:rPr>
          <w:rFonts w:cs="Arial"/>
          <w:b w:val="0"/>
          <w:color w:val="000000" w:themeColor="text1"/>
          <w:szCs w:val="22"/>
        </w:rPr>
      </w:pPr>
      <w:bookmarkStart w:id="462" w:name="_Toc46770860"/>
      <w:bookmarkStart w:id="463" w:name="_Toc79414271"/>
      <w:r>
        <w:rPr>
          <w:rFonts w:cs="Arial"/>
          <w:color w:val="000000" w:themeColor="text1"/>
          <w:szCs w:val="22"/>
        </w:rPr>
        <w:t>6</w:t>
      </w:r>
      <w:r w:rsidR="00DC2DE7" w:rsidRPr="00624006">
        <w:rPr>
          <w:rFonts w:cs="Arial"/>
          <w:color w:val="000000" w:themeColor="text1"/>
          <w:szCs w:val="22"/>
        </w:rPr>
        <w:t>.</w:t>
      </w:r>
      <w:r w:rsidR="00633677">
        <w:rPr>
          <w:rFonts w:cs="Arial"/>
          <w:color w:val="000000" w:themeColor="text1"/>
          <w:szCs w:val="22"/>
        </w:rPr>
        <w:t>9</w:t>
      </w:r>
      <w:r w:rsidR="00DC2DE7" w:rsidRPr="00624006">
        <w:rPr>
          <w:rFonts w:cs="Arial"/>
          <w:color w:val="000000" w:themeColor="text1"/>
          <w:szCs w:val="22"/>
        </w:rPr>
        <w:t>.</w:t>
      </w:r>
      <w:r w:rsidR="007215D5">
        <w:rPr>
          <w:rFonts w:cs="Arial"/>
          <w:color w:val="000000" w:themeColor="text1"/>
          <w:szCs w:val="22"/>
        </w:rPr>
        <w:t>3</w:t>
      </w:r>
      <w:r w:rsidR="00DC2DE7" w:rsidRPr="00624006">
        <w:rPr>
          <w:rFonts w:cs="Arial"/>
          <w:color w:val="000000" w:themeColor="text1"/>
          <w:szCs w:val="22"/>
        </w:rPr>
        <w:t xml:space="preserve"> Therapist competence</w:t>
      </w:r>
      <w:bookmarkEnd w:id="462"/>
      <w:bookmarkEnd w:id="463"/>
    </w:p>
    <w:p w14:paraId="5D05ED8B" w14:textId="77777777" w:rsidR="00DC2DE7" w:rsidRPr="00624006" w:rsidRDefault="00DC2DE7" w:rsidP="00DC2DE7"/>
    <w:p w14:paraId="4776D160" w14:textId="17B8C831" w:rsidR="00DC2DE7" w:rsidRDefault="00DC2DE7" w:rsidP="00DC2DE7">
      <w:pPr>
        <w:spacing w:line="480" w:lineRule="auto"/>
        <w:rPr>
          <w:rFonts w:ascii="Arial" w:hAnsi="Arial" w:cs="Arial"/>
          <w:sz w:val="22"/>
          <w:szCs w:val="22"/>
        </w:rPr>
      </w:pPr>
      <w:r>
        <w:rPr>
          <w:rFonts w:ascii="Arial" w:hAnsi="Arial" w:cs="Arial"/>
          <w:sz w:val="22"/>
          <w:szCs w:val="22"/>
        </w:rPr>
        <w:t xml:space="preserve">This thesis has </w:t>
      </w:r>
      <w:r w:rsidR="00AC24BF">
        <w:rPr>
          <w:rFonts w:ascii="Arial" w:hAnsi="Arial" w:cs="Arial"/>
          <w:sz w:val="22"/>
          <w:szCs w:val="22"/>
        </w:rPr>
        <w:t xml:space="preserve">reported that </w:t>
      </w:r>
      <w:r>
        <w:rPr>
          <w:rFonts w:ascii="Arial" w:hAnsi="Arial" w:cs="Arial"/>
          <w:sz w:val="22"/>
          <w:szCs w:val="22"/>
        </w:rPr>
        <w:t>therapist competence is associated with outcome</w:t>
      </w:r>
      <w:r w:rsidR="00AC24BF">
        <w:rPr>
          <w:rFonts w:ascii="Arial" w:hAnsi="Arial" w:cs="Arial"/>
          <w:sz w:val="22"/>
          <w:szCs w:val="22"/>
        </w:rPr>
        <w:t xml:space="preserve"> and this supports a commonly</w:t>
      </w:r>
      <w:r w:rsidR="00D85021">
        <w:rPr>
          <w:rFonts w:ascii="Arial" w:hAnsi="Arial" w:cs="Arial"/>
          <w:sz w:val="22"/>
          <w:szCs w:val="22"/>
        </w:rPr>
        <w:t>-</w:t>
      </w:r>
      <w:r w:rsidR="00AC24BF">
        <w:rPr>
          <w:rFonts w:ascii="Arial" w:hAnsi="Arial" w:cs="Arial"/>
          <w:sz w:val="22"/>
          <w:szCs w:val="22"/>
        </w:rPr>
        <w:t>held hypothesis in the associated literature</w:t>
      </w:r>
      <w:r>
        <w:rPr>
          <w:rFonts w:ascii="Arial" w:hAnsi="Arial" w:cs="Arial"/>
          <w:sz w:val="22"/>
          <w:szCs w:val="22"/>
        </w:rPr>
        <w:t xml:space="preserve"> (see </w:t>
      </w:r>
      <w:r w:rsidR="00D85021">
        <w:rPr>
          <w:rFonts w:ascii="Arial" w:hAnsi="Arial" w:cs="Arial"/>
          <w:sz w:val="22"/>
          <w:szCs w:val="22"/>
        </w:rPr>
        <w:t>C</w:t>
      </w:r>
      <w:r>
        <w:rPr>
          <w:rFonts w:ascii="Arial" w:hAnsi="Arial" w:cs="Arial"/>
          <w:sz w:val="22"/>
          <w:szCs w:val="22"/>
        </w:rPr>
        <w:t>hapter</w:t>
      </w:r>
      <w:r w:rsidR="00D85021">
        <w:rPr>
          <w:rFonts w:ascii="Arial" w:hAnsi="Arial" w:cs="Arial"/>
          <w:sz w:val="22"/>
          <w:szCs w:val="22"/>
        </w:rPr>
        <w:t>s</w:t>
      </w:r>
      <w:r>
        <w:rPr>
          <w:rFonts w:ascii="Arial" w:hAnsi="Arial" w:cs="Arial"/>
          <w:sz w:val="22"/>
          <w:szCs w:val="22"/>
        </w:rPr>
        <w:t xml:space="preserve"> 2 and 4). The findings from earlier research are mixed with some studies suggesting that there is a relationship between competence and clinical outcomes (Liness et al., 2019, Haug et al., 2016, Brown et al., 2013, Strunk et al., 2010, Kuyken and Tsivrikos, 2009 and Trepka et al., 2004) and others refuting this (Branson, Shafran and Myles, 2015). </w:t>
      </w:r>
      <w:r w:rsidR="00380415">
        <w:rPr>
          <w:rFonts w:ascii="Arial" w:hAnsi="Arial" w:cs="Arial"/>
          <w:sz w:val="22"/>
          <w:szCs w:val="22"/>
        </w:rPr>
        <w:t>It is important to note that</w:t>
      </w:r>
      <w:r>
        <w:rPr>
          <w:rFonts w:ascii="Arial" w:hAnsi="Arial" w:cs="Arial"/>
          <w:sz w:val="22"/>
          <w:szCs w:val="22"/>
        </w:rPr>
        <w:t xml:space="preserve"> the Branson et al., study used very </w:t>
      </w:r>
      <w:r w:rsidRPr="00587457">
        <w:rPr>
          <w:rFonts w:ascii="Arial" w:hAnsi="Arial" w:cs="Arial"/>
          <w:sz w:val="22"/>
          <w:szCs w:val="22"/>
        </w:rPr>
        <w:t>minimal reliable</w:t>
      </w:r>
      <w:r>
        <w:rPr>
          <w:rFonts w:ascii="Arial" w:hAnsi="Arial" w:cs="Arial"/>
          <w:sz w:val="22"/>
          <w:szCs w:val="22"/>
        </w:rPr>
        <w:t xml:space="preserve"> change indices (a reduction of 2.12 </w:t>
      </w:r>
      <w:r>
        <w:rPr>
          <w:rFonts w:ascii="Arial" w:hAnsi="Arial" w:cs="Arial"/>
          <w:sz w:val="22"/>
          <w:szCs w:val="22"/>
        </w:rPr>
        <w:lastRenderedPageBreak/>
        <w:t xml:space="preserve">on the PHQ-9 and 2.48 on the GAD-7) to report improvement. This is significantly different to the change indices used in this research where a patient had to fall below caseness on both PHQ-9 and GAD-7 in order to be defined as recovered (see </w:t>
      </w:r>
      <w:r w:rsidR="00914A09">
        <w:rPr>
          <w:rFonts w:ascii="Arial" w:hAnsi="Arial" w:cs="Arial"/>
          <w:sz w:val="22"/>
          <w:szCs w:val="22"/>
        </w:rPr>
        <w:t>section 2.12</w:t>
      </w:r>
      <w:r>
        <w:rPr>
          <w:rFonts w:ascii="Arial" w:hAnsi="Arial" w:cs="Arial"/>
          <w:sz w:val="22"/>
          <w:szCs w:val="22"/>
        </w:rPr>
        <w:t xml:space="preserve"> for more details of the definition of recovery). Therefore</w:t>
      </w:r>
      <w:r w:rsidR="00AC24BF">
        <w:rPr>
          <w:rFonts w:ascii="Arial" w:hAnsi="Arial" w:cs="Arial"/>
          <w:sz w:val="22"/>
          <w:szCs w:val="22"/>
        </w:rPr>
        <w:t>,</w:t>
      </w:r>
      <w:r>
        <w:rPr>
          <w:rFonts w:ascii="Arial" w:hAnsi="Arial" w:cs="Arial"/>
          <w:sz w:val="22"/>
          <w:szCs w:val="22"/>
        </w:rPr>
        <w:t xml:space="preserve"> it is surprising that Branson et al., did not report a correlation between competence and outcome given that it was arguably easier to meet the reliable change criteria. That being said, the setting for the Branson et al., study was an IAPT training programme and</w:t>
      </w:r>
      <w:r w:rsidR="00D85021">
        <w:rPr>
          <w:rFonts w:ascii="Arial" w:hAnsi="Arial" w:cs="Arial"/>
          <w:sz w:val="22"/>
          <w:szCs w:val="22"/>
        </w:rPr>
        <w:t>,</w:t>
      </w:r>
      <w:r>
        <w:rPr>
          <w:rFonts w:ascii="Arial" w:hAnsi="Arial" w:cs="Arial"/>
          <w:sz w:val="22"/>
          <w:szCs w:val="22"/>
        </w:rPr>
        <w:t xml:space="preserve"> therefore</w:t>
      </w:r>
      <w:r w:rsidR="00D85021">
        <w:rPr>
          <w:rFonts w:ascii="Arial" w:hAnsi="Arial" w:cs="Arial"/>
          <w:sz w:val="22"/>
          <w:szCs w:val="22"/>
        </w:rPr>
        <w:t>,</w:t>
      </w:r>
      <w:r>
        <w:rPr>
          <w:rFonts w:ascii="Arial" w:hAnsi="Arial" w:cs="Arial"/>
          <w:sz w:val="22"/>
          <w:szCs w:val="22"/>
        </w:rPr>
        <w:t xml:space="preserve"> the therapists were novices rather than qualified therapists. It may not be possible to generalise the results from this study (and other research involving trainees) to qualified therapists (Branson, Shafran and Myles 2015, Liness, Beale, Lea, Byrne, Hirsch and Clark, 2019). The problem that has been identified in this research is that there are insufficient numbers of studies in this field that examine qualified therapist effects/variables, in real</w:t>
      </w:r>
      <w:r w:rsidR="0023735D">
        <w:rPr>
          <w:rFonts w:ascii="Arial" w:hAnsi="Arial" w:cs="Arial"/>
          <w:sz w:val="22"/>
          <w:szCs w:val="22"/>
        </w:rPr>
        <w:t>-</w:t>
      </w:r>
      <w:r>
        <w:rPr>
          <w:rFonts w:ascii="Arial" w:hAnsi="Arial" w:cs="Arial"/>
          <w:sz w:val="22"/>
          <w:szCs w:val="22"/>
        </w:rPr>
        <w:t xml:space="preserve">world clinical settings, that have adequate access to live therapy material. Those that do, are so heterogeneous that it is difficult to draw conclusions. This research has sought to use outcome measures and processes that are common and easily replicable in order to add to the knowledge in this field. This research found that therapist competence was positively related to clinical outcomes at the </w:t>
      </w:r>
      <w:r>
        <w:rPr>
          <w:rFonts w:ascii="Arial" w:hAnsi="Arial" w:cs="Arial"/>
          <w:sz w:val="22"/>
          <w:szCs w:val="22"/>
        </w:rPr>
        <w:sym w:font="Symbol" w:char="F03C"/>
      </w:r>
      <w:r>
        <w:rPr>
          <w:rFonts w:ascii="Arial" w:hAnsi="Arial" w:cs="Arial"/>
          <w:sz w:val="22"/>
          <w:szCs w:val="22"/>
        </w:rPr>
        <w:t xml:space="preserve"> 0.05 level.  This finding is the same as the Liness et al., (2019), Haug et al., (2016), Brown et al., (2013), Strunk et al., (2010), Kuyken and Tsivrikos, (2009) and Trepka et al., (2004) studies. However, only Liness et al., (2019) used PHQ-9 and GAD-7 (as outcome measures) and CTS-R to rate competence.  Each of the other studies used different measures and different methods to assess competence. Despite these differences, this research confirms the findings of other studies whilst increasing the sample size and access to a random selection of therapy sessions.</w:t>
      </w:r>
    </w:p>
    <w:p w14:paraId="344B2E96" w14:textId="77777777" w:rsidR="00DC2DE7" w:rsidRDefault="00DC2DE7" w:rsidP="00DC2DE7">
      <w:pPr>
        <w:spacing w:line="480" w:lineRule="auto"/>
        <w:rPr>
          <w:rFonts w:ascii="Arial" w:hAnsi="Arial" w:cs="Arial"/>
          <w:sz w:val="22"/>
          <w:szCs w:val="22"/>
        </w:rPr>
      </w:pPr>
    </w:p>
    <w:p w14:paraId="4346FABF" w14:textId="02E1F0AC" w:rsidR="00DC2DE7" w:rsidRDefault="008A1595" w:rsidP="00DC2DE7">
      <w:pPr>
        <w:pStyle w:val="Heading3"/>
        <w:rPr>
          <w:rFonts w:cs="Arial"/>
          <w:b w:val="0"/>
          <w:color w:val="000000" w:themeColor="text1"/>
          <w:szCs w:val="22"/>
        </w:rPr>
      </w:pPr>
      <w:bookmarkStart w:id="464" w:name="_Toc46770861"/>
      <w:bookmarkStart w:id="465" w:name="_Toc79414272"/>
      <w:r>
        <w:rPr>
          <w:rFonts w:cs="Arial"/>
          <w:color w:val="000000" w:themeColor="text1"/>
          <w:szCs w:val="22"/>
        </w:rPr>
        <w:t>6</w:t>
      </w:r>
      <w:r w:rsidR="00DC2DE7" w:rsidRPr="00314611">
        <w:rPr>
          <w:rFonts w:cs="Arial"/>
          <w:color w:val="000000" w:themeColor="text1"/>
          <w:szCs w:val="22"/>
        </w:rPr>
        <w:t>.</w:t>
      </w:r>
      <w:r w:rsidR="00633677">
        <w:rPr>
          <w:rFonts w:cs="Arial"/>
          <w:color w:val="000000" w:themeColor="text1"/>
          <w:szCs w:val="22"/>
        </w:rPr>
        <w:t>9</w:t>
      </w:r>
      <w:r w:rsidR="00DC2DE7" w:rsidRPr="00314611">
        <w:rPr>
          <w:rFonts w:cs="Arial"/>
          <w:color w:val="000000" w:themeColor="text1"/>
          <w:szCs w:val="22"/>
        </w:rPr>
        <w:t>.</w:t>
      </w:r>
      <w:r w:rsidR="007215D5">
        <w:rPr>
          <w:rFonts w:cs="Arial"/>
          <w:color w:val="000000" w:themeColor="text1"/>
          <w:szCs w:val="22"/>
        </w:rPr>
        <w:t>4</w:t>
      </w:r>
      <w:r w:rsidR="00DC2DE7" w:rsidRPr="00314611">
        <w:rPr>
          <w:rFonts w:cs="Arial"/>
          <w:color w:val="000000" w:themeColor="text1"/>
          <w:szCs w:val="22"/>
        </w:rPr>
        <w:t xml:space="preserve"> Therapist adherence</w:t>
      </w:r>
      <w:bookmarkEnd w:id="464"/>
      <w:bookmarkEnd w:id="465"/>
    </w:p>
    <w:p w14:paraId="150E4B74" w14:textId="77777777" w:rsidR="00DC2DE7" w:rsidRPr="00314611" w:rsidRDefault="00DC2DE7" w:rsidP="00DC2DE7"/>
    <w:p w14:paraId="78B0AD15" w14:textId="7E2CE8CD" w:rsidR="00DC2DE7" w:rsidRDefault="00DC2DE7" w:rsidP="00DC2DE7">
      <w:pPr>
        <w:spacing w:line="480" w:lineRule="auto"/>
        <w:rPr>
          <w:rFonts w:ascii="Arial" w:hAnsi="Arial" w:cs="Arial"/>
          <w:sz w:val="22"/>
          <w:szCs w:val="22"/>
        </w:rPr>
      </w:pPr>
      <w:r>
        <w:rPr>
          <w:rFonts w:ascii="Arial" w:hAnsi="Arial" w:cs="Arial"/>
          <w:sz w:val="22"/>
          <w:szCs w:val="22"/>
        </w:rPr>
        <w:t xml:space="preserve">This thesis reported that adherence correlated with outcome at the </w:t>
      </w:r>
      <w:r>
        <w:rPr>
          <w:rFonts w:ascii="Arial" w:hAnsi="Arial" w:cs="Arial"/>
          <w:sz w:val="22"/>
          <w:szCs w:val="22"/>
        </w:rPr>
        <w:sym w:font="Symbol" w:char="F03C"/>
      </w:r>
      <w:r>
        <w:rPr>
          <w:rFonts w:ascii="Arial" w:hAnsi="Arial" w:cs="Arial"/>
          <w:sz w:val="22"/>
          <w:szCs w:val="22"/>
        </w:rPr>
        <w:t xml:space="preserve"> 0.05 level.  Whilst not causal, t</w:t>
      </w:r>
      <w:r w:rsidRPr="00F90E30">
        <w:rPr>
          <w:rFonts w:ascii="Arial" w:hAnsi="Arial" w:cs="Arial"/>
          <w:sz w:val="22"/>
          <w:szCs w:val="22"/>
        </w:rPr>
        <w:t xml:space="preserve">he findings </w:t>
      </w:r>
      <w:r>
        <w:rPr>
          <w:rFonts w:ascii="Arial" w:hAnsi="Arial" w:cs="Arial"/>
          <w:sz w:val="22"/>
          <w:szCs w:val="22"/>
        </w:rPr>
        <w:t>in this thesis</w:t>
      </w:r>
      <w:r w:rsidRPr="00F90E30">
        <w:rPr>
          <w:rFonts w:ascii="Arial" w:hAnsi="Arial" w:cs="Arial"/>
          <w:sz w:val="22"/>
          <w:szCs w:val="22"/>
        </w:rPr>
        <w:t xml:space="preserve"> appear to support </w:t>
      </w:r>
      <w:r>
        <w:rPr>
          <w:rFonts w:ascii="Arial" w:hAnsi="Arial" w:cs="Arial"/>
          <w:sz w:val="22"/>
          <w:szCs w:val="22"/>
        </w:rPr>
        <w:t xml:space="preserve">the assertions from prior research </w:t>
      </w:r>
      <w:r w:rsidRPr="00F90E30">
        <w:rPr>
          <w:rFonts w:ascii="Arial" w:hAnsi="Arial" w:cs="Arial"/>
          <w:sz w:val="22"/>
          <w:szCs w:val="22"/>
        </w:rPr>
        <w:t xml:space="preserve">that </w:t>
      </w:r>
      <w:r>
        <w:rPr>
          <w:rFonts w:ascii="Arial" w:hAnsi="Arial" w:cs="Arial"/>
          <w:sz w:val="22"/>
          <w:szCs w:val="22"/>
        </w:rPr>
        <w:lastRenderedPageBreak/>
        <w:t xml:space="preserve">therapist </w:t>
      </w:r>
      <w:r w:rsidRPr="00F90E30">
        <w:rPr>
          <w:rFonts w:ascii="Arial" w:hAnsi="Arial" w:cs="Arial"/>
          <w:sz w:val="22"/>
          <w:szCs w:val="22"/>
        </w:rPr>
        <w:t xml:space="preserve">adherence to an evidence-based protocol </w:t>
      </w:r>
      <w:r>
        <w:rPr>
          <w:rFonts w:ascii="Arial" w:hAnsi="Arial" w:cs="Arial"/>
          <w:sz w:val="22"/>
          <w:szCs w:val="22"/>
        </w:rPr>
        <w:t>is</w:t>
      </w:r>
      <w:r w:rsidRPr="00F90E30">
        <w:rPr>
          <w:rFonts w:ascii="Arial" w:hAnsi="Arial" w:cs="Arial"/>
          <w:sz w:val="22"/>
          <w:szCs w:val="22"/>
        </w:rPr>
        <w:t xml:space="preserve"> significantly related to achieving good clinical outcomes</w:t>
      </w:r>
      <w:r>
        <w:rPr>
          <w:rFonts w:ascii="Arial" w:hAnsi="Arial" w:cs="Arial"/>
          <w:sz w:val="22"/>
          <w:szCs w:val="22"/>
        </w:rPr>
        <w:t xml:space="preserve"> (</w:t>
      </w:r>
      <w:r w:rsidRPr="00F90E30">
        <w:rPr>
          <w:rFonts w:ascii="Arial" w:hAnsi="Arial" w:cs="Arial"/>
          <w:sz w:val="22"/>
          <w:szCs w:val="22"/>
        </w:rPr>
        <w:t>Gyani, Shafran, Layard and Clark</w:t>
      </w:r>
      <w:r w:rsidR="001660C4">
        <w:rPr>
          <w:rFonts w:ascii="Arial" w:hAnsi="Arial" w:cs="Arial"/>
          <w:sz w:val="22"/>
          <w:szCs w:val="22"/>
        </w:rPr>
        <w:t>,</w:t>
      </w:r>
      <w:r w:rsidRPr="00F90E30">
        <w:rPr>
          <w:rFonts w:ascii="Arial" w:hAnsi="Arial" w:cs="Arial"/>
          <w:sz w:val="22"/>
          <w:szCs w:val="22"/>
        </w:rPr>
        <w:t xml:space="preserve"> 2013, Ginzburg et al., 2012 and Shafran et al.,2009). </w:t>
      </w:r>
      <w:r>
        <w:rPr>
          <w:rFonts w:ascii="Arial" w:hAnsi="Arial" w:cs="Arial"/>
          <w:sz w:val="22"/>
          <w:szCs w:val="22"/>
        </w:rPr>
        <w:t>This is a necessary first step towards establishing causality. However, this thesis has argued that caution should be taken when interpreting the findings from therapist effects/therapist variables research which has been conducted as part of research trial to determine the effectiveness of a particular treatment protocol. R</w:t>
      </w:r>
      <w:r w:rsidRPr="00F90E30">
        <w:rPr>
          <w:rFonts w:ascii="Arial" w:hAnsi="Arial" w:cs="Arial"/>
          <w:sz w:val="22"/>
          <w:szCs w:val="22"/>
        </w:rPr>
        <w:t>andomised controlled stud</w:t>
      </w:r>
      <w:r>
        <w:rPr>
          <w:rFonts w:ascii="Arial" w:hAnsi="Arial" w:cs="Arial"/>
          <w:sz w:val="22"/>
          <w:szCs w:val="22"/>
        </w:rPr>
        <w:t>ies</w:t>
      </w:r>
      <w:r w:rsidRPr="00F90E30">
        <w:rPr>
          <w:rFonts w:ascii="Arial" w:hAnsi="Arial" w:cs="Arial"/>
          <w:sz w:val="22"/>
          <w:szCs w:val="22"/>
        </w:rPr>
        <w:t xml:space="preserve"> </w:t>
      </w:r>
      <w:r>
        <w:rPr>
          <w:rFonts w:ascii="Arial" w:hAnsi="Arial" w:cs="Arial"/>
          <w:sz w:val="22"/>
          <w:szCs w:val="22"/>
        </w:rPr>
        <w:t xml:space="preserve">tend to select therapists who are thought to be more likely to adhere to the protocol and </w:t>
      </w:r>
      <w:r w:rsidRPr="00F90E30">
        <w:rPr>
          <w:rFonts w:ascii="Arial" w:hAnsi="Arial" w:cs="Arial"/>
          <w:sz w:val="22"/>
          <w:szCs w:val="22"/>
        </w:rPr>
        <w:t>therapist</w:t>
      </w:r>
      <w:r>
        <w:rPr>
          <w:rFonts w:ascii="Arial" w:hAnsi="Arial" w:cs="Arial"/>
          <w:sz w:val="22"/>
          <w:szCs w:val="22"/>
        </w:rPr>
        <w:t>s in these trials</w:t>
      </w:r>
      <w:r w:rsidRPr="00F90E30">
        <w:rPr>
          <w:rFonts w:ascii="Arial" w:hAnsi="Arial" w:cs="Arial"/>
          <w:sz w:val="22"/>
          <w:szCs w:val="22"/>
        </w:rPr>
        <w:t xml:space="preserve"> receive specific training</w:t>
      </w:r>
      <w:r>
        <w:rPr>
          <w:rFonts w:ascii="Arial" w:hAnsi="Arial" w:cs="Arial"/>
          <w:sz w:val="22"/>
          <w:szCs w:val="22"/>
        </w:rPr>
        <w:t xml:space="preserve"> and supervision</w:t>
      </w:r>
      <w:r w:rsidRPr="00F90E30">
        <w:rPr>
          <w:rFonts w:ascii="Arial" w:hAnsi="Arial" w:cs="Arial"/>
          <w:sz w:val="22"/>
          <w:szCs w:val="22"/>
        </w:rPr>
        <w:t xml:space="preserve"> in protocol adherence (see Ginzburg et al., 2012, Haug et al., 2016 Saxon, Firth and Barkham</w:t>
      </w:r>
      <w:r w:rsidR="001660C4">
        <w:rPr>
          <w:rFonts w:ascii="Arial" w:hAnsi="Arial" w:cs="Arial"/>
          <w:sz w:val="22"/>
          <w:szCs w:val="22"/>
        </w:rPr>
        <w:t>,</w:t>
      </w:r>
      <w:r w:rsidRPr="00F90E30">
        <w:rPr>
          <w:rFonts w:ascii="Arial" w:hAnsi="Arial" w:cs="Arial"/>
          <w:sz w:val="22"/>
          <w:szCs w:val="22"/>
        </w:rPr>
        <w:t xml:space="preserve"> 2017). </w:t>
      </w:r>
      <w:r>
        <w:rPr>
          <w:rFonts w:ascii="Arial" w:hAnsi="Arial" w:cs="Arial"/>
          <w:sz w:val="22"/>
          <w:szCs w:val="22"/>
        </w:rPr>
        <w:t>Additionally, therapists delivering interventions in treatment efficacy or effectiveness trials are arguably more likely to make every attempt to adhere to the protocol (</w:t>
      </w:r>
      <w:r w:rsidR="00C101BA">
        <w:rPr>
          <w:rFonts w:ascii="Arial" w:hAnsi="Arial" w:cs="Arial"/>
          <w:sz w:val="22"/>
          <w:szCs w:val="22"/>
        </w:rPr>
        <w:t>Roth, Pilling and Turner, 2010</w:t>
      </w:r>
      <w:r>
        <w:rPr>
          <w:rFonts w:ascii="Arial" w:hAnsi="Arial" w:cs="Arial"/>
          <w:sz w:val="22"/>
          <w:szCs w:val="22"/>
        </w:rPr>
        <w:t>). Therefore,</w:t>
      </w:r>
      <w:r w:rsidRPr="00F90E30">
        <w:rPr>
          <w:rFonts w:ascii="Arial" w:hAnsi="Arial" w:cs="Arial"/>
          <w:sz w:val="22"/>
          <w:szCs w:val="22"/>
        </w:rPr>
        <w:t xml:space="preserve"> it is unremarkable when researchers report high levels of protocol adherence in randomised controlled trials</w:t>
      </w:r>
      <w:r>
        <w:rPr>
          <w:rFonts w:ascii="Arial" w:hAnsi="Arial" w:cs="Arial"/>
          <w:sz w:val="22"/>
          <w:szCs w:val="22"/>
        </w:rPr>
        <w:t xml:space="preserve"> and subsequently draw the conclusion that adherence correlates with outcome. That is not to say that researchers are incorrect in their assertions but that these findings are less likely to be generalisable in real</w:t>
      </w:r>
      <w:r w:rsidR="0023735D">
        <w:rPr>
          <w:rFonts w:ascii="Arial" w:hAnsi="Arial" w:cs="Arial"/>
          <w:sz w:val="22"/>
          <w:szCs w:val="22"/>
        </w:rPr>
        <w:t>-</w:t>
      </w:r>
      <w:r>
        <w:rPr>
          <w:rFonts w:ascii="Arial" w:hAnsi="Arial" w:cs="Arial"/>
          <w:sz w:val="22"/>
          <w:szCs w:val="22"/>
        </w:rPr>
        <w:t>world settings (</w:t>
      </w:r>
      <w:r w:rsidR="00C101BA">
        <w:rPr>
          <w:rFonts w:ascii="Arial" w:hAnsi="Arial" w:cs="Arial"/>
          <w:sz w:val="22"/>
          <w:szCs w:val="22"/>
        </w:rPr>
        <w:t>Roth, Pilling and Turner, 2010</w:t>
      </w:r>
      <w:r>
        <w:rPr>
          <w:rFonts w:ascii="Arial" w:hAnsi="Arial" w:cs="Arial"/>
          <w:sz w:val="22"/>
          <w:szCs w:val="22"/>
        </w:rPr>
        <w:t xml:space="preserve">). Other studies have either not focussed on adherence or have rated </w:t>
      </w:r>
      <w:r w:rsidRPr="00F90E30">
        <w:rPr>
          <w:rFonts w:ascii="Arial" w:hAnsi="Arial" w:cs="Arial"/>
          <w:sz w:val="22"/>
          <w:szCs w:val="22"/>
        </w:rPr>
        <w:t>either single sessions</w:t>
      </w:r>
      <w:r>
        <w:rPr>
          <w:rFonts w:ascii="Arial" w:hAnsi="Arial" w:cs="Arial"/>
          <w:sz w:val="22"/>
          <w:szCs w:val="22"/>
        </w:rPr>
        <w:t xml:space="preserve"> or</w:t>
      </w:r>
      <w:r w:rsidRPr="00F90E30">
        <w:rPr>
          <w:rFonts w:ascii="Arial" w:hAnsi="Arial" w:cs="Arial"/>
          <w:sz w:val="22"/>
          <w:szCs w:val="22"/>
        </w:rPr>
        <w:t xml:space="preserve"> small </w:t>
      </w:r>
      <w:r>
        <w:rPr>
          <w:rFonts w:ascii="Arial" w:hAnsi="Arial" w:cs="Arial"/>
          <w:sz w:val="22"/>
          <w:szCs w:val="22"/>
        </w:rPr>
        <w:t>(</w:t>
      </w:r>
      <w:r>
        <w:rPr>
          <w:rFonts w:ascii="Arial" w:hAnsi="Arial" w:cs="Arial"/>
          <w:sz w:val="22"/>
          <w:szCs w:val="22"/>
        </w:rPr>
        <w:sym w:font="Symbol" w:char="F03C"/>
      </w:r>
      <w:r>
        <w:rPr>
          <w:rFonts w:ascii="Arial" w:hAnsi="Arial" w:cs="Arial"/>
          <w:sz w:val="22"/>
          <w:szCs w:val="22"/>
        </w:rPr>
        <w:t xml:space="preserve"> 3) numbers</w:t>
      </w:r>
      <w:r w:rsidRPr="00F90E30">
        <w:rPr>
          <w:rFonts w:ascii="Arial" w:hAnsi="Arial" w:cs="Arial"/>
          <w:sz w:val="22"/>
          <w:szCs w:val="22"/>
        </w:rPr>
        <w:t xml:space="preserve"> of sessions</w:t>
      </w:r>
      <w:r>
        <w:rPr>
          <w:rFonts w:ascii="Arial" w:hAnsi="Arial" w:cs="Arial"/>
          <w:sz w:val="22"/>
          <w:szCs w:val="22"/>
        </w:rPr>
        <w:t>.  One exception to this is Brown, Craske, Glenn, Stein, Sullivan, Sherbourne, et al.,</w:t>
      </w:r>
      <w:r w:rsidR="007629E4">
        <w:rPr>
          <w:rFonts w:ascii="Arial" w:hAnsi="Arial" w:cs="Arial"/>
          <w:sz w:val="22"/>
          <w:szCs w:val="22"/>
        </w:rPr>
        <w:t xml:space="preserve"> </w:t>
      </w:r>
      <w:r>
        <w:rPr>
          <w:rFonts w:ascii="Arial" w:hAnsi="Arial" w:cs="Arial"/>
          <w:sz w:val="22"/>
          <w:szCs w:val="22"/>
        </w:rPr>
        <w:t>(2013) where raters had access to four sessions which had been randomly selected from each patient treated. Arguably, rating more than 2 sessions increases the likelihood that the rater will get a more accurate impression of a therapist (</w:t>
      </w:r>
      <w:r w:rsidR="00B57534">
        <w:rPr>
          <w:rFonts w:ascii="Arial" w:hAnsi="Arial" w:cs="Arial"/>
          <w:sz w:val="22"/>
          <w:szCs w:val="22"/>
        </w:rPr>
        <w:t>Trepka, Rees, Shapiro, Hardy and Barkham, 2004</w:t>
      </w:r>
      <w:r>
        <w:rPr>
          <w:rFonts w:ascii="Arial" w:hAnsi="Arial" w:cs="Arial"/>
          <w:sz w:val="22"/>
          <w:szCs w:val="22"/>
        </w:rPr>
        <w:t>) as it is highly probable that therapist competence and/or adherence will vary from session to session (Minonne</w:t>
      </w:r>
      <w:r w:rsidR="00B57534">
        <w:rPr>
          <w:rFonts w:ascii="Arial" w:hAnsi="Arial" w:cs="Arial"/>
          <w:sz w:val="22"/>
          <w:szCs w:val="22"/>
        </w:rPr>
        <w:t>,</w:t>
      </w:r>
      <w:r>
        <w:rPr>
          <w:rFonts w:ascii="Arial" w:hAnsi="Arial" w:cs="Arial"/>
          <w:sz w:val="22"/>
          <w:szCs w:val="22"/>
        </w:rPr>
        <w:t xml:space="preserve"> 2008</w:t>
      </w:r>
      <w:r w:rsidR="00B57534">
        <w:rPr>
          <w:rFonts w:ascii="Arial" w:hAnsi="Arial" w:cs="Arial"/>
          <w:sz w:val="22"/>
          <w:szCs w:val="22"/>
        </w:rPr>
        <w:t>)</w:t>
      </w:r>
      <w:r>
        <w:rPr>
          <w:rFonts w:ascii="Arial" w:hAnsi="Arial" w:cs="Arial"/>
          <w:sz w:val="22"/>
          <w:szCs w:val="22"/>
        </w:rPr>
        <w:t>. The approach that Brown et al.,</w:t>
      </w:r>
      <w:r w:rsidR="007629E4">
        <w:rPr>
          <w:rFonts w:ascii="Arial" w:hAnsi="Arial" w:cs="Arial"/>
          <w:sz w:val="22"/>
          <w:szCs w:val="22"/>
        </w:rPr>
        <w:t xml:space="preserve"> </w:t>
      </w:r>
      <w:r>
        <w:rPr>
          <w:rFonts w:ascii="Arial" w:hAnsi="Arial" w:cs="Arial"/>
          <w:sz w:val="22"/>
          <w:szCs w:val="22"/>
        </w:rPr>
        <w:t>(2013) have taken to research in this field is unusual and may only have been possible because the of the relatively small sample size (n= 14). Clearly it is more costly and time consuming</w:t>
      </w:r>
      <w:r w:rsidRPr="00F90E30">
        <w:rPr>
          <w:rFonts w:ascii="Arial" w:hAnsi="Arial" w:cs="Arial"/>
          <w:sz w:val="22"/>
          <w:szCs w:val="22"/>
        </w:rPr>
        <w:t xml:space="preserve"> to assess adherence from sessions selected from an entire course of treatment </w:t>
      </w:r>
      <w:r>
        <w:rPr>
          <w:rFonts w:ascii="Arial" w:hAnsi="Arial" w:cs="Arial"/>
          <w:sz w:val="22"/>
          <w:szCs w:val="22"/>
        </w:rPr>
        <w:t>for a larger sample.</w:t>
      </w:r>
      <w:r w:rsidRPr="00F90E30">
        <w:rPr>
          <w:rFonts w:ascii="Arial" w:hAnsi="Arial" w:cs="Arial"/>
          <w:sz w:val="22"/>
          <w:szCs w:val="22"/>
        </w:rPr>
        <w:t xml:space="preserve"> </w:t>
      </w:r>
      <w:r>
        <w:rPr>
          <w:rFonts w:ascii="Arial" w:hAnsi="Arial" w:cs="Arial"/>
          <w:sz w:val="22"/>
          <w:szCs w:val="22"/>
        </w:rPr>
        <w:t xml:space="preserve">It should be noted that the Brown et al., study is from the United States of America (USA) and is based on novice therapists so the results may not be generalisable to the UK IAPT programme. In addition, </w:t>
      </w:r>
      <w:r>
        <w:rPr>
          <w:rFonts w:ascii="Arial" w:hAnsi="Arial" w:cs="Arial"/>
          <w:sz w:val="22"/>
          <w:szCs w:val="22"/>
        </w:rPr>
        <w:lastRenderedPageBreak/>
        <w:t xml:space="preserve">Brown et al., developed their own instrument to rate therapist competence and adherence and therefore it is difficult to know whether their findings would have been the same had they used the CTS-R and Roth and Pilling Competencies to rate competence and adherence.  Brown et al., report that that whilst competence was related to outcome at the </w:t>
      </w:r>
      <w:r>
        <w:rPr>
          <w:rFonts w:ascii="Arial" w:hAnsi="Arial" w:cs="Arial"/>
          <w:sz w:val="22"/>
          <w:szCs w:val="22"/>
        </w:rPr>
        <w:sym w:font="Symbol" w:char="F03C"/>
      </w:r>
      <w:r>
        <w:rPr>
          <w:rFonts w:ascii="Arial" w:hAnsi="Arial" w:cs="Arial"/>
          <w:sz w:val="22"/>
          <w:szCs w:val="22"/>
        </w:rPr>
        <w:t xml:space="preserve"> 0.05 level, adherence did not have a statistically significant relationship with outcome. It is important to note that CBT in the USA is arguably different to CBT in the United Kingdom’s IAPT programme. At the time of writing</w:t>
      </w:r>
      <w:r w:rsidR="00622CDC">
        <w:rPr>
          <w:rFonts w:ascii="Arial" w:hAnsi="Arial" w:cs="Arial"/>
          <w:sz w:val="22"/>
          <w:szCs w:val="22"/>
        </w:rPr>
        <w:t>,</w:t>
      </w:r>
      <w:r>
        <w:rPr>
          <w:rFonts w:ascii="Arial" w:hAnsi="Arial" w:cs="Arial"/>
          <w:sz w:val="22"/>
          <w:szCs w:val="22"/>
        </w:rPr>
        <w:t xml:space="preserve"> the USA does not have a national CBT curriculum, established minimum training standards or an accreditation process (</w:t>
      </w:r>
      <w:r w:rsidR="00B57534">
        <w:rPr>
          <w:rFonts w:ascii="Arial" w:hAnsi="Arial" w:cs="Arial"/>
          <w:sz w:val="22"/>
          <w:szCs w:val="22"/>
        </w:rPr>
        <w:t>Kobak, Wolitzky-Taylor, Craske and Rose, 2017</w:t>
      </w:r>
      <w:r>
        <w:rPr>
          <w:rFonts w:ascii="Arial" w:hAnsi="Arial" w:cs="Arial"/>
          <w:sz w:val="22"/>
          <w:szCs w:val="22"/>
        </w:rPr>
        <w:t>). Most therapists have very little exposure to CBT training (</w:t>
      </w:r>
      <w:r w:rsidR="00B57534">
        <w:rPr>
          <w:rFonts w:ascii="Arial" w:hAnsi="Arial" w:cs="Arial"/>
          <w:sz w:val="22"/>
          <w:szCs w:val="22"/>
        </w:rPr>
        <w:t>Institute of Medicine, 2015)</w:t>
      </w:r>
      <w:r>
        <w:rPr>
          <w:rFonts w:ascii="Arial" w:hAnsi="Arial" w:cs="Arial"/>
          <w:sz w:val="22"/>
          <w:szCs w:val="22"/>
        </w:rPr>
        <w:t xml:space="preserve"> in the USA. More importantly the Brown et al., study repurposes data from a previous randomised controlled trial using computer</w:t>
      </w:r>
      <w:r w:rsidR="00622CDC">
        <w:rPr>
          <w:rFonts w:ascii="Arial" w:hAnsi="Arial" w:cs="Arial"/>
          <w:sz w:val="22"/>
          <w:szCs w:val="22"/>
        </w:rPr>
        <w:t>-</w:t>
      </w:r>
      <w:r>
        <w:rPr>
          <w:rFonts w:ascii="Arial" w:hAnsi="Arial" w:cs="Arial"/>
          <w:sz w:val="22"/>
          <w:szCs w:val="22"/>
        </w:rPr>
        <w:t>assisted</w:t>
      </w:r>
      <w:r w:rsidR="00622CDC">
        <w:rPr>
          <w:rFonts w:ascii="Arial" w:hAnsi="Arial" w:cs="Arial"/>
          <w:sz w:val="22"/>
          <w:szCs w:val="22"/>
        </w:rPr>
        <w:t>,</w:t>
      </w:r>
      <w:r>
        <w:rPr>
          <w:rFonts w:ascii="Arial" w:hAnsi="Arial" w:cs="Arial"/>
          <w:sz w:val="22"/>
          <w:szCs w:val="22"/>
        </w:rPr>
        <w:t xml:space="preserve"> guided self-help (see </w:t>
      </w:r>
      <w:r w:rsidR="00622CDC">
        <w:rPr>
          <w:rFonts w:ascii="Arial" w:hAnsi="Arial" w:cs="Arial"/>
          <w:sz w:val="22"/>
          <w:szCs w:val="22"/>
        </w:rPr>
        <w:t>C</w:t>
      </w:r>
      <w:r>
        <w:rPr>
          <w:rFonts w:ascii="Arial" w:hAnsi="Arial" w:cs="Arial"/>
          <w:sz w:val="22"/>
          <w:szCs w:val="22"/>
        </w:rPr>
        <w:t>hapter 3 for a description of guided self-help) materials for anxiety.  Therefore, it is difficult to draw many comparisons between The Brown et al., study and this research other than the finding, in relation to therapist competence, is similar. Th</w:t>
      </w:r>
      <w:r w:rsidR="00554068">
        <w:rPr>
          <w:rFonts w:ascii="Arial" w:hAnsi="Arial" w:cs="Arial"/>
          <w:sz w:val="22"/>
          <w:szCs w:val="22"/>
        </w:rPr>
        <w:t>e</w:t>
      </w:r>
      <w:r>
        <w:rPr>
          <w:rFonts w:ascii="Arial" w:hAnsi="Arial" w:cs="Arial"/>
          <w:sz w:val="22"/>
          <w:szCs w:val="22"/>
        </w:rPr>
        <w:t xml:space="preserve"> research </w:t>
      </w:r>
      <w:r w:rsidR="00554068">
        <w:rPr>
          <w:rFonts w:ascii="Arial" w:hAnsi="Arial" w:cs="Arial"/>
          <w:sz w:val="22"/>
          <w:szCs w:val="22"/>
        </w:rPr>
        <w:t xml:space="preserve">reported in this thesis </w:t>
      </w:r>
      <w:r>
        <w:rPr>
          <w:rFonts w:ascii="Arial" w:hAnsi="Arial" w:cs="Arial"/>
          <w:sz w:val="22"/>
          <w:szCs w:val="22"/>
        </w:rPr>
        <w:t>builds on the Brown et al., study and</w:t>
      </w:r>
      <w:r w:rsidRPr="00F90E30">
        <w:rPr>
          <w:rFonts w:ascii="Arial" w:hAnsi="Arial" w:cs="Arial"/>
          <w:sz w:val="22"/>
          <w:szCs w:val="22"/>
        </w:rPr>
        <w:t xml:space="preserve"> extend</w:t>
      </w:r>
      <w:r>
        <w:rPr>
          <w:rFonts w:ascii="Arial" w:hAnsi="Arial" w:cs="Arial"/>
          <w:sz w:val="22"/>
          <w:szCs w:val="22"/>
        </w:rPr>
        <w:t>s</w:t>
      </w:r>
      <w:r w:rsidRPr="00F90E30">
        <w:rPr>
          <w:rFonts w:ascii="Arial" w:hAnsi="Arial" w:cs="Arial"/>
          <w:sz w:val="22"/>
          <w:szCs w:val="22"/>
        </w:rPr>
        <w:t xml:space="preserve"> the work of </w:t>
      </w:r>
      <w:r>
        <w:rPr>
          <w:rFonts w:ascii="Arial" w:hAnsi="Arial" w:cs="Arial"/>
          <w:sz w:val="22"/>
          <w:szCs w:val="22"/>
        </w:rPr>
        <w:t>a further 3 studies (Webb, DeRubeis, Dimidjian, Hollon, Amsterdam and Shelton, 2012, Ginzburg, Bohn, Hofling, Weck, Clark and Stangier, 2012 and Haug, Nordgreen, Ost, Tangen, Kvale,Hovland et al., 2016) which examine the relationship between adherence and outcome.  All three studies repurpose data from previous trials and</w:t>
      </w:r>
      <w:r w:rsidR="00622CDC">
        <w:rPr>
          <w:rFonts w:ascii="Arial" w:hAnsi="Arial" w:cs="Arial"/>
          <w:sz w:val="22"/>
          <w:szCs w:val="22"/>
        </w:rPr>
        <w:t>,</w:t>
      </w:r>
      <w:r>
        <w:rPr>
          <w:rFonts w:ascii="Arial" w:hAnsi="Arial" w:cs="Arial"/>
          <w:sz w:val="22"/>
          <w:szCs w:val="22"/>
        </w:rPr>
        <w:t xml:space="preserve"> therefore</w:t>
      </w:r>
      <w:r w:rsidR="00622CDC">
        <w:rPr>
          <w:rFonts w:ascii="Arial" w:hAnsi="Arial" w:cs="Arial"/>
          <w:sz w:val="22"/>
          <w:szCs w:val="22"/>
        </w:rPr>
        <w:t>,</w:t>
      </w:r>
      <w:r>
        <w:rPr>
          <w:rFonts w:ascii="Arial" w:hAnsi="Arial" w:cs="Arial"/>
          <w:sz w:val="22"/>
          <w:szCs w:val="22"/>
        </w:rPr>
        <w:t xml:space="preserve"> the results are arguably less generalisable. Webb et al., use data from two trials. The first trial has data from n= 6 therapists and the second has n = 3 therapists.  The Ginzburg et al., trial had n= 10 therapists and Haug et al., had n= 22 therapists. All three trials used different outcome metrics and tools to assess adherence. However, Ginzburg et al.,</w:t>
      </w:r>
      <w:r w:rsidR="00AC24BF">
        <w:rPr>
          <w:rFonts w:ascii="Arial" w:hAnsi="Arial" w:cs="Arial"/>
          <w:sz w:val="22"/>
          <w:szCs w:val="22"/>
        </w:rPr>
        <w:t xml:space="preserve"> </w:t>
      </w:r>
      <w:r>
        <w:rPr>
          <w:rFonts w:ascii="Arial" w:hAnsi="Arial" w:cs="Arial"/>
          <w:sz w:val="22"/>
          <w:szCs w:val="22"/>
        </w:rPr>
        <w:t xml:space="preserve">used a similar technique to the techniques described in this thesis to assess therapist competence in that they asked raters to decide whether the therapist had adhered to the treatment protocol, as described in the treatment manual for Cognitive Therapy for Social Anxiety Disorder. Raters in this trial were asked to review two tapes from each of 34 patients. Similarly, the other two trials asked raters to review only two recordings of therapy sessions, one drawn from the early stages of </w:t>
      </w:r>
      <w:r>
        <w:rPr>
          <w:rFonts w:ascii="Arial" w:hAnsi="Arial" w:cs="Arial"/>
          <w:sz w:val="22"/>
          <w:szCs w:val="22"/>
        </w:rPr>
        <w:lastRenderedPageBreak/>
        <w:t>therapy and from a session towards the end of therapy. It is unclear why a decision was made not to review more sessions in order to assess therapist adherence across an entire episode of care. Webb et al., and Haug et al., report that adherence was related to better outcomes. Webb et al., qualify ‘better outcomes’ by reporting that where the therapist adhered to Cognitive Therapy (it is not clear what protocol was being followed) that the patient acquired more skills. Arguably, this is very different interpretation of outcome. Conversely Ginzburg et al., report that adherence was not related to outcomes.</w:t>
      </w:r>
      <w:r w:rsidR="00554068">
        <w:rPr>
          <w:rFonts w:ascii="Arial" w:hAnsi="Arial" w:cs="Arial"/>
          <w:sz w:val="22"/>
          <w:szCs w:val="22"/>
        </w:rPr>
        <w:t xml:space="preserve"> </w:t>
      </w:r>
      <w:r>
        <w:rPr>
          <w:rFonts w:ascii="Arial" w:hAnsi="Arial" w:cs="Arial"/>
          <w:sz w:val="22"/>
          <w:szCs w:val="22"/>
        </w:rPr>
        <w:t>Whilst all 3 studies provide useful and necessary insights into the relationship between adherence and outcome</w:t>
      </w:r>
      <w:r w:rsidR="00622CDC">
        <w:rPr>
          <w:rFonts w:ascii="Arial" w:hAnsi="Arial" w:cs="Arial"/>
          <w:sz w:val="22"/>
          <w:szCs w:val="22"/>
        </w:rPr>
        <w:t>,</w:t>
      </w:r>
      <w:r>
        <w:rPr>
          <w:rFonts w:ascii="Arial" w:hAnsi="Arial" w:cs="Arial"/>
          <w:sz w:val="22"/>
          <w:szCs w:val="22"/>
        </w:rPr>
        <w:t xml:space="preserve"> the limitations of their studies brings into question the reliability of their findings as it impossible to understand whether the two sessions that were rated represented what occurred in the other sessions (Weck</w:t>
      </w:r>
      <w:r w:rsidR="00FA5E87">
        <w:rPr>
          <w:rFonts w:ascii="Arial" w:hAnsi="Arial" w:cs="Arial"/>
          <w:sz w:val="22"/>
          <w:szCs w:val="22"/>
        </w:rPr>
        <w:t>,</w:t>
      </w:r>
      <w:r>
        <w:rPr>
          <w:rFonts w:ascii="Arial" w:hAnsi="Arial" w:cs="Arial"/>
          <w:sz w:val="22"/>
          <w:szCs w:val="22"/>
        </w:rPr>
        <w:t xml:space="preserve"> 2014). </w:t>
      </w:r>
    </w:p>
    <w:p w14:paraId="1966953C" w14:textId="1BEBF284" w:rsidR="00DC2DE7" w:rsidRDefault="00DC2DE7" w:rsidP="00DC2DE7">
      <w:pPr>
        <w:spacing w:line="480" w:lineRule="auto"/>
        <w:rPr>
          <w:rFonts w:ascii="Arial" w:hAnsi="Arial" w:cs="Arial"/>
          <w:sz w:val="22"/>
          <w:szCs w:val="22"/>
        </w:rPr>
      </w:pPr>
      <w:r>
        <w:rPr>
          <w:rFonts w:ascii="Arial" w:hAnsi="Arial" w:cs="Arial"/>
          <w:sz w:val="22"/>
          <w:szCs w:val="22"/>
        </w:rPr>
        <w:t xml:space="preserve">Given the lack of research in this area, the absence of research in an IAPT setting and the limitations outlined in the research that has been conducted the research presented in this thesis has made a significant contribution to the literature. </w:t>
      </w:r>
      <w:r w:rsidRPr="00F90E30">
        <w:rPr>
          <w:rFonts w:ascii="Arial" w:hAnsi="Arial" w:cs="Arial"/>
          <w:sz w:val="22"/>
          <w:szCs w:val="22"/>
        </w:rPr>
        <w:t xml:space="preserve">In this </w:t>
      </w:r>
      <w:r>
        <w:rPr>
          <w:rFonts w:ascii="Arial" w:hAnsi="Arial" w:cs="Arial"/>
          <w:sz w:val="22"/>
          <w:szCs w:val="22"/>
        </w:rPr>
        <w:t>research</w:t>
      </w:r>
      <w:r w:rsidRPr="00F90E30">
        <w:rPr>
          <w:rFonts w:ascii="Arial" w:hAnsi="Arial" w:cs="Arial"/>
          <w:sz w:val="22"/>
          <w:szCs w:val="22"/>
        </w:rPr>
        <w:t xml:space="preserve">, not only were the therapists treating patients in a real-world clinical setting, but </w:t>
      </w:r>
      <w:r>
        <w:rPr>
          <w:rFonts w:ascii="Arial" w:hAnsi="Arial" w:cs="Arial"/>
          <w:sz w:val="22"/>
          <w:szCs w:val="22"/>
        </w:rPr>
        <w:t xml:space="preserve">therapy </w:t>
      </w:r>
      <w:r w:rsidRPr="00F90E30">
        <w:rPr>
          <w:rFonts w:ascii="Arial" w:hAnsi="Arial" w:cs="Arial"/>
          <w:sz w:val="22"/>
          <w:szCs w:val="22"/>
        </w:rPr>
        <w:t>sessions were selected randomly by the raters</w:t>
      </w:r>
      <w:r>
        <w:rPr>
          <w:rFonts w:ascii="Arial" w:hAnsi="Arial" w:cs="Arial"/>
          <w:sz w:val="22"/>
          <w:szCs w:val="22"/>
        </w:rPr>
        <w:t xml:space="preserve"> and the whole episode of care was assessed. </w:t>
      </w:r>
    </w:p>
    <w:p w14:paraId="0F77DA4B" w14:textId="77777777" w:rsidR="00DC2DE7" w:rsidRDefault="00DC2DE7" w:rsidP="00DC2DE7">
      <w:pPr>
        <w:spacing w:line="480" w:lineRule="auto"/>
        <w:rPr>
          <w:rFonts w:ascii="Arial" w:hAnsi="Arial" w:cs="Arial"/>
          <w:sz w:val="22"/>
          <w:szCs w:val="22"/>
        </w:rPr>
      </w:pPr>
    </w:p>
    <w:p w14:paraId="37BB2854" w14:textId="4DC2EA8B" w:rsidR="00DC2DE7" w:rsidRDefault="008A1595" w:rsidP="00DC2DE7">
      <w:pPr>
        <w:pStyle w:val="Heading3"/>
        <w:rPr>
          <w:rFonts w:cs="Arial"/>
          <w:b w:val="0"/>
          <w:color w:val="000000" w:themeColor="text1"/>
          <w:szCs w:val="22"/>
        </w:rPr>
      </w:pPr>
      <w:bookmarkStart w:id="466" w:name="_Toc46770862"/>
      <w:bookmarkStart w:id="467" w:name="_Toc79414273"/>
      <w:r>
        <w:rPr>
          <w:rFonts w:cs="Arial"/>
          <w:color w:val="000000" w:themeColor="text1"/>
          <w:szCs w:val="22"/>
        </w:rPr>
        <w:t>6</w:t>
      </w:r>
      <w:r w:rsidR="00DC2DE7" w:rsidRPr="00314611">
        <w:rPr>
          <w:rFonts w:cs="Arial"/>
          <w:color w:val="000000" w:themeColor="text1"/>
          <w:szCs w:val="22"/>
        </w:rPr>
        <w:t>.</w:t>
      </w:r>
      <w:r w:rsidR="00633677">
        <w:rPr>
          <w:rFonts w:cs="Arial"/>
          <w:color w:val="000000" w:themeColor="text1"/>
          <w:szCs w:val="22"/>
        </w:rPr>
        <w:t>9</w:t>
      </w:r>
      <w:r w:rsidR="00DC2DE7" w:rsidRPr="00314611">
        <w:rPr>
          <w:rFonts w:cs="Arial"/>
          <w:color w:val="000000" w:themeColor="text1"/>
          <w:szCs w:val="22"/>
        </w:rPr>
        <w:t>.5 Relationship between competence and adherence</w:t>
      </w:r>
      <w:bookmarkEnd w:id="466"/>
      <w:bookmarkEnd w:id="467"/>
    </w:p>
    <w:p w14:paraId="2206FECD" w14:textId="77777777" w:rsidR="00DC2DE7" w:rsidRPr="00314611" w:rsidRDefault="00DC2DE7" w:rsidP="00DC2DE7"/>
    <w:p w14:paraId="74A00FAF" w14:textId="23BF9561" w:rsidR="00DC2DE7" w:rsidRDefault="00DC2DE7" w:rsidP="00DC2DE7">
      <w:pPr>
        <w:spacing w:line="480" w:lineRule="auto"/>
        <w:rPr>
          <w:rFonts w:ascii="Arial" w:hAnsi="Arial" w:cs="Arial"/>
          <w:sz w:val="22"/>
          <w:szCs w:val="22"/>
        </w:rPr>
      </w:pPr>
      <w:r w:rsidRPr="00F90E30">
        <w:rPr>
          <w:rFonts w:ascii="Arial" w:hAnsi="Arial" w:cs="Arial"/>
          <w:sz w:val="22"/>
          <w:szCs w:val="22"/>
        </w:rPr>
        <w:t xml:space="preserve">A further noteworthy finding of this study is the </w:t>
      </w:r>
      <w:r>
        <w:rPr>
          <w:rFonts w:ascii="Arial" w:hAnsi="Arial" w:cs="Arial"/>
          <w:sz w:val="22"/>
          <w:szCs w:val="22"/>
        </w:rPr>
        <w:t xml:space="preserve">relationship between competence (fidelity to the CBT model as rated by the CTS-R and therapist adherence to an evidence-based protocol.  </w:t>
      </w:r>
      <w:r w:rsidRPr="00F90E30">
        <w:rPr>
          <w:rFonts w:ascii="Arial" w:hAnsi="Arial" w:cs="Arial"/>
          <w:sz w:val="22"/>
          <w:szCs w:val="22"/>
        </w:rPr>
        <w:t>Little is known about therapist behaviour in real</w:t>
      </w:r>
      <w:r w:rsidR="00622CDC">
        <w:rPr>
          <w:rFonts w:ascii="Arial" w:hAnsi="Arial" w:cs="Arial"/>
          <w:sz w:val="22"/>
          <w:szCs w:val="22"/>
        </w:rPr>
        <w:t>-</w:t>
      </w:r>
      <w:r w:rsidRPr="00F90E30">
        <w:rPr>
          <w:rFonts w:ascii="Arial" w:hAnsi="Arial" w:cs="Arial"/>
          <w:sz w:val="22"/>
          <w:szCs w:val="22"/>
        </w:rPr>
        <w:t>world settings (Brosnan, Reynolds and Moore</w:t>
      </w:r>
      <w:r w:rsidR="00FA5E87">
        <w:rPr>
          <w:rFonts w:ascii="Arial" w:hAnsi="Arial" w:cs="Arial"/>
          <w:sz w:val="22"/>
          <w:szCs w:val="22"/>
        </w:rPr>
        <w:t>,</w:t>
      </w:r>
      <w:r w:rsidRPr="00F90E30">
        <w:rPr>
          <w:rFonts w:ascii="Arial" w:hAnsi="Arial" w:cs="Arial"/>
          <w:sz w:val="22"/>
          <w:szCs w:val="22"/>
        </w:rPr>
        <w:t xml:space="preserve"> 2006).  This is the first study to have access to the therapy transcripts of every patient treated by the therapists working in a clinical setting. Given that there is extensive literature that supports the idea that there is significant variance in therapist competence (Johns, Kellett, Saxon and Barkham</w:t>
      </w:r>
      <w:r w:rsidR="00FA5E87">
        <w:rPr>
          <w:rFonts w:ascii="Arial" w:hAnsi="Arial" w:cs="Arial"/>
          <w:sz w:val="22"/>
          <w:szCs w:val="22"/>
        </w:rPr>
        <w:t>,</w:t>
      </w:r>
      <w:r w:rsidRPr="00F90E30">
        <w:rPr>
          <w:rFonts w:ascii="Arial" w:hAnsi="Arial" w:cs="Arial"/>
          <w:sz w:val="22"/>
          <w:szCs w:val="22"/>
        </w:rPr>
        <w:t xml:space="preserve"> 2019) it is not surprising that the findings from this study also suggest this. Even studies that have not been conducted in real</w:t>
      </w:r>
      <w:r w:rsidR="00622CDC">
        <w:rPr>
          <w:rFonts w:ascii="Arial" w:hAnsi="Arial" w:cs="Arial"/>
          <w:sz w:val="22"/>
          <w:szCs w:val="22"/>
        </w:rPr>
        <w:t>-</w:t>
      </w:r>
      <w:r w:rsidRPr="00F90E30">
        <w:rPr>
          <w:rFonts w:ascii="Arial" w:hAnsi="Arial" w:cs="Arial"/>
          <w:sz w:val="22"/>
          <w:szCs w:val="22"/>
        </w:rPr>
        <w:t xml:space="preserve">world setting report this variance. Strunk et al., </w:t>
      </w:r>
      <w:r w:rsidR="00007FF5">
        <w:rPr>
          <w:rFonts w:ascii="Arial" w:hAnsi="Arial" w:cs="Arial"/>
          <w:sz w:val="22"/>
          <w:szCs w:val="22"/>
        </w:rPr>
        <w:t>(</w:t>
      </w:r>
      <w:r w:rsidRPr="00F90E30">
        <w:rPr>
          <w:rFonts w:ascii="Arial" w:hAnsi="Arial" w:cs="Arial"/>
          <w:sz w:val="22"/>
          <w:szCs w:val="22"/>
        </w:rPr>
        <w:t xml:space="preserve">2010) using data drawn from a randomised trial report a </w:t>
      </w:r>
      <w:r w:rsidRPr="00F90E30">
        <w:rPr>
          <w:rFonts w:ascii="Arial" w:hAnsi="Arial" w:cs="Arial"/>
          <w:sz w:val="22"/>
          <w:szCs w:val="22"/>
        </w:rPr>
        <w:lastRenderedPageBreak/>
        <w:t>variance in fidelity to the model with a range of 17.8% - 56.6% and mean score of 39.7%. Similarly, the variance in therapist adherence to a protocol is not uncommon. There are many possible reasons why therapists drift away from a protocol. These include negative beliefs about aspects of delivering treatment such as exposure (Deacon et al., 2013)</w:t>
      </w:r>
      <w:r w:rsidR="0072632A">
        <w:rPr>
          <w:rFonts w:ascii="Arial" w:hAnsi="Arial" w:cs="Arial"/>
          <w:sz w:val="22"/>
          <w:szCs w:val="22"/>
        </w:rPr>
        <w:t>,</w:t>
      </w:r>
      <w:r w:rsidRPr="00F90E30">
        <w:rPr>
          <w:rFonts w:ascii="Arial" w:hAnsi="Arial" w:cs="Arial"/>
          <w:sz w:val="22"/>
          <w:szCs w:val="22"/>
        </w:rPr>
        <w:t xml:space="preserve"> which lead to avoidance of these aspects of therapy</w:t>
      </w:r>
      <w:r w:rsidR="00FA5E87">
        <w:rPr>
          <w:rFonts w:ascii="Arial" w:hAnsi="Arial" w:cs="Arial"/>
          <w:sz w:val="22"/>
          <w:szCs w:val="22"/>
        </w:rPr>
        <w:t>. Additionally,</w:t>
      </w:r>
      <w:r w:rsidRPr="00F90E30">
        <w:rPr>
          <w:rFonts w:ascii="Arial" w:hAnsi="Arial" w:cs="Arial"/>
          <w:sz w:val="22"/>
          <w:szCs w:val="22"/>
        </w:rPr>
        <w:t xml:space="preserve"> therapist</w:t>
      </w:r>
      <w:r w:rsidR="00FA5E87">
        <w:rPr>
          <w:rFonts w:ascii="Arial" w:hAnsi="Arial" w:cs="Arial"/>
          <w:sz w:val="22"/>
          <w:szCs w:val="22"/>
        </w:rPr>
        <w:t xml:space="preserve">s make </w:t>
      </w:r>
      <w:r w:rsidRPr="00F90E30">
        <w:rPr>
          <w:rFonts w:ascii="Arial" w:hAnsi="Arial" w:cs="Arial"/>
          <w:sz w:val="22"/>
          <w:szCs w:val="22"/>
        </w:rPr>
        <w:t>judgement</w:t>
      </w:r>
      <w:r w:rsidR="00FA5E87">
        <w:rPr>
          <w:rFonts w:ascii="Arial" w:hAnsi="Arial" w:cs="Arial"/>
          <w:sz w:val="22"/>
          <w:szCs w:val="22"/>
        </w:rPr>
        <w:t>s</w:t>
      </w:r>
      <w:r w:rsidRPr="00F90E30">
        <w:rPr>
          <w:rFonts w:ascii="Arial" w:hAnsi="Arial" w:cs="Arial"/>
          <w:sz w:val="22"/>
          <w:szCs w:val="22"/>
        </w:rPr>
        <w:t xml:space="preserve"> </w:t>
      </w:r>
      <w:r w:rsidR="00FA5E87">
        <w:rPr>
          <w:rFonts w:ascii="Arial" w:hAnsi="Arial" w:cs="Arial"/>
          <w:sz w:val="22"/>
          <w:szCs w:val="22"/>
        </w:rPr>
        <w:t xml:space="preserve">when </w:t>
      </w:r>
      <w:r w:rsidRPr="00F90E30">
        <w:rPr>
          <w:rFonts w:ascii="Arial" w:hAnsi="Arial" w:cs="Arial"/>
          <w:sz w:val="22"/>
          <w:szCs w:val="22"/>
        </w:rPr>
        <w:t>deciding</w:t>
      </w:r>
      <w:r w:rsidR="00FA5E87">
        <w:rPr>
          <w:rFonts w:ascii="Arial" w:hAnsi="Arial" w:cs="Arial"/>
          <w:sz w:val="22"/>
          <w:szCs w:val="22"/>
        </w:rPr>
        <w:t xml:space="preserve"> which </w:t>
      </w:r>
      <w:r w:rsidRPr="00F90E30">
        <w:rPr>
          <w:rFonts w:ascii="Arial" w:hAnsi="Arial" w:cs="Arial"/>
          <w:sz w:val="22"/>
          <w:szCs w:val="22"/>
        </w:rPr>
        <w:t>treatment methods</w:t>
      </w:r>
      <w:r w:rsidR="00FA5E87">
        <w:rPr>
          <w:rFonts w:ascii="Arial" w:hAnsi="Arial" w:cs="Arial"/>
          <w:sz w:val="22"/>
          <w:szCs w:val="22"/>
        </w:rPr>
        <w:t xml:space="preserve"> to use and this may</w:t>
      </w:r>
      <w:r w:rsidRPr="00F90E30">
        <w:rPr>
          <w:rFonts w:ascii="Arial" w:hAnsi="Arial" w:cs="Arial"/>
          <w:sz w:val="22"/>
          <w:szCs w:val="22"/>
        </w:rPr>
        <w:t xml:space="preserve"> lead to a dilution of </w:t>
      </w:r>
      <w:r w:rsidR="00FA5E87">
        <w:rPr>
          <w:rFonts w:ascii="Arial" w:hAnsi="Arial" w:cs="Arial"/>
          <w:sz w:val="22"/>
          <w:szCs w:val="22"/>
        </w:rPr>
        <w:t xml:space="preserve">the </w:t>
      </w:r>
      <w:r w:rsidRPr="00F90E30">
        <w:rPr>
          <w:rFonts w:ascii="Arial" w:hAnsi="Arial" w:cs="Arial"/>
          <w:sz w:val="22"/>
          <w:szCs w:val="22"/>
        </w:rPr>
        <w:t>protocol (Grove</w:t>
      </w:r>
      <w:r w:rsidR="004E0576">
        <w:rPr>
          <w:rFonts w:ascii="Arial" w:hAnsi="Arial" w:cs="Arial"/>
          <w:sz w:val="22"/>
          <w:szCs w:val="22"/>
        </w:rPr>
        <w:t xml:space="preserve">, Zald, Lebow, Snitz and Nelson, </w:t>
      </w:r>
      <w:r w:rsidRPr="00F90E30">
        <w:rPr>
          <w:rFonts w:ascii="Arial" w:hAnsi="Arial" w:cs="Arial"/>
          <w:sz w:val="22"/>
          <w:szCs w:val="22"/>
        </w:rPr>
        <w:t>20</w:t>
      </w:r>
      <w:r w:rsidR="004E0576">
        <w:rPr>
          <w:rFonts w:ascii="Arial" w:hAnsi="Arial" w:cs="Arial"/>
          <w:sz w:val="22"/>
          <w:szCs w:val="22"/>
        </w:rPr>
        <w:t>00</w:t>
      </w:r>
      <w:r w:rsidRPr="00F90E30">
        <w:rPr>
          <w:rFonts w:ascii="Arial" w:hAnsi="Arial" w:cs="Arial"/>
          <w:sz w:val="22"/>
          <w:szCs w:val="22"/>
        </w:rPr>
        <w:t>) and inflated self-beliefs about competence (Parker and Waller</w:t>
      </w:r>
      <w:r w:rsidR="00204B1D">
        <w:rPr>
          <w:rFonts w:ascii="Arial" w:hAnsi="Arial" w:cs="Arial"/>
          <w:sz w:val="22"/>
          <w:szCs w:val="22"/>
        </w:rPr>
        <w:t>,</w:t>
      </w:r>
      <w:r w:rsidRPr="00F90E30">
        <w:rPr>
          <w:rFonts w:ascii="Arial" w:hAnsi="Arial" w:cs="Arial"/>
          <w:sz w:val="22"/>
          <w:szCs w:val="22"/>
        </w:rPr>
        <w:t xml:space="preserve"> 2015)</w:t>
      </w:r>
      <w:r w:rsidR="00FA5E87">
        <w:rPr>
          <w:rFonts w:ascii="Arial" w:hAnsi="Arial" w:cs="Arial"/>
          <w:sz w:val="22"/>
          <w:szCs w:val="22"/>
        </w:rPr>
        <w:t>. This, in turn,</w:t>
      </w:r>
      <w:r w:rsidRPr="00F90E30">
        <w:rPr>
          <w:rFonts w:ascii="Arial" w:hAnsi="Arial" w:cs="Arial"/>
          <w:sz w:val="22"/>
          <w:szCs w:val="22"/>
        </w:rPr>
        <w:t xml:space="preserve"> may negatively bias therapists from </w:t>
      </w:r>
      <w:r w:rsidR="00FA5E87">
        <w:rPr>
          <w:rFonts w:ascii="Arial" w:hAnsi="Arial" w:cs="Arial"/>
          <w:sz w:val="22"/>
          <w:szCs w:val="22"/>
        </w:rPr>
        <w:t xml:space="preserve">seeking </w:t>
      </w:r>
      <w:r w:rsidRPr="00F90E30">
        <w:rPr>
          <w:rFonts w:ascii="Arial" w:hAnsi="Arial" w:cs="Arial"/>
          <w:sz w:val="22"/>
          <w:szCs w:val="22"/>
        </w:rPr>
        <w:t>effective continuing professional development</w:t>
      </w:r>
      <w:r w:rsidR="00FA5E87">
        <w:rPr>
          <w:rFonts w:ascii="Arial" w:hAnsi="Arial" w:cs="Arial"/>
          <w:sz w:val="22"/>
          <w:szCs w:val="22"/>
        </w:rPr>
        <w:t xml:space="preserve"> (Parker and Waller, 2015)</w:t>
      </w:r>
      <w:r w:rsidRPr="00F90E30">
        <w:rPr>
          <w:rFonts w:ascii="Arial" w:hAnsi="Arial" w:cs="Arial"/>
          <w:sz w:val="22"/>
          <w:szCs w:val="22"/>
        </w:rPr>
        <w:t xml:space="preserve">. </w:t>
      </w:r>
      <w:r w:rsidR="00FA5E87">
        <w:rPr>
          <w:rFonts w:ascii="Arial" w:hAnsi="Arial" w:cs="Arial"/>
          <w:sz w:val="22"/>
          <w:szCs w:val="22"/>
        </w:rPr>
        <w:t>Whilst the</w:t>
      </w:r>
      <w:r>
        <w:rPr>
          <w:rFonts w:ascii="Arial" w:hAnsi="Arial" w:cs="Arial"/>
          <w:sz w:val="22"/>
          <w:szCs w:val="22"/>
        </w:rPr>
        <w:t xml:space="preserve"> </w:t>
      </w:r>
      <w:r w:rsidR="00FA5E87">
        <w:rPr>
          <w:rFonts w:ascii="Arial" w:hAnsi="Arial" w:cs="Arial"/>
          <w:sz w:val="22"/>
          <w:szCs w:val="22"/>
        </w:rPr>
        <w:t>phenomenon of therapist drift is widely documented it is important to note that previous research has not been based on the review and analysis of large volumes of live therapy data. Therefore</w:t>
      </w:r>
      <w:r w:rsidR="004E0576">
        <w:rPr>
          <w:rFonts w:ascii="Arial" w:hAnsi="Arial" w:cs="Arial"/>
          <w:sz w:val="22"/>
          <w:szCs w:val="22"/>
        </w:rPr>
        <w:t>,</w:t>
      </w:r>
      <w:r w:rsidR="00FA5E87">
        <w:rPr>
          <w:rFonts w:ascii="Arial" w:hAnsi="Arial" w:cs="Arial"/>
          <w:sz w:val="22"/>
          <w:szCs w:val="22"/>
        </w:rPr>
        <w:t xml:space="preserve"> the </w:t>
      </w:r>
      <w:r>
        <w:rPr>
          <w:rFonts w:ascii="Arial" w:hAnsi="Arial" w:cs="Arial"/>
          <w:sz w:val="22"/>
          <w:szCs w:val="22"/>
        </w:rPr>
        <w:t>research</w:t>
      </w:r>
      <w:r w:rsidR="00FA5E87">
        <w:rPr>
          <w:rFonts w:ascii="Arial" w:hAnsi="Arial" w:cs="Arial"/>
          <w:sz w:val="22"/>
          <w:szCs w:val="22"/>
        </w:rPr>
        <w:t xml:space="preserve"> reported in this thesis</w:t>
      </w:r>
      <w:r>
        <w:rPr>
          <w:rFonts w:ascii="Arial" w:hAnsi="Arial" w:cs="Arial"/>
          <w:sz w:val="22"/>
          <w:szCs w:val="22"/>
        </w:rPr>
        <w:t xml:space="preserve"> provides </w:t>
      </w:r>
      <w:r w:rsidR="00FA5E87">
        <w:rPr>
          <w:rFonts w:ascii="Arial" w:hAnsi="Arial" w:cs="Arial"/>
          <w:sz w:val="22"/>
          <w:szCs w:val="22"/>
        </w:rPr>
        <w:t>significant</w:t>
      </w:r>
      <w:r w:rsidRPr="00F90E30">
        <w:rPr>
          <w:rFonts w:ascii="Arial" w:hAnsi="Arial" w:cs="Arial"/>
          <w:sz w:val="22"/>
          <w:szCs w:val="22"/>
        </w:rPr>
        <w:t xml:space="preserve"> evidence </w:t>
      </w:r>
      <w:r w:rsidR="00FA5E87">
        <w:rPr>
          <w:rFonts w:ascii="Arial" w:hAnsi="Arial" w:cs="Arial"/>
          <w:sz w:val="22"/>
          <w:szCs w:val="22"/>
        </w:rPr>
        <w:t xml:space="preserve">to support the hypothesis </w:t>
      </w:r>
      <w:r w:rsidRPr="00F90E30">
        <w:rPr>
          <w:rFonts w:ascii="Arial" w:hAnsi="Arial" w:cs="Arial"/>
          <w:sz w:val="22"/>
          <w:szCs w:val="22"/>
        </w:rPr>
        <w:t xml:space="preserve">that therapist drift is a </w:t>
      </w:r>
      <w:r w:rsidR="00FA5E87">
        <w:rPr>
          <w:rFonts w:ascii="Arial" w:hAnsi="Arial" w:cs="Arial"/>
          <w:sz w:val="22"/>
          <w:szCs w:val="22"/>
        </w:rPr>
        <w:t xml:space="preserve">common </w:t>
      </w:r>
      <w:r w:rsidRPr="00F90E30">
        <w:rPr>
          <w:rFonts w:ascii="Arial" w:hAnsi="Arial" w:cs="Arial"/>
          <w:sz w:val="22"/>
          <w:szCs w:val="22"/>
        </w:rPr>
        <w:t xml:space="preserve">phenomenon. </w:t>
      </w:r>
      <w:r w:rsidR="00380415">
        <w:rPr>
          <w:rFonts w:ascii="Arial" w:hAnsi="Arial" w:cs="Arial"/>
          <w:sz w:val="22"/>
          <w:szCs w:val="22"/>
        </w:rPr>
        <w:t>Indeed, i</w:t>
      </w:r>
      <w:r w:rsidRPr="00F90E30">
        <w:rPr>
          <w:rFonts w:ascii="Arial" w:hAnsi="Arial" w:cs="Arial"/>
          <w:sz w:val="22"/>
          <w:szCs w:val="22"/>
        </w:rPr>
        <w:t>n their meta-analysis Zarafontis-Muller, Kuhr and Bechtdolf (2014) report a correlation between clinical outcomes and therapist competence (r= 0.24) and adherence (r = 0.06). More recently, Kaznatis et al., (2018) also reported similar findings. This study also finds that competence (as assessed by the CTS-R) is correlated with clinical recovery (p</w:t>
      </w:r>
      <w:r w:rsidRPr="00F90E30">
        <w:rPr>
          <w:rFonts w:ascii="Arial" w:hAnsi="Arial" w:cs="Arial"/>
          <w:sz w:val="22"/>
          <w:szCs w:val="22"/>
        </w:rPr>
        <w:sym w:font="Symbol" w:char="F03C"/>
      </w:r>
      <w:r w:rsidRPr="00F90E30">
        <w:rPr>
          <w:rFonts w:ascii="Arial" w:hAnsi="Arial" w:cs="Arial"/>
          <w:sz w:val="22"/>
          <w:szCs w:val="22"/>
        </w:rPr>
        <w:t xml:space="preserve">0.05). An </w:t>
      </w:r>
      <w:r w:rsidR="00380415">
        <w:rPr>
          <w:rFonts w:ascii="Arial" w:hAnsi="Arial" w:cs="Arial"/>
          <w:sz w:val="22"/>
          <w:szCs w:val="22"/>
        </w:rPr>
        <w:t xml:space="preserve">important </w:t>
      </w:r>
      <w:r w:rsidRPr="00F90E30">
        <w:rPr>
          <w:rFonts w:ascii="Arial" w:hAnsi="Arial" w:cs="Arial"/>
          <w:sz w:val="22"/>
          <w:szCs w:val="22"/>
        </w:rPr>
        <w:t xml:space="preserve">finding is that adherence (A score) is related to clinical recovery through fidelity to the CBT model (F score). This might suggest that, first and foremost, delivering therapy that contains the core elements of CBT i.e. agenda setting, giving and eliciting feedback, guided discovery, conceptual integration etc, is highly important, but when therapists achieve this whilst adhering to a protocol, clinical outcomes improve. Metaphorically, fidelity to the CBT model </w:t>
      </w:r>
      <w:r w:rsidR="00B37370">
        <w:rPr>
          <w:rFonts w:ascii="Arial" w:hAnsi="Arial" w:cs="Arial"/>
          <w:sz w:val="22"/>
          <w:szCs w:val="22"/>
        </w:rPr>
        <w:t>might be viewed as</w:t>
      </w:r>
      <w:r w:rsidRPr="00F90E30">
        <w:rPr>
          <w:rFonts w:ascii="Arial" w:hAnsi="Arial" w:cs="Arial"/>
          <w:sz w:val="22"/>
          <w:szCs w:val="22"/>
        </w:rPr>
        <w:t xml:space="preserve"> the vehicle that is required to effectively deliver a disorder specific protocol and that</w:t>
      </w:r>
      <w:r w:rsidR="0072632A">
        <w:rPr>
          <w:rFonts w:ascii="Arial" w:hAnsi="Arial" w:cs="Arial"/>
          <w:sz w:val="22"/>
          <w:szCs w:val="22"/>
        </w:rPr>
        <w:t>,</w:t>
      </w:r>
      <w:r w:rsidRPr="00F90E30">
        <w:rPr>
          <w:rFonts w:ascii="Arial" w:hAnsi="Arial" w:cs="Arial"/>
          <w:sz w:val="22"/>
          <w:szCs w:val="22"/>
        </w:rPr>
        <w:t xml:space="preserve"> without</w:t>
      </w:r>
      <w:r w:rsidR="00B37370">
        <w:rPr>
          <w:rFonts w:ascii="Arial" w:hAnsi="Arial" w:cs="Arial"/>
          <w:sz w:val="22"/>
          <w:szCs w:val="22"/>
        </w:rPr>
        <w:t xml:space="preserve"> the vehicle</w:t>
      </w:r>
      <w:r w:rsidR="0072632A">
        <w:rPr>
          <w:rFonts w:ascii="Arial" w:hAnsi="Arial" w:cs="Arial"/>
          <w:sz w:val="22"/>
          <w:szCs w:val="22"/>
        </w:rPr>
        <w:t>,</w:t>
      </w:r>
      <w:r w:rsidRPr="00F90E30">
        <w:rPr>
          <w:rFonts w:ascii="Arial" w:hAnsi="Arial" w:cs="Arial"/>
          <w:sz w:val="22"/>
          <w:szCs w:val="22"/>
        </w:rPr>
        <w:t xml:space="preserve"> the </w:t>
      </w:r>
      <w:r w:rsidR="00B37370">
        <w:rPr>
          <w:rFonts w:ascii="Arial" w:hAnsi="Arial" w:cs="Arial"/>
          <w:sz w:val="22"/>
          <w:szCs w:val="22"/>
        </w:rPr>
        <w:t xml:space="preserve">protocol alone cannot be delivered. </w:t>
      </w:r>
      <w:r w:rsidRPr="00F90E30">
        <w:rPr>
          <w:rFonts w:ascii="Arial" w:hAnsi="Arial" w:cs="Arial"/>
          <w:sz w:val="22"/>
          <w:szCs w:val="22"/>
        </w:rPr>
        <w:t>If fidelity to the CBT model and adherence to a protocol are correlated with clinical outcome</w:t>
      </w:r>
      <w:r w:rsidR="00B37370">
        <w:rPr>
          <w:rFonts w:ascii="Arial" w:hAnsi="Arial" w:cs="Arial"/>
          <w:sz w:val="22"/>
          <w:szCs w:val="22"/>
        </w:rPr>
        <w:t xml:space="preserve"> (albeit at the lower </w:t>
      </w:r>
      <w:r w:rsidR="007A7108">
        <w:rPr>
          <w:rFonts w:ascii="Arial" w:hAnsi="Arial" w:cs="Arial"/>
          <w:sz w:val="22"/>
          <w:szCs w:val="22"/>
        </w:rPr>
        <w:t>0.05 level)</w:t>
      </w:r>
      <w:r>
        <w:rPr>
          <w:rFonts w:ascii="Arial" w:hAnsi="Arial" w:cs="Arial"/>
          <w:sz w:val="22"/>
          <w:szCs w:val="22"/>
        </w:rPr>
        <w:t>,</w:t>
      </w:r>
      <w:r w:rsidRPr="00F90E30">
        <w:rPr>
          <w:rFonts w:ascii="Arial" w:hAnsi="Arial" w:cs="Arial"/>
          <w:sz w:val="22"/>
          <w:szCs w:val="22"/>
        </w:rPr>
        <w:t xml:space="preserve"> then further work </w:t>
      </w:r>
      <w:r w:rsidR="00B37370">
        <w:rPr>
          <w:rFonts w:ascii="Arial" w:hAnsi="Arial" w:cs="Arial"/>
          <w:sz w:val="22"/>
          <w:szCs w:val="22"/>
        </w:rPr>
        <w:t xml:space="preserve">may be </w:t>
      </w:r>
      <w:r w:rsidRPr="00F90E30">
        <w:rPr>
          <w:rFonts w:ascii="Arial" w:hAnsi="Arial" w:cs="Arial"/>
          <w:sz w:val="22"/>
          <w:szCs w:val="22"/>
        </w:rPr>
        <w:t>required to support therapists to amplify their work beyond what is currently available</w:t>
      </w:r>
      <w:r w:rsidR="00DE7F8F">
        <w:rPr>
          <w:rFonts w:ascii="Arial" w:hAnsi="Arial" w:cs="Arial"/>
          <w:sz w:val="22"/>
          <w:szCs w:val="22"/>
        </w:rPr>
        <w:t>.</w:t>
      </w:r>
      <w:r w:rsidR="007A7108">
        <w:rPr>
          <w:rFonts w:ascii="Arial" w:hAnsi="Arial" w:cs="Arial"/>
          <w:sz w:val="22"/>
          <w:szCs w:val="22"/>
        </w:rPr>
        <w:t xml:space="preserve"> On the other hand, it is important to acknowledge that </w:t>
      </w:r>
      <w:r w:rsidR="00B26042">
        <w:rPr>
          <w:rFonts w:ascii="Arial" w:hAnsi="Arial" w:cs="Arial"/>
          <w:sz w:val="22"/>
          <w:szCs w:val="22"/>
        </w:rPr>
        <w:t xml:space="preserve">whilst </w:t>
      </w:r>
      <w:r w:rsidR="007A7108">
        <w:rPr>
          <w:rFonts w:ascii="Arial" w:hAnsi="Arial" w:cs="Arial"/>
          <w:sz w:val="22"/>
          <w:szCs w:val="22"/>
        </w:rPr>
        <w:t xml:space="preserve">fidelity to the CBT model and adherence </w:t>
      </w:r>
      <w:r w:rsidR="00B26042">
        <w:rPr>
          <w:rFonts w:ascii="Arial" w:hAnsi="Arial" w:cs="Arial"/>
          <w:sz w:val="22"/>
          <w:szCs w:val="22"/>
        </w:rPr>
        <w:t>appear to be</w:t>
      </w:r>
      <w:r w:rsidR="007A7108">
        <w:rPr>
          <w:rFonts w:ascii="Arial" w:hAnsi="Arial" w:cs="Arial"/>
          <w:sz w:val="22"/>
          <w:szCs w:val="22"/>
        </w:rPr>
        <w:t xml:space="preserve"> related to </w:t>
      </w:r>
      <w:r w:rsidR="00AC24BF">
        <w:rPr>
          <w:rFonts w:ascii="Arial" w:hAnsi="Arial" w:cs="Arial"/>
          <w:sz w:val="22"/>
          <w:szCs w:val="22"/>
        </w:rPr>
        <w:t xml:space="preserve">outcome it is </w:t>
      </w:r>
      <w:r w:rsidR="00AC24BF">
        <w:rPr>
          <w:rFonts w:ascii="Arial" w:hAnsi="Arial" w:cs="Arial"/>
          <w:sz w:val="22"/>
          <w:szCs w:val="22"/>
        </w:rPr>
        <w:lastRenderedPageBreak/>
        <w:t xml:space="preserve">possible that </w:t>
      </w:r>
      <w:r w:rsidR="003A21FD">
        <w:rPr>
          <w:rFonts w:ascii="Arial" w:hAnsi="Arial" w:cs="Arial"/>
          <w:sz w:val="22"/>
          <w:szCs w:val="22"/>
        </w:rPr>
        <w:t>the tools that are currently used to assess competence and adherence are unfit for purpose</w:t>
      </w:r>
      <w:r w:rsidR="00AC24BF">
        <w:rPr>
          <w:rFonts w:ascii="Arial" w:hAnsi="Arial" w:cs="Arial"/>
          <w:sz w:val="22"/>
          <w:szCs w:val="22"/>
        </w:rPr>
        <w:t xml:space="preserve">. Whilst the most contemporary evidence suggests that therapists should deliver CBT with fidelity to the </w:t>
      </w:r>
      <w:r w:rsidR="00C820FF">
        <w:rPr>
          <w:rFonts w:ascii="Arial" w:hAnsi="Arial" w:cs="Arial"/>
          <w:sz w:val="22"/>
          <w:szCs w:val="22"/>
        </w:rPr>
        <w:t>model</w:t>
      </w:r>
      <w:r w:rsidR="000C671B">
        <w:rPr>
          <w:rFonts w:ascii="Arial" w:hAnsi="Arial" w:cs="Arial"/>
          <w:sz w:val="22"/>
          <w:szCs w:val="22"/>
        </w:rPr>
        <w:t xml:space="preserve"> whilst adhering to an evidence-based protocol</w:t>
      </w:r>
      <w:r w:rsidR="0072632A">
        <w:rPr>
          <w:rFonts w:ascii="Arial" w:hAnsi="Arial" w:cs="Arial"/>
          <w:sz w:val="22"/>
          <w:szCs w:val="22"/>
        </w:rPr>
        <w:t>,</w:t>
      </w:r>
      <w:r w:rsidR="000C671B">
        <w:rPr>
          <w:rFonts w:ascii="Arial" w:hAnsi="Arial" w:cs="Arial"/>
          <w:sz w:val="22"/>
          <w:szCs w:val="22"/>
        </w:rPr>
        <w:t xml:space="preserve"> there has been very little advancement in the evidence base towards new methods of delivering therapy that might produce better clinical outcomes. </w:t>
      </w:r>
      <w:r w:rsidR="0064577B">
        <w:rPr>
          <w:rFonts w:ascii="Arial" w:hAnsi="Arial" w:cs="Arial"/>
          <w:sz w:val="22"/>
          <w:szCs w:val="22"/>
        </w:rPr>
        <w:t>Despite the fact that</w:t>
      </w:r>
      <w:r w:rsidR="0072632A">
        <w:rPr>
          <w:rFonts w:ascii="Arial" w:hAnsi="Arial" w:cs="Arial"/>
          <w:sz w:val="22"/>
          <w:szCs w:val="22"/>
        </w:rPr>
        <w:t>,</w:t>
      </w:r>
      <w:r w:rsidR="0064577B">
        <w:rPr>
          <w:rFonts w:ascii="Arial" w:hAnsi="Arial" w:cs="Arial"/>
          <w:sz w:val="22"/>
          <w:szCs w:val="22"/>
        </w:rPr>
        <w:t xml:space="preserve"> </w:t>
      </w:r>
      <w:r w:rsidR="00FC1B15">
        <w:rPr>
          <w:rFonts w:ascii="Arial" w:hAnsi="Arial" w:cs="Arial"/>
          <w:sz w:val="22"/>
          <w:szCs w:val="22"/>
        </w:rPr>
        <w:t>in the last 70 years</w:t>
      </w:r>
      <w:r w:rsidR="0072632A">
        <w:rPr>
          <w:rFonts w:ascii="Arial" w:hAnsi="Arial" w:cs="Arial"/>
          <w:sz w:val="22"/>
          <w:szCs w:val="22"/>
        </w:rPr>
        <w:t>,</w:t>
      </w:r>
      <w:r w:rsidR="00FC1B15">
        <w:rPr>
          <w:rFonts w:ascii="Arial" w:hAnsi="Arial" w:cs="Arial"/>
          <w:sz w:val="22"/>
          <w:szCs w:val="22"/>
        </w:rPr>
        <w:t xml:space="preserve"> researcher</w:t>
      </w:r>
      <w:r w:rsidR="005F71D9">
        <w:rPr>
          <w:rFonts w:ascii="Arial" w:hAnsi="Arial" w:cs="Arial"/>
          <w:sz w:val="22"/>
          <w:szCs w:val="22"/>
        </w:rPr>
        <w:t>s</w:t>
      </w:r>
      <w:r w:rsidR="00FC1B15">
        <w:rPr>
          <w:rFonts w:ascii="Arial" w:hAnsi="Arial" w:cs="Arial"/>
          <w:sz w:val="22"/>
          <w:szCs w:val="22"/>
        </w:rPr>
        <w:t xml:space="preserve"> have demonstrated that there is an evidence</w:t>
      </w:r>
      <w:r w:rsidR="005F71D9">
        <w:rPr>
          <w:rFonts w:ascii="Arial" w:hAnsi="Arial" w:cs="Arial"/>
          <w:sz w:val="22"/>
          <w:szCs w:val="22"/>
        </w:rPr>
        <w:t>-</w:t>
      </w:r>
      <w:r w:rsidR="00FC1B15">
        <w:rPr>
          <w:rFonts w:ascii="Arial" w:hAnsi="Arial" w:cs="Arial"/>
          <w:sz w:val="22"/>
          <w:szCs w:val="22"/>
        </w:rPr>
        <w:t>base for CBT (</w:t>
      </w:r>
      <w:r w:rsidR="00A23B94">
        <w:rPr>
          <w:rFonts w:ascii="Arial" w:hAnsi="Arial" w:cs="Arial"/>
          <w:sz w:val="22"/>
          <w:szCs w:val="22"/>
        </w:rPr>
        <w:t>McHugh and Barlow, 2012) very little is actually known about the active ingredients of CBT and why or how it works</w:t>
      </w:r>
      <w:r w:rsidR="0000481C">
        <w:rPr>
          <w:rFonts w:ascii="Arial" w:hAnsi="Arial" w:cs="Arial"/>
          <w:sz w:val="22"/>
          <w:szCs w:val="22"/>
        </w:rPr>
        <w:t xml:space="preserve"> (</w:t>
      </w:r>
      <w:r w:rsidR="001262B7">
        <w:rPr>
          <w:rFonts w:ascii="Arial" w:hAnsi="Arial" w:cs="Arial"/>
          <w:sz w:val="22"/>
          <w:szCs w:val="22"/>
        </w:rPr>
        <w:t>Lorenz</w:t>
      </w:r>
      <w:r w:rsidR="001E713E">
        <w:rPr>
          <w:rFonts w:ascii="Arial" w:hAnsi="Arial" w:cs="Arial"/>
          <w:sz w:val="22"/>
          <w:szCs w:val="22"/>
        </w:rPr>
        <w:t>o-Luaces, German and DeRubeis, 2015</w:t>
      </w:r>
      <w:r w:rsidR="0000481C">
        <w:rPr>
          <w:rFonts w:ascii="Arial" w:hAnsi="Arial" w:cs="Arial"/>
          <w:sz w:val="22"/>
          <w:szCs w:val="22"/>
        </w:rPr>
        <w:t>). Therefore</w:t>
      </w:r>
      <w:r w:rsidR="005F71D9">
        <w:rPr>
          <w:rFonts w:ascii="Arial" w:hAnsi="Arial" w:cs="Arial"/>
          <w:sz w:val="22"/>
          <w:szCs w:val="22"/>
        </w:rPr>
        <w:t>,</w:t>
      </w:r>
      <w:r w:rsidR="0000481C">
        <w:rPr>
          <w:rFonts w:ascii="Arial" w:hAnsi="Arial" w:cs="Arial"/>
          <w:sz w:val="22"/>
          <w:szCs w:val="22"/>
        </w:rPr>
        <w:t xml:space="preserve"> it might be argued that until the mediators and moderators </w:t>
      </w:r>
      <w:r w:rsidR="0072632A">
        <w:rPr>
          <w:rFonts w:ascii="Arial" w:hAnsi="Arial" w:cs="Arial"/>
          <w:sz w:val="22"/>
          <w:szCs w:val="22"/>
        </w:rPr>
        <w:t>of</w:t>
      </w:r>
      <w:r w:rsidR="0000481C">
        <w:rPr>
          <w:rFonts w:ascii="Arial" w:hAnsi="Arial" w:cs="Arial"/>
          <w:sz w:val="22"/>
          <w:szCs w:val="22"/>
        </w:rPr>
        <w:t xml:space="preserve"> CBT are well</w:t>
      </w:r>
      <w:r w:rsidR="0072632A">
        <w:rPr>
          <w:rFonts w:ascii="Arial" w:hAnsi="Arial" w:cs="Arial"/>
          <w:sz w:val="22"/>
          <w:szCs w:val="22"/>
        </w:rPr>
        <w:t>-</w:t>
      </w:r>
      <w:r w:rsidR="0000481C">
        <w:rPr>
          <w:rFonts w:ascii="Arial" w:hAnsi="Arial" w:cs="Arial"/>
          <w:sz w:val="22"/>
          <w:szCs w:val="22"/>
        </w:rPr>
        <w:t xml:space="preserve">established then it is not possible to </w:t>
      </w:r>
      <w:r w:rsidR="00FC54AD">
        <w:rPr>
          <w:rFonts w:ascii="Arial" w:hAnsi="Arial" w:cs="Arial"/>
          <w:sz w:val="22"/>
          <w:szCs w:val="22"/>
        </w:rPr>
        <w:t>build tools that can effectively rate therapist competence or adherence.</w:t>
      </w:r>
      <w:r w:rsidR="0000481C">
        <w:rPr>
          <w:rFonts w:ascii="Arial" w:hAnsi="Arial" w:cs="Arial"/>
          <w:sz w:val="22"/>
          <w:szCs w:val="22"/>
        </w:rPr>
        <w:t xml:space="preserve"> </w:t>
      </w:r>
      <w:r w:rsidR="000C671B">
        <w:rPr>
          <w:rFonts w:ascii="Arial" w:hAnsi="Arial" w:cs="Arial"/>
          <w:sz w:val="22"/>
          <w:szCs w:val="22"/>
        </w:rPr>
        <w:t>Real</w:t>
      </w:r>
      <w:r w:rsidR="00622CDC">
        <w:rPr>
          <w:rFonts w:ascii="Arial" w:hAnsi="Arial" w:cs="Arial"/>
          <w:sz w:val="22"/>
          <w:szCs w:val="22"/>
        </w:rPr>
        <w:t>-</w:t>
      </w:r>
      <w:r w:rsidR="000C671B">
        <w:rPr>
          <w:rFonts w:ascii="Arial" w:hAnsi="Arial" w:cs="Arial"/>
          <w:sz w:val="22"/>
          <w:szCs w:val="22"/>
        </w:rPr>
        <w:t>world research may expose the work of the best performing therapists so that it becomes possible to learn from these therapists and potentially advance the evidence base (</w:t>
      </w:r>
      <w:r w:rsidR="00C101BA">
        <w:rPr>
          <w:rFonts w:ascii="Arial" w:hAnsi="Arial" w:cs="Arial"/>
          <w:sz w:val="22"/>
          <w:szCs w:val="22"/>
        </w:rPr>
        <w:t>Bruijniks, Franx and Huibers, 2018, Hill and Castonguay, 2017</w:t>
      </w:r>
      <w:r w:rsidR="000C671B">
        <w:rPr>
          <w:rFonts w:ascii="Arial" w:hAnsi="Arial" w:cs="Arial"/>
          <w:sz w:val="22"/>
          <w:szCs w:val="22"/>
        </w:rPr>
        <w:t xml:space="preserve">). </w:t>
      </w:r>
      <w:r w:rsidR="0089601D">
        <w:rPr>
          <w:rFonts w:ascii="Arial" w:hAnsi="Arial" w:cs="Arial"/>
          <w:sz w:val="22"/>
          <w:szCs w:val="22"/>
        </w:rPr>
        <w:t xml:space="preserve">Some early research in this field points to a new type of therapist drift which has more positive connotations (Bruijniks, Franx and Huibers, 2018). The authors suggest that some therapists </w:t>
      </w:r>
      <w:r w:rsidR="007629E4">
        <w:rPr>
          <w:rFonts w:ascii="Arial" w:hAnsi="Arial" w:cs="Arial"/>
          <w:sz w:val="22"/>
          <w:szCs w:val="22"/>
        </w:rPr>
        <w:t>adapt treatment protocols</w:t>
      </w:r>
      <w:r w:rsidR="0089601D">
        <w:rPr>
          <w:rFonts w:ascii="Arial" w:hAnsi="Arial" w:cs="Arial"/>
          <w:sz w:val="22"/>
          <w:szCs w:val="22"/>
        </w:rPr>
        <w:t>, flexing the protocol to meet the idiosyncratic needs of the patient</w:t>
      </w:r>
      <w:r w:rsidR="007629E4">
        <w:rPr>
          <w:rFonts w:ascii="Arial" w:hAnsi="Arial" w:cs="Arial"/>
          <w:sz w:val="22"/>
          <w:szCs w:val="22"/>
        </w:rPr>
        <w:t xml:space="preserve"> in a way that does not sub-optimise treatment outcomes. Bruijniks et al., argue that </w:t>
      </w:r>
      <w:r w:rsidR="003D50AB">
        <w:rPr>
          <w:rFonts w:ascii="Arial" w:hAnsi="Arial" w:cs="Arial"/>
          <w:sz w:val="22"/>
          <w:szCs w:val="22"/>
        </w:rPr>
        <w:t xml:space="preserve">adapting protocols to meet the needs of individual patients may be desirable and unlike </w:t>
      </w:r>
      <w:r w:rsidR="007629E4">
        <w:rPr>
          <w:rFonts w:ascii="Arial" w:hAnsi="Arial" w:cs="Arial"/>
          <w:sz w:val="22"/>
          <w:szCs w:val="22"/>
        </w:rPr>
        <w:t>therapist drift, as described by Waller and Turner (20</w:t>
      </w:r>
      <w:r w:rsidR="0011728C">
        <w:rPr>
          <w:rFonts w:ascii="Arial" w:hAnsi="Arial" w:cs="Arial"/>
          <w:sz w:val="22"/>
          <w:szCs w:val="22"/>
        </w:rPr>
        <w:t>16</w:t>
      </w:r>
      <w:r w:rsidR="007629E4">
        <w:rPr>
          <w:rFonts w:ascii="Arial" w:hAnsi="Arial" w:cs="Arial"/>
          <w:sz w:val="22"/>
          <w:szCs w:val="22"/>
        </w:rPr>
        <w:t>)</w:t>
      </w:r>
      <w:r w:rsidR="008F1F37">
        <w:rPr>
          <w:rFonts w:ascii="Arial" w:hAnsi="Arial" w:cs="Arial"/>
          <w:sz w:val="22"/>
          <w:szCs w:val="22"/>
        </w:rPr>
        <w:t>,</w:t>
      </w:r>
      <w:r w:rsidR="003D50AB">
        <w:rPr>
          <w:rFonts w:ascii="Arial" w:hAnsi="Arial" w:cs="Arial"/>
          <w:sz w:val="22"/>
          <w:szCs w:val="22"/>
        </w:rPr>
        <w:t xml:space="preserve"> this does not have a negative impact on treatment outcomes. </w:t>
      </w:r>
      <w:r w:rsidR="008F1F37">
        <w:rPr>
          <w:rFonts w:ascii="Arial" w:hAnsi="Arial" w:cs="Arial"/>
          <w:sz w:val="22"/>
          <w:szCs w:val="22"/>
        </w:rPr>
        <w:t>Understanding how therapist adherence</w:t>
      </w:r>
      <w:r w:rsidR="00994203">
        <w:rPr>
          <w:rFonts w:ascii="Arial" w:hAnsi="Arial" w:cs="Arial"/>
          <w:sz w:val="22"/>
          <w:szCs w:val="22"/>
        </w:rPr>
        <w:t xml:space="preserve"> to evidence-based protocols</w:t>
      </w:r>
      <w:r w:rsidR="008F1F37">
        <w:rPr>
          <w:rFonts w:ascii="Arial" w:hAnsi="Arial" w:cs="Arial"/>
          <w:sz w:val="22"/>
          <w:szCs w:val="22"/>
        </w:rPr>
        <w:t xml:space="preserve"> impacts on patient outcomes </w:t>
      </w:r>
      <w:r w:rsidR="00994203">
        <w:rPr>
          <w:rFonts w:ascii="Arial" w:hAnsi="Arial" w:cs="Arial"/>
          <w:sz w:val="22"/>
          <w:szCs w:val="22"/>
        </w:rPr>
        <w:t xml:space="preserve">is vital </w:t>
      </w:r>
      <w:r w:rsidR="0011728C">
        <w:rPr>
          <w:rFonts w:ascii="Arial" w:hAnsi="Arial" w:cs="Arial"/>
          <w:sz w:val="22"/>
          <w:szCs w:val="22"/>
        </w:rPr>
        <w:t>(Bruijniks et al., 2018, Waller and Turner, 2016)</w:t>
      </w:r>
      <w:r w:rsidR="002B4D9D">
        <w:rPr>
          <w:rFonts w:ascii="Arial" w:hAnsi="Arial" w:cs="Arial"/>
          <w:sz w:val="22"/>
          <w:szCs w:val="22"/>
        </w:rPr>
        <w:t>.</w:t>
      </w:r>
    </w:p>
    <w:p w14:paraId="275B9137" w14:textId="77777777" w:rsidR="002B4D9D" w:rsidRDefault="002B4D9D" w:rsidP="00DC2DE7">
      <w:pPr>
        <w:spacing w:line="480" w:lineRule="auto"/>
        <w:rPr>
          <w:rFonts w:ascii="Arial" w:hAnsi="Arial" w:cs="Arial"/>
          <w:sz w:val="22"/>
          <w:szCs w:val="22"/>
        </w:rPr>
      </w:pPr>
    </w:p>
    <w:p w14:paraId="25C8C333" w14:textId="0419A4C4" w:rsidR="00B37370" w:rsidRDefault="00B37370" w:rsidP="00B37370">
      <w:pPr>
        <w:pStyle w:val="Heading2"/>
        <w:rPr>
          <w:rFonts w:ascii="Arial" w:hAnsi="Arial" w:cs="Arial"/>
          <w:color w:val="000000" w:themeColor="text1"/>
          <w:sz w:val="22"/>
          <w:szCs w:val="22"/>
        </w:rPr>
      </w:pPr>
      <w:bookmarkStart w:id="468" w:name="_Toc46770863"/>
      <w:bookmarkStart w:id="469" w:name="_Toc79414274"/>
      <w:r w:rsidRPr="00B37370">
        <w:rPr>
          <w:rFonts w:ascii="Arial" w:hAnsi="Arial" w:cs="Arial"/>
          <w:color w:val="000000" w:themeColor="text1"/>
          <w:sz w:val="22"/>
          <w:szCs w:val="22"/>
        </w:rPr>
        <w:t>6.</w:t>
      </w:r>
      <w:r w:rsidR="00633677">
        <w:rPr>
          <w:rFonts w:ascii="Arial" w:hAnsi="Arial" w:cs="Arial"/>
          <w:color w:val="000000" w:themeColor="text1"/>
          <w:sz w:val="22"/>
          <w:szCs w:val="22"/>
        </w:rPr>
        <w:t>10</w:t>
      </w:r>
      <w:r w:rsidRPr="00B37370">
        <w:rPr>
          <w:rFonts w:ascii="Arial" w:hAnsi="Arial" w:cs="Arial"/>
          <w:color w:val="000000" w:themeColor="text1"/>
          <w:sz w:val="22"/>
          <w:szCs w:val="22"/>
        </w:rPr>
        <w:t xml:space="preserve"> THE NOTION OF FLEXIBLE ADHERENCE</w:t>
      </w:r>
      <w:bookmarkEnd w:id="468"/>
      <w:bookmarkEnd w:id="469"/>
    </w:p>
    <w:p w14:paraId="3B788369" w14:textId="19562CB0" w:rsidR="0089601D" w:rsidRDefault="0089601D" w:rsidP="0089601D"/>
    <w:p w14:paraId="19FD11BD" w14:textId="22278387" w:rsidR="0089601D" w:rsidRDefault="0089601D" w:rsidP="0011728C">
      <w:pPr>
        <w:spacing w:line="480" w:lineRule="auto"/>
        <w:rPr>
          <w:rFonts w:ascii="Arial" w:hAnsi="Arial" w:cs="Arial"/>
          <w:sz w:val="22"/>
          <w:szCs w:val="22"/>
        </w:rPr>
      </w:pPr>
      <w:r w:rsidRPr="0089601D">
        <w:rPr>
          <w:rFonts w:ascii="Arial" w:hAnsi="Arial" w:cs="Arial"/>
          <w:sz w:val="22"/>
          <w:szCs w:val="22"/>
        </w:rPr>
        <w:t xml:space="preserve">Flexible adherence to an evidence-based protocol </w:t>
      </w:r>
      <w:r w:rsidR="0011728C">
        <w:rPr>
          <w:rFonts w:ascii="Arial" w:hAnsi="Arial" w:cs="Arial"/>
          <w:sz w:val="22"/>
          <w:szCs w:val="22"/>
        </w:rPr>
        <w:t>has been defined as the idiosyncratic adaptation of a treatment protocol so that it meets the identified needs of an individual patient (Bruijniks et al., 2018).  In practice</w:t>
      </w:r>
      <w:r w:rsidR="008B62D1">
        <w:rPr>
          <w:rFonts w:ascii="Arial" w:hAnsi="Arial" w:cs="Arial"/>
          <w:sz w:val="22"/>
          <w:szCs w:val="22"/>
        </w:rPr>
        <w:t>,</w:t>
      </w:r>
      <w:r w:rsidR="0011728C">
        <w:rPr>
          <w:rFonts w:ascii="Arial" w:hAnsi="Arial" w:cs="Arial"/>
          <w:sz w:val="22"/>
          <w:szCs w:val="22"/>
        </w:rPr>
        <w:t xml:space="preserve"> this may mean that a therapist omits part of a protocol because it is not required</w:t>
      </w:r>
      <w:r w:rsidR="00292F13">
        <w:rPr>
          <w:rFonts w:ascii="Arial" w:hAnsi="Arial" w:cs="Arial"/>
          <w:sz w:val="22"/>
          <w:szCs w:val="22"/>
        </w:rPr>
        <w:t>,</w:t>
      </w:r>
      <w:r w:rsidR="0011728C">
        <w:rPr>
          <w:rFonts w:ascii="Arial" w:hAnsi="Arial" w:cs="Arial"/>
          <w:sz w:val="22"/>
          <w:szCs w:val="22"/>
        </w:rPr>
        <w:t xml:space="preserve"> or part of a protocol is emphasised b</w:t>
      </w:r>
      <w:r w:rsidR="00292F13">
        <w:rPr>
          <w:rFonts w:ascii="Arial" w:hAnsi="Arial" w:cs="Arial"/>
          <w:sz w:val="22"/>
          <w:szCs w:val="22"/>
        </w:rPr>
        <w:t>ecause</w:t>
      </w:r>
      <w:r w:rsidR="0011728C">
        <w:rPr>
          <w:rFonts w:ascii="Arial" w:hAnsi="Arial" w:cs="Arial"/>
          <w:sz w:val="22"/>
          <w:szCs w:val="22"/>
        </w:rPr>
        <w:t xml:space="preserve"> it plays a </w:t>
      </w:r>
      <w:r w:rsidR="0011728C">
        <w:rPr>
          <w:rFonts w:ascii="Arial" w:hAnsi="Arial" w:cs="Arial"/>
          <w:sz w:val="22"/>
          <w:szCs w:val="22"/>
        </w:rPr>
        <w:lastRenderedPageBreak/>
        <w:t xml:space="preserve">more significant role in the successful reduction of the patient’s symptoms. </w:t>
      </w:r>
      <w:r w:rsidR="00FA4FF5">
        <w:rPr>
          <w:rFonts w:ascii="Arial" w:hAnsi="Arial" w:cs="Arial"/>
          <w:sz w:val="22"/>
          <w:szCs w:val="22"/>
        </w:rPr>
        <w:t>Whilst the notion of flexible adherence is not fully understood, it would appear that flexible adherence is based on a clinical rationale rather than the drift that Waller and Parker (2016) describe. Furthermore, t</w:t>
      </w:r>
      <w:r w:rsidR="00292F13">
        <w:rPr>
          <w:rFonts w:ascii="Arial" w:hAnsi="Arial" w:cs="Arial"/>
          <w:sz w:val="22"/>
          <w:szCs w:val="22"/>
        </w:rPr>
        <w:t>he highly skilled adaptations of a protocol</w:t>
      </w:r>
      <w:r w:rsidR="00FA4FF5">
        <w:rPr>
          <w:rFonts w:ascii="Arial" w:hAnsi="Arial" w:cs="Arial"/>
          <w:sz w:val="22"/>
          <w:szCs w:val="22"/>
        </w:rPr>
        <w:t xml:space="preserve"> used in flexible adherence</w:t>
      </w:r>
      <w:r w:rsidR="00292F13">
        <w:rPr>
          <w:rFonts w:ascii="Arial" w:hAnsi="Arial" w:cs="Arial"/>
          <w:sz w:val="22"/>
          <w:szCs w:val="22"/>
        </w:rPr>
        <w:t xml:space="preserve"> may describe the work of the most highly effective therapists</w:t>
      </w:r>
      <w:r w:rsidR="00FA4FF5">
        <w:rPr>
          <w:rFonts w:ascii="Arial" w:hAnsi="Arial" w:cs="Arial"/>
          <w:sz w:val="22"/>
          <w:szCs w:val="22"/>
        </w:rPr>
        <w:t>.</w:t>
      </w:r>
      <w:r w:rsidR="00292F13">
        <w:rPr>
          <w:rFonts w:ascii="Arial" w:hAnsi="Arial" w:cs="Arial"/>
          <w:sz w:val="22"/>
          <w:szCs w:val="22"/>
        </w:rPr>
        <w:t xml:space="preserve"> </w:t>
      </w:r>
      <w:r w:rsidR="00FA4FF5">
        <w:rPr>
          <w:rFonts w:ascii="Arial" w:hAnsi="Arial" w:cs="Arial"/>
          <w:sz w:val="22"/>
          <w:szCs w:val="22"/>
        </w:rPr>
        <w:t xml:space="preserve">The work of these most highly effective therapists </w:t>
      </w:r>
      <w:r w:rsidR="00292F13">
        <w:rPr>
          <w:rFonts w:ascii="Arial" w:hAnsi="Arial" w:cs="Arial"/>
          <w:sz w:val="22"/>
          <w:szCs w:val="22"/>
        </w:rPr>
        <w:t>ha</w:t>
      </w:r>
      <w:r w:rsidR="00FA4FF5">
        <w:rPr>
          <w:rFonts w:ascii="Arial" w:hAnsi="Arial" w:cs="Arial"/>
          <w:sz w:val="22"/>
          <w:szCs w:val="22"/>
        </w:rPr>
        <w:t>s</w:t>
      </w:r>
      <w:r w:rsidR="00292F13">
        <w:rPr>
          <w:rFonts w:ascii="Arial" w:hAnsi="Arial" w:cs="Arial"/>
          <w:sz w:val="22"/>
          <w:szCs w:val="22"/>
        </w:rPr>
        <w:t xml:space="preserve"> not been studied in vivo. Current research is based on patient (Ricks, 1974) or therapist reports (Bruijniks et al.,</w:t>
      </w:r>
      <w:r w:rsidR="00FA4FF5">
        <w:rPr>
          <w:rFonts w:ascii="Arial" w:hAnsi="Arial" w:cs="Arial"/>
          <w:sz w:val="22"/>
          <w:szCs w:val="22"/>
        </w:rPr>
        <w:t xml:space="preserve"> 2018) of what the best therapists might be doing with their patients. It will be important to review the work of the most effective therapists in order to learn what they are doing. For example, if the most effective therapists are using flexible adherence then this has implications for the future of evidence-based psychological therapy.</w:t>
      </w:r>
    </w:p>
    <w:p w14:paraId="33A62F65" w14:textId="09751800" w:rsidR="00FA4FF5" w:rsidRDefault="00FA4FF5" w:rsidP="0011728C">
      <w:pPr>
        <w:spacing w:line="480" w:lineRule="auto"/>
        <w:rPr>
          <w:rFonts w:ascii="Arial" w:hAnsi="Arial" w:cs="Arial"/>
          <w:sz w:val="22"/>
          <w:szCs w:val="22"/>
        </w:rPr>
      </w:pPr>
    </w:p>
    <w:p w14:paraId="56F13297" w14:textId="6CAA1C8A" w:rsidR="0025749B" w:rsidRDefault="00FA4FF5" w:rsidP="0011728C">
      <w:pPr>
        <w:spacing w:line="480" w:lineRule="auto"/>
        <w:rPr>
          <w:rFonts w:ascii="Arial" w:hAnsi="Arial" w:cs="Arial"/>
          <w:sz w:val="22"/>
          <w:szCs w:val="22"/>
        </w:rPr>
      </w:pPr>
      <w:r>
        <w:rPr>
          <w:rFonts w:ascii="Arial" w:hAnsi="Arial" w:cs="Arial"/>
          <w:sz w:val="22"/>
          <w:szCs w:val="22"/>
        </w:rPr>
        <w:t>In this thesis raters were asked to assess whether therapists ha</w:t>
      </w:r>
      <w:r w:rsidR="0025749B">
        <w:rPr>
          <w:rFonts w:ascii="Arial" w:hAnsi="Arial" w:cs="Arial"/>
          <w:sz w:val="22"/>
          <w:szCs w:val="22"/>
        </w:rPr>
        <w:t>d</w:t>
      </w:r>
      <w:r>
        <w:rPr>
          <w:rFonts w:ascii="Arial" w:hAnsi="Arial" w:cs="Arial"/>
          <w:sz w:val="22"/>
          <w:szCs w:val="22"/>
        </w:rPr>
        <w:t xml:space="preserve"> adhered to a protocol by reviewing all the treatment sessions of a patient’s </w:t>
      </w:r>
      <w:r w:rsidR="0025749B">
        <w:rPr>
          <w:rFonts w:ascii="Arial" w:hAnsi="Arial" w:cs="Arial"/>
          <w:sz w:val="22"/>
          <w:szCs w:val="22"/>
        </w:rPr>
        <w:t>episode of care.</w:t>
      </w:r>
      <w:r w:rsidR="00F073BE">
        <w:rPr>
          <w:rFonts w:ascii="Arial" w:hAnsi="Arial" w:cs="Arial"/>
          <w:sz w:val="22"/>
          <w:szCs w:val="22"/>
        </w:rPr>
        <w:t xml:space="preserve"> Each of the raters had experience of teaching on IAPT training programmes.</w:t>
      </w:r>
      <w:r w:rsidR="0025749B">
        <w:rPr>
          <w:rFonts w:ascii="Arial" w:hAnsi="Arial" w:cs="Arial"/>
          <w:sz w:val="22"/>
          <w:szCs w:val="22"/>
        </w:rPr>
        <w:t xml:space="preserve"> Given that adherence in the context of IAPT relates to the delivery of treatment following a specific evidence-base or set of competencies (for example Roth and Pilling 20</w:t>
      </w:r>
      <w:r w:rsidR="00F073BE">
        <w:rPr>
          <w:rFonts w:ascii="Arial" w:hAnsi="Arial" w:cs="Arial"/>
          <w:sz w:val="22"/>
          <w:szCs w:val="22"/>
        </w:rPr>
        <w:t>07, 2008</w:t>
      </w:r>
      <w:r w:rsidR="0025749B">
        <w:rPr>
          <w:rFonts w:ascii="Arial" w:hAnsi="Arial" w:cs="Arial"/>
          <w:sz w:val="22"/>
          <w:szCs w:val="22"/>
        </w:rPr>
        <w:t>)</w:t>
      </w:r>
      <w:r w:rsidR="00F073BE">
        <w:rPr>
          <w:rFonts w:ascii="Arial" w:hAnsi="Arial" w:cs="Arial"/>
          <w:sz w:val="22"/>
          <w:szCs w:val="22"/>
        </w:rPr>
        <w:t xml:space="preserve"> then it might be argued that the raters were </w:t>
      </w:r>
      <w:r w:rsidR="00C62BB7">
        <w:rPr>
          <w:rFonts w:ascii="Arial" w:hAnsi="Arial" w:cs="Arial"/>
          <w:sz w:val="22"/>
          <w:szCs w:val="22"/>
        </w:rPr>
        <w:t xml:space="preserve">looking for </w:t>
      </w:r>
      <w:r w:rsidR="00F073BE">
        <w:rPr>
          <w:rFonts w:ascii="Arial" w:hAnsi="Arial" w:cs="Arial"/>
          <w:sz w:val="22"/>
          <w:szCs w:val="22"/>
        </w:rPr>
        <w:t xml:space="preserve">rigid </w:t>
      </w:r>
      <w:r w:rsidR="00C62BB7">
        <w:rPr>
          <w:rFonts w:ascii="Arial" w:hAnsi="Arial" w:cs="Arial"/>
          <w:sz w:val="22"/>
          <w:szCs w:val="22"/>
        </w:rPr>
        <w:t>adherence and that those therapists who exhibited flexible adherence were marked down because not all elements of a protocol were evident. However, given the term ‘flexible adherence’ is</w:t>
      </w:r>
      <w:r w:rsidR="008B62D1">
        <w:rPr>
          <w:rFonts w:ascii="Arial" w:hAnsi="Arial" w:cs="Arial"/>
          <w:sz w:val="22"/>
          <w:szCs w:val="22"/>
        </w:rPr>
        <w:t>,</w:t>
      </w:r>
      <w:r w:rsidR="00C62BB7">
        <w:rPr>
          <w:rFonts w:ascii="Arial" w:hAnsi="Arial" w:cs="Arial"/>
          <w:sz w:val="22"/>
          <w:szCs w:val="22"/>
        </w:rPr>
        <w:t xml:space="preserve"> as yet</w:t>
      </w:r>
      <w:r w:rsidR="008B62D1">
        <w:rPr>
          <w:rFonts w:ascii="Arial" w:hAnsi="Arial" w:cs="Arial"/>
          <w:sz w:val="22"/>
          <w:szCs w:val="22"/>
        </w:rPr>
        <w:t>,</w:t>
      </w:r>
      <w:r w:rsidR="00C62BB7">
        <w:rPr>
          <w:rFonts w:ascii="Arial" w:hAnsi="Arial" w:cs="Arial"/>
          <w:sz w:val="22"/>
          <w:szCs w:val="22"/>
        </w:rPr>
        <w:t xml:space="preserve"> ill-defined it is difficult to assert this hypothesis with any confidence. Closer, qualitative, analysis of the transcripts of the most effective therapists may provide a better understanding of what these therapists are doing with their patients.</w:t>
      </w:r>
    </w:p>
    <w:p w14:paraId="069AE190" w14:textId="7ECC0CA7" w:rsidR="0011728C" w:rsidRDefault="0011728C" w:rsidP="0011728C">
      <w:pPr>
        <w:spacing w:line="480" w:lineRule="auto"/>
        <w:rPr>
          <w:rFonts w:ascii="Arial" w:hAnsi="Arial" w:cs="Arial"/>
          <w:sz w:val="22"/>
          <w:szCs w:val="22"/>
        </w:rPr>
      </w:pPr>
    </w:p>
    <w:p w14:paraId="731C2E8C" w14:textId="08BFD888" w:rsidR="00DC2DE7" w:rsidRPr="00644059" w:rsidRDefault="008A1595" w:rsidP="00DC2DE7">
      <w:pPr>
        <w:pStyle w:val="Heading2"/>
        <w:rPr>
          <w:rFonts w:ascii="Arial" w:hAnsi="Arial" w:cs="Arial"/>
          <w:color w:val="000000" w:themeColor="text1"/>
          <w:sz w:val="22"/>
          <w:szCs w:val="22"/>
        </w:rPr>
      </w:pPr>
      <w:bookmarkStart w:id="470" w:name="_Toc46770864"/>
      <w:bookmarkStart w:id="471" w:name="_Toc79414275"/>
      <w:r>
        <w:rPr>
          <w:rFonts w:ascii="Arial" w:hAnsi="Arial" w:cs="Arial"/>
          <w:color w:val="000000" w:themeColor="text1"/>
          <w:sz w:val="22"/>
          <w:szCs w:val="22"/>
        </w:rPr>
        <w:t>6</w:t>
      </w:r>
      <w:r w:rsidR="00DC2DE7" w:rsidRPr="00644059">
        <w:rPr>
          <w:rFonts w:ascii="Arial" w:hAnsi="Arial" w:cs="Arial"/>
          <w:color w:val="000000" w:themeColor="text1"/>
          <w:sz w:val="22"/>
          <w:szCs w:val="22"/>
        </w:rPr>
        <w:t>.</w:t>
      </w:r>
      <w:r w:rsidR="00633677">
        <w:rPr>
          <w:rFonts w:ascii="Arial" w:hAnsi="Arial" w:cs="Arial"/>
          <w:color w:val="000000" w:themeColor="text1"/>
          <w:sz w:val="22"/>
          <w:szCs w:val="22"/>
        </w:rPr>
        <w:t>11</w:t>
      </w:r>
      <w:r w:rsidR="00DC2DE7" w:rsidRPr="00644059">
        <w:rPr>
          <w:rFonts w:ascii="Arial" w:hAnsi="Arial" w:cs="Arial"/>
          <w:color w:val="000000" w:themeColor="text1"/>
          <w:sz w:val="22"/>
          <w:szCs w:val="22"/>
        </w:rPr>
        <w:t xml:space="preserve"> RECOMMENDATIONS FOR FUTURE RESEARCH</w:t>
      </w:r>
      <w:bookmarkEnd w:id="470"/>
      <w:bookmarkEnd w:id="471"/>
    </w:p>
    <w:p w14:paraId="1B32B137" w14:textId="77777777" w:rsidR="00DC2DE7" w:rsidRPr="00F90E30" w:rsidRDefault="00DC2DE7" w:rsidP="00DC2DE7">
      <w:pPr>
        <w:spacing w:line="480" w:lineRule="auto"/>
        <w:rPr>
          <w:rFonts w:ascii="Arial" w:hAnsi="Arial" w:cs="Arial"/>
          <w:sz w:val="22"/>
          <w:szCs w:val="22"/>
        </w:rPr>
      </w:pPr>
    </w:p>
    <w:p w14:paraId="02C5444E" w14:textId="60ED9507" w:rsidR="00DC2DE7" w:rsidRDefault="00DC2DE7" w:rsidP="00DC2DE7">
      <w:pPr>
        <w:spacing w:line="480" w:lineRule="auto"/>
        <w:rPr>
          <w:rFonts w:ascii="Arial" w:hAnsi="Arial" w:cs="Arial"/>
          <w:sz w:val="22"/>
          <w:szCs w:val="22"/>
        </w:rPr>
      </w:pPr>
      <w:r>
        <w:rPr>
          <w:rFonts w:ascii="Arial" w:hAnsi="Arial" w:cs="Arial"/>
          <w:sz w:val="22"/>
          <w:szCs w:val="22"/>
        </w:rPr>
        <w:t xml:space="preserve">This research </w:t>
      </w:r>
      <w:r w:rsidR="00121465">
        <w:rPr>
          <w:rFonts w:ascii="Arial" w:hAnsi="Arial" w:cs="Arial"/>
          <w:sz w:val="22"/>
          <w:szCs w:val="22"/>
        </w:rPr>
        <w:t>h</w:t>
      </w:r>
      <w:r>
        <w:rPr>
          <w:rFonts w:ascii="Arial" w:hAnsi="Arial" w:cs="Arial"/>
          <w:sz w:val="22"/>
          <w:szCs w:val="22"/>
        </w:rPr>
        <w:t>as reported that both fidelity to the CBT model</w:t>
      </w:r>
      <w:r w:rsidR="008B62D1">
        <w:rPr>
          <w:rFonts w:ascii="Arial" w:hAnsi="Arial" w:cs="Arial"/>
          <w:sz w:val="22"/>
          <w:szCs w:val="22"/>
        </w:rPr>
        <w:t>,</w:t>
      </w:r>
      <w:r>
        <w:rPr>
          <w:rFonts w:ascii="Arial" w:hAnsi="Arial" w:cs="Arial"/>
          <w:sz w:val="22"/>
          <w:szCs w:val="22"/>
        </w:rPr>
        <w:t xml:space="preserve"> and adherence to an evidence-based protocol</w:t>
      </w:r>
      <w:r w:rsidR="008B62D1">
        <w:rPr>
          <w:rFonts w:ascii="Arial" w:hAnsi="Arial" w:cs="Arial"/>
          <w:sz w:val="22"/>
          <w:szCs w:val="22"/>
        </w:rPr>
        <w:t>,</w:t>
      </w:r>
      <w:r>
        <w:rPr>
          <w:rFonts w:ascii="Arial" w:hAnsi="Arial" w:cs="Arial"/>
          <w:sz w:val="22"/>
          <w:szCs w:val="22"/>
        </w:rPr>
        <w:t xml:space="preserve"> are related to clinical outcomes. </w:t>
      </w:r>
      <w:r w:rsidRPr="00F90E30">
        <w:rPr>
          <w:rFonts w:ascii="Arial" w:hAnsi="Arial" w:cs="Arial"/>
          <w:sz w:val="22"/>
          <w:szCs w:val="22"/>
        </w:rPr>
        <w:t xml:space="preserve">Huppert et al., (2001) raise the </w:t>
      </w:r>
      <w:r w:rsidRPr="00F90E30">
        <w:rPr>
          <w:rFonts w:ascii="Arial" w:hAnsi="Arial" w:cs="Arial"/>
          <w:sz w:val="22"/>
          <w:szCs w:val="22"/>
        </w:rPr>
        <w:lastRenderedPageBreak/>
        <w:t xml:space="preserve">question that if it were possible to understand the difference between effective and ineffective therapists that the next step </w:t>
      </w:r>
      <w:r>
        <w:rPr>
          <w:rFonts w:ascii="Arial" w:hAnsi="Arial" w:cs="Arial"/>
          <w:sz w:val="22"/>
          <w:szCs w:val="22"/>
        </w:rPr>
        <w:t>would be to</w:t>
      </w:r>
      <w:r w:rsidRPr="00F90E30">
        <w:rPr>
          <w:rFonts w:ascii="Arial" w:hAnsi="Arial" w:cs="Arial"/>
          <w:sz w:val="22"/>
          <w:szCs w:val="22"/>
        </w:rPr>
        <w:t xml:space="preserve"> understand whether or not is possible to make ineffective therapists more effective. </w:t>
      </w:r>
    </w:p>
    <w:p w14:paraId="64DA1616" w14:textId="77777777" w:rsidR="00DC2DE7" w:rsidRDefault="00DC2DE7" w:rsidP="00DC2DE7">
      <w:pPr>
        <w:spacing w:line="480" w:lineRule="auto"/>
        <w:rPr>
          <w:rFonts w:ascii="Arial" w:hAnsi="Arial" w:cs="Arial"/>
          <w:sz w:val="22"/>
          <w:szCs w:val="22"/>
        </w:rPr>
      </w:pPr>
    </w:p>
    <w:p w14:paraId="1D8E3B37" w14:textId="2E1032AB" w:rsidR="00DC2DE7" w:rsidRDefault="00DC2DE7" w:rsidP="00934842">
      <w:pPr>
        <w:pStyle w:val="ListParagraph"/>
        <w:numPr>
          <w:ilvl w:val="0"/>
          <w:numId w:val="22"/>
        </w:numPr>
        <w:spacing w:line="480" w:lineRule="auto"/>
        <w:rPr>
          <w:rFonts w:ascii="Arial" w:hAnsi="Arial" w:cs="Arial"/>
          <w:sz w:val="22"/>
          <w:szCs w:val="22"/>
        </w:rPr>
      </w:pPr>
      <w:r>
        <w:rPr>
          <w:rFonts w:ascii="Arial" w:hAnsi="Arial" w:cs="Arial"/>
          <w:sz w:val="22"/>
          <w:szCs w:val="22"/>
        </w:rPr>
        <w:t>This thesis has reported that there was significant variance between therapists, with some therapists achiev</w:t>
      </w:r>
      <w:r w:rsidR="008B62D1">
        <w:rPr>
          <w:rFonts w:ascii="Arial" w:hAnsi="Arial" w:cs="Arial"/>
          <w:sz w:val="22"/>
          <w:szCs w:val="22"/>
        </w:rPr>
        <w:t>ing</w:t>
      </w:r>
      <w:r>
        <w:rPr>
          <w:rFonts w:ascii="Arial" w:hAnsi="Arial" w:cs="Arial"/>
          <w:sz w:val="22"/>
          <w:szCs w:val="22"/>
        </w:rPr>
        <w:t xml:space="preserve"> better outcomes than others. This finding is congruent with other studies. It is recommended that qualitative examination of the therapy transcripts of the best performing and worst performing therapists is undertaken in order to understand what the best/worst therapists are doing with their patients.</w:t>
      </w:r>
      <w:r w:rsidRPr="00B02409">
        <w:rPr>
          <w:rFonts w:ascii="Arial" w:hAnsi="Arial" w:cs="Arial"/>
          <w:sz w:val="22"/>
          <w:szCs w:val="22"/>
        </w:rPr>
        <w:t xml:space="preserve"> </w:t>
      </w:r>
      <w:r>
        <w:rPr>
          <w:rFonts w:ascii="Arial" w:hAnsi="Arial" w:cs="Arial"/>
          <w:sz w:val="22"/>
          <w:szCs w:val="22"/>
        </w:rPr>
        <w:t>Learning from this research might then be used to inform therapist training with the aim of helping poor performing or average therapists become more effective.</w:t>
      </w:r>
    </w:p>
    <w:p w14:paraId="7E9D663A" w14:textId="77777777" w:rsidR="007215D5" w:rsidRDefault="007215D5" w:rsidP="007215D5">
      <w:pPr>
        <w:pStyle w:val="ListParagraph"/>
        <w:spacing w:line="480" w:lineRule="auto"/>
        <w:rPr>
          <w:rFonts w:ascii="Arial" w:hAnsi="Arial" w:cs="Arial"/>
          <w:sz w:val="22"/>
          <w:szCs w:val="22"/>
        </w:rPr>
      </w:pPr>
    </w:p>
    <w:p w14:paraId="4911764C" w14:textId="3E74992C" w:rsidR="00DC2DE7" w:rsidRDefault="00DC2DE7" w:rsidP="00030708">
      <w:pPr>
        <w:pStyle w:val="ListParagraph"/>
        <w:numPr>
          <w:ilvl w:val="0"/>
          <w:numId w:val="22"/>
        </w:numPr>
        <w:spacing w:line="480" w:lineRule="auto"/>
        <w:rPr>
          <w:rFonts w:ascii="Arial" w:hAnsi="Arial" w:cs="Arial"/>
          <w:sz w:val="22"/>
          <w:szCs w:val="22"/>
        </w:rPr>
      </w:pPr>
      <w:r w:rsidRPr="00735AE1">
        <w:rPr>
          <w:rFonts w:ascii="Arial" w:hAnsi="Arial" w:cs="Arial"/>
          <w:sz w:val="22"/>
          <w:szCs w:val="22"/>
        </w:rPr>
        <w:t>This thesis has reported that one limitation of this research is that it was not possible to assess more transcripts/whole completed cases. A recommendation for future research is to understand how many transcripts/whole cases need to be rated in order to be confident in the findings. Furthermore, given the debate relating to how to define and/or assess processes such as therapist competence and adherence further research might explore new tools and instruments that reliably report therapist activity</w:t>
      </w:r>
      <w:r w:rsidR="00735AE1">
        <w:rPr>
          <w:rFonts w:ascii="Arial" w:hAnsi="Arial" w:cs="Arial"/>
          <w:sz w:val="22"/>
          <w:szCs w:val="22"/>
        </w:rPr>
        <w:t>.</w:t>
      </w:r>
    </w:p>
    <w:p w14:paraId="7D090646" w14:textId="77777777" w:rsidR="00735AE1" w:rsidRPr="00735AE1" w:rsidRDefault="00735AE1" w:rsidP="00735AE1">
      <w:pPr>
        <w:pStyle w:val="ListParagraph"/>
        <w:rPr>
          <w:rFonts w:ascii="Arial" w:hAnsi="Arial" w:cs="Arial"/>
          <w:sz w:val="22"/>
          <w:szCs w:val="22"/>
        </w:rPr>
      </w:pPr>
    </w:p>
    <w:p w14:paraId="4FE771E4" w14:textId="77777777" w:rsidR="00735AE1" w:rsidRPr="00735AE1" w:rsidRDefault="00735AE1" w:rsidP="00735AE1">
      <w:pPr>
        <w:pStyle w:val="ListParagraph"/>
        <w:spacing w:line="480" w:lineRule="auto"/>
        <w:rPr>
          <w:rFonts w:ascii="Arial" w:hAnsi="Arial" w:cs="Arial"/>
          <w:sz w:val="22"/>
          <w:szCs w:val="22"/>
        </w:rPr>
      </w:pPr>
    </w:p>
    <w:p w14:paraId="3DF41275" w14:textId="176456C5" w:rsidR="00DC2DE7" w:rsidRDefault="00DC2DE7" w:rsidP="00934842">
      <w:pPr>
        <w:pStyle w:val="ListParagraph"/>
        <w:numPr>
          <w:ilvl w:val="0"/>
          <w:numId w:val="22"/>
        </w:numPr>
        <w:spacing w:line="480" w:lineRule="auto"/>
        <w:rPr>
          <w:rFonts w:ascii="Arial" w:hAnsi="Arial" w:cs="Arial"/>
          <w:sz w:val="22"/>
          <w:szCs w:val="22"/>
        </w:rPr>
      </w:pPr>
      <w:r>
        <w:rPr>
          <w:rFonts w:ascii="Arial" w:hAnsi="Arial" w:cs="Arial"/>
          <w:sz w:val="22"/>
          <w:szCs w:val="22"/>
        </w:rPr>
        <w:t>This thesis has discussed how IAPT training programmes currently assess therapist competence and adherence. Further research might involve assessing competence and adherence of trainee therapists enrolled on an IAPT training programme using the IECBT</w:t>
      </w:r>
      <w:r w:rsidR="002951E3">
        <w:rPr>
          <w:rFonts w:ascii="Arial" w:hAnsi="Arial" w:cs="Arial"/>
          <w:sz w:val="22"/>
          <w:szCs w:val="22"/>
        </w:rPr>
        <w:t xml:space="preserve"> method</w:t>
      </w:r>
      <w:r>
        <w:rPr>
          <w:rFonts w:ascii="Arial" w:hAnsi="Arial" w:cs="Arial"/>
          <w:sz w:val="22"/>
          <w:szCs w:val="22"/>
        </w:rPr>
        <w:t xml:space="preserve"> whereby academic tutors, assessor and supervisors could assess whether a trainee could consistently deliver CBT with fidelity to the model and adherence to a disorder specific treatment protocol. Research might test the feasibility of using the IECBT</w:t>
      </w:r>
      <w:r w:rsidR="002951E3">
        <w:rPr>
          <w:rFonts w:ascii="Arial" w:hAnsi="Arial" w:cs="Arial"/>
          <w:sz w:val="22"/>
          <w:szCs w:val="22"/>
        </w:rPr>
        <w:t xml:space="preserve"> method</w:t>
      </w:r>
      <w:r>
        <w:rPr>
          <w:rFonts w:ascii="Arial" w:hAnsi="Arial" w:cs="Arial"/>
          <w:sz w:val="22"/>
          <w:szCs w:val="22"/>
        </w:rPr>
        <w:t xml:space="preserve"> as a formative assessment tool in order to </w:t>
      </w:r>
      <w:r>
        <w:rPr>
          <w:rFonts w:ascii="Arial" w:hAnsi="Arial" w:cs="Arial"/>
          <w:sz w:val="22"/>
          <w:szCs w:val="22"/>
        </w:rPr>
        <w:lastRenderedPageBreak/>
        <w:t>support academic staff, assessors and supervisors to highlight therapists who are struggling with key techniques. A further hypothesis, that this method might lead to improved outcomes and improved scores at summative assessment might then be tested.</w:t>
      </w:r>
    </w:p>
    <w:p w14:paraId="5774EBF8" w14:textId="77777777" w:rsidR="00DC2DE7" w:rsidRPr="00B02409" w:rsidRDefault="00DC2DE7" w:rsidP="00DC2DE7">
      <w:pPr>
        <w:pStyle w:val="ListParagraph"/>
        <w:spacing w:line="480" w:lineRule="auto"/>
        <w:rPr>
          <w:rFonts w:ascii="Arial" w:hAnsi="Arial" w:cs="Arial"/>
          <w:sz w:val="22"/>
          <w:szCs w:val="22"/>
        </w:rPr>
      </w:pPr>
    </w:p>
    <w:p w14:paraId="2B5A9FD3" w14:textId="1F603F3F" w:rsidR="00DC2DE7" w:rsidRPr="00C26638" w:rsidRDefault="00DC2DE7" w:rsidP="00DC2DE7">
      <w:pPr>
        <w:pStyle w:val="ListParagraph"/>
        <w:numPr>
          <w:ilvl w:val="0"/>
          <w:numId w:val="22"/>
        </w:numPr>
        <w:spacing w:line="480" w:lineRule="auto"/>
        <w:rPr>
          <w:rFonts w:ascii="Arial" w:hAnsi="Arial" w:cs="Arial"/>
          <w:sz w:val="22"/>
          <w:szCs w:val="22"/>
        </w:rPr>
      </w:pPr>
      <w:r>
        <w:rPr>
          <w:rFonts w:ascii="Arial" w:hAnsi="Arial" w:cs="Arial"/>
          <w:sz w:val="22"/>
          <w:szCs w:val="22"/>
        </w:rPr>
        <w:t xml:space="preserve"> This thesis </w:t>
      </w:r>
      <w:r w:rsidRPr="00F90E30">
        <w:rPr>
          <w:rFonts w:ascii="Arial" w:hAnsi="Arial" w:cs="Arial"/>
          <w:sz w:val="22"/>
          <w:szCs w:val="22"/>
        </w:rPr>
        <w:t>analyse</w:t>
      </w:r>
      <w:r w:rsidR="00994203">
        <w:rPr>
          <w:rFonts w:ascii="Arial" w:hAnsi="Arial" w:cs="Arial"/>
          <w:sz w:val="22"/>
          <w:szCs w:val="22"/>
        </w:rPr>
        <w:t>d</w:t>
      </w:r>
      <w:r w:rsidRPr="00F90E30">
        <w:rPr>
          <w:rFonts w:ascii="Arial" w:hAnsi="Arial" w:cs="Arial"/>
          <w:sz w:val="22"/>
          <w:szCs w:val="22"/>
        </w:rPr>
        <w:t xml:space="preserve"> therapists who delivered CBT online using written communication. It is not yet possible to understand whether a therapist’s behaviour online differs from their behaviour when delivering treatment face-to-face. Whilst IECBT and face-to-face CBT are comparable in terms of clinical outcomes and variance in therapist effectiveness, further research is required to understand any</w:t>
      </w:r>
      <w:r w:rsidR="0078237F">
        <w:rPr>
          <w:rFonts w:ascii="Arial" w:hAnsi="Arial" w:cs="Arial"/>
          <w:sz w:val="22"/>
          <w:szCs w:val="22"/>
        </w:rPr>
        <w:t xml:space="preserve"> </w:t>
      </w:r>
      <w:r w:rsidRPr="00F90E30">
        <w:rPr>
          <w:rFonts w:ascii="Arial" w:hAnsi="Arial" w:cs="Arial"/>
          <w:sz w:val="22"/>
          <w:szCs w:val="22"/>
        </w:rPr>
        <w:t xml:space="preserve"> differences</w:t>
      </w:r>
      <w:r>
        <w:rPr>
          <w:rFonts w:ascii="Arial" w:hAnsi="Arial" w:cs="Arial"/>
          <w:sz w:val="22"/>
          <w:szCs w:val="22"/>
        </w:rPr>
        <w:t xml:space="preserve"> between the two methods. It is recommended that transcribed face-to-face CBT sessions and IECBT transcripts (delivered by the same therapist) are analysed in order to ascertain whether there are significant differences between the two methods.</w:t>
      </w:r>
      <w:r w:rsidR="00C26638">
        <w:rPr>
          <w:rFonts w:ascii="Arial" w:hAnsi="Arial" w:cs="Arial"/>
          <w:sz w:val="22"/>
          <w:szCs w:val="22"/>
        </w:rPr>
        <w:br/>
      </w:r>
    </w:p>
    <w:p w14:paraId="3895DC11" w14:textId="6D0A24E2" w:rsidR="00DC2DE7" w:rsidRPr="005F1B69" w:rsidRDefault="008A1595" w:rsidP="003E2D83">
      <w:pPr>
        <w:pStyle w:val="Heading3"/>
        <w:rPr>
          <w:rFonts w:cs="Arial"/>
          <w:color w:val="000000" w:themeColor="text1"/>
          <w:szCs w:val="22"/>
        </w:rPr>
      </w:pPr>
      <w:bookmarkStart w:id="472" w:name="_Toc46770865"/>
      <w:bookmarkStart w:id="473" w:name="_Toc79414276"/>
      <w:r w:rsidRPr="005F1B69">
        <w:rPr>
          <w:rFonts w:cs="Arial"/>
          <w:color w:val="000000" w:themeColor="text1"/>
          <w:szCs w:val="22"/>
        </w:rPr>
        <w:t>6</w:t>
      </w:r>
      <w:r w:rsidR="00DC2DE7" w:rsidRPr="005F1B69">
        <w:rPr>
          <w:rFonts w:cs="Arial"/>
          <w:color w:val="000000" w:themeColor="text1"/>
          <w:szCs w:val="22"/>
        </w:rPr>
        <w:t>.</w:t>
      </w:r>
      <w:r w:rsidR="00633677">
        <w:rPr>
          <w:rFonts w:cs="Arial"/>
          <w:color w:val="000000" w:themeColor="text1"/>
          <w:szCs w:val="22"/>
        </w:rPr>
        <w:t>11</w:t>
      </w:r>
      <w:r w:rsidR="002B2CDF" w:rsidRPr="005F1B69">
        <w:rPr>
          <w:rFonts w:cs="Arial"/>
          <w:color w:val="000000" w:themeColor="text1"/>
          <w:szCs w:val="22"/>
        </w:rPr>
        <w:t>.1</w:t>
      </w:r>
      <w:r w:rsidR="00DC2DE7" w:rsidRPr="005F1B69">
        <w:rPr>
          <w:rFonts w:cs="Arial"/>
          <w:color w:val="000000" w:themeColor="text1"/>
          <w:szCs w:val="22"/>
        </w:rPr>
        <w:t xml:space="preserve"> </w:t>
      </w:r>
      <w:r w:rsidR="002B2CDF" w:rsidRPr="005F1B69">
        <w:rPr>
          <w:rFonts w:cs="Arial"/>
          <w:color w:val="000000" w:themeColor="text1"/>
          <w:szCs w:val="22"/>
        </w:rPr>
        <w:t>Summary</w:t>
      </w:r>
      <w:bookmarkEnd w:id="472"/>
      <w:bookmarkEnd w:id="473"/>
    </w:p>
    <w:p w14:paraId="68285802" w14:textId="77777777" w:rsidR="00DC2DE7" w:rsidRPr="00B275F4" w:rsidRDefault="00DC2DE7" w:rsidP="00DC2DE7"/>
    <w:p w14:paraId="43682F0A" w14:textId="77777777" w:rsidR="007F596B" w:rsidRDefault="002B2CDF" w:rsidP="00783DAD">
      <w:pPr>
        <w:spacing w:line="480" w:lineRule="auto"/>
        <w:rPr>
          <w:rFonts w:ascii="Arial" w:hAnsi="Arial" w:cs="Arial"/>
          <w:sz w:val="22"/>
          <w:szCs w:val="22"/>
        </w:rPr>
      </w:pPr>
      <w:r>
        <w:rPr>
          <w:rFonts w:ascii="Arial" w:hAnsi="Arial" w:cs="Arial"/>
          <w:sz w:val="22"/>
          <w:szCs w:val="22"/>
        </w:rPr>
        <w:t xml:space="preserve">This section has highlighted areas for further research based on the findings of this current research. </w:t>
      </w:r>
      <w:r w:rsidR="00DC2DE7">
        <w:rPr>
          <w:rFonts w:ascii="Arial" w:hAnsi="Arial" w:cs="Arial"/>
          <w:sz w:val="22"/>
          <w:szCs w:val="22"/>
        </w:rPr>
        <w:t>The</w:t>
      </w:r>
      <w:r w:rsidR="00DC2DE7" w:rsidRPr="00F90E30">
        <w:rPr>
          <w:rFonts w:ascii="Arial" w:hAnsi="Arial" w:cs="Arial"/>
          <w:sz w:val="22"/>
          <w:szCs w:val="22"/>
        </w:rPr>
        <w:t xml:space="preserve"> findings </w:t>
      </w:r>
      <w:r>
        <w:rPr>
          <w:rFonts w:ascii="Arial" w:hAnsi="Arial" w:cs="Arial"/>
          <w:sz w:val="22"/>
          <w:szCs w:val="22"/>
        </w:rPr>
        <w:t>make a significant contribution to</w:t>
      </w:r>
      <w:r w:rsidR="00DC2DE7" w:rsidRPr="00F90E30">
        <w:rPr>
          <w:rFonts w:ascii="Arial" w:hAnsi="Arial" w:cs="Arial"/>
          <w:sz w:val="22"/>
          <w:szCs w:val="22"/>
        </w:rPr>
        <w:t xml:space="preserve"> </w:t>
      </w:r>
      <w:r w:rsidR="00994203">
        <w:rPr>
          <w:rFonts w:ascii="Arial" w:hAnsi="Arial" w:cs="Arial"/>
          <w:sz w:val="22"/>
          <w:szCs w:val="22"/>
        </w:rPr>
        <w:t xml:space="preserve">the </w:t>
      </w:r>
      <w:r w:rsidR="00DC2DE7" w:rsidRPr="00F90E30">
        <w:rPr>
          <w:rFonts w:ascii="Arial" w:hAnsi="Arial" w:cs="Arial"/>
          <w:sz w:val="22"/>
          <w:szCs w:val="22"/>
        </w:rPr>
        <w:t xml:space="preserve">body of work already conducted in this </w:t>
      </w:r>
      <w:r w:rsidR="00DC2DE7">
        <w:rPr>
          <w:rFonts w:ascii="Arial" w:hAnsi="Arial" w:cs="Arial"/>
          <w:sz w:val="22"/>
          <w:szCs w:val="22"/>
        </w:rPr>
        <w:t xml:space="preserve">field, </w:t>
      </w:r>
      <w:r w:rsidR="00DC2DE7" w:rsidRPr="00F90E30">
        <w:rPr>
          <w:rFonts w:ascii="Arial" w:hAnsi="Arial" w:cs="Arial"/>
          <w:sz w:val="22"/>
          <w:szCs w:val="22"/>
        </w:rPr>
        <w:t>especially because some of the limitations cited in previous studies have been addressed. The delivery of evidence-based psychological interventions</w:t>
      </w:r>
      <w:r>
        <w:rPr>
          <w:rFonts w:ascii="Arial" w:hAnsi="Arial" w:cs="Arial"/>
          <w:sz w:val="22"/>
          <w:szCs w:val="22"/>
        </w:rPr>
        <w:t xml:space="preserve"> via</w:t>
      </w:r>
      <w:r w:rsidR="00DC2DE7" w:rsidRPr="00F90E30">
        <w:rPr>
          <w:rFonts w:ascii="Arial" w:hAnsi="Arial" w:cs="Arial"/>
          <w:sz w:val="22"/>
          <w:szCs w:val="22"/>
        </w:rPr>
        <w:t xml:space="preserve"> </w:t>
      </w:r>
      <w:r>
        <w:rPr>
          <w:rFonts w:ascii="Arial" w:hAnsi="Arial" w:cs="Arial"/>
          <w:sz w:val="22"/>
          <w:szCs w:val="22"/>
        </w:rPr>
        <w:t xml:space="preserve">Internet </w:t>
      </w:r>
      <w:r w:rsidR="001254F8">
        <w:rPr>
          <w:rFonts w:ascii="Arial" w:hAnsi="Arial" w:cs="Arial"/>
          <w:sz w:val="22"/>
          <w:szCs w:val="22"/>
        </w:rPr>
        <w:t>E</w:t>
      </w:r>
      <w:r>
        <w:rPr>
          <w:rFonts w:ascii="Arial" w:hAnsi="Arial" w:cs="Arial"/>
          <w:sz w:val="22"/>
          <w:szCs w:val="22"/>
        </w:rPr>
        <w:t>nabled CBT (IECBT)</w:t>
      </w:r>
      <w:r w:rsidR="00DC2DE7" w:rsidRPr="00F90E30">
        <w:rPr>
          <w:rFonts w:ascii="Arial" w:hAnsi="Arial" w:cs="Arial"/>
          <w:sz w:val="22"/>
          <w:szCs w:val="22"/>
        </w:rPr>
        <w:t xml:space="preserve"> </w:t>
      </w:r>
      <w:r>
        <w:rPr>
          <w:rFonts w:ascii="Arial" w:hAnsi="Arial" w:cs="Arial"/>
          <w:sz w:val="22"/>
          <w:szCs w:val="22"/>
        </w:rPr>
        <w:t xml:space="preserve">has provided a new, and currently unique, way to learn more </w:t>
      </w:r>
      <w:r w:rsidR="00DC2DE7" w:rsidRPr="00F90E30">
        <w:rPr>
          <w:rFonts w:ascii="Arial" w:hAnsi="Arial" w:cs="Arial"/>
          <w:sz w:val="22"/>
          <w:szCs w:val="22"/>
        </w:rPr>
        <w:t xml:space="preserve">about </w:t>
      </w:r>
      <w:r w:rsidR="00994203">
        <w:rPr>
          <w:rFonts w:ascii="Arial" w:hAnsi="Arial" w:cs="Arial"/>
          <w:sz w:val="22"/>
          <w:szCs w:val="22"/>
        </w:rPr>
        <w:t xml:space="preserve">how therapist behaviour impacts on </w:t>
      </w:r>
      <w:r w:rsidR="00DC2DE7" w:rsidRPr="00F90E30">
        <w:rPr>
          <w:rFonts w:ascii="Arial" w:hAnsi="Arial" w:cs="Arial"/>
          <w:sz w:val="22"/>
          <w:szCs w:val="22"/>
        </w:rPr>
        <w:t>good clinical outcomes.</w:t>
      </w:r>
      <w:r w:rsidR="004D1ADE">
        <w:rPr>
          <w:rFonts w:ascii="Arial" w:hAnsi="Arial" w:cs="Arial"/>
          <w:sz w:val="22"/>
          <w:szCs w:val="22"/>
        </w:rPr>
        <w:t xml:space="preserve"> </w:t>
      </w:r>
      <w:r w:rsidR="004D1ADE" w:rsidRPr="00EE4BB6">
        <w:rPr>
          <w:rFonts w:ascii="Arial" w:hAnsi="Arial" w:cs="Arial"/>
          <w:sz w:val="22"/>
          <w:szCs w:val="22"/>
        </w:rPr>
        <w:t xml:space="preserve">It has been argued that the methods used in the research reported in this thesis represent a </w:t>
      </w:r>
      <w:r w:rsidR="00F56A55" w:rsidRPr="00EE4BB6">
        <w:rPr>
          <w:rFonts w:ascii="Arial" w:hAnsi="Arial" w:cs="Arial"/>
          <w:sz w:val="22"/>
          <w:szCs w:val="22"/>
        </w:rPr>
        <w:t>new method</w:t>
      </w:r>
      <w:r w:rsidR="004D1ADE" w:rsidRPr="00EE4BB6">
        <w:rPr>
          <w:rFonts w:ascii="Arial" w:hAnsi="Arial" w:cs="Arial"/>
          <w:sz w:val="22"/>
          <w:szCs w:val="22"/>
        </w:rPr>
        <w:t xml:space="preserve"> </w:t>
      </w:r>
      <w:r w:rsidR="002F6B3F" w:rsidRPr="00EE4BB6">
        <w:rPr>
          <w:rFonts w:ascii="Arial" w:hAnsi="Arial" w:cs="Arial"/>
          <w:sz w:val="22"/>
          <w:szCs w:val="22"/>
        </w:rPr>
        <w:t>of conducting research in</w:t>
      </w:r>
      <w:r w:rsidR="004D1ADE" w:rsidRPr="00EE4BB6">
        <w:rPr>
          <w:rFonts w:ascii="Arial" w:hAnsi="Arial" w:cs="Arial"/>
          <w:sz w:val="22"/>
          <w:szCs w:val="22"/>
        </w:rPr>
        <w:t xml:space="preserve"> psychological therapy</w:t>
      </w:r>
      <w:r w:rsidR="00092A7F" w:rsidRPr="001F5176">
        <w:rPr>
          <w:rFonts w:ascii="Arial" w:hAnsi="Arial" w:cs="Arial"/>
          <w:sz w:val="22"/>
          <w:szCs w:val="22"/>
        </w:rPr>
        <w:t>.</w:t>
      </w:r>
      <w:r w:rsidR="00DC2DE7">
        <w:rPr>
          <w:rFonts w:ascii="Arial" w:hAnsi="Arial" w:cs="Arial"/>
          <w:sz w:val="22"/>
          <w:szCs w:val="22"/>
        </w:rPr>
        <w:t xml:space="preserve"> The implications of the findings from this research </w:t>
      </w:r>
      <w:r>
        <w:rPr>
          <w:rFonts w:ascii="Arial" w:hAnsi="Arial" w:cs="Arial"/>
          <w:sz w:val="22"/>
          <w:szCs w:val="22"/>
        </w:rPr>
        <w:t>on</w:t>
      </w:r>
      <w:r w:rsidR="00DC2DE7">
        <w:rPr>
          <w:rFonts w:ascii="Arial" w:hAnsi="Arial" w:cs="Arial"/>
          <w:sz w:val="22"/>
          <w:szCs w:val="22"/>
        </w:rPr>
        <w:t xml:space="preserve"> routine clinical practice, the education and training of therapists and the provision of clinical </w:t>
      </w:r>
      <w:r w:rsidR="006B6205">
        <w:rPr>
          <w:rFonts w:ascii="Arial" w:hAnsi="Arial" w:cs="Arial"/>
          <w:sz w:val="22"/>
          <w:szCs w:val="22"/>
        </w:rPr>
        <w:t>su</w:t>
      </w:r>
      <w:r w:rsidR="00DC2DE7">
        <w:rPr>
          <w:rFonts w:ascii="Arial" w:hAnsi="Arial" w:cs="Arial"/>
          <w:sz w:val="22"/>
          <w:szCs w:val="22"/>
        </w:rPr>
        <w:t xml:space="preserve">pervision are discussed in the </w:t>
      </w:r>
      <w:r w:rsidR="006B6205">
        <w:rPr>
          <w:rFonts w:ascii="Arial" w:hAnsi="Arial" w:cs="Arial"/>
          <w:sz w:val="22"/>
          <w:szCs w:val="22"/>
        </w:rPr>
        <w:t>remaining</w:t>
      </w:r>
      <w:r w:rsidR="00DC2DE7">
        <w:rPr>
          <w:rFonts w:ascii="Arial" w:hAnsi="Arial" w:cs="Arial"/>
          <w:sz w:val="22"/>
          <w:szCs w:val="22"/>
        </w:rPr>
        <w:t xml:space="preserve"> </w:t>
      </w:r>
      <w:r>
        <w:rPr>
          <w:rFonts w:ascii="Arial" w:hAnsi="Arial" w:cs="Arial"/>
          <w:sz w:val="22"/>
          <w:szCs w:val="22"/>
        </w:rPr>
        <w:t>sections of this chapt</w:t>
      </w:r>
      <w:r w:rsidR="006B6205">
        <w:rPr>
          <w:rFonts w:ascii="Arial" w:hAnsi="Arial" w:cs="Arial"/>
          <w:sz w:val="22"/>
          <w:szCs w:val="22"/>
        </w:rPr>
        <w:t>er</w:t>
      </w:r>
      <w:r w:rsidR="00092A7F">
        <w:rPr>
          <w:rFonts w:ascii="Arial" w:hAnsi="Arial" w:cs="Arial"/>
          <w:sz w:val="22"/>
          <w:szCs w:val="22"/>
        </w:rPr>
        <w:t>.</w:t>
      </w:r>
    </w:p>
    <w:p w14:paraId="7A220315" w14:textId="77777777" w:rsidR="00C54F79" w:rsidRPr="00C54F79" w:rsidRDefault="00C54F79" w:rsidP="00C54F79">
      <w:pPr>
        <w:rPr>
          <w:rFonts w:ascii="Arial" w:hAnsi="Arial" w:cs="Arial"/>
          <w:sz w:val="30"/>
          <w:szCs w:val="30"/>
          <w:lang w:val="en-US"/>
        </w:rPr>
      </w:pPr>
    </w:p>
    <w:p w14:paraId="10F845C9" w14:textId="77777777" w:rsidR="00C54F79" w:rsidRDefault="00C54F79" w:rsidP="00C54F79">
      <w:pPr>
        <w:rPr>
          <w:rFonts w:ascii="Arial" w:hAnsi="Arial" w:cs="Arial"/>
          <w:sz w:val="22"/>
          <w:szCs w:val="22"/>
        </w:rPr>
      </w:pPr>
    </w:p>
    <w:p w14:paraId="6B328CB8" w14:textId="7EE098A1" w:rsidR="007F596B" w:rsidRPr="002B2CDF" w:rsidRDefault="002B2CDF" w:rsidP="002B2CDF">
      <w:pPr>
        <w:pStyle w:val="Heading2"/>
        <w:rPr>
          <w:rFonts w:ascii="Arial" w:hAnsi="Arial" w:cs="Arial"/>
          <w:color w:val="000000" w:themeColor="text1"/>
          <w:sz w:val="22"/>
          <w:szCs w:val="22"/>
        </w:rPr>
      </w:pPr>
      <w:bookmarkStart w:id="474" w:name="_Toc46770866"/>
      <w:bookmarkStart w:id="475" w:name="_Toc79414277"/>
      <w:r w:rsidRPr="002B2CDF">
        <w:rPr>
          <w:rFonts w:ascii="Arial" w:hAnsi="Arial" w:cs="Arial"/>
          <w:color w:val="000000" w:themeColor="text1"/>
          <w:sz w:val="22"/>
          <w:szCs w:val="22"/>
        </w:rPr>
        <w:t>6.</w:t>
      </w:r>
      <w:r w:rsidR="00633677">
        <w:rPr>
          <w:rFonts w:ascii="Arial" w:hAnsi="Arial" w:cs="Arial"/>
          <w:color w:val="000000" w:themeColor="text1"/>
          <w:sz w:val="22"/>
          <w:szCs w:val="22"/>
        </w:rPr>
        <w:t>12</w:t>
      </w:r>
      <w:r w:rsidR="007F596B" w:rsidRPr="002B2CDF">
        <w:rPr>
          <w:rFonts w:ascii="Arial" w:hAnsi="Arial" w:cs="Arial"/>
          <w:color w:val="000000" w:themeColor="text1"/>
          <w:sz w:val="22"/>
          <w:szCs w:val="22"/>
        </w:rPr>
        <w:t xml:space="preserve"> </w:t>
      </w:r>
      <w:r w:rsidRPr="002B2CDF">
        <w:rPr>
          <w:rFonts w:ascii="Arial" w:hAnsi="Arial" w:cs="Arial"/>
          <w:color w:val="000000" w:themeColor="text1"/>
          <w:sz w:val="22"/>
          <w:szCs w:val="22"/>
        </w:rPr>
        <w:t>IMPLICATIONS FOR PROFESSIONAL PRACTICE</w:t>
      </w:r>
      <w:bookmarkEnd w:id="474"/>
      <w:bookmarkEnd w:id="475"/>
    </w:p>
    <w:p w14:paraId="0D4D56B3" w14:textId="094C4D4E" w:rsidR="007F596B" w:rsidRDefault="00C26638" w:rsidP="007F596B">
      <w:pPr>
        <w:spacing w:line="480" w:lineRule="auto"/>
        <w:rPr>
          <w:rFonts w:ascii="Arial" w:hAnsi="Arial" w:cs="Arial"/>
          <w:sz w:val="22"/>
          <w:szCs w:val="22"/>
        </w:rPr>
      </w:pPr>
      <w:r>
        <w:rPr>
          <w:rFonts w:ascii="Arial" w:hAnsi="Arial" w:cs="Arial"/>
          <w:sz w:val="22"/>
          <w:szCs w:val="22"/>
        </w:rPr>
        <w:br/>
      </w:r>
      <w:r w:rsidR="007F596B" w:rsidRPr="00F90E30">
        <w:rPr>
          <w:rFonts w:ascii="Arial" w:hAnsi="Arial" w:cs="Arial"/>
          <w:sz w:val="22"/>
          <w:szCs w:val="22"/>
        </w:rPr>
        <w:t xml:space="preserve">This </w:t>
      </w:r>
      <w:r w:rsidR="007F596B">
        <w:rPr>
          <w:rFonts w:ascii="Arial" w:hAnsi="Arial" w:cs="Arial"/>
          <w:sz w:val="22"/>
          <w:szCs w:val="22"/>
        </w:rPr>
        <w:t>thesis</w:t>
      </w:r>
      <w:r w:rsidR="007F596B" w:rsidRPr="00F90E30">
        <w:rPr>
          <w:rFonts w:ascii="Arial" w:hAnsi="Arial" w:cs="Arial"/>
          <w:sz w:val="22"/>
          <w:szCs w:val="22"/>
        </w:rPr>
        <w:t xml:space="preserve"> explored </w:t>
      </w:r>
      <w:r w:rsidR="007F596B">
        <w:rPr>
          <w:rFonts w:ascii="Arial" w:hAnsi="Arial" w:cs="Arial"/>
          <w:sz w:val="22"/>
          <w:szCs w:val="22"/>
        </w:rPr>
        <w:t xml:space="preserve">three </w:t>
      </w:r>
      <w:r w:rsidR="007F596B" w:rsidRPr="00F90E30">
        <w:rPr>
          <w:rFonts w:ascii="Arial" w:hAnsi="Arial" w:cs="Arial"/>
          <w:sz w:val="22"/>
          <w:szCs w:val="22"/>
        </w:rPr>
        <w:t>main themes; therapist demographics, therapist adherence to an evidence-based protocol and therapist</w:t>
      </w:r>
      <w:r w:rsidR="007F596B">
        <w:rPr>
          <w:rFonts w:ascii="Arial" w:hAnsi="Arial" w:cs="Arial"/>
          <w:sz w:val="22"/>
          <w:szCs w:val="22"/>
        </w:rPr>
        <w:t xml:space="preserve"> competence as rated by the CTS-R (f</w:t>
      </w:r>
      <w:r w:rsidR="007F596B" w:rsidRPr="00F90E30">
        <w:rPr>
          <w:rFonts w:ascii="Arial" w:hAnsi="Arial" w:cs="Arial"/>
          <w:sz w:val="22"/>
          <w:szCs w:val="22"/>
        </w:rPr>
        <w:t>idelity to the CBT model</w:t>
      </w:r>
      <w:r w:rsidR="007F596B">
        <w:rPr>
          <w:rFonts w:ascii="Arial" w:hAnsi="Arial" w:cs="Arial"/>
          <w:sz w:val="22"/>
          <w:szCs w:val="22"/>
        </w:rPr>
        <w:t>)</w:t>
      </w:r>
      <w:r w:rsidR="007F596B" w:rsidRPr="00F90E30">
        <w:rPr>
          <w:rFonts w:ascii="Arial" w:hAnsi="Arial" w:cs="Arial"/>
          <w:sz w:val="22"/>
          <w:szCs w:val="22"/>
        </w:rPr>
        <w:t>.  These themes have been explored in terms of their relationship to clinical outcomes</w:t>
      </w:r>
      <w:r w:rsidR="007F596B">
        <w:rPr>
          <w:rFonts w:ascii="Arial" w:hAnsi="Arial" w:cs="Arial"/>
          <w:sz w:val="22"/>
          <w:szCs w:val="22"/>
        </w:rPr>
        <w:t xml:space="preserve"> in the context of the United Kingdom’s Improving Access to Psychological Therapy programme (IAPT).</w:t>
      </w:r>
      <w:r w:rsidR="007F596B" w:rsidRPr="00F90E30">
        <w:rPr>
          <w:rFonts w:ascii="Arial" w:hAnsi="Arial" w:cs="Arial"/>
          <w:sz w:val="22"/>
          <w:szCs w:val="22"/>
        </w:rPr>
        <w:t xml:space="preserve">  </w:t>
      </w:r>
      <w:r w:rsidR="007F596B">
        <w:rPr>
          <w:rFonts w:ascii="Arial" w:hAnsi="Arial" w:cs="Arial"/>
          <w:sz w:val="22"/>
          <w:szCs w:val="22"/>
        </w:rPr>
        <w:t xml:space="preserve">Chapter </w:t>
      </w:r>
      <w:r w:rsidR="008B62D1">
        <w:rPr>
          <w:rFonts w:ascii="Arial" w:hAnsi="Arial" w:cs="Arial"/>
          <w:sz w:val="22"/>
          <w:szCs w:val="22"/>
        </w:rPr>
        <w:t>5</w:t>
      </w:r>
      <w:r w:rsidR="00D40786">
        <w:rPr>
          <w:rFonts w:ascii="Arial" w:hAnsi="Arial" w:cs="Arial"/>
          <w:sz w:val="22"/>
          <w:szCs w:val="22"/>
        </w:rPr>
        <w:t xml:space="preserve"> </w:t>
      </w:r>
      <w:r w:rsidR="007F596B">
        <w:rPr>
          <w:rFonts w:ascii="Arial" w:hAnsi="Arial" w:cs="Arial"/>
          <w:sz w:val="22"/>
          <w:szCs w:val="22"/>
        </w:rPr>
        <w:t>of this thesis discussed the findings from this research and established that both competence and adherence are related to clinical outcome at the &lt;0.05 level</w:t>
      </w:r>
      <w:r w:rsidR="00994203">
        <w:rPr>
          <w:rFonts w:ascii="Arial" w:hAnsi="Arial" w:cs="Arial"/>
          <w:sz w:val="22"/>
          <w:szCs w:val="22"/>
        </w:rPr>
        <w:t>,</w:t>
      </w:r>
      <w:r w:rsidR="007F596B">
        <w:rPr>
          <w:rFonts w:ascii="Arial" w:hAnsi="Arial" w:cs="Arial"/>
          <w:sz w:val="22"/>
          <w:szCs w:val="22"/>
        </w:rPr>
        <w:t xml:space="preserve"> but therapist demographics (age, gender, years of experience, core profession and training) are not. Th</w:t>
      </w:r>
      <w:r w:rsidR="007215D5">
        <w:rPr>
          <w:rFonts w:ascii="Arial" w:hAnsi="Arial" w:cs="Arial"/>
          <w:sz w:val="22"/>
          <w:szCs w:val="22"/>
        </w:rPr>
        <w:t>e</w:t>
      </w:r>
      <w:r w:rsidR="007F596B">
        <w:rPr>
          <w:rFonts w:ascii="Arial" w:hAnsi="Arial" w:cs="Arial"/>
          <w:sz w:val="22"/>
          <w:szCs w:val="22"/>
        </w:rPr>
        <w:t xml:space="preserve"> </w:t>
      </w:r>
      <w:r w:rsidR="006B6205">
        <w:rPr>
          <w:rFonts w:ascii="Arial" w:hAnsi="Arial" w:cs="Arial"/>
          <w:sz w:val="22"/>
          <w:szCs w:val="22"/>
        </w:rPr>
        <w:t xml:space="preserve">remaining sections of this </w:t>
      </w:r>
      <w:r w:rsidR="007F596B">
        <w:rPr>
          <w:rFonts w:ascii="Arial" w:hAnsi="Arial" w:cs="Arial"/>
          <w:sz w:val="22"/>
          <w:szCs w:val="22"/>
        </w:rPr>
        <w:t>chapter will discuss the implications of these findings on professional practice both in clinical settings and in the education and training of therapists.</w:t>
      </w:r>
    </w:p>
    <w:p w14:paraId="6B03BB36" w14:textId="77777777" w:rsidR="007F596B" w:rsidRDefault="007F596B" w:rsidP="007F596B">
      <w:pPr>
        <w:spacing w:line="480" w:lineRule="auto"/>
        <w:rPr>
          <w:rFonts w:ascii="Arial" w:hAnsi="Arial" w:cs="Arial"/>
          <w:sz w:val="22"/>
          <w:szCs w:val="22"/>
        </w:rPr>
      </w:pPr>
    </w:p>
    <w:p w14:paraId="0931EA93" w14:textId="35F8993C" w:rsidR="007F596B" w:rsidRPr="00C54F79" w:rsidRDefault="006B6205" w:rsidP="00C54F79">
      <w:pPr>
        <w:pStyle w:val="Heading3"/>
      </w:pPr>
      <w:bookmarkStart w:id="476" w:name="_Toc46770867"/>
      <w:bookmarkStart w:id="477" w:name="_Toc79414278"/>
      <w:r w:rsidRPr="00C54F79">
        <w:t>6.</w:t>
      </w:r>
      <w:r w:rsidR="00633677" w:rsidRPr="00C54F79">
        <w:t>12</w:t>
      </w:r>
      <w:r w:rsidRPr="00C54F79">
        <w:t>.1</w:t>
      </w:r>
      <w:r w:rsidR="007F596B" w:rsidRPr="00C54F79">
        <w:t xml:space="preserve"> </w:t>
      </w:r>
      <w:r w:rsidRPr="00C54F79">
        <w:t>Education and training of cognitive behavioural therapists</w:t>
      </w:r>
      <w:bookmarkEnd w:id="476"/>
      <w:bookmarkEnd w:id="477"/>
    </w:p>
    <w:p w14:paraId="5B00C8DE" w14:textId="77777777" w:rsidR="007F596B" w:rsidRPr="009F5C73" w:rsidRDefault="007F596B" w:rsidP="007F596B"/>
    <w:p w14:paraId="4826C0B8" w14:textId="056EC54C" w:rsidR="007F596B" w:rsidRDefault="007F596B" w:rsidP="007F596B">
      <w:pPr>
        <w:spacing w:line="480" w:lineRule="auto"/>
        <w:rPr>
          <w:rFonts w:ascii="Arial" w:hAnsi="Arial" w:cs="Arial"/>
          <w:sz w:val="22"/>
          <w:szCs w:val="22"/>
        </w:rPr>
      </w:pPr>
      <w:r>
        <w:rPr>
          <w:rFonts w:ascii="Arial" w:hAnsi="Arial" w:cs="Arial"/>
          <w:sz w:val="22"/>
          <w:szCs w:val="22"/>
        </w:rPr>
        <w:t xml:space="preserve">Chapter 2 of this thesis outlined the current curricula </w:t>
      </w:r>
      <w:r w:rsidR="006474C0">
        <w:rPr>
          <w:rFonts w:ascii="Arial" w:hAnsi="Arial" w:cs="Arial"/>
          <w:sz w:val="22"/>
          <w:szCs w:val="22"/>
        </w:rPr>
        <w:t>for IAPT</w:t>
      </w:r>
      <w:r>
        <w:rPr>
          <w:rFonts w:ascii="Arial" w:hAnsi="Arial" w:cs="Arial"/>
          <w:sz w:val="22"/>
          <w:szCs w:val="22"/>
        </w:rPr>
        <w:t xml:space="preserve"> High Intensity Therap</w:t>
      </w:r>
      <w:r w:rsidR="00060564">
        <w:rPr>
          <w:rFonts w:ascii="Arial" w:hAnsi="Arial" w:cs="Arial"/>
          <w:sz w:val="22"/>
          <w:szCs w:val="22"/>
        </w:rPr>
        <w:t xml:space="preserve">y </w:t>
      </w:r>
      <w:r>
        <w:rPr>
          <w:rFonts w:ascii="Arial" w:hAnsi="Arial" w:cs="Arial"/>
          <w:sz w:val="22"/>
          <w:szCs w:val="22"/>
        </w:rPr>
        <w:t xml:space="preserve">training programmes in the UK. Whilst the success of the IAPT training programme is not in doubt, it might be argued that </w:t>
      </w:r>
      <w:r w:rsidR="006474C0">
        <w:rPr>
          <w:rFonts w:ascii="Arial" w:hAnsi="Arial" w:cs="Arial"/>
          <w:sz w:val="22"/>
          <w:szCs w:val="22"/>
        </w:rPr>
        <w:t xml:space="preserve">there could be increased focus on </w:t>
      </w:r>
      <w:r>
        <w:rPr>
          <w:rFonts w:ascii="Arial" w:hAnsi="Arial" w:cs="Arial"/>
          <w:sz w:val="22"/>
          <w:szCs w:val="22"/>
        </w:rPr>
        <w:t xml:space="preserve">the significance of the </w:t>
      </w:r>
      <w:r w:rsidR="00060564">
        <w:rPr>
          <w:rFonts w:ascii="Arial" w:hAnsi="Arial" w:cs="Arial"/>
          <w:sz w:val="22"/>
          <w:szCs w:val="22"/>
        </w:rPr>
        <w:t>relationship between</w:t>
      </w:r>
      <w:r w:rsidR="006474C0">
        <w:rPr>
          <w:rFonts w:ascii="Arial" w:hAnsi="Arial" w:cs="Arial"/>
          <w:sz w:val="22"/>
          <w:szCs w:val="22"/>
        </w:rPr>
        <w:t xml:space="preserve"> clinical outcomes and </w:t>
      </w:r>
      <w:r w:rsidR="00060564">
        <w:rPr>
          <w:rFonts w:ascii="Arial" w:hAnsi="Arial" w:cs="Arial"/>
          <w:sz w:val="22"/>
          <w:szCs w:val="22"/>
        </w:rPr>
        <w:t xml:space="preserve">therapist adherence to the </w:t>
      </w:r>
      <w:r>
        <w:rPr>
          <w:rFonts w:ascii="Arial" w:hAnsi="Arial" w:cs="Arial"/>
          <w:sz w:val="22"/>
          <w:szCs w:val="22"/>
        </w:rPr>
        <w:t xml:space="preserve">cognitive behavioural </w:t>
      </w:r>
      <w:r w:rsidR="00060564">
        <w:rPr>
          <w:rFonts w:ascii="Arial" w:hAnsi="Arial" w:cs="Arial"/>
          <w:sz w:val="22"/>
          <w:szCs w:val="22"/>
        </w:rPr>
        <w:t xml:space="preserve">model and </w:t>
      </w:r>
      <w:r>
        <w:rPr>
          <w:rFonts w:ascii="Arial" w:hAnsi="Arial" w:cs="Arial"/>
          <w:sz w:val="22"/>
          <w:szCs w:val="22"/>
        </w:rPr>
        <w:t>adher</w:t>
      </w:r>
      <w:r w:rsidR="00060564">
        <w:rPr>
          <w:rFonts w:ascii="Arial" w:hAnsi="Arial" w:cs="Arial"/>
          <w:sz w:val="22"/>
          <w:szCs w:val="22"/>
        </w:rPr>
        <w:t>ence</w:t>
      </w:r>
      <w:r>
        <w:rPr>
          <w:rFonts w:ascii="Arial" w:hAnsi="Arial" w:cs="Arial"/>
          <w:sz w:val="22"/>
          <w:szCs w:val="22"/>
        </w:rPr>
        <w:t xml:space="preserve"> to a protocol. </w:t>
      </w:r>
      <w:r w:rsidR="006474C0">
        <w:rPr>
          <w:rFonts w:ascii="Arial" w:hAnsi="Arial" w:cs="Arial"/>
          <w:sz w:val="22"/>
          <w:szCs w:val="22"/>
        </w:rPr>
        <w:t>Arguably, if trainee</w:t>
      </w:r>
      <w:r w:rsidR="0099438B">
        <w:rPr>
          <w:rFonts w:ascii="Arial" w:hAnsi="Arial" w:cs="Arial"/>
          <w:sz w:val="22"/>
          <w:szCs w:val="22"/>
        </w:rPr>
        <w:t xml:space="preserve"> therapists </w:t>
      </w:r>
      <w:r w:rsidR="006474C0">
        <w:rPr>
          <w:rFonts w:ascii="Arial" w:hAnsi="Arial" w:cs="Arial"/>
          <w:sz w:val="22"/>
          <w:szCs w:val="22"/>
        </w:rPr>
        <w:t>were required t</w:t>
      </w:r>
      <w:r w:rsidR="0099438B">
        <w:rPr>
          <w:rFonts w:ascii="Arial" w:hAnsi="Arial" w:cs="Arial"/>
          <w:sz w:val="22"/>
          <w:szCs w:val="22"/>
        </w:rPr>
        <w:t>o use Internet Enabled CBT</w:t>
      </w:r>
      <w:r w:rsidR="005D165B">
        <w:rPr>
          <w:rFonts w:ascii="Arial" w:hAnsi="Arial" w:cs="Arial"/>
          <w:sz w:val="22"/>
          <w:szCs w:val="22"/>
        </w:rPr>
        <w:t xml:space="preserve"> (IECBT)</w:t>
      </w:r>
      <w:r w:rsidR="0099438B">
        <w:rPr>
          <w:rFonts w:ascii="Arial" w:hAnsi="Arial" w:cs="Arial"/>
          <w:sz w:val="22"/>
          <w:szCs w:val="22"/>
        </w:rPr>
        <w:t xml:space="preserve"> to treat </w:t>
      </w:r>
      <w:r w:rsidR="006474C0">
        <w:rPr>
          <w:rFonts w:ascii="Arial" w:hAnsi="Arial" w:cs="Arial"/>
          <w:sz w:val="22"/>
          <w:szCs w:val="22"/>
        </w:rPr>
        <w:t>a proportion of their patients</w:t>
      </w:r>
      <w:r w:rsidR="008B62D1">
        <w:rPr>
          <w:rFonts w:ascii="Arial" w:hAnsi="Arial" w:cs="Arial"/>
          <w:sz w:val="22"/>
          <w:szCs w:val="22"/>
        </w:rPr>
        <w:t>, t</w:t>
      </w:r>
      <w:r w:rsidR="006474C0">
        <w:rPr>
          <w:rFonts w:ascii="Arial" w:hAnsi="Arial" w:cs="Arial"/>
          <w:sz w:val="22"/>
          <w:szCs w:val="22"/>
        </w:rPr>
        <w:t>he transcripts derived from these online sessions could be used to</w:t>
      </w:r>
      <w:r w:rsidR="005D165B">
        <w:rPr>
          <w:rFonts w:ascii="Arial" w:hAnsi="Arial" w:cs="Arial"/>
          <w:sz w:val="22"/>
          <w:szCs w:val="22"/>
        </w:rPr>
        <w:t xml:space="preserve"> enhance trainee self-reflection and supervisory </w:t>
      </w:r>
      <w:r w:rsidR="006474C0">
        <w:rPr>
          <w:rFonts w:ascii="Arial" w:hAnsi="Arial" w:cs="Arial"/>
          <w:sz w:val="22"/>
          <w:szCs w:val="22"/>
        </w:rPr>
        <w:t>feedback to guide both the trainee and the training programme tutors on the trainees’ progress towards delivering treatment in accordance with the IAPT curricul</w:t>
      </w:r>
      <w:r w:rsidR="00092A7F">
        <w:rPr>
          <w:rFonts w:ascii="Arial" w:hAnsi="Arial" w:cs="Arial"/>
          <w:sz w:val="22"/>
          <w:szCs w:val="22"/>
        </w:rPr>
        <w:t>um</w:t>
      </w:r>
      <w:r w:rsidR="006474C0">
        <w:rPr>
          <w:rFonts w:ascii="Arial" w:hAnsi="Arial" w:cs="Arial"/>
          <w:sz w:val="22"/>
          <w:szCs w:val="22"/>
        </w:rPr>
        <w:t xml:space="preserve">.  </w:t>
      </w:r>
      <w:r w:rsidR="005D165B">
        <w:rPr>
          <w:rFonts w:ascii="Arial" w:hAnsi="Arial" w:cs="Arial"/>
          <w:sz w:val="22"/>
          <w:szCs w:val="22"/>
        </w:rPr>
        <w:t>However, it should be emphasised that the hypothesis that IECBT transcripts would enhance learning and</w:t>
      </w:r>
      <w:r w:rsidR="008B62D1">
        <w:rPr>
          <w:rFonts w:ascii="Arial" w:hAnsi="Arial" w:cs="Arial"/>
          <w:sz w:val="22"/>
          <w:szCs w:val="22"/>
        </w:rPr>
        <w:t>,</w:t>
      </w:r>
      <w:r w:rsidR="005D165B">
        <w:rPr>
          <w:rFonts w:ascii="Arial" w:hAnsi="Arial" w:cs="Arial"/>
          <w:sz w:val="22"/>
          <w:szCs w:val="22"/>
        </w:rPr>
        <w:t xml:space="preserve"> therefore</w:t>
      </w:r>
      <w:r w:rsidR="008B62D1">
        <w:rPr>
          <w:rFonts w:ascii="Arial" w:hAnsi="Arial" w:cs="Arial"/>
          <w:sz w:val="22"/>
          <w:szCs w:val="22"/>
        </w:rPr>
        <w:t>,</w:t>
      </w:r>
      <w:r w:rsidR="005D165B">
        <w:rPr>
          <w:rFonts w:ascii="Arial" w:hAnsi="Arial" w:cs="Arial"/>
          <w:sz w:val="22"/>
          <w:szCs w:val="22"/>
        </w:rPr>
        <w:t xml:space="preserve"> improve therapist competence/adherence has yet to be tested.</w:t>
      </w:r>
    </w:p>
    <w:p w14:paraId="271740CA" w14:textId="77777777" w:rsidR="005D165B" w:rsidRDefault="005D165B" w:rsidP="007F596B">
      <w:pPr>
        <w:pStyle w:val="Title"/>
        <w:rPr>
          <w:rFonts w:ascii="Arial" w:hAnsi="Arial" w:cs="Arial"/>
          <w:b/>
          <w:color w:val="000000" w:themeColor="text1"/>
          <w:sz w:val="22"/>
          <w:szCs w:val="22"/>
        </w:rPr>
      </w:pPr>
    </w:p>
    <w:p w14:paraId="79C1578F" w14:textId="77777777" w:rsidR="005D165B" w:rsidRDefault="005D165B" w:rsidP="007F596B">
      <w:pPr>
        <w:pStyle w:val="Title"/>
        <w:rPr>
          <w:rFonts w:ascii="Arial" w:hAnsi="Arial" w:cs="Arial"/>
          <w:b/>
          <w:color w:val="000000" w:themeColor="text1"/>
          <w:sz w:val="22"/>
          <w:szCs w:val="22"/>
        </w:rPr>
      </w:pPr>
    </w:p>
    <w:p w14:paraId="0113A46F" w14:textId="08CF0A22" w:rsidR="007F596B" w:rsidRPr="009F5C73" w:rsidRDefault="006B6205" w:rsidP="00C54F79">
      <w:pPr>
        <w:pStyle w:val="Heading3"/>
      </w:pPr>
      <w:bookmarkStart w:id="478" w:name="_Toc46770868"/>
      <w:bookmarkStart w:id="479" w:name="_Toc79414279"/>
      <w:r>
        <w:lastRenderedPageBreak/>
        <w:t>6.</w:t>
      </w:r>
      <w:r w:rsidR="00633677">
        <w:t>12</w:t>
      </w:r>
      <w:r>
        <w:t xml:space="preserve">.2 </w:t>
      </w:r>
      <w:r w:rsidR="007F596B" w:rsidRPr="009F5C73">
        <w:t>The formative and summative assessment of competence</w:t>
      </w:r>
      <w:bookmarkEnd w:id="478"/>
      <w:bookmarkEnd w:id="479"/>
    </w:p>
    <w:p w14:paraId="6997DE69" w14:textId="09C45E52" w:rsidR="007F596B" w:rsidRDefault="00C26638" w:rsidP="007F596B">
      <w:pPr>
        <w:spacing w:line="480" w:lineRule="auto"/>
        <w:rPr>
          <w:rFonts w:ascii="Arial" w:hAnsi="Arial" w:cs="Arial"/>
          <w:sz w:val="22"/>
          <w:szCs w:val="22"/>
        </w:rPr>
      </w:pPr>
      <w:r>
        <w:rPr>
          <w:rFonts w:ascii="Arial" w:hAnsi="Arial" w:cs="Arial"/>
          <w:sz w:val="22"/>
          <w:szCs w:val="22"/>
        </w:rPr>
        <w:br/>
      </w:r>
      <w:r w:rsidR="007F596B">
        <w:rPr>
          <w:rFonts w:ascii="Arial" w:hAnsi="Arial" w:cs="Arial"/>
          <w:sz w:val="22"/>
          <w:szCs w:val="22"/>
        </w:rPr>
        <w:t xml:space="preserve">This research has established the feasibility of undertaking CTS-R ratings using therapy sessions that have been delivered via the Ieso Method (IECBT). The benefits of rating  </w:t>
      </w:r>
    </w:p>
    <w:p w14:paraId="023C42CF" w14:textId="656D89B0" w:rsidR="007F596B" w:rsidRDefault="007F596B" w:rsidP="007F596B">
      <w:pPr>
        <w:spacing w:line="480" w:lineRule="auto"/>
        <w:rPr>
          <w:rFonts w:ascii="Arial" w:hAnsi="Arial" w:cs="Arial"/>
          <w:sz w:val="22"/>
          <w:szCs w:val="22"/>
        </w:rPr>
      </w:pPr>
      <w:r>
        <w:rPr>
          <w:rFonts w:ascii="Arial" w:hAnsi="Arial" w:cs="Arial"/>
          <w:sz w:val="22"/>
          <w:szCs w:val="22"/>
        </w:rPr>
        <w:t xml:space="preserve">CTS-Rs using the </w:t>
      </w:r>
      <w:r w:rsidR="00092A7F">
        <w:rPr>
          <w:rFonts w:ascii="Arial" w:hAnsi="Arial" w:cs="Arial"/>
          <w:sz w:val="22"/>
          <w:szCs w:val="22"/>
        </w:rPr>
        <w:t>IECBT</w:t>
      </w:r>
      <w:r>
        <w:rPr>
          <w:rFonts w:ascii="Arial" w:hAnsi="Arial" w:cs="Arial"/>
          <w:sz w:val="22"/>
          <w:szCs w:val="22"/>
        </w:rPr>
        <w:t xml:space="preserve"> are a reduction in the time it takes to rate one session by at least 50% (Ewbank, Cummins, Tablan, Bateup, Catarino, Martin and Blackwell, 2019) and the availability of every therapy session so that the rater can randomly select a session to review. Currently</w:t>
      </w:r>
      <w:r w:rsidR="008B62D1">
        <w:rPr>
          <w:rFonts w:ascii="Arial" w:hAnsi="Arial" w:cs="Arial"/>
          <w:sz w:val="22"/>
          <w:szCs w:val="22"/>
        </w:rPr>
        <w:t>,</w:t>
      </w:r>
      <w:r>
        <w:rPr>
          <w:rFonts w:ascii="Arial" w:hAnsi="Arial" w:cs="Arial"/>
          <w:sz w:val="22"/>
          <w:szCs w:val="22"/>
        </w:rPr>
        <w:t xml:space="preserve"> IAPT trainees are required to submit recordings of 3 therapy sessions, each of which must be derived from a separate patient. Trainees self-select recordings to submit for assessment (</w:t>
      </w:r>
      <w:r w:rsidR="00D40786">
        <w:rPr>
          <w:rFonts w:ascii="Arial" w:hAnsi="Arial" w:cs="Arial"/>
          <w:sz w:val="22"/>
          <w:szCs w:val="22"/>
        </w:rPr>
        <w:t>Branson, Shafran and Myles, 2015</w:t>
      </w:r>
      <w:r>
        <w:rPr>
          <w:rFonts w:ascii="Arial" w:hAnsi="Arial" w:cs="Arial"/>
          <w:sz w:val="22"/>
          <w:szCs w:val="22"/>
        </w:rPr>
        <w:t>) and it is unlikely that a trainee will submit a recording that they believe would not achieve the pass mark (50%). Therefore, the quality of the rest of their work remains unknown. Additionally, due to the small number of therapy sessions that are CTS-R rated the trainee is receiving very little formative feedback. Given the argument that the CTS-R is a tool that supports learning and</w:t>
      </w:r>
      <w:r w:rsidR="001309F1">
        <w:rPr>
          <w:rFonts w:ascii="Arial" w:hAnsi="Arial" w:cs="Arial"/>
          <w:sz w:val="22"/>
          <w:szCs w:val="22"/>
        </w:rPr>
        <w:t>,</w:t>
      </w:r>
      <w:r>
        <w:rPr>
          <w:rFonts w:ascii="Arial" w:hAnsi="Arial" w:cs="Arial"/>
          <w:sz w:val="22"/>
          <w:szCs w:val="22"/>
        </w:rPr>
        <w:t xml:space="preserve"> therefore</w:t>
      </w:r>
      <w:r w:rsidR="001309F1">
        <w:rPr>
          <w:rFonts w:ascii="Arial" w:hAnsi="Arial" w:cs="Arial"/>
          <w:sz w:val="22"/>
          <w:szCs w:val="22"/>
        </w:rPr>
        <w:t>,</w:t>
      </w:r>
      <w:r>
        <w:rPr>
          <w:rFonts w:ascii="Arial" w:hAnsi="Arial" w:cs="Arial"/>
          <w:sz w:val="22"/>
          <w:szCs w:val="22"/>
        </w:rPr>
        <w:t xml:space="preserve"> the development of clinical skills (</w:t>
      </w:r>
      <w:r w:rsidR="00D40786">
        <w:rPr>
          <w:rFonts w:ascii="Arial" w:hAnsi="Arial" w:cs="Arial"/>
          <w:sz w:val="22"/>
          <w:szCs w:val="22"/>
        </w:rPr>
        <w:t>Brosan, Reynolds and Moore, 2008</w:t>
      </w:r>
      <w:r>
        <w:rPr>
          <w:rFonts w:ascii="Arial" w:hAnsi="Arial" w:cs="Arial"/>
          <w:sz w:val="22"/>
          <w:szCs w:val="22"/>
        </w:rPr>
        <w:t>) it would seem prudent to use the CTS-R more frequently as a formative assessment tool. However, rating a CTS-R and providing high</w:t>
      </w:r>
      <w:r w:rsidR="001309F1">
        <w:rPr>
          <w:rFonts w:ascii="Arial" w:hAnsi="Arial" w:cs="Arial"/>
          <w:sz w:val="22"/>
          <w:szCs w:val="22"/>
        </w:rPr>
        <w:t>-</w:t>
      </w:r>
      <w:r>
        <w:rPr>
          <w:rFonts w:ascii="Arial" w:hAnsi="Arial" w:cs="Arial"/>
          <w:sz w:val="22"/>
          <w:szCs w:val="22"/>
        </w:rPr>
        <w:t xml:space="preserve">quality feedback to a trainee, </w:t>
      </w:r>
      <w:r w:rsidR="005D6972">
        <w:rPr>
          <w:rFonts w:ascii="Arial" w:hAnsi="Arial" w:cs="Arial"/>
          <w:sz w:val="22"/>
          <w:szCs w:val="22"/>
        </w:rPr>
        <w:t>requires a considerable resource</w:t>
      </w:r>
      <w:r>
        <w:rPr>
          <w:rFonts w:ascii="Arial" w:hAnsi="Arial" w:cs="Arial"/>
          <w:sz w:val="22"/>
          <w:szCs w:val="22"/>
        </w:rPr>
        <w:t xml:space="preserve"> (</w:t>
      </w:r>
      <w:r w:rsidR="005D6972">
        <w:rPr>
          <w:rFonts w:ascii="Arial" w:hAnsi="Arial" w:cs="Arial"/>
          <w:sz w:val="22"/>
          <w:szCs w:val="22"/>
        </w:rPr>
        <w:t>Keen and Freeston, 2008</w:t>
      </w:r>
      <w:r>
        <w:rPr>
          <w:rFonts w:ascii="Arial" w:hAnsi="Arial" w:cs="Arial"/>
          <w:sz w:val="22"/>
          <w:szCs w:val="22"/>
        </w:rPr>
        <w:t xml:space="preserve">) and this would incur additional expense and resource. Incorporating the </w:t>
      </w:r>
      <w:r w:rsidR="00E6466F">
        <w:rPr>
          <w:rFonts w:ascii="Arial" w:hAnsi="Arial" w:cs="Arial"/>
          <w:sz w:val="22"/>
          <w:szCs w:val="22"/>
        </w:rPr>
        <w:t>use of Internet Enabled CBT (IECBT)</w:t>
      </w:r>
      <w:r>
        <w:rPr>
          <w:rFonts w:ascii="Arial" w:hAnsi="Arial" w:cs="Arial"/>
          <w:sz w:val="22"/>
          <w:szCs w:val="22"/>
        </w:rPr>
        <w:t xml:space="preserve"> into the IAPT curriculum, whereby trainees were </w:t>
      </w:r>
      <w:r w:rsidR="00E6466F">
        <w:rPr>
          <w:rFonts w:ascii="Arial" w:hAnsi="Arial" w:cs="Arial"/>
          <w:sz w:val="22"/>
          <w:szCs w:val="22"/>
        </w:rPr>
        <w:t>required</w:t>
      </w:r>
      <w:r w:rsidR="005D6972">
        <w:rPr>
          <w:rFonts w:ascii="Arial" w:hAnsi="Arial" w:cs="Arial"/>
          <w:sz w:val="22"/>
          <w:szCs w:val="22"/>
        </w:rPr>
        <w:t xml:space="preserve"> </w:t>
      </w:r>
      <w:r>
        <w:rPr>
          <w:rFonts w:ascii="Arial" w:hAnsi="Arial" w:cs="Arial"/>
          <w:sz w:val="22"/>
          <w:szCs w:val="22"/>
        </w:rPr>
        <w:t xml:space="preserve">to treat a percentage of their patients using IECBT, might mediate for this additional resource. If IAPT programmes were to introduce this method then it would be possible for programme tutors and supervisors to randomly select sessions for formative feedback, thus eliminating the trainees’ self-selection bias. The additional benefits would be that </w:t>
      </w:r>
      <w:r w:rsidR="00E6466F">
        <w:rPr>
          <w:rFonts w:ascii="Arial" w:hAnsi="Arial" w:cs="Arial"/>
          <w:sz w:val="22"/>
          <w:szCs w:val="22"/>
        </w:rPr>
        <w:t xml:space="preserve">an increased number of </w:t>
      </w:r>
      <w:r>
        <w:rPr>
          <w:rFonts w:ascii="Arial" w:hAnsi="Arial" w:cs="Arial"/>
          <w:sz w:val="22"/>
          <w:szCs w:val="22"/>
        </w:rPr>
        <w:t>CTS-Rs could be undertaken and the trainee would also benefit from the ability to self-reflect on each therapy session that had been delivered via the Ieso Method. Furthermore, if IAPT programmes were to use the Ieso Method as a formative assessment tool to enhance competence</w:t>
      </w:r>
      <w:r w:rsidR="001309F1">
        <w:rPr>
          <w:rFonts w:ascii="Arial" w:hAnsi="Arial" w:cs="Arial"/>
          <w:sz w:val="22"/>
          <w:szCs w:val="22"/>
        </w:rPr>
        <w:t>,</w:t>
      </w:r>
      <w:r>
        <w:rPr>
          <w:rFonts w:ascii="Arial" w:hAnsi="Arial" w:cs="Arial"/>
          <w:sz w:val="22"/>
          <w:szCs w:val="22"/>
        </w:rPr>
        <w:t xml:space="preserve"> then a next step might be to use the method as part of the trainees’ final summative assessment. It could be argued that adding a randomly </w:t>
      </w:r>
      <w:r>
        <w:rPr>
          <w:rFonts w:ascii="Arial" w:hAnsi="Arial" w:cs="Arial"/>
          <w:sz w:val="22"/>
          <w:szCs w:val="22"/>
        </w:rPr>
        <w:lastRenderedPageBreak/>
        <w:t xml:space="preserve">selected session (drawn from the trainees’ IECBT caseload) would strengthen the summative assessment without adding significant burden to the programme’s teaching team. </w:t>
      </w:r>
      <w:r w:rsidR="00E6466F">
        <w:rPr>
          <w:rFonts w:ascii="Arial" w:hAnsi="Arial" w:cs="Arial"/>
          <w:sz w:val="22"/>
          <w:szCs w:val="22"/>
        </w:rPr>
        <w:t>This aligns with a general desire, in the education for health care professionals, to explore how to increase the sample of clinical cases that are assessed (Miller, 1990, Govaerts, van der Vleuten, Schuwirth and Muijitjens, 2007, Brown and Doshi, 2006, Keen and Freesto</w:t>
      </w:r>
      <w:r w:rsidR="005D6972">
        <w:rPr>
          <w:rFonts w:ascii="Arial" w:hAnsi="Arial" w:cs="Arial"/>
          <w:sz w:val="22"/>
          <w:szCs w:val="22"/>
        </w:rPr>
        <w:t>n</w:t>
      </w:r>
      <w:r w:rsidR="00E6466F">
        <w:rPr>
          <w:rFonts w:ascii="Arial" w:hAnsi="Arial" w:cs="Arial"/>
          <w:sz w:val="22"/>
          <w:szCs w:val="22"/>
        </w:rPr>
        <w:t>, 2008). The ideal and fundamental aim would be to develop a method whereby it was possible to continuously assess what health care trainees</w:t>
      </w:r>
      <w:r w:rsidR="005D6972">
        <w:rPr>
          <w:rFonts w:ascii="Arial" w:hAnsi="Arial" w:cs="Arial"/>
          <w:sz w:val="22"/>
          <w:szCs w:val="22"/>
        </w:rPr>
        <w:t xml:space="preserve"> were doing with their patients in routine practice. Clearly the IECBT method of delivering CBT would move the IAPT training programme closer to that aim.</w:t>
      </w:r>
    </w:p>
    <w:p w14:paraId="50434448" w14:textId="77777777" w:rsidR="005D6972" w:rsidRDefault="005D6972" w:rsidP="007F596B">
      <w:pPr>
        <w:spacing w:line="480" w:lineRule="auto"/>
        <w:rPr>
          <w:rFonts w:ascii="Arial" w:hAnsi="Arial" w:cs="Arial"/>
          <w:sz w:val="22"/>
          <w:szCs w:val="22"/>
        </w:rPr>
      </w:pPr>
    </w:p>
    <w:p w14:paraId="5CDBA3EA" w14:textId="051C91EA" w:rsidR="007F596B" w:rsidRDefault="007F596B" w:rsidP="007F596B">
      <w:pPr>
        <w:spacing w:line="480" w:lineRule="auto"/>
        <w:rPr>
          <w:rFonts w:ascii="Arial" w:hAnsi="Arial" w:cs="Arial"/>
          <w:sz w:val="22"/>
          <w:szCs w:val="22"/>
        </w:rPr>
      </w:pPr>
      <w:r>
        <w:rPr>
          <w:rFonts w:ascii="Arial" w:hAnsi="Arial" w:cs="Arial"/>
          <w:sz w:val="22"/>
          <w:szCs w:val="22"/>
        </w:rPr>
        <w:t>Regardless of whether IAPT training programmes choose to incorporate the Ieso Method into the formative and summative assessment process</w:t>
      </w:r>
      <w:r w:rsidR="001309F1">
        <w:rPr>
          <w:rFonts w:ascii="Arial" w:hAnsi="Arial" w:cs="Arial"/>
          <w:sz w:val="22"/>
          <w:szCs w:val="22"/>
        </w:rPr>
        <w:t>,</w:t>
      </w:r>
      <w:r>
        <w:rPr>
          <w:rFonts w:ascii="Arial" w:hAnsi="Arial" w:cs="Arial"/>
          <w:sz w:val="22"/>
          <w:szCs w:val="22"/>
        </w:rPr>
        <w:t xml:space="preserve"> the implications of the findings from this research remain important. Understanding that competence is related to outcome strengthens the theory that underpins the IAPT curricul</w:t>
      </w:r>
      <w:r w:rsidR="00D23712">
        <w:rPr>
          <w:rFonts w:ascii="Arial" w:hAnsi="Arial" w:cs="Arial"/>
          <w:sz w:val="22"/>
          <w:szCs w:val="22"/>
        </w:rPr>
        <w:t>um</w:t>
      </w:r>
      <w:r>
        <w:rPr>
          <w:rFonts w:ascii="Arial" w:hAnsi="Arial" w:cs="Arial"/>
          <w:sz w:val="22"/>
          <w:szCs w:val="22"/>
        </w:rPr>
        <w:t>. This in itself may have an impact on curriculum design and the pedagogical processes used to train the therapists of the future.</w:t>
      </w:r>
    </w:p>
    <w:p w14:paraId="712C21FF" w14:textId="77777777" w:rsidR="007F596B" w:rsidRDefault="007F596B" w:rsidP="007F596B">
      <w:pPr>
        <w:spacing w:line="480" w:lineRule="auto"/>
        <w:rPr>
          <w:rFonts w:ascii="Arial" w:hAnsi="Arial" w:cs="Arial"/>
          <w:sz w:val="22"/>
          <w:szCs w:val="22"/>
        </w:rPr>
      </w:pPr>
    </w:p>
    <w:p w14:paraId="45212A40" w14:textId="4A2A3C24" w:rsidR="007F596B" w:rsidRDefault="006B6205" w:rsidP="007F596B">
      <w:pPr>
        <w:pStyle w:val="Heading3"/>
        <w:rPr>
          <w:rFonts w:cs="Arial"/>
          <w:b w:val="0"/>
          <w:color w:val="000000" w:themeColor="text1"/>
          <w:szCs w:val="22"/>
        </w:rPr>
      </w:pPr>
      <w:bookmarkStart w:id="480" w:name="_Toc46770869"/>
      <w:bookmarkStart w:id="481" w:name="_Toc79414280"/>
      <w:r>
        <w:rPr>
          <w:rFonts w:cs="Arial"/>
          <w:color w:val="000000" w:themeColor="text1"/>
          <w:szCs w:val="22"/>
        </w:rPr>
        <w:t>6.</w:t>
      </w:r>
      <w:r w:rsidR="00633677">
        <w:rPr>
          <w:rFonts w:cs="Arial"/>
          <w:color w:val="000000" w:themeColor="text1"/>
          <w:szCs w:val="22"/>
        </w:rPr>
        <w:t>12</w:t>
      </w:r>
      <w:r>
        <w:rPr>
          <w:rFonts w:cs="Arial"/>
          <w:color w:val="000000" w:themeColor="text1"/>
          <w:szCs w:val="22"/>
        </w:rPr>
        <w:t>.3</w:t>
      </w:r>
      <w:r w:rsidR="007F596B" w:rsidRPr="00623474">
        <w:rPr>
          <w:rFonts w:cs="Arial"/>
          <w:color w:val="000000" w:themeColor="text1"/>
          <w:szCs w:val="22"/>
        </w:rPr>
        <w:t xml:space="preserve"> The formative and summative assessment of adherence</w:t>
      </w:r>
      <w:bookmarkEnd w:id="480"/>
      <w:bookmarkEnd w:id="481"/>
    </w:p>
    <w:p w14:paraId="245EA168" w14:textId="77777777" w:rsidR="007F596B" w:rsidRPr="00623474" w:rsidRDefault="007F596B" w:rsidP="007F596B"/>
    <w:p w14:paraId="5D62E98C" w14:textId="49AB93D5" w:rsidR="007F596B" w:rsidRDefault="007F596B" w:rsidP="007F596B">
      <w:pPr>
        <w:spacing w:line="480" w:lineRule="auto"/>
        <w:rPr>
          <w:rFonts w:ascii="Arial" w:hAnsi="Arial" w:cs="Arial"/>
          <w:sz w:val="22"/>
          <w:szCs w:val="22"/>
        </w:rPr>
      </w:pPr>
      <w:r>
        <w:rPr>
          <w:rFonts w:ascii="Arial" w:hAnsi="Arial" w:cs="Arial"/>
          <w:sz w:val="22"/>
          <w:szCs w:val="22"/>
        </w:rPr>
        <w:t>Currently, IAPT training programmes assess a therapist’s ability to deliver therapy with adherence to an evidence-based protocol through academic writing (</w:t>
      </w:r>
      <w:r w:rsidR="00B33FA0">
        <w:rPr>
          <w:rFonts w:ascii="Arial" w:hAnsi="Arial" w:cs="Arial"/>
          <w:sz w:val="22"/>
          <w:szCs w:val="22"/>
        </w:rPr>
        <w:t>Liness, Lea, Nestler, Parker and Clark, 2016</w:t>
      </w:r>
      <w:r>
        <w:rPr>
          <w:rFonts w:ascii="Arial" w:hAnsi="Arial" w:cs="Arial"/>
          <w:sz w:val="22"/>
          <w:szCs w:val="22"/>
        </w:rPr>
        <w:t>). Trainees are required to submit case reports outlining the assessment and treatment processes of two patients that they have treated. Whilst the trainee is required to also submit one recording of a treatment session from this case, which is rated via the CTS-R, currently there is no clinical assessment of the therapist’s ability to adhere to a protocol. Given that the findings from this research was that adherence to a protocol</w:t>
      </w:r>
      <w:r w:rsidR="00B33FA0">
        <w:rPr>
          <w:rFonts w:ascii="Arial" w:hAnsi="Arial" w:cs="Arial"/>
          <w:sz w:val="22"/>
          <w:szCs w:val="22"/>
        </w:rPr>
        <w:t xml:space="preserve"> (A score) </w:t>
      </w:r>
      <w:r>
        <w:rPr>
          <w:rFonts w:ascii="Arial" w:hAnsi="Arial" w:cs="Arial"/>
          <w:sz w:val="22"/>
          <w:szCs w:val="22"/>
        </w:rPr>
        <w:t>is highly associated with competence</w:t>
      </w:r>
      <w:r w:rsidR="00B33FA0">
        <w:rPr>
          <w:rFonts w:ascii="Arial" w:hAnsi="Arial" w:cs="Arial"/>
          <w:sz w:val="22"/>
          <w:szCs w:val="22"/>
        </w:rPr>
        <w:t xml:space="preserve"> (F score) </w:t>
      </w:r>
      <w:r>
        <w:rPr>
          <w:rFonts w:ascii="Arial" w:hAnsi="Arial" w:cs="Arial"/>
          <w:sz w:val="22"/>
          <w:szCs w:val="22"/>
        </w:rPr>
        <w:t xml:space="preserve"> at the &lt;0.001 level, and competence is associated with better clinical outcomes then it would seem relevant that one </w:t>
      </w:r>
      <w:r>
        <w:rPr>
          <w:rFonts w:ascii="Arial" w:hAnsi="Arial" w:cs="Arial"/>
          <w:sz w:val="22"/>
          <w:szCs w:val="22"/>
        </w:rPr>
        <w:lastRenderedPageBreak/>
        <w:t xml:space="preserve">implication of this research is that IAPT training programmes consider developing further ways of assessing adherence. However, this undertaking is not insignificant. IAPT programmes teach at least 10 separate, disorder specific protocols and assessing a trainee’s ability to adhere to each one is a significant undertaking and one that would come at a cost, both in time and resource. This thesis has argued that it is necessary to review every session of a completed episode of care in order to assess whether or not a therapist has adhered to a protocol. </w:t>
      </w:r>
      <w:r w:rsidR="004C1F5F">
        <w:rPr>
          <w:rFonts w:ascii="Arial" w:hAnsi="Arial" w:cs="Arial"/>
          <w:sz w:val="22"/>
          <w:szCs w:val="22"/>
        </w:rPr>
        <w:t>Arguably</w:t>
      </w:r>
      <w:r w:rsidR="00E6081F">
        <w:rPr>
          <w:rFonts w:ascii="Arial" w:hAnsi="Arial" w:cs="Arial"/>
          <w:sz w:val="22"/>
          <w:szCs w:val="22"/>
        </w:rPr>
        <w:t xml:space="preserve">, </w:t>
      </w:r>
      <w:r>
        <w:rPr>
          <w:rFonts w:ascii="Arial" w:hAnsi="Arial" w:cs="Arial"/>
          <w:sz w:val="22"/>
          <w:szCs w:val="22"/>
        </w:rPr>
        <w:t>additional reviews of trainee’s sessions would cause a burden to IAPT training programmes.</w:t>
      </w:r>
    </w:p>
    <w:p w14:paraId="36A686BD" w14:textId="77777777" w:rsidR="007F596B" w:rsidRDefault="007F596B" w:rsidP="007F596B">
      <w:pPr>
        <w:spacing w:line="480" w:lineRule="auto"/>
        <w:rPr>
          <w:rFonts w:ascii="Arial" w:hAnsi="Arial" w:cs="Arial"/>
          <w:sz w:val="22"/>
          <w:szCs w:val="22"/>
        </w:rPr>
      </w:pPr>
    </w:p>
    <w:p w14:paraId="65CC3A64" w14:textId="01AFA0BB" w:rsidR="007F596B" w:rsidRPr="006362CB" w:rsidRDefault="006B6205" w:rsidP="006362CB">
      <w:pPr>
        <w:pStyle w:val="Heading3"/>
        <w:rPr>
          <w:rFonts w:cs="Arial"/>
          <w:color w:val="000000" w:themeColor="text1"/>
          <w:szCs w:val="22"/>
        </w:rPr>
      </w:pPr>
      <w:bookmarkStart w:id="482" w:name="_Toc46770870"/>
      <w:bookmarkStart w:id="483" w:name="_Toc79414281"/>
      <w:r w:rsidRPr="006362CB">
        <w:rPr>
          <w:rFonts w:cs="Arial"/>
          <w:color w:val="000000" w:themeColor="text1"/>
          <w:szCs w:val="22"/>
        </w:rPr>
        <w:t>6.</w:t>
      </w:r>
      <w:r w:rsidR="00633677">
        <w:rPr>
          <w:rFonts w:cs="Arial"/>
          <w:color w:val="000000" w:themeColor="text1"/>
          <w:szCs w:val="22"/>
        </w:rPr>
        <w:t>12</w:t>
      </w:r>
      <w:r w:rsidR="007215D5" w:rsidRPr="006362CB">
        <w:rPr>
          <w:rFonts w:cs="Arial"/>
          <w:color w:val="000000" w:themeColor="text1"/>
          <w:szCs w:val="22"/>
        </w:rPr>
        <w:t xml:space="preserve">.4 </w:t>
      </w:r>
      <w:r w:rsidR="006362CB" w:rsidRPr="006362CB">
        <w:rPr>
          <w:rFonts w:cs="Arial"/>
          <w:color w:val="000000" w:themeColor="text1"/>
          <w:szCs w:val="22"/>
        </w:rPr>
        <w:t>Improving outcomes for therapy delivered by qualified therapists</w:t>
      </w:r>
      <w:bookmarkEnd w:id="482"/>
      <w:bookmarkEnd w:id="483"/>
    </w:p>
    <w:p w14:paraId="74BA86D9" w14:textId="77777777" w:rsidR="006362CB" w:rsidRPr="006362CB" w:rsidRDefault="006362CB" w:rsidP="006362CB"/>
    <w:p w14:paraId="66E8F760" w14:textId="3397C270" w:rsidR="007F596B" w:rsidRDefault="007F596B" w:rsidP="007F596B">
      <w:pPr>
        <w:spacing w:line="480" w:lineRule="auto"/>
        <w:rPr>
          <w:rFonts w:ascii="Arial" w:hAnsi="Arial" w:cs="Arial"/>
          <w:sz w:val="22"/>
          <w:szCs w:val="22"/>
        </w:rPr>
      </w:pPr>
      <w:r>
        <w:rPr>
          <w:rFonts w:ascii="Arial" w:hAnsi="Arial" w:cs="Arial"/>
          <w:sz w:val="22"/>
          <w:szCs w:val="22"/>
        </w:rPr>
        <w:t xml:space="preserve">This research has reported that therapist competence (as rated by the CTS-R) is related to recovery at the &lt;0.05 level and that therapist adherence to an evidence-based protocol is closely related to competence at the </w:t>
      </w:r>
      <w:r w:rsidR="005D165B">
        <w:rPr>
          <w:rFonts w:ascii="Arial" w:hAnsi="Arial" w:cs="Arial"/>
          <w:sz w:val="22"/>
          <w:szCs w:val="22"/>
        </w:rPr>
        <w:t>&lt;</w:t>
      </w:r>
      <w:r>
        <w:rPr>
          <w:rFonts w:ascii="Arial" w:hAnsi="Arial" w:cs="Arial"/>
          <w:sz w:val="22"/>
          <w:szCs w:val="22"/>
        </w:rPr>
        <w:t>0.001 level. These findings suggest that the best therapists are delivering CBT with fidelity to the model</w:t>
      </w:r>
      <w:r w:rsidR="001309F1">
        <w:rPr>
          <w:rFonts w:ascii="Arial" w:hAnsi="Arial" w:cs="Arial"/>
          <w:sz w:val="22"/>
          <w:szCs w:val="22"/>
        </w:rPr>
        <w:t>,</w:t>
      </w:r>
      <w:r>
        <w:rPr>
          <w:rFonts w:ascii="Arial" w:hAnsi="Arial" w:cs="Arial"/>
          <w:sz w:val="22"/>
          <w:szCs w:val="22"/>
        </w:rPr>
        <w:t xml:space="preserve"> whilst adhering to a protocol. This is a relevant and important finding because, in order to improve clinical outcomes and reduce the variance between therapists it will be important to understand what the most effective therapists are doing with their patients (Brown, Lambert, Jones and Minami</w:t>
      </w:r>
      <w:r w:rsidR="005D165B">
        <w:rPr>
          <w:rFonts w:ascii="Arial" w:hAnsi="Arial" w:cs="Arial"/>
          <w:sz w:val="22"/>
          <w:szCs w:val="22"/>
        </w:rPr>
        <w:t xml:space="preserve">, </w:t>
      </w:r>
      <w:r>
        <w:rPr>
          <w:rFonts w:ascii="Arial" w:hAnsi="Arial" w:cs="Arial"/>
          <w:sz w:val="22"/>
          <w:szCs w:val="22"/>
        </w:rPr>
        <w:t>2006).</w:t>
      </w:r>
    </w:p>
    <w:p w14:paraId="600B16FB" w14:textId="77777777" w:rsidR="00BF5EC4" w:rsidRDefault="00BF5EC4" w:rsidP="007F596B">
      <w:pPr>
        <w:spacing w:line="480" w:lineRule="auto"/>
        <w:rPr>
          <w:rFonts w:ascii="Arial" w:hAnsi="Arial" w:cs="Arial"/>
          <w:sz w:val="22"/>
          <w:szCs w:val="22"/>
        </w:rPr>
      </w:pPr>
    </w:p>
    <w:p w14:paraId="1267110B" w14:textId="15E392FF" w:rsidR="007F596B" w:rsidRDefault="006B6205" w:rsidP="007F596B">
      <w:pPr>
        <w:pStyle w:val="Heading3"/>
        <w:rPr>
          <w:rFonts w:cs="Arial"/>
          <w:b w:val="0"/>
          <w:color w:val="000000" w:themeColor="text1"/>
          <w:szCs w:val="22"/>
        </w:rPr>
      </w:pPr>
      <w:bookmarkStart w:id="484" w:name="_Toc46770871"/>
      <w:bookmarkStart w:id="485" w:name="_Toc79414282"/>
      <w:r>
        <w:rPr>
          <w:rFonts w:cs="Arial"/>
          <w:color w:val="000000" w:themeColor="text1"/>
          <w:szCs w:val="22"/>
        </w:rPr>
        <w:t>6</w:t>
      </w:r>
      <w:r w:rsidR="006362CB">
        <w:rPr>
          <w:rFonts w:cs="Arial"/>
          <w:color w:val="000000" w:themeColor="text1"/>
          <w:szCs w:val="22"/>
        </w:rPr>
        <w:t>.</w:t>
      </w:r>
      <w:r w:rsidR="00633677">
        <w:rPr>
          <w:rFonts w:cs="Arial"/>
          <w:color w:val="000000" w:themeColor="text1"/>
          <w:szCs w:val="22"/>
        </w:rPr>
        <w:t>12</w:t>
      </w:r>
      <w:r w:rsidR="006362CB">
        <w:rPr>
          <w:rFonts w:cs="Arial"/>
          <w:color w:val="000000" w:themeColor="text1"/>
          <w:szCs w:val="22"/>
        </w:rPr>
        <w:t>.5</w:t>
      </w:r>
      <w:r w:rsidR="007F596B" w:rsidRPr="00E17C6B">
        <w:rPr>
          <w:rFonts w:cs="Arial"/>
          <w:color w:val="000000" w:themeColor="text1"/>
          <w:szCs w:val="22"/>
        </w:rPr>
        <w:t xml:space="preserve"> Therapist competence</w:t>
      </w:r>
      <w:r w:rsidR="007F596B">
        <w:rPr>
          <w:rFonts w:cs="Arial"/>
          <w:color w:val="000000" w:themeColor="text1"/>
          <w:szCs w:val="22"/>
        </w:rPr>
        <w:t xml:space="preserve"> and continuing professional development</w:t>
      </w:r>
      <w:bookmarkEnd w:id="484"/>
      <w:bookmarkEnd w:id="485"/>
    </w:p>
    <w:p w14:paraId="17058D71" w14:textId="77777777" w:rsidR="007F596B" w:rsidRPr="00E17C6B" w:rsidRDefault="007F596B" w:rsidP="007F596B"/>
    <w:p w14:paraId="1F4771EA" w14:textId="4A541F78" w:rsidR="00DC2DE7" w:rsidRPr="00C26638" w:rsidRDefault="007F596B" w:rsidP="00C26638">
      <w:pPr>
        <w:spacing w:line="480" w:lineRule="auto"/>
        <w:rPr>
          <w:rFonts w:ascii="Arial" w:hAnsi="Arial" w:cs="Arial"/>
          <w:sz w:val="22"/>
          <w:szCs w:val="22"/>
        </w:rPr>
      </w:pPr>
      <w:r>
        <w:rPr>
          <w:rFonts w:ascii="Arial" w:hAnsi="Arial" w:cs="Arial"/>
          <w:sz w:val="22"/>
          <w:szCs w:val="22"/>
        </w:rPr>
        <w:t>There are relatively few tools that are routinely used to assess therapist competence in cognitive behavioural therapy and there are even fewer in other psychotherapy modalities, such as psychodynamic psychotherapy (Schmidt, Strunk, DeRubeis, Conkin and Braun</w:t>
      </w:r>
      <w:r w:rsidR="00A05A3F">
        <w:rPr>
          <w:rFonts w:ascii="Arial" w:hAnsi="Arial" w:cs="Arial"/>
          <w:sz w:val="22"/>
          <w:szCs w:val="22"/>
        </w:rPr>
        <w:t>,</w:t>
      </w:r>
      <w:r>
        <w:rPr>
          <w:rFonts w:ascii="Arial" w:hAnsi="Arial" w:cs="Arial"/>
          <w:sz w:val="22"/>
          <w:szCs w:val="22"/>
        </w:rPr>
        <w:t xml:space="preserve"> 2018). The majority of research in the field of psychological therapy is outcomes-based research which focuses primarily on demonstrating that one form of therapy is more effective than another type of therapy (Okiishi, Lambert, Nielsen and Ogles</w:t>
      </w:r>
      <w:r w:rsidR="00A05A3F">
        <w:rPr>
          <w:rFonts w:ascii="Arial" w:hAnsi="Arial" w:cs="Arial"/>
          <w:sz w:val="22"/>
          <w:szCs w:val="22"/>
        </w:rPr>
        <w:t>,</w:t>
      </w:r>
      <w:r>
        <w:rPr>
          <w:rFonts w:ascii="Arial" w:hAnsi="Arial" w:cs="Arial"/>
          <w:sz w:val="22"/>
          <w:szCs w:val="22"/>
        </w:rPr>
        <w:t xml:space="preserve"> 2003, DeRubeis, Gefland, German, Fournier and Forand</w:t>
      </w:r>
      <w:r w:rsidR="00A05A3F">
        <w:rPr>
          <w:rFonts w:ascii="Arial" w:hAnsi="Arial" w:cs="Arial"/>
          <w:sz w:val="22"/>
          <w:szCs w:val="22"/>
        </w:rPr>
        <w:t>,</w:t>
      </w:r>
      <w:r>
        <w:rPr>
          <w:rFonts w:ascii="Arial" w:hAnsi="Arial" w:cs="Arial"/>
          <w:sz w:val="22"/>
          <w:szCs w:val="22"/>
        </w:rPr>
        <w:t xml:space="preserve"> 2014). However, there is very little research which focuses on individual therapist competence and, as discussed earlier in this thesis, the </w:t>
      </w:r>
      <w:r>
        <w:rPr>
          <w:rFonts w:ascii="Arial" w:hAnsi="Arial" w:cs="Arial"/>
          <w:sz w:val="22"/>
          <w:szCs w:val="22"/>
        </w:rPr>
        <w:lastRenderedPageBreak/>
        <w:t>methodology and heterogenous nature of the studies make it difficult to draw significant conclusions (Schmidt et al., 2018). The majority of research in the competence-outcome field use either the Revised Cognitive Therapy Scale (CTS-R) or the Cognitive Therapy Scale (CTS). Both the CTS-R and CTS are validated instruments that are used in the UK and USA, respectively. It is recommended that High Intensity CBT therapists working in IAPT use the CTS-R for continuing professional development either by self-rating therapy sessions or submitting recordings of therapy sessions to their supervisor for CTS-R (</w:t>
      </w:r>
      <w:r w:rsidR="005D165B">
        <w:rPr>
          <w:rFonts w:ascii="Arial" w:hAnsi="Arial" w:cs="Arial"/>
          <w:sz w:val="22"/>
          <w:szCs w:val="22"/>
        </w:rPr>
        <w:t>Liness, Lea, Nestler, Parker and Clark, 2016</w:t>
      </w:r>
      <w:r>
        <w:rPr>
          <w:rFonts w:ascii="Arial" w:hAnsi="Arial" w:cs="Arial"/>
          <w:sz w:val="22"/>
          <w:szCs w:val="22"/>
        </w:rPr>
        <w:t>). In practice very few therapists do this on a regular basis (</w:t>
      </w:r>
      <w:r w:rsidR="00092844">
        <w:rPr>
          <w:rFonts w:ascii="Arial" w:hAnsi="Arial" w:cs="Arial"/>
          <w:sz w:val="22"/>
          <w:szCs w:val="22"/>
        </w:rPr>
        <w:t>Liness et al., 2016</w:t>
      </w:r>
      <w:r>
        <w:rPr>
          <w:rFonts w:ascii="Arial" w:hAnsi="Arial" w:cs="Arial"/>
          <w:sz w:val="22"/>
          <w:szCs w:val="22"/>
        </w:rPr>
        <w:t>). It might be argued, therefore, that therapists are less likely to focus on the competencies that the CTS-R assesses. If a higher score on the CTS-R relates to outcome, then one implication of the findings from this research is on therapists’ continuing professional development. Based on the findings from this research</w:t>
      </w:r>
      <w:r w:rsidR="001309F1">
        <w:rPr>
          <w:rFonts w:ascii="Arial" w:hAnsi="Arial" w:cs="Arial"/>
          <w:sz w:val="22"/>
          <w:szCs w:val="22"/>
        </w:rPr>
        <w:t>,</w:t>
      </w:r>
      <w:r>
        <w:rPr>
          <w:rFonts w:ascii="Arial" w:hAnsi="Arial" w:cs="Arial"/>
          <w:sz w:val="22"/>
          <w:szCs w:val="22"/>
        </w:rPr>
        <w:t xml:space="preserve"> cognitive behavioural therapists, clinical supervisors and, indeed, IAPT services might place more significant emphasis on the regular review of therapy sessions using the CTS-R. Supervisor feedback from the CTS-R and therapist self-reflection on action (Bennett-Levy</w:t>
      </w:r>
      <w:r w:rsidR="00A05A3F">
        <w:rPr>
          <w:rFonts w:ascii="Arial" w:hAnsi="Arial" w:cs="Arial"/>
          <w:sz w:val="22"/>
          <w:szCs w:val="22"/>
        </w:rPr>
        <w:t>,</w:t>
      </w:r>
      <w:r>
        <w:rPr>
          <w:rFonts w:ascii="Arial" w:hAnsi="Arial" w:cs="Arial"/>
          <w:sz w:val="22"/>
          <w:szCs w:val="22"/>
        </w:rPr>
        <w:t xml:space="preserve"> 20</w:t>
      </w:r>
      <w:r w:rsidR="00A05A3F">
        <w:rPr>
          <w:rFonts w:ascii="Arial" w:hAnsi="Arial" w:cs="Arial"/>
          <w:sz w:val="22"/>
          <w:szCs w:val="22"/>
        </w:rPr>
        <w:t>06</w:t>
      </w:r>
      <w:r>
        <w:rPr>
          <w:rFonts w:ascii="Arial" w:hAnsi="Arial" w:cs="Arial"/>
          <w:sz w:val="22"/>
          <w:szCs w:val="22"/>
        </w:rPr>
        <w:t xml:space="preserve">) </w:t>
      </w:r>
      <w:r w:rsidR="00A05A3F">
        <w:rPr>
          <w:rFonts w:ascii="Arial" w:hAnsi="Arial" w:cs="Arial"/>
          <w:sz w:val="22"/>
          <w:szCs w:val="22"/>
        </w:rPr>
        <w:t xml:space="preserve">are thought to </w:t>
      </w:r>
      <w:r>
        <w:rPr>
          <w:rFonts w:ascii="Arial" w:hAnsi="Arial" w:cs="Arial"/>
          <w:sz w:val="22"/>
          <w:szCs w:val="22"/>
        </w:rPr>
        <w:t>enhance therapist competence (</w:t>
      </w:r>
      <w:r w:rsidR="00A05A3F">
        <w:rPr>
          <w:rFonts w:ascii="Arial" w:hAnsi="Arial" w:cs="Arial"/>
          <w:sz w:val="22"/>
          <w:szCs w:val="22"/>
        </w:rPr>
        <w:t>Bennett-Levy and Lee, 2012</w:t>
      </w:r>
      <w:r>
        <w:rPr>
          <w:rFonts w:ascii="Arial" w:hAnsi="Arial" w:cs="Arial"/>
          <w:sz w:val="22"/>
          <w:szCs w:val="22"/>
        </w:rPr>
        <w:t>).</w:t>
      </w:r>
      <w:r w:rsidR="00C26638">
        <w:rPr>
          <w:rFonts w:ascii="Arial" w:hAnsi="Arial" w:cs="Arial"/>
          <w:sz w:val="22"/>
          <w:szCs w:val="22"/>
        </w:rPr>
        <w:br/>
      </w:r>
    </w:p>
    <w:p w14:paraId="4ECB86D2" w14:textId="7C050830" w:rsidR="007F596B" w:rsidRDefault="006B6205" w:rsidP="007F596B">
      <w:pPr>
        <w:pStyle w:val="Heading3"/>
        <w:rPr>
          <w:rFonts w:cs="Arial"/>
          <w:b w:val="0"/>
          <w:color w:val="000000" w:themeColor="text1"/>
          <w:szCs w:val="22"/>
        </w:rPr>
      </w:pPr>
      <w:bookmarkStart w:id="486" w:name="_Toc46770872"/>
      <w:bookmarkStart w:id="487" w:name="_Toc79414283"/>
      <w:r>
        <w:rPr>
          <w:rFonts w:cs="Arial"/>
          <w:color w:val="000000" w:themeColor="text1"/>
          <w:szCs w:val="22"/>
        </w:rPr>
        <w:t>6.</w:t>
      </w:r>
      <w:r w:rsidR="00633677">
        <w:rPr>
          <w:rFonts w:cs="Arial"/>
          <w:color w:val="000000" w:themeColor="text1"/>
          <w:szCs w:val="22"/>
        </w:rPr>
        <w:t>12</w:t>
      </w:r>
      <w:r w:rsidR="006362CB">
        <w:rPr>
          <w:rFonts w:cs="Arial"/>
          <w:color w:val="000000" w:themeColor="text1"/>
          <w:szCs w:val="22"/>
        </w:rPr>
        <w:t>.6</w:t>
      </w:r>
      <w:r w:rsidR="007F596B" w:rsidRPr="00EE2D7B">
        <w:rPr>
          <w:rFonts w:cs="Arial"/>
          <w:color w:val="000000" w:themeColor="text1"/>
          <w:szCs w:val="22"/>
        </w:rPr>
        <w:t xml:space="preserve"> Developing new methods of assessing competence</w:t>
      </w:r>
      <w:bookmarkEnd w:id="486"/>
      <w:bookmarkEnd w:id="487"/>
    </w:p>
    <w:p w14:paraId="710003CC" w14:textId="77777777" w:rsidR="007F596B" w:rsidRPr="00EE2D7B" w:rsidRDefault="007F596B" w:rsidP="007F596B"/>
    <w:p w14:paraId="289E9D53" w14:textId="55B304B7" w:rsidR="007F596B" w:rsidRDefault="007F596B" w:rsidP="007F596B">
      <w:pPr>
        <w:spacing w:line="480" w:lineRule="auto"/>
        <w:rPr>
          <w:rFonts w:ascii="Arial" w:hAnsi="Arial" w:cs="Arial"/>
          <w:sz w:val="22"/>
          <w:szCs w:val="22"/>
        </w:rPr>
      </w:pPr>
      <w:r>
        <w:rPr>
          <w:rFonts w:ascii="Arial" w:hAnsi="Arial" w:cs="Arial"/>
          <w:sz w:val="22"/>
          <w:szCs w:val="22"/>
        </w:rPr>
        <w:t>The debate around the effic</w:t>
      </w:r>
      <w:r w:rsidR="00121465">
        <w:rPr>
          <w:rFonts w:ascii="Arial" w:hAnsi="Arial" w:cs="Arial"/>
          <w:sz w:val="22"/>
          <w:szCs w:val="22"/>
        </w:rPr>
        <w:t>i</w:t>
      </w:r>
      <w:r>
        <w:rPr>
          <w:rFonts w:ascii="Arial" w:hAnsi="Arial" w:cs="Arial"/>
          <w:sz w:val="22"/>
          <w:szCs w:val="22"/>
        </w:rPr>
        <w:t xml:space="preserve">ency and effectiveness of tools such as the CTS-R, as discussed in section </w:t>
      </w:r>
      <w:r w:rsidR="00E6081F">
        <w:rPr>
          <w:rFonts w:ascii="Arial" w:hAnsi="Arial" w:cs="Arial"/>
          <w:sz w:val="22"/>
          <w:szCs w:val="22"/>
        </w:rPr>
        <w:t>6</w:t>
      </w:r>
      <w:r>
        <w:rPr>
          <w:rFonts w:ascii="Arial" w:hAnsi="Arial" w:cs="Arial"/>
          <w:sz w:val="22"/>
          <w:szCs w:val="22"/>
        </w:rPr>
        <w:t>.2.1, above, has led to the development of new tools that assess competence. The most notable of these new tools are the Standardised Competence Rating Scale for Cognitive Therapy (Schmidt et al., 2018) and the Assessment of Core CBT Skills (Muse, McManus, Rakovishik and Kennerly, 2014). Despite these significant attempts to develop tools that more accurately reflect therapist competence and its relationship to outcome</w:t>
      </w:r>
      <w:r w:rsidR="001309F1">
        <w:rPr>
          <w:rFonts w:ascii="Arial" w:hAnsi="Arial" w:cs="Arial"/>
          <w:sz w:val="22"/>
          <w:szCs w:val="22"/>
        </w:rPr>
        <w:t>,</w:t>
      </w:r>
      <w:r>
        <w:rPr>
          <w:rFonts w:ascii="Arial" w:hAnsi="Arial" w:cs="Arial"/>
          <w:sz w:val="22"/>
          <w:szCs w:val="22"/>
        </w:rPr>
        <w:t xml:space="preserve"> a significant problem remains, which may explain why these two new tools have not been widely adopted. Researchers who are attempting to define competence and its’ relationship with outcome are unable to obtain enough live data of therapy sessions, from a </w:t>
      </w:r>
      <w:r>
        <w:rPr>
          <w:rFonts w:ascii="Arial" w:hAnsi="Arial" w:cs="Arial"/>
          <w:sz w:val="22"/>
          <w:szCs w:val="22"/>
        </w:rPr>
        <w:lastRenderedPageBreak/>
        <w:t>broad range of therapists, in order to analyse and quantify the process-outcome relationship (Ewbank, Cummins, Tablan, Bateup, Catarino, Martin and Blackwell</w:t>
      </w:r>
      <w:r w:rsidR="00A05A3F">
        <w:rPr>
          <w:rFonts w:ascii="Arial" w:hAnsi="Arial" w:cs="Arial"/>
          <w:sz w:val="22"/>
          <w:szCs w:val="22"/>
        </w:rPr>
        <w:t>,</w:t>
      </w:r>
      <w:r>
        <w:rPr>
          <w:rFonts w:ascii="Arial" w:hAnsi="Arial" w:cs="Arial"/>
          <w:sz w:val="22"/>
          <w:szCs w:val="22"/>
        </w:rPr>
        <w:t xml:space="preserve"> 2019). In this respect, the </w:t>
      </w:r>
      <w:r w:rsidR="009C7037">
        <w:rPr>
          <w:rFonts w:ascii="Arial" w:hAnsi="Arial" w:cs="Arial"/>
          <w:sz w:val="22"/>
          <w:szCs w:val="22"/>
        </w:rPr>
        <w:t>IECBT m</w:t>
      </w:r>
      <w:r>
        <w:rPr>
          <w:rFonts w:ascii="Arial" w:hAnsi="Arial" w:cs="Arial"/>
          <w:sz w:val="22"/>
          <w:szCs w:val="22"/>
        </w:rPr>
        <w:t>ethod offers the opportunity to analyse, at scale, a large data set of live therapy sessions delivered to 40,000 patients</w:t>
      </w:r>
      <w:r w:rsidR="00DD38EE">
        <w:rPr>
          <w:rFonts w:ascii="ZWAdobeF" w:hAnsi="ZWAdobeF" w:cs="ZWAdobeF"/>
          <w:sz w:val="2"/>
          <w:szCs w:val="2"/>
        </w:rPr>
        <w:t>6F</w:t>
      </w:r>
      <w:r>
        <w:rPr>
          <w:rStyle w:val="FootnoteReference"/>
          <w:rFonts w:ascii="Arial" w:hAnsi="Arial" w:cs="Arial"/>
          <w:sz w:val="22"/>
          <w:szCs w:val="22"/>
        </w:rPr>
        <w:footnoteReference w:id="8"/>
      </w:r>
      <w:r>
        <w:rPr>
          <w:rFonts w:ascii="Arial" w:hAnsi="Arial" w:cs="Arial"/>
          <w:sz w:val="22"/>
          <w:szCs w:val="22"/>
        </w:rPr>
        <w:t xml:space="preserve">. </w:t>
      </w:r>
      <w:r w:rsidR="008C7A34">
        <w:rPr>
          <w:rFonts w:ascii="Arial" w:hAnsi="Arial" w:cs="Arial"/>
          <w:sz w:val="22"/>
          <w:szCs w:val="22"/>
        </w:rPr>
        <w:t>The IECBT m</w:t>
      </w:r>
      <w:r>
        <w:rPr>
          <w:rFonts w:ascii="Arial" w:hAnsi="Arial" w:cs="Arial"/>
          <w:sz w:val="22"/>
          <w:szCs w:val="22"/>
        </w:rPr>
        <w:t>ethod is, in itself, a standing research trial platform, offering the opportunity to develop new tools to assess therapist competence.  With the availability of data of this volume it is possible to begin to understand wh</w:t>
      </w:r>
      <w:r w:rsidR="00FB632F">
        <w:rPr>
          <w:rFonts w:ascii="Arial" w:hAnsi="Arial" w:cs="Arial"/>
          <w:sz w:val="22"/>
          <w:szCs w:val="22"/>
        </w:rPr>
        <w:t>ich</w:t>
      </w:r>
      <w:r>
        <w:rPr>
          <w:rFonts w:ascii="Arial" w:hAnsi="Arial" w:cs="Arial"/>
          <w:sz w:val="22"/>
          <w:szCs w:val="22"/>
        </w:rPr>
        <w:t xml:space="preserve"> therapist behaviours are closely associated with outcome. These behaviours can be quantified as items such as setting an agenda for the session, undertaking a mood check or reviewing a homework task (Ewbank et al, 2019). In addition, because of the digital nature of the treatment</w:t>
      </w:r>
      <w:r w:rsidR="001309F1">
        <w:rPr>
          <w:rFonts w:ascii="Arial" w:hAnsi="Arial" w:cs="Arial"/>
          <w:sz w:val="22"/>
          <w:szCs w:val="22"/>
        </w:rPr>
        <w:t>,</w:t>
      </w:r>
      <w:r>
        <w:rPr>
          <w:rFonts w:ascii="Arial" w:hAnsi="Arial" w:cs="Arial"/>
          <w:sz w:val="22"/>
          <w:szCs w:val="22"/>
        </w:rPr>
        <w:t xml:space="preserve"> it becomes possible to develop automated tool</w:t>
      </w:r>
      <w:r w:rsidR="00FB632F">
        <w:rPr>
          <w:rFonts w:ascii="Arial" w:hAnsi="Arial" w:cs="Arial"/>
          <w:sz w:val="22"/>
          <w:szCs w:val="22"/>
        </w:rPr>
        <w:t>s</w:t>
      </w:r>
      <w:r>
        <w:rPr>
          <w:rFonts w:ascii="Arial" w:hAnsi="Arial" w:cs="Arial"/>
          <w:sz w:val="22"/>
          <w:szCs w:val="22"/>
        </w:rPr>
        <w:t xml:space="preserve"> that screen, in real time, each therapy session identifying the presence, or absence of each item. This process is currently in development and is entitled ‘Therapy Insights Model</w:t>
      </w:r>
      <w:r w:rsidR="00FB632F">
        <w:rPr>
          <w:rFonts w:ascii="Arial" w:hAnsi="Arial" w:cs="Arial"/>
          <w:sz w:val="22"/>
          <w:szCs w:val="22"/>
        </w:rPr>
        <w:t>’</w:t>
      </w:r>
      <w:r>
        <w:rPr>
          <w:rFonts w:ascii="Arial" w:hAnsi="Arial" w:cs="Arial"/>
          <w:sz w:val="22"/>
          <w:szCs w:val="22"/>
        </w:rPr>
        <w:t xml:space="preserve"> (TIM).  Figure </w:t>
      </w:r>
      <w:r w:rsidR="006B6205">
        <w:rPr>
          <w:rFonts w:ascii="Arial" w:hAnsi="Arial" w:cs="Arial"/>
          <w:sz w:val="22"/>
          <w:szCs w:val="22"/>
        </w:rPr>
        <w:t>6.</w:t>
      </w:r>
      <w:r w:rsidR="008C4832">
        <w:rPr>
          <w:rFonts w:ascii="Arial" w:hAnsi="Arial" w:cs="Arial"/>
          <w:sz w:val="22"/>
          <w:szCs w:val="22"/>
        </w:rPr>
        <w:t xml:space="preserve">6 </w:t>
      </w:r>
      <w:r>
        <w:rPr>
          <w:rFonts w:ascii="Arial" w:hAnsi="Arial" w:cs="Arial"/>
          <w:sz w:val="22"/>
          <w:szCs w:val="22"/>
        </w:rPr>
        <w:t>shows TIM on the Ieso Digital Health platform. Whilst the development of TIM is beyond the scope of this thesis</w:t>
      </w:r>
      <w:r w:rsidR="001309F1">
        <w:rPr>
          <w:rFonts w:ascii="Arial" w:hAnsi="Arial" w:cs="Arial"/>
          <w:sz w:val="22"/>
          <w:szCs w:val="22"/>
        </w:rPr>
        <w:t>,</w:t>
      </w:r>
      <w:r>
        <w:rPr>
          <w:rFonts w:ascii="Arial" w:hAnsi="Arial" w:cs="Arial"/>
          <w:sz w:val="22"/>
          <w:szCs w:val="22"/>
        </w:rPr>
        <w:t xml:space="preserve"> the concept has been </w:t>
      </w:r>
      <w:r w:rsidR="00CD01E4">
        <w:rPr>
          <w:rFonts w:ascii="Arial" w:hAnsi="Arial" w:cs="Arial"/>
          <w:sz w:val="22"/>
          <w:szCs w:val="22"/>
        </w:rPr>
        <w:t xml:space="preserve">directly </w:t>
      </w:r>
      <w:r>
        <w:rPr>
          <w:rFonts w:ascii="Arial" w:hAnsi="Arial" w:cs="Arial"/>
          <w:sz w:val="22"/>
          <w:szCs w:val="22"/>
        </w:rPr>
        <w:t>derived from th</w:t>
      </w:r>
      <w:r w:rsidR="00CD01E4">
        <w:rPr>
          <w:rFonts w:ascii="Arial" w:hAnsi="Arial" w:cs="Arial"/>
          <w:sz w:val="22"/>
          <w:szCs w:val="22"/>
        </w:rPr>
        <w:t>e</w:t>
      </w:r>
      <w:r>
        <w:rPr>
          <w:rFonts w:ascii="Arial" w:hAnsi="Arial" w:cs="Arial"/>
          <w:sz w:val="22"/>
          <w:szCs w:val="22"/>
        </w:rPr>
        <w:t xml:space="preserve"> research</w:t>
      </w:r>
      <w:r w:rsidR="00CD01E4">
        <w:rPr>
          <w:rFonts w:ascii="Arial" w:hAnsi="Arial" w:cs="Arial"/>
          <w:sz w:val="22"/>
          <w:szCs w:val="22"/>
        </w:rPr>
        <w:t xml:space="preserve"> reported in this thesis</w:t>
      </w:r>
      <w:r>
        <w:rPr>
          <w:rFonts w:ascii="Arial" w:hAnsi="Arial" w:cs="Arial"/>
          <w:sz w:val="22"/>
          <w:szCs w:val="22"/>
        </w:rPr>
        <w:t>. The finding</w:t>
      </w:r>
      <w:r w:rsidR="00CD01E4">
        <w:rPr>
          <w:rFonts w:ascii="Arial" w:hAnsi="Arial" w:cs="Arial"/>
          <w:sz w:val="22"/>
          <w:szCs w:val="22"/>
        </w:rPr>
        <w:t>s</w:t>
      </w:r>
      <w:r>
        <w:rPr>
          <w:rFonts w:ascii="Arial" w:hAnsi="Arial" w:cs="Arial"/>
          <w:sz w:val="22"/>
          <w:szCs w:val="22"/>
        </w:rPr>
        <w:t xml:space="preserve"> (from this research) that higher CTS-R scores correlate with better outcomes, whilst not necessarily causal, has le</w:t>
      </w:r>
      <w:r w:rsidR="006B6205">
        <w:rPr>
          <w:rFonts w:ascii="Arial" w:hAnsi="Arial" w:cs="Arial"/>
          <w:sz w:val="22"/>
          <w:szCs w:val="22"/>
        </w:rPr>
        <w:t>d to the development of an automated tool that can detect key items</w:t>
      </w:r>
      <w:r w:rsidR="00384C41">
        <w:rPr>
          <w:rFonts w:ascii="Arial" w:hAnsi="Arial" w:cs="Arial"/>
          <w:sz w:val="22"/>
          <w:szCs w:val="22"/>
        </w:rPr>
        <w:t>, or mechanisms of change that relate to outcome.</w:t>
      </w:r>
      <w:r w:rsidR="00DD38EE">
        <w:rPr>
          <w:rFonts w:ascii="ZWAdobeF" w:hAnsi="ZWAdobeF" w:cs="ZWAdobeF"/>
          <w:sz w:val="2"/>
          <w:szCs w:val="2"/>
        </w:rPr>
        <w:t>7F</w:t>
      </w:r>
      <w:r w:rsidR="006B6205">
        <w:rPr>
          <w:rStyle w:val="FootnoteReference"/>
          <w:rFonts w:ascii="Arial" w:hAnsi="Arial" w:cs="Arial"/>
          <w:sz w:val="22"/>
          <w:szCs w:val="22"/>
        </w:rPr>
        <w:footnoteReference w:id="9"/>
      </w:r>
      <w:r>
        <w:rPr>
          <w:rFonts w:ascii="Arial" w:hAnsi="Arial" w:cs="Arial"/>
          <w:sz w:val="22"/>
          <w:szCs w:val="22"/>
        </w:rPr>
        <w:t xml:space="preserve"> The implications of this on clinical practice are </w:t>
      </w:r>
      <w:r w:rsidR="000F6A25">
        <w:rPr>
          <w:rFonts w:ascii="Arial" w:hAnsi="Arial" w:cs="Arial"/>
          <w:sz w:val="22"/>
          <w:szCs w:val="22"/>
        </w:rPr>
        <w:t>highly significant</w:t>
      </w:r>
      <w:r>
        <w:rPr>
          <w:rFonts w:ascii="Arial" w:hAnsi="Arial" w:cs="Arial"/>
          <w:sz w:val="22"/>
          <w:szCs w:val="22"/>
        </w:rPr>
        <w:t xml:space="preserve">. This new tool (albeit still in development) could be used to provide feedback to therapists after every session, to provide data to clinical supervisors and to inform further research in this area. </w:t>
      </w:r>
    </w:p>
    <w:p w14:paraId="68064880" w14:textId="77777777" w:rsidR="007F596B" w:rsidRDefault="007F596B" w:rsidP="007F596B">
      <w:pPr>
        <w:spacing w:line="480" w:lineRule="auto"/>
        <w:rPr>
          <w:rFonts w:ascii="Arial" w:hAnsi="Arial" w:cs="Arial"/>
          <w:sz w:val="22"/>
          <w:szCs w:val="22"/>
        </w:rPr>
      </w:pPr>
    </w:p>
    <w:p w14:paraId="54A502E4" w14:textId="77777777" w:rsidR="00092844" w:rsidRDefault="00092844" w:rsidP="007F596B">
      <w:pPr>
        <w:spacing w:line="480" w:lineRule="auto"/>
        <w:rPr>
          <w:rFonts w:ascii="Arial" w:hAnsi="Arial" w:cs="Arial"/>
          <w:b/>
          <w:bCs/>
          <w:sz w:val="22"/>
          <w:szCs w:val="22"/>
        </w:rPr>
      </w:pPr>
    </w:p>
    <w:p w14:paraId="3C3773A8" w14:textId="77777777" w:rsidR="00092844" w:rsidRDefault="00092844" w:rsidP="007F596B">
      <w:pPr>
        <w:spacing w:line="480" w:lineRule="auto"/>
        <w:rPr>
          <w:rFonts w:ascii="Arial" w:hAnsi="Arial" w:cs="Arial"/>
          <w:b/>
          <w:bCs/>
          <w:sz w:val="22"/>
          <w:szCs w:val="22"/>
        </w:rPr>
      </w:pPr>
    </w:p>
    <w:p w14:paraId="1EBD936E" w14:textId="77777777" w:rsidR="00092844" w:rsidRDefault="00092844" w:rsidP="007F596B">
      <w:pPr>
        <w:spacing w:line="480" w:lineRule="auto"/>
        <w:rPr>
          <w:rFonts w:ascii="Arial" w:hAnsi="Arial" w:cs="Arial"/>
          <w:b/>
          <w:bCs/>
          <w:sz w:val="22"/>
          <w:szCs w:val="22"/>
        </w:rPr>
      </w:pPr>
    </w:p>
    <w:p w14:paraId="13106A53" w14:textId="77777777" w:rsidR="00092844" w:rsidRDefault="00092844" w:rsidP="007F596B">
      <w:pPr>
        <w:spacing w:line="480" w:lineRule="auto"/>
        <w:rPr>
          <w:rFonts w:ascii="Arial" w:hAnsi="Arial" w:cs="Arial"/>
          <w:b/>
          <w:bCs/>
          <w:sz w:val="22"/>
          <w:szCs w:val="22"/>
        </w:rPr>
      </w:pPr>
    </w:p>
    <w:p w14:paraId="50C16E2C" w14:textId="77777777" w:rsidR="007F596B" w:rsidRDefault="007F596B" w:rsidP="007F596B"/>
    <w:p w14:paraId="46450F14" w14:textId="069F77ED" w:rsidR="00BF5EC4" w:rsidRDefault="00BF5EC4" w:rsidP="00BF5EC4">
      <w:pPr>
        <w:pStyle w:val="Figures"/>
        <w:rPr>
          <w:b w:val="0"/>
        </w:rPr>
      </w:pPr>
      <w:bookmarkStart w:id="488" w:name="_Toc46770967"/>
      <w:r w:rsidRPr="00C54F79">
        <w:lastRenderedPageBreak/>
        <w:t>Figure 6.</w:t>
      </w:r>
      <w:r w:rsidR="008C4832" w:rsidRPr="00C54F79">
        <w:t>6</w:t>
      </w:r>
      <w:r w:rsidRPr="00C22DD0">
        <w:t xml:space="preserve"> </w:t>
      </w:r>
      <w:r w:rsidRPr="00BF5EC4">
        <w:rPr>
          <w:b w:val="0"/>
        </w:rPr>
        <w:t>The Therapy Insights Model (Ewbank et al., 2019) Extract of a (fictitious) IECBT session where the utterances of a therapist are on the right, and those of the patient on the left. The utterance tag (shown in yellow) show the output of TIM</w:t>
      </w:r>
      <w:bookmarkEnd w:id="488"/>
    </w:p>
    <w:p w14:paraId="06B1C7DC" w14:textId="77777777" w:rsidR="00BF5EC4" w:rsidRDefault="00BF5EC4" w:rsidP="00BF5EC4">
      <w:pPr>
        <w:pStyle w:val="Figures"/>
      </w:pPr>
    </w:p>
    <w:p w14:paraId="27AC7A68" w14:textId="77777777" w:rsidR="007F596B" w:rsidRPr="00FA0996" w:rsidRDefault="007F596B" w:rsidP="008843BF">
      <w:r>
        <w:rPr>
          <w:noProof/>
        </w:rPr>
        <w:drawing>
          <wp:inline distT="0" distB="0" distL="0" distR="0" wp14:anchorId="1AFBF519" wp14:editId="624472EF">
            <wp:extent cx="5886450" cy="4872662"/>
            <wp:effectExtent l="0" t="0" r="0" b="4445"/>
            <wp:docPr id="36" name="Picture 36" descr="P368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P3687#yIS1"/>
                    <pic:cNvPicPr/>
                  </pic:nvPicPr>
                  <pic:blipFill>
                    <a:blip r:embed="rId84">
                      <a:extLst>
                        <a:ext uri="{28A0092B-C50C-407E-A947-70E740481C1C}">
                          <a14:useLocalDpi xmlns:a14="http://schemas.microsoft.com/office/drawing/2010/main" val="0"/>
                        </a:ext>
                      </a:extLst>
                    </a:blip>
                    <a:stretch>
                      <a:fillRect/>
                    </a:stretch>
                  </pic:blipFill>
                  <pic:spPr>
                    <a:xfrm>
                      <a:off x="0" y="0"/>
                      <a:ext cx="5894083" cy="4878980"/>
                    </a:xfrm>
                    <a:prstGeom prst="rect">
                      <a:avLst/>
                    </a:prstGeom>
                  </pic:spPr>
                </pic:pic>
              </a:graphicData>
            </a:graphic>
          </wp:inline>
        </w:drawing>
      </w:r>
    </w:p>
    <w:p w14:paraId="1EE0BB41" w14:textId="77777777" w:rsidR="007F596B" w:rsidRDefault="007F596B" w:rsidP="007F596B">
      <w:pPr>
        <w:spacing w:line="480" w:lineRule="auto"/>
        <w:rPr>
          <w:rFonts w:ascii="Arial" w:hAnsi="Arial" w:cs="Arial"/>
          <w:sz w:val="22"/>
          <w:szCs w:val="22"/>
        </w:rPr>
      </w:pPr>
    </w:p>
    <w:p w14:paraId="3EBD5FE5" w14:textId="77777777" w:rsidR="00BF5EC4" w:rsidRDefault="00BF5EC4">
      <w:pPr>
        <w:rPr>
          <w:rFonts w:ascii="Arial" w:eastAsiaTheme="majorEastAsia" w:hAnsi="Arial" w:cs="Arial"/>
          <w:b/>
          <w:bCs/>
          <w:color w:val="000000" w:themeColor="text1"/>
          <w:sz w:val="22"/>
          <w:szCs w:val="22"/>
        </w:rPr>
      </w:pPr>
      <w:r>
        <w:rPr>
          <w:rFonts w:ascii="Arial" w:hAnsi="Arial" w:cs="Arial"/>
          <w:color w:val="000000" w:themeColor="text1"/>
          <w:sz w:val="22"/>
          <w:szCs w:val="22"/>
        </w:rPr>
        <w:br w:type="page"/>
      </w:r>
    </w:p>
    <w:p w14:paraId="7BB1D837" w14:textId="6D4D04C8" w:rsidR="007F596B" w:rsidRDefault="006362CB" w:rsidP="007F596B">
      <w:pPr>
        <w:pStyle w:val="Heading3"/>
        <w:rPr>
          <w:rFonts w:cs="Arial"/>
          <w:b w:val="0"/>
          <w:color w:val="000000" w:themeColor="text1"/>
          <w:szCs w:val="22"/>
        </w:rPr>
      </w:pPr>
      <w:bookmarkStart w:id="489" w:name="_Toc46770873"/>
      <w:bookmarkStart w:id="490" w:name="_Toc79414284"/>
      <w:r>
        <w:rPr>
          <w:rFonts w:cs="Arial"/>
          <w:color w:val="000000" w:themeColor="text1"/>
          <w:szCs w:val="22"/>
        </w:rPr>
        <w:lastRenderedPageBreak/>
        <w:t>6.</w:t>
      </w:r>
      <w:r w:rsidR="00633677">
        <w:rPr>
          <w:rFonts w:cs="Arial"/>
          <w:color w:val="000000" w:themeColor="text1"/>
          <w:szCs w:val="22"/>
        </w:rPr>
        <w:t>12</w:t>
      </w:r>
      <w:r>
        <w:rPr>
          <w:rFonts w:cs="Arial"/>
          <w:color w:val="000000" w:themeColor="text1"/>
          <w:szCs w:val="22"/>
        </w:rPr>
        <w:t xml:space="preserve">.7 </w:t>
      </w:r>
      <w:r w:rsidR="007F596B" w:rsidRPr="00BE757D">
        <w:rPr>
          <w:rFonts w:cs="Arial"/>
          <w:color w:val="000000" w:themeColor="text1"/>
          <w:szCs w:val="22"/>
        </w:rPr>
        <w:t>Therapist adherence</w:t>
      </w:r>
      <w:bookmarkEnd w:id="489"/>
      <w:bookmarkEnd w:id="490"/>
    </w:p>
    <w:p w14:paraId="70C0A219" w14:textId="77777777" w:rsidR="007F596B" w:rsidRPr="00BE757D" w:rsidRDefault="007F596B" w:rsidP="007F596B"/>
    <w:p w14:paraId="0A015007" w14:textId="35A97E5F" w:rsidR="007F596B" w:rsidRDefault="007F596B" w:rsidP="007F596B">
      <w:pPr>
        <w:spacing w:line="480" w:lineRule="auto"/>
        <w:rPr>
          <w:rFonts w:ascii="Arial" w:hAnsi="Arial" w:cs="Arial"/>
          <w:sz w:val="22"/>
          <w:szCs w:val="22"/>
        </w:rPr>
      </w:pPr>
      <w:r>
        <w:rPr>
          <w:rFonts w:ascii="Arial" w:hAnsi="Arial" w:cs="Arial"/>
          <w:sz w:val="22"/>
          <w:szCs w:val="22"/>
        </w:rPr>
        <w:t>Outcomes</w:t>
      </w:r>
      <w:r w:rsidR="001309F1">
        <w:rPr>
          <w:rFonts w:ascii="Arial" w:hAnsi="Arial" w:cs="Arial"/>
          <w:sz w:val="22"/>
          <w:szCs w:val="22"/>
        </w:rPr>
        <w:t>-</w:t>
      </w:r>
      <w:r>
        <w:rPr>
          <w:rFonts w:ascii="Arial" w:hAnsi="Arial" w:cs="Arial"/>
          <w:sz w:val="22"/>
          <w:szCs w:val="22"/>
        </w:rPr>
        <w:t xml:space="preserve">based research in the field of CBT </w:t>
      </w:r>
      <w:r w:rsidR="00FE38D3">
        <w:rPr>
          <w:rFonts w:ascii="Arial" w:hAnsi="Arial" w:cs="Arial"/>
          <w:sz w:val="22"/>
          <w:szCs w:val="22"/>
        </w:rPr>
        <w:t xml:space="preserve">have </w:t>
      </w:r>
      <w:r>
        <w:rPr>
          <w:rFonts w:ascii="Arial" w:hAnsi="Arial" w:cs="Arial"/>
          <w:sz w:val="22"/>
          <w:szCs w:val="22"/>
        </w:rPr>
        <w:t>tend</w:t>
      </w:r>
      <w:r w:rsidR="00FE38D3">
        <w:rPr>
          <w:rFonts w:ascii="Arial" w:hAnsi="Arial" w:cs="Arial"/>
          <w:sz w:val="22"/>
          <w:szCs w:val="22"/>
        </w:rPr>
        <w:t>ed</w:t>
      </w:r>
      <w:r>
        <w:rPr>
          <w:rFonts w:ascii="Arial" w:hAnsi="Arial" w:cs="Arial"/>
          <w:sz w:val="22"/>
          <w:szCs w:val="22"/>
        </w:rPr>
        <w:t xml:space="preserve"> to focus on the provision of interventions that adhere to a specific protocol (Layard and Clark</w:t>
      </w:r>
      <w:r w:rsidR="00A05A3F">
        <w:rPr>
          <w:rFonts w:ascii="Arial" w:hAnsi="Arial" w:cs="Arial"/>
          <w:sz w:val="22"/>
          <w:szCs w:val="22"/>
        </w:rPr>
        <w:t>,</w:t>
      </w:r>
      <w:r>
        <w:rPr>
          <w:rFonts w:ascii="Arial" w:hAnsi="Arial" w:cs="Arial"/>
          <w:sz w:val="22"/>
          <w:szCs w:val="22"/>
        </w:rPr>
        <w:t xml:space="preserve"> 2014). The protocol follows a treatment manual and clinicians are trained to deliver treatments with adherence to the manual in research trials (Layard and Clark 2014). Once there is statistically significant evidence that the treatment protocol achieves good outcomes then the protocol is deemed efficacious and it is considered to be ‘evidence-based’ (Layard and Clark</w:t>
      </w:r>
      <w:r w:rsidR="00A05A3F">
        <w:rPr>
          <w:rFonts w:ascii="Arial" w:hAnsi="Arial" w:cs="Arial"/>
          <w:sz w:val="22"/>
          <w:szCs w:val="22"/>
        </w:rPr>
        <w:t>,</w:t>
      </w:r>
      <w:r>
        <w:rPr>
          <w:rFonts w:ascii="Arial" w:hAnsi="Arial" w:cs="Arial"/>
          <w:sz w:val="22"/>
          <w:szCs w:val="22"/>
        </w:rPr>
        <w:t xml:space="preserve"> 2014). Several of these evidence-based protocols are incorporated into the training of IAPT trainees (NHS England</w:t>
      </w:r>
      <w:r w:rsidR="00A05A3F">
        <w:rPr>
          <w:rFonts w:ascii="Arial" w:hAnsi="Arial" w:cs="Arial"/>
          <w:sz w:val="22"/>
          <w:szCs w:val="22"/>
        </w:rPr>
        <w:t>,</w:t>
      </w:r>
      <w:r>
        <w:rPr>
          <w:rFonts w:ascii="Arial" w:hAnsi="Arial" w:cs="Arial"/>
          <w:sz w:val="22"/>
          <w:szCs w:val="22"/>
        </w:rPr>
        <w:t xml:space="preserve"> 2018). Additionally, IAPT stipulate that High Intensity cognitive behavioural therapists are required to deliver interventions in accordance with National Institute of Health and Care Excellence (NICE) guidance using evidence-based protocols for specific disorders (NHS England</w:t>
      </w:r>
      <w:r w:rsidR="00A05A3F">
        <w:rPr>
          <w:rFonts w:ascii="Arial" w:hAnsi="Arial" w:cs="Arial"/>
          <w:sz w:val="22"/>
          <w:szCs w:val="22"/>
        </w:rPr>
        <w:t>,</w:t>
      </w:r>
      <w:r>
        <w:rPr>
          <w:rFonts w:ascii="Arial" w:hAnsi="Arial" w:cs="Arial"/>
          <w:sz w:val="22"/>
          <w:szCs w:val="22"/>
        </w:rPr>
        <w:t xml:space="preserve"> 2018). These protocols are discussed more fully in </w:t>
      </w:r>
      <w:r w:rsidR="001309F1">
        <w:rPr>
          <w:rFonts w:ascii="Arial" w:hAnsi="Arial" w:cs="Arial"/>
          <w:sz w:val="22"/>
          <w:szCs w:val="22"/>
        </w:rPr>
        <w:t>C</w:t>
      </w:r>
      <w:r>
        <w:rPr>
          <w:rFonts w:ascii="Arial" w:hAnsi="Arial" w:cs="Arial"/>
          <w:sz w:val="22"/>
          <w:szCs w:val="22"/>
        </w:rPr>
        <w:t>hapter 2 of this thesis. It is impossible to know whether in fact High Intensity CBT therapists are delivering interventions that adhere to the evidence base as therapy tends to take place behind closed doors and there are very few recordings of live sessions in real</w:t>
      </w:r>
      <w:r w:rsidR="00622CDC">
        <w:rPr>
          <w:rFonts w:ascii="Arial" w:hAnsi="Arial" w:cs="Arial"/>
          <w:sz w:val="22"/>
          <w:szCs w:val="22"/>
        </w:rPr>
        <w:t>-</w:t>
      </w:r>
      <w:r>
        <w:rPr>
          <w:rFonts w:ascii="Arial" w:hAnsi="Arial" w:cs="Arial"/>
          <w:sz w:val="22"/>
          <w:szCs w:val="22"/>
        </w:rPr>
        <w:t>world settings (</w:t>
      </w:r>
      <w:r w:rsidR="00092844">
        <w:rPr>
          <w:rFonts w:ascii="Arial" w:hAnsi="Arial" w:cs="Arial"/>
          <w:sz w:val="22"/>
          <w:szCs w:val="22"/>
        </w:rPr>
        <w:t>Liness, Lea, Nestler, Parker and Clark, 2016</w:t>
      </w:r>
      <w:r>
        <w:rPr>
          <w:rFonts w:ascii="Arial" w:hAnsi="Arial" w:cs="Arial"/>
          <w:sz w:val="22"/>
          <w:szCs w:val="22"/>
        </w:rPr>
        <w:t xml:space="preserve">). </w:t>
      </w:r>
      <w:r w:rsidR="00092844">
        <w:rPr>
          <w:rFonts w:ascii="Arial" w:hAnsi="Arial" w:cs="Arial"/>
          <w:sz w:val="22"/>
          <w:szCs w:val="22"/>
        </w:rPr>
        <w:t>Whilst</w:t>
      </w:r>
      <w:r>
        <w:rPr>
          <w:rFonts w:ascii="Arial" w:hAnsi="Arial" w:cs="Arial"/>
          <w:sz w:val="22"/>
          <w:szCs w:val="22"/>
        </w:rPr>
        <w:t xml:space="preserve"> adherence to a treatment protocol is central to the IAPT programme </w:t>
      </w:r>
      <w:r w:rsidR="00092844">
        <w:rPr>
          <w:rFonts w:ascii="Arial" w:hAnsi="Arial" w:cs="Arial"/>
          <w:sz w:val="22"/>
          <w:szCs w:val="22"/>
        </w:rPr>
        <w:t xml:space="preserve">very little is known about whether IAPT therapists </w:t>
      </w:r>
      <w:r w:rsidR="00CF44D1">
        <w:rPr>
          <w:rFonts w:ascii="Arial" w:hAnsi="Arial" w:cs="Arial"/>
          <w:sz w:val="22"/>
          <w:szCs w:val="22"/>
        </w:rPr>
        <w:t>adhere to protocols after training. One study (Liness et al., 2016) suggests</w:t>
      </w:r>
      <w:r>
        <w:rPr>
          <w:rFonts w:ascii="Arial" w:hAnsi="Arial" w:cs="Arial"/>
          <w:sz w:val="22"/>
          <w:szCs w:val="22"/>
        </w:rPr>
        <w:t xml:space="preserve"> </w:t>
      </w:r>
      <w:r w:rsidR="00CF44D1">
        <w:rPr>
          <w:rFonts w:ascii="Arial" w:hAnsi="Arial" w:cs="Arial"/>
          <w:sz w:val="22"/>
          <w:szCs w:val="22"/>
        </w:rPr>
        <w:t>that therapists are less likely to adhere to a protocol and these findings support the hypotheses of Waller and Turner</w:t>
      </w:r>
      <w:r w:rsidR="001309F1">
        <w:rPr>
          <w:rFonts w:ascii="Arial" w:hAnsi="Arial" w:cs="Arial"/>
          <w:sz w:val="22"/>
          <w:szCs w:val="22"/>
        </w:rPr>
        <w:t xml:space="preserve"> </w:t>
      </w:r>
      <w:r w:rsidR="00CF44D1">
        <w:rPr>
          <w:rFonts w:ascii="Arial" w:hAnsi="Arial" w:cs="Arial"/>
          <w:sz w:val="22"/>
          <w:szCs w:val="22"/>
        </w:rPr>
        <w:t>(2016)</w:t>
      </w:r>
      <w:r w:rsidR="001309F1">
        <w:rPr>
          <w:rFonts w:ascii="Arial" w:hAnsi="Arial" w:cs="Arial"/>
          <w:sz w:val="22"/>
          <w:szCs w:val="22"/>
        </w:rPr>
        <w:t>,</w:t>
      </w:r>
      <w:r w:rsidR="00CF44D1">
        <w:rPr>
          <w:rFonts w:ascii="Arial" w:hAnsi="Arial" w:cs="Arial"/>
          <w:sz w:val="22"/>
          <w:szCs w:val="22"/>
        </w:rPr>
        <w:t xml:space="preserve"> that CBT therapists tend to drift away from adherence to a protocol.</w:t>
      </w:r>
      <w:r>
        <w:rPr>
          <w:rFonts w:ascii="Arial" w:hAnsi="Arial" w:cs="Arial"/>
          <w:sz w:val="22"/>
          <w:szCs w:val="22"/>
        </w:rPr>
        <w:t xml:space="preserve"> The findings reported in this thesis would suggest that adherence is significantly related to outcomes (albeit via therapist competence) and</w:t>
      </w:r>
      <w:r w:rsidR="001309F1">
        <w:rPr>
          <w:rFonts w:ascii="Arial" w:hAnsi="Arial" w:cs="Arial"/>
          <w:sz w:val="22"/>
          <w:szCs w:val="22"/>
        </w:rPr>
        <w:t>,</w:t>
      </w:r>
      <w:r>
        <w:rPr>
          <w:rFonts w:ascii="Arial" w:hAnsi="Arial" w:cs="Arial"/>
          <w:sz w:val="22"/>
          <w:szCs w:val="22"/>
        </w:rPr>
        <w:t xml:space="preserve"> therefore</w:t>
      </w:r>
      <w:r w:rsidR="001309F1">
        <w:rPr>
          <w:rFonts w:ascii="Arial" w:hAnsi="Arial" w:cs="Arial"/>
          <w:sz w:val="22"/>
          <w:szCs w:val="22"/>
        </w:rPr>
        <w:t>,</w:t>
      </w:r>
      <w:r>
        <w:rPr>
          <w:rFonts w:ascii="Arial" w:hAnsi="Arial" w:cs="Arial"/>
          <w:sz w:val="22"/>
          <w:szCs w:val="22"/>
        </w:rPr>
        <w:t xml:space="preserve"> it would be reasonable to hypothesise that not all IAPT therapists are adhering to a protocol. This hypothesis is supported by several studies who have investigated the phenomenon known as ‘therapist drift’ (see Shafran, Clark, Fairburn, Arntz, Barlow, Ehlers, Freeston, Garety, Hollon, Ost, Salkovskis, Williams and Wilson</w:t>
      </w:r>
      <w:r w:rsidR="00A05A3F">
        <w:rPr>
          <w:rFonts w:ascii="Arial" w:hAnsi="Arial" w:cs="Arial"/>
          <w:sz w:val="22"/>
          <w:szCs w:val="22"/>
        </w:rPr>
        <w:t>,</w:t>
      </w:r>
      <w:r>
        <w:rPr>
          <w:rFonts w:ascii="Arial" w:hAnsi="Arial" w:cs="Arial"/>
          <w:sz w:val="22"/>
          <w:szCs w:val="22"/>
        </w:rPr>
        <w:t xml:space="preserve"> 2009, McA</w:t>
      </w:r>
      <w:r w:rsidR="00A05A3F">
        <w:rPr>
          <w:rFonts w:ascii="Arial" w:hAnsi="Arial" w:cs="Arial"/>
          <w:sz w:val="22"/>
          <w:szCs w:val="22"/>
        </w:rPr>
        <w:t>l</w:t>
      </w:r>
      <w:r>
        <w:rPr>
          <w:rFonts w:ascii="Arial" w:hAnsi="Arial" w:cs="Arial"/>
          <w:sz w:val="22"/>
          <w:szCs w:val="22"/>
        </w:rPr>
        <w:t xml:space="preserve">eavy, Castonguay and Goldfried, 2014 and Wolf and Goldfried, 2014. The term therapist drift describes an issue that is thought to occur in therapy where a therapist either omits elements of a protocol or combines several elements of different protocols, so that the </w:t>
      </w:r>
      <w:r>
        <w:rPr>
          <w:rFonts w:ascii="Arial" w:hAnsi="Arial" w:cs="Arial"/>
          <w:sz w:val="22"/>
          <w:szCs w:val="22"/>
        </w:rPr>
        <w:lastRenderedPageBreak/>
        <w:t>patient does not receive a treatment that is supported by an evidence base (Waller and Turner, 2016).  Several reasons for therapist drift have been cited including lack of training, therapist anxiety, therapist beliefs that a particular treatment is ineffective or inappropriate for a particular patient and the therapists philosophical stance whereby some therapists may perceive CBT as an art rather than a science and this may increase therapist drift (Waller and Turner). In addition, this thesis has argued that the current training of IAPT therapists fails to adequately assess trainee competence in delivering CBT whilst adhering to a protocol</w:t>
      </w:r>
      <w:r w:rsidR="009B77A7">
        <w:rPr>
          <w:rFonts w:ascii="Arial" w:hAnsi="Arial" w:cs="Arial"/>
          <w:sz w:val="22"/>
          <w:szCs w:val="22"/>
        </w:rPr>
        <w:t>,</w:t>
      </w:r>
      <w:r>
        <w:rPr>
          <w:rFonts w:ascii="Arial" w:hAnsi="Arial" w:cs="Arial"/>
          <w:sz w:val="22"/>
          <w:szCs w:val="22"/>
        </w:rPr>
        <w:t xml:space="preserve"> and it is hypothesised that some CBT therapists may lack knowledge in how to deliver particular protocols.</w:t>
      </w:r>
      <w:r w:rsidR="006B6205">
        <w:rPr>
          <w:rFonts w:ascii="Arial" w:hAnsi="Arial" w:cs="Arial"/>
          <w:sz w:val="22"/>
          <w:szCs w:val="22"/>
        </w:rPr>
        <w:t xml:space="preserve"> </w:t>
      </w:r>
      <w:r>
        <w:rPr>
          <w:rFonts w:ascii="Arial" w:hAnsi="Arial" w:cs="Arial"/>
          <w:sz w:val="22"/>
          <w:szCs w:val="22"/>
        </w:rPr>
        <w:t>One implication of the findings from this research is that therapists and their clinical supervisors may put greater emphasis on reflecting on the therapist’s knowledge and ability to deliver CBT using a range of evidence-protocols. One study (Parker and Waller, 2014) has suggested that once qualified some therapists may avoid sharing their knowledge gaps with their supervisor and the supervisor may not probe the therapist’s knowledge sufficiently enough to expose gaps. This latter occurrence is defined as ‘supervisor drift’ (Waller and Turner). Furthermore, many therapists and their supervisors have a belief that they are highly competent and that they closely adhere to the evidence base (Dennhag, Gibbons, Barber, Gallop and Crits-Christoph, 2012). The combined effect of all these issues may be further amplified where the therapist is not bringing live recordings of therapy sessions for their clinical supervisor to review. Therefore, a further implication from the findings of this study might be that IAPT services require therapists to provide recordings of therapy sessions where the patient does not appear to be improving. The emphasis here would be on the supervisor and the therapist to work together to identify whether there was therapist drift and</w:t>
      </w:r>
      <w:r w:rsidR="009B77A7">
        <w:rPr>
          <w:rFonts w:ascii="Arial" w:hAnsi="Arial" w:cs="Arial"/>
          <w:sz w:val="22"/>
          <w:szCs w:val="22"/>
        </w:rPr>
        <w:t>,</w:t>
      </w:r>
      <w:r>
        <w:rPr>
          <w:rFonts w:ascii="Arial" w:hAnsi="Arial" w:cs="Arial"/>
          <w:sz w:val="22"/>
          <w:szCs w:val="22"/>
        </w:rPr>
        <w:t xml:space="preserve"> consequently</w:t>
      </w:r>
      <w:r w:rsidR="009B77A7">
        <w:rPr>
          <w:rFonts w:ascii="Arial" w:hAnsi="Arial" w:cs="Arial"/>
          <w:sz w:val="22"/>
          <w:szCs w:val="22"/>
        </w:rPr>
        <w:t>,</w:t>
      </w:r>
      <w:r>
        <w:rPr>
          <w:rFonts w:ascii="Arial" w:hAnsi="Arial" w:cs="Arial"/>
          <w:sz w:val="22"/>
          <w:szCs w:val="22"/>
        </w:rPr>
        <w:t xml:space="preserve"> explore the training needs of the therapist. As with the potential implications for IAPT training programmes</w:t>
      </w:r>
      <w:r w:rsidR="009B77A7">
        <w:rPr>
          <w:rFonts w:ascii="Arial" w:hAnsi="Arial" w:cs="Arial"/>
          <w:sz w:val="22"/>
          <w:szCs w:val="22"/>
        </w:rPr>
        <w:t>,</w:t>
      </w:r>
      <w:r>
        <w:rPr>
          <w:rFonts w:ascii="Arial" w:hAnsi="Arial" w:cs="Arial"/>
          <w:sz w:val="22"/>
          <w:szCs w:val="22"/>
        </w:rPr>
        <w:t xml:space="preserve"> these changes to clinical practice within IAPT come with an additional burden of time and resource but as each therapist receives one hour of clinical supervision each week in IAPT (NHS England</w:t>
      </w:r>
      <w:r w:rsidR="006F4655">
        <w:rPr>
          <w:rFonts w:ascii="Arial" w:hAnsi="Arial" w:cs="Arial"/>
          <w:sz w:val="22"/>
          <w:szCs w:val="22"/>
        </w:rPr>
        <w:t>,</w:t>
      </w:r>
      <w:r>
        <w:rPr>
          <w:rFonts w:ascii="Arial" w:hAnsi="Arial" w:cs="Arial"/>
          <w:sz w:val="22"/>
          <w:szCs w:val="22"/>
        </w:rPr>
        <w:t xml:space="preserve"> 2018) then it could be argued that this might be a good use of this time.</w:t>
      </w:r>
    </w:p>
    <w:p w14:paraId="6F67D5EF" w14:textId="77777777" w:rsidR="007F596B" w:rsidRDefault="007F596B" w:rsidP="007F596B">
      <w:pPr>
        <w:spacing w:line="480" w:lineRule="auto"/>
        <w:rPr>
          <w:rFonts w:ascii="Arial" w:hAnsi="Arial" w:cs="Arial"/>
          <w:sz w:val="22"/>
          <w:szCs w:val="22"/>
        </w:rPr>
      </w:pPr>
    </w:p>
    <w:p w14:paraId="7D873745" w14:textId="20431C0F" w:rsidR="007F596B" w:rsidRDefault="006B6205" w:rsidP="007F596B">
      <w:pPr>
        <w:pStyle w:val="Heading2"/>
        <w:rPr>
          <w:rFonts w:ascii="Arial" w:hAnsi="Arial" w:cs="Arial"/>
          <w:b w:val="0"/>
          <w:color w:val="000000" w:themeColor="text1"/>
          <w:sz w:val="22"/>
          <w:szCs w:val="22"/>
        </w:rPr>
      </w:pPr>
      <w:bookmarkStart w:id="491" w:name="_Toc46770874"/>
      <w:bookmarkStart w:id="492" w:name="_Toc79414285"/>
      <w:r>
        <w:rPr>
          <w:rFonts w:ascii="Arial" w:hAnsi="Arial" w:cs="Arial"/>
          <w:color w:val="000000" w:themeColor="text1"/>
          <w:sz w:val="22"/>
          <w:szCs w:val="22"/>
        </w:rPr>
        <w:lastRenderedPageBreak/>
        <w:t>6.</w:t>
      </w:r>
      <w:r w:rsidR="00633677">
        <w:rPr>
          <w:rFonts w:ascii="Arial" w:hAnsi="Arial" w:cs="Arial"/>
          <w:color w:val="000000" w:themeColor="text1"/>
          <w:sz w:val="22"/>
          <w:szCs w:val="22"/>
        </w:rPr>
        <w:t>13</w:t>
      </w:r>
      <w:r w:rsidR="007F596B" w:rsidRPr="00056E86">
        <w:rPr>
          <w:rFonts w:ascii="Arial" w:hAnsi="Arial" w:cs="Arial"/>
          <w:color w:val="000000" w:themeColor="text1"/>
          <w:sz w:val="22"/>
          <w:szCs w:val="22"/>
        </w:rPr>
        <w:t xml:space="preserve"> </w:t>
      </w:r>
      <w:r w:rsidR="006362CB">
        <w:rPr>
          <w:rFonts w:ascii="Arial" w:hAnsi="Arial" w:cs="Arial"/>
          <w:color w:val="000000" w:themeColor="text1"/>
          <w:sz w:val="22"/>
          <w:szCs w:val="22"/>
        </w:rPr>
        <w:t>WIDER IMPLICATIONS</w:t>
      </w:r>
      <w:bookmarkEnd w:id="491"/>
      <w:bookmarkEnd w:id="492"/>
    </w:p>
    <w:p w14:paraId="47603F3D" w14:textId="77777777" w:rsidR="007F596B" w:rsidRPr="00056E86" w:rsidRDefault="007F596B" w:rsidP="007F596B"/>
    <w:p w14:paraId="5266D3A9" w14:textId="4261E1BF" w:rsidR="007F596B" w:rsidRDefault="007F596B" w:rsidP="007F596B">
      <w:pPr>
        <w:spacing w:line="480" w:lineRule="auto"/>
        <w:rPr>
          <w:rFonts w:ascii="Arial" w:hAnsi="Arial" w:cs="Arial"/>
          <w:sz w:val="22"/>
          <w:szCs w:val="22"/>
        </w:rPr>
      </w:pPr>
      <w:r>
        <w:rPr>
          <w:rFonts w:ascii="Arial" w:hAnsi="Arial" w:cs="Arial"/>
          <w:sz w:val="22"/>
          <w:szCs w:val="22"/>
        </w:rPr>
        <w:t xml:space="preserve">The IAPT programme currently sees approximately 900,000 patients every year and the programme </w:t>
      </w:r>
      <w:r w:rsidR="00CF44D1">
        <w:rPr>
          <w:rFonts w:ascii="Arial" w:hAnsi="Arial" w:cs="Arial"/>
          <w:sz w:val="22"/>
          <w:szCs w:val="22"/>
        </w:rPr>
        <w:t>has a</w:t>
      </w:r>
      <w:r>
        <w:rPr>
          <w:rFonts w:ascii="Arial" w:hAnsi="Arial" w:cs="Arial"/>
          <w:sz w:val="22"/>
          <w:szCs w:val="22"/>
        </w:rPr>
        <w:t xml:space="preserve"> target</w:t>
      </w:r>
      <w:r w:rsidR="00CF44D1">
        <w:rPr>
          <w:rFonts w:ascii="Arial" w:hAnsi="Arial" w:cs="Arial"/>
          <w:sz w:val="22"/>
          <w:szCs w:val="22"/>
        </w:rPr>
        <w:t xml:space="preserve"> to increase provision of treatment to I.5 million</w:t>
      </w:r>
      <w:r>
        <w:rPr>
          <w:rFonts w:ascii="Arial" w:hAnsi="Arial" w:cs="Arial"/>
          <w:sz w:val="22"/>
          <w:szCs w:val="22"/>
        </w:rPr>
        <w:t xml:space="preserve"> </w:t>
      </w:r>
      <w:r w:rsidR="00CF44D1">
        <w:rPr>
          <w:rFonts w:ascii="Arial" w:hAnsi="Arial" w:cs="Arial"/>
          <w:sz w:val="22"/>
          <w:szCs w:val="22"/>
        </w:rPr>
        <w:t>in</w:t>
      </w:r>
      <w:r>
        <w:rPr>
          <w:rFonts w:ascii="Arial" w:hAnsi="Arial" w:cs="Arial"/>
          <w:sz w:val="22"/>
          <w:szCs w:val="22"/>
        </w:rPr>
        <w:t xml:space="preserve"> the year 2020-2021 (National Collaborating Centre for Mental Health, 2019). The programme was established to widen access to evidence-based psychological therapies and systemically improve outcomes (Layard and Clark 2014). Whilst the programme has been highly successful</w:t>
      </w:r>
      <w:r w:rsidR="008F3D4F">
        <w:rPr>
          <w:rFonts w:ascii="Arial" w:hAnsi="Arial" w:cs="Arial"/>
          <w:sz w:val="22"/>
          <w:szCs w:val="22"/>
        </w:rPr>
        <w:t xml:space="preserve">, </w:t>
      </w:r>
      <w:r>
        <w:rPr>
          <w:rFonts w:ascii="Arial" w:hAnsi="Arial" w:cs="Arial"/>
          <w:sz w:val="22"/>
          <w:szCs w:val="22"/>
        </w:rPr>
        <w:t xml:space="preserve">this thesis has argued that </w:t>
      </w:r>
      <w:r w:rsidR="00CF149A">
        <w:rPr>
          <w:rFonts w:ascii="Arial" w:hAnsi="Arial" w:cs="Arial"/>
          <w:sz w:val="22"/>
          <w:szCs w:val="22"/>
        </w:rPr>
        <w:t xml:space="preserve">the </w:t>
      </w:r>
      <w:r>
        <w:rPr>
          <w:rFonts w:ascii="Arial" w:hAnsi="Arial" w:cs="Arial"/>
          <w:sz w:val="22"/>
          <w:szCs w:val="22"/>
        </w:rPr>
        <w:t xml:space="preserve">IAPT </w:t>
      </w:r>
      <w:r w:rsidR="00CF149A">
        <w:rPr>
          <w:rFonts w:ascii="Arial" w:hAnsi="Arial" w:cs="Arial"/>
          <w:sz w:val="22"/>
          <w:szCs w:val="22"/>
        </w:rPr>
        <w:t xml:space="preserve">programme </w:t>
      </w:r>
      <w:r>
        <w:rPr>
          <w:rFonts w:ascii="Arial" w:hAnsi="Arial" w:cs="Arial"/>
          <w:sz w:val="22"/>
          <w:szCs w:val="22"/>
        </w:rPr>
        <w:t>should not rest on its laurels. If the</w:t>
      </w:r>
      <w:r w:rsidR="000A3C3C">
        <w:rPr>
          <w:rFonts w:ascii="Arial" w:hAnsi="Arial" w:cs="Arial"/>
          <w:sz w:val="22"/>
          <w:szCs w:val="22"/>
        </w:rPr>
        <w:t xml:space="preserve"> IAPT</w:t>
      </w:r>
      <w:r>
        <w:rPr>
          <w:rFonts w:ascii="Arial" w:hAnsi="Arial" w:cs="Arial"/>
          <w:sz w:val="22"/>
          <w:szCs w:val="22"/>
        </w:rPr>
        <w:t xml:space="preserve"> programme is going to continue to improve then it will be necessary to develop new ways of supporting therapists to deliver CBT both competently and with adherence to the evidence base.</w:t>
      </w:r>
    </w:p>
    <w:p w14:paraId="4DD2E5B1" w14:textId="77777777" w:rsidR="007F596B" w:rsidRDefault="007F596B" w:rsidP="007F596B">
      <w:pPr>
        <w:spacing w:line="480" w:lineRule="auto"/>
        <w:rPr>
          <w:rFonts w:ascii="Arial" w:hAnsi="Arial" w:cs="Arial"/>
          <w:sz w:val="22"/>
          <w:szCs w:val="22"/>
        </w:rPr>
      </w:pPr>
    </w:p>
    <w:p w14:paraId="2EC29556" w14:textId="22190361" w:rsidR="007F596B" w:rsidRDefault="006B6205" w:rsidP="007F596B">
      <w:pPr>
        <w:pStyle w:val="Heading3"/>
        <w:rPr>
          <w:rFonts w:cs="Arial"/>
          <w:b w:val="0"/>
          <w:color w:val="000000" w:themeColor="text1"/>
          <w:szCs w:val="22"/>
        </w:rPr>
      </w:pPr>
      <w:bookmarkStart w:id="493" w:name="_Toc46770875"/>
      <w:bookmarkStart w:id="494" w:name="_Toc79414286"/>
      <w:r>
        <w:rPr>
          <w:rFonts w:cs="Arial"/>
          <w:color w:val="000000" w:themeColor="text1"/>
          <w:szCs w:val="22"/>
        </w:rPr>
        <w:t>6.</w:t>
      </w:r>
      <w:r w:rsidR="00633677">
        <w:rPr>
          <w:rFonts w:cs="Arial"/>
          <w:color w:val="000000" w:themeColor="text1"/>
          <w:szCs w:val="22"/>
        </w:rPr>
        <w:t>13</w:t>
      </w:r>
      <w:r>
        <w:rPr>
          <w:rFonts w:cs="Arial"/>
          <w:color w:val="000000" w:themeColor="text1"/>
          <w:szCs w:val="22"/>
        </w:rPr>
        <w:t>.1</w:t>
      </w:r>
      <w:r w:rsidR="007F596B" w:rsidRPr="00111522">
        <w:rPr>
          <w:rFonts w:cs="Arial"/>
          <w:color w:val="000000" w:themeColor="text1"/>
          <w:szCs w:val="22"/>
        </w:rPr>
        <w:t xml:space="preserve"> Policy</w:t>
      </w:r>
      <w:bookmarkEnd w:id="493"/>
      <w:bookmarkEnd w:id="494"/>
    </w:p>
    <w:p w14:paraId="79E7DC81" w14:textId="77777777" w:rsidR="007F596B" w:rsidRPr="00111522" w:rsidRDefault="007F596B" w:rsidP="007F596B"/>
    <w:p w14:paraId="4F034004" w14:textId="614CC9AA" w:rsidR="007F596B" w:rsidRDefault="007F596B" w:rsidP="007F596B">
      <w:pPr>
        <w:spacing w:line="480" w:lineRule="auto"/>
        <w:rPr>
          <w:rFonts w:ascii="Arial" w:hAnsi="Arial" w:cs="Arial"/>
          <w:sz w:val="22"/>
          <w:szCs w:val="22"/>
        </w:rPr>
      </w:pPr>
      <w:r>
        <w:rPr>
          <w:rFonts w:ascii="Arial" w:hAnsi="Arial" w:cs="Arial"/>
          <w:sz w:val="22"/>
          <w:szCs w:val="22"/>
        </w:rPr>
        <w:t>NHS England’s Long-Term Plan published in 2019 (NHS England</w:t>
      </w:r>
      <w:r w:rsidR="008D0A5A">
        <w:rPr>
          <w:rFonts w:ascii="Arial" w:hAnsi="Arial" w:cs="Arial"/>
          <w:sz w:val="22"/>
          <w:szCs w:val="22"/>
        </w:rPr>
        <w:t>,</w:t>
      </w:r>
      <w:r>
        <w:rPr>
          <w:rFonts w:ascii="Arial" w:hAnsi="Arial" w:cs="Arial"/>
          <w:sz w:val="22"/>
          <w:szCs w:val="22"/>
        </w:rPr>
        <w:t xml:space="preserve"> 2019) sets out a 10-year plan for builds on the NHS Five Year Forward View. The plan places a significant focus on increasing the use of digitally</w:t>
      </w:r>
      <w:r w:rsidR="009B77A7">
        <w:rPr>
          <w:rFonts w:ascii="Arial" w:hAnsi="Arial" w:cs="Arial"/>
          <w:sz w:val="22"/>
          <w:szCs w:val="22"/>
        </w:rPr>
        <w:t>-</w:t>
      </w:r>
      <w:r>
        <w:rPr>
          <w:rFonts w:ascii="Arial" w:hAnsi="Arial" w:cs="Arial"/>
          <w:sz w:val="22"/>
          <w:szCs w:val="22"/>
        </w:rPr>
        <w:t xml:space="preserve">enabled care throughout mental health, including improved </w:t>
      </w:r>
      <w:r w:rsidR="009B77A7">
        <w:rPr>
          <w:rFonts w:ascii="Arial" w:hAnsi="Arial" w:cs="Arial"/>
          <w:sz w:val="22"/>
          <w:szCs w:val="22"/>
        </w:rPr>
        <w:t xml:space="preserve">use </w:t>
      </w:r>
      <w:r>
        <w:rPr>
          <w:rFonts w:ascii="Arial" w:hAnsi="Arial" w:cs="Arial"/>
          <w:sz w:val="22"/>
          <w:szCs w:val="22"/>
        </w:rPr>
        <w:t>of centralised data and patients</w:t>
      </w:r>
      <w:r w:rsidR="009B77A7">
        <w:rPr>
          <w:rFonts w:ascii="Arial" w:hAnsi="Arial" w:cs="Arial"/>
          <w:sz w:val="22"/>
          <w:szCs w:val="22"/>
        </w:rPr>
        <w:t>’</w:t>
      </w:r>
      <w:r>
        <w:rPr>
          <w:rFonts w:ascii="Arial" w:hAnsi="Arial" w:cs="Arial"/>
          <w:sz w:val="22"/>
          <w:szCs w:val="22"/>
        </w:rPr>
        <w:t xml:space="preserve"> records for research and development, an NHS app for use on smart phones so that patients can access information and advice more readily and the use of digital products to augment and deliver interventions in mental health. </w:t>
      </w:r>
    </w:p>
    <w:p w14:paraId="4ABBBCBC" w14:textId="274FA47A" w:rsidR="007F596B" w:rsidRDefault="007F596B" w:rsidP="007F596B">
      <w:pPr>
        <w:spacing w:line="480" w:lineRule="auto"/>
        <w:rPr>
          <w:rFonts w:ascii="Arial" w:hAnsi="Arial" w:cs="Arial"/>
          <w:sz w:val="22"/>
          <w:szCs w:val="22"/>
        </w:rPr>
      </w:pPr>
      <w:r>
        <w:rPr>
          <w:rFonts w:ascii="Arial" w:hAnsi="Arial" w:cs="Arial"/>
          <w:sz w:val="22"/>
          <w:szCs w:val="22"/>
        </w:rPr>
        <w:t>The implications of th</w:t>
      </w:r>
      <w:r w:rsidR="00CF149A">
        <w:rPr>
          <w:rFonts w:ascii="Arial" w:hAnsi="Arial" w:cs="Arial"/>
          <w:sz w:val="22"/>
          <w:szCs w:val="22"/>
        </w:rPr>
        <w:t>e</w:t>
      </w:r>
      <w:r>
        <w:rPr>
          <w:rFonts w:ascii="Arial" w:hAnsi="Arial" w:cs="Arial"/>
          <w:sz w:val="22"/>
          <w:szCs w:val="22"/>
        </w:rPr>
        <w:t xml:space="preserve"> research</w:t>
      </w:r>
      <w:r w:rsidR="00CF149A">
        <w:rPr>
          <w:rFonts w:ascii="Arial" w:hAnsi="Arial" w:cs="Arial"/>
          <w:sz w:val="22"/>
          <w:szCs w:val="22"/>
        </w:rPr>
        <w:t xml:space="preserve"> reported in this thesis</w:t>
      </w:r>
      <w:r>
        <w:rPr>
          <w:rFonts w:ascii="Arial" w:hAnsi="Arial" w:cs="Arial"/>
          <w:sz w:val="22"/>
          <w:szCs w:val="22"/>
        </w:rPr>
        <w:t xml:space="preserve"> on health care policy are that the findings support the NHS Long-Term Plan for Mental Health </w:t>
      </w:r>
      <w:r w:rsidR="00B66FF7">
        <w:rPr>
          <w:rFonts w:ascii="Arial" w:hAnsi="Arial" w:cs="Arial"/>
          <w:sz w:val="22"/>
          <w:szCs w:val="22"/>
        </w:rPr>
        <w:t>to</w:t>
      </w:r>
      <w:r>
        <w:rPr>
          <w:rFonts w:ascii="Arial" w:hAnsi="Arial" w:cs="Arial"/>
          <w:sz w:val="22"/>
          <w:szCs w:val="22"/>
        </w:rPr>
        <w:t xml:space="preserve"> focus on patient recovery. </w:t>
      </w:r>
      <w:r w:rsidR="00B66FF7" w:rsidRPr="001F5176">
        <w:rPr>
          <w:rFonts w:ascii="Arial" w:hAnsi="Arial" w:cs="Arial"/>
          <w:sz w:val="22"/>
          <w:szCs w:val="22"/>
        </w:rPr>
        <w:t xml:space="preserve">This thesis has argued that </w:t>
      </w:r>
      <w:r w:rsidR="00C07FBD" w:rsidRPr="001F5176">
        <w:rPr>
          <w:rFonts w:ascii="Arial" w:hAnsi="Arial" w:cs="Arial"/>
          <w:sz w:val="22"/>
          <w:szCs w:val="22"/>
        </w:rPr>
        <w:t xml:space="preserve">the IECBT method </w:t>
      </w:r>
      <w:r w:rsidR="00427AE7" w:rsidRPr="001F5176">
        <w:rPr>
          <w:rFonts w:ascii="Arial" w:hAnsi="Arial" w:cs="Arial"/>
          <w:sz w:val="22"/>
          <w:szCs w:val="22"/>
        </w:rPr>
        <w:t>affords researchers with</w:t>
      </w:r>
      <w:r w:rsidR="000D0D9D" w:rsidRPr="001F5176">
        <w:rPr>
          <w:rFonts w:ascii="Arial" w:hAnsi="Arial" w:cs="Arial"/>
          <w:sz w:val="22"/>
          <w:szCs w:val="22"/>
        </w:rPr>
        <w:t xml:space="preserve"> </w:t>
      </w:r>
      <w:r w:rsidR="00DA5F31" w:rsidRPr="001F5176">
        <w:rPr>
          <w:rFonts w:ascii="Arial" w:hAnsi="Arial" w:cs="Arial"/>
          <w:sz w:val="22"/>
          <w:szCs w:val="22"/>
        </w:rPr>
        <w:t xml:space="preserve">a new </w:t>
      </w:r>
      <w:r w:rsidR="000D0D9D" w:rsidRPr="001F5176">
        <w:rPr>
          <w:rFonts w:ascii="Arial" w:hAnsi="Arial" w:cs="Arial"/>
          <w:sz w:val="22"/>
          <w:szCs w:val="22"/>
        </w:rPr>
        <w:t xml:space="preserve">way </w:t>
      </w:r>
      <w:r w:rsidR="00C07FBD" w:rsidRPr="001F5176">
        <w:rPr>
          <w:rFonts w:ascii="Arial" w:hAnsi="Arial" w:cs="Arial"/>
          <w:sz w:val="22"/>
          <w:szCs w:val="22"/>
        </w:rPr>
        <w:t xml:space="preserve">in </w:t>
      </w:r>
      <w:r w:rsidR="00427AE7" w:rsidRPr="001F5176">
        <w:rPr>
          <w:rFonts w:ascii="Arial" w:hAnsi="Arial" w:cs="Arial"/>
          <w:sz w:val="22"/>
          <w:szCs w:val="22"/>
        </w:rPr>
        <w:t xml:space="preserve">which to conduct </w:t>
      </w:r>
      <w:r w:rsidR="00C07FBD" w:rsidRPr="001F5176">
        <w:rPr>
          <w:rFonts w:ascii="Arial" w:hAnsi="Arial" w:cs="Arial"/>
          <w:sz w:val="22"/>
          <w:szCs w:val="22"/>
        </w:rPr>
        <w:t>psychological therapy research.</w:t>
      </w:r>
      <w:r w:rsidR="00DA5F31">
        <w:rPr>
          <w:rFonts w:ascii="Arial" w:hAnsi="Arial" w:cs="Arial"/>
          <w:sz w:val="22"/>
          <w:szCs w:val="22"/>
        </w:rPr>
        <w:t xml:space="preserve"> </w:t>
      </w:r>
      <w:r>
        <w:rPr>
          <w:rFonts w:ascii="Arial" w:hAnsi="Arial" w:cs="Arial"/>
          <w:sz w:val="22"/>
          <w:szCs w:val="22"/>
        </w:rPr>
        <w:t>Given the NHS are investing in digital innovations to support service delivery</w:t>
      </w:r>
      <w:r w:rsidR="002E384B">
        <w:rPr>
          <w:rFonts w:ascii="Arial" w:hAnsi="Arial" w:cs="Arial"/>
          <w:sz w:val="22"/>
          <w:szCs w:val="22"/>
        </w:rPr>
        <w:t>,</w:t>
      </w:r>
      <w:r w:rsidR="00C07FBD">
        <w:rPr>
          <w:rFonts w:ascii="Arial" w:hAnsi="Arial" w:cs="Arial"/>
          <w:sz w:val="22"/>
          <w:szCs w:val="22"/>
        </w:rPr>
        <w:t xml:space="preserve"> and there is a significant emphasis on learning what works for whom</w:t>
      </w:r>
      <w:r w:rsidR="002E384B">
        <w:rPr>
          <w:rFonts w:ascii="Arial" w:hAnsi="Arial" w:cs="Arial"/>
          <w:sz w:val="22"/>
          <w:szCs w:val="22"/>
        </w:rPr>
        <w:t>,</w:t>
      </w:r>
      <w:r w:rsidR="00C07FBD">
        <w:rPr>
          <w:rFonts w:ascii="Arial" w:hAnsi="Arial" w:cs="Arial"/>
          <w:sz w:val="22"/>
          <w:szCs w:val="22"/>
        </w:rPr>
        <w:t xml:space="preserve"> then</w:t>
      </w:r>
      <w:r>
        <w:rPr>
          <w:rFonts w:ascii="Arial" w:hAnsi="Arial" w:cs="Arial"/>
          <w:sz w:val="22"/>
          <w:szCs w:val="22"/>
        </w:rPr>
        <w:t xml:space="preserve"> t</w:t>
      </w:r>
      <w:r w:rsidR="002E384B">
        <w:rPr>
          <w:rFonts w:ascii="Arial" w:hAnsi="Arial" w:cs="Arial"/>
          <w:sz w:val="22"/>
          <w:szCs w:val="22"/>
        </w:rPr>
        <w:t>he research contained in this thesis</w:t>
      </w:r>
      <w:r>
        <w:rPr>
          <w:rFonts w:ascii="Arial" w:hAnsi="Arial" w:cs="Arial"/>
          <w:sz w:val="22"/>
          <w:szCs w:val="22"/>
        </w:rPr>
        <w:t xml:space="preserve"> is a timely addition to the literature in this area.</w:t>
      </w:r>
    </w:p>
    <w:p w14:paraId="1F4445A0" w14:textId="77777777" w:rsidR="007F596B" w:rsidRDefault="007F596B" w:rsidP="007F596B">
      <w:pPr>
        <w:spacing w:line="480" w:lineRule="auto"/>
        <w:rPr>
          <w:rFonts w:ascii="Arial" w:hAnsi="Arial" w:cs="Arial"/>
          <w:sz w:val="22"/>
          <w:szCs w:val="22"/>
        </w:rPr>
      </w:pPr>
    </w:p>
    <w:p w14:paraId="3F4F170B" w14:textId="77777777" w:rsidR="00490C6F" w:rsidRDefault="00490C6F">
      <w:pPr>
        <w:rPr>
          <w:rFonts w:ascii="Arial" w:eastAsiaTheme="majorEastAsia" w:hAnsi="Arial" w:cs="Arial"/>
          <w:b/>
          <w:bCs/>
          <w:color w:val="000000" w:themeColor="text1"/>
          <w:sz w:val="22"/>
          <w:szCs w:val="22"/>
        </w:rPr>
      </w:pPr>
      <w:r>
        <w:rPr>
          <w:rFonts w:ascii="Arial" w:hAnsi="Arial" w:cs="Arial"/>
          <w:color w:val="000000" w:themeColor="text1"/>
          <w:sz w:val="22"/>
          <w:szCs w:val="22"/>
        </w:rPr>
        <w:br w:type="page"/>
      </w:r>
    </w:p>
    <w:p w14:paraId="192FCFFD" w14:textId="291C5755" w:rsidR="007F596B" w:rsidRDefault="006B6205" w:rsidP="007F596B">
      <w:pPr>
        <w:pStyle w:val="Heading3"/>
        <w:rPr>
          <w:rFonts w:cs="Arial"/>
          <w:b w:val="0"/>
          <w:color w:val="000000" w:themeColor="text1"/>
          <w:szCs w:val="22"/>
        </w:rPr>
      </w:pPr>
      <w:bookmarkStart w:id="495" w:name="_Toc46770876"/>
      <w:bookmarkStart w:id="496" w:name="_Toc79414287"/>
      <w:r>
        <w:rPr>
          <w:rFonts w:cs="Arial"/>
          <w:color w:val="000000" w:themeColor="text1"/>
          <w:szCs w:val="22"/>
        </w:rPr>
        <w:lastRenderedPageBreak/>
        <w:t>6.</w:t>
      </w:r>
      <w:r w:rsidR="00633677">
        <w:rPr>
          <w:rFonts w:cs="Arial"/>
          <w:color w:val="000000" w:themeColor="text1"/>
          <w:szCs w:val="22"/>
        </w:rPr>
        <w:t>13</w:t>
      </w:r>
      <w:r>
        <w:rPr>
          <w:rFonts w:cs="Arial"/>
          <w:color w:val="000000" w:themeColor="text1"/>
          <w:szCs w:val="22"/>
        </w:rPr>
        <w:t>.2</w:t>
      </w:r>
      <w:r w:rsidR="007F596B" w:rsidRPr="00B004D0">
        <w:rPr>
          <w:rFonts w:cs="Arial"/>
          <w:color w:val="000000" w:themeColor="text1"/>
          <w:szCs w:val="22"/>
        </w:rPr>
        <w:t xml:space="preserve"> Embedding technology in psychological therapy</w:t>
      </w:r>
      <w:bookmarkEnd w:id="495"/>
      <w:bookmarkEnd w:id="496"/>
    </w:p>
    <w:p w14:paraId="5A4ACD9D" w14:textId="77777777" w:rsidR="007F596B" w:rsidRPr="00B004D0" w:rsidRDefault="007F596B" w:rsidP="007F596B"/>
    <w:p w14:paraId="0C9A6E4B" w14:textId="2C68CF21" w:rsidR="00DC2DE7" w:rsidRPr="00C26638" w:rsidRDefault="007F596B" w:rsidP="00C26638">
      <w:pPr>
        <w:spacing w:line="480" w:lineRule="auto"/>
        <w:rPr>
          <w:rFonts w:ascii="Arial" w:hAnsi="Arial" w:cs="Arial"/>
          <w:sz w:val="22"/>
          <w:szCs w:val="22"/>
        </w:rPr>
      </w:pPr>
      <w:r>
        <w:rPr>
          <w:rFonts w:ascii="Arial" w:hAnsi="Arial" w:cs="Arial"/>
          <w:sz w:val="22"/>
          <w:szCs w:val="22"/>
        </w:rPr>
        <w:t>With the emphasis on embedding technology into IAPT as a way of augmenting and delivering cognitive and behavioural therapies one further implication of this research is that IAPT may choose to incorporate the methodology described in this research to monitor and assess therapist performance. This would require all IAPT therapists to deliver treatments using a method similar to IECBT. In this way</w:t>
      </w:r>
      <w:r w:rsidR="009B77A7">
        <w:rPr>
          <w:rFonts w:ascii="Arial" w:hAnsi="Arial" w:cs="Arial"/>
          <w:sz w:val="22"/>
          <w:szCs w:val="22"/>
        </w:rPr>
        <w:t>,</w:t>
      </w:r>
      <w:r>
        <w:rPr>
          <w:rFonts w:ascii="Arial" w:hAnsi="Arial" w:cs="Arial"/>
          <w:sz w:val="22"/>
          <w:szCs w:val="22"/>
        </w:rPr>
        <w:t xml:space="preserve"> it would become possible, at even greater scale, to learn from those therapists who achieve the best outcomes and support average or below</w:t>
      </w:r>
      <w:r w:rsidR="009B77A7">
        <w:rPr>
          <w:rFonts w:ascii="Arial" w:hAnsi="Arial" w:cs="Arial"/>
          <w:sz w:val="22"/>
          <w:szCs w:val="22"/>
        </w:rPr>
        <w:t>-</w:t>
      </w:r>
      <w:r>
        <w:rPr>
          <w:rFonts w:ascii="Arial" w:hAnsi="Arial" w:cs="Arial"/>
          <w:sz w:val="22"/>
          <w:szCs w:val="22"/>
        </w:rPr>
        <w:t xml:space="preserve">average therapists to become better. Some studies (see Lutz, Lambert, Harmon, Tschitsaz, Schurch and Stulz, 2006, Lutz, Bohnke and Kock, 2011, Lutz, Rubel, </w:t>
      </w:r>
      <w:r w:rsidRPr="001F5176">
        <w:rPr>
          <w:rFonts w:ascii="Arial" w:hAnsi="Arial" w:cs="Arial"/>
          <w:sz w:val="22"/>
          <w:szCs w:val="22"/>
        </w:rPr>
        <w:t>Schief</w:t>
      </w:r>
      <w:r w:rsidR="007A3BC4" w:rsidRPr="001F5176">
        <w:rPr>
          <w:rFonts w:ascii="Arial" w:hAnsi="Arial" w:cs="Arial"/>
          <w:sz w:val="22"/>
          <w:szCs w:val="22"/>
        </w:rPr>
        <w:t>e</w:t>
      </w:r>
      <w:r w:rsidRPr="001F5176">
        <w:rPr>
          <w:rFonts w:ascii="Arial" w:hAnsi="Arial" w:cs="Arial"/>
          <w:sz w:val="22"/>
          <w:szCs w:val="22"/>
        </w:rPr>
        <w:t>le,</w:t>
      </w:r>
      <w:r>
        <w:rPr>
          <w:rFonts w:ascii="Arial" w:hAnsi="Arial" w:cs="Arial"/>
          <w:sz w:val="22"/>
          <w:szCs w:val="22"/>
        </w:rPr>
        <w:t xml:space="preserve"> Zimmerman, Bohnke and Wittman, 2015</w:t>
      </w:r>
      <w:r w:rsidR="006166A2">
        <w:rPr>
          <w:rFonts w:ascii="Arial" w:hAnsi="Arial" w:cs="Arial"/>
          <w:sz w:val="22"/>
          <w:szCs w:val="22"/>
        </w:rPr>
        <w:t>, Strauss</w:t>
      </w:r>
      <w:r w:rsidR="00C17DDF">
        <w:rPr>
          <w:rFonts w:ascii="Arial" w:hAnsi="Arial" w:cs="Arial"/>
          <w:sz w:val="22"/>
          <w:szCs w:val="22"/>
        </w:rPr>
        <w:t>, Lutz, Steffanowski, Wittmann, Boehnke,</w:t>
      </w:r>
      <w:r w:rsidR="00F37DC0">
        <w:rPr>
          <w:rFonts w:ascii="Arial" w:hAnsi="Arial" w:cs="Arial"/>
          <w:sz w:val="22"/>
          <w:szCs w:val="22"/>
        </w:rPr>
        <w:t xml:space="preserve"> Rubel et al., 2015</w:t>
      </w:r>
      <w:r>
        <w:rPr>
          <w:rFonts w:ascii="Arial" w:hAnsi="Arial" w:cs="Arial"/>
          <w:sz w:val="22"/>
          <w:szCs w:val="22"/>
        </w:rPr>
        <w:t xml:space="preserve">) are exploring ways in which providing feedback and/or guidance to a therapist </w:t>
      </w:r>
      <w:r w:rsidR="004563FC">
        <w:rPr>
          <w:rFonts w:ascii="Arial" w:hAnsi="Arial" w:cs="Arial"/>
          <w:sz w:val="22"/>
          <w:szCs w:val="22"/>
        </w:rPr>
        <w:t>or a patient</w:t>
      </w:r>
      <w:r w:rsidR="00081025">
        <w:rPr>
          <w:rFonts w:ascii="Arial" w:hAnsi="Arial" w:cs="Arial"/>
          <w:sz w:val="22"/>
          <w:szCs w:val="22"/>
        </w:rPr>
        <w:t xml:space="preserve"> can improve outcomes.</w:t>
      </w:r>
      <w:r w:rsidR="004563FC">
        <w:rPr>
          <w:rFonts w:ascii="Arial" w:hAnsi="Arial" w:cs="Arial"/>
          <w:sz w:val="22"/>
          <w:szCs w:val="22"/>
        </w:rPr>
        <w:t xml:space="preserve"> Examples of </w:t>
      </w:r>
      <w:r w:rsidR="00A0727F">
        <w:rPr>
          <w:rFonts w:ascii="Arial" w:hAnsi="Arial" w:cs="Arial"/>
          <w:sz w:val="22"/>
          <w:szCs w:val="22"/>
        </w:rPr>
        <w:t xml:space="preserve">feedback include </w:t>
      </w:r>
      <w:r w:rsidR="000F1E18">
        <w:rPr>
          <w:rFonts w:ascii="Arial" w:hAnsi="Arial" w:cs="Arial"/>
          <w:sz w:val="22"/>
          <w:szCs w:val="22"/>
        </w:rPr>
        <w:t>using stati</w:t>
      </w:r>
      <w:r w:rsidR="007B6931">
        <w:rPr>
          <w:rFonts w:ascii="Arial" w:hAnsi="Arial" w:cs="Arial"/>
          <w:sz w:val="22"/>
          <w:szCs w:val="22"/>
        </w:rPr>
        <w:t>stical models that reliably predict patient outcome and alert the therapist and patient when the patient is</w:t>
      </w:r>
      <w:r w:rsidR="00FA4612">
        <w:rPr>
          <w:rFonts w:ascii="Arial" w:hAnsi="Arial" w:cs="Arial"/>
          <w:sz w:val="22"/>
          <w:szCs w:val="22"/>
        </w:rPr>
        <w:t xml:space="preserve"> not making progress as predicted (Strauss et al.,2015</w:t>
      </w:r>
      <w:r w:rsidR="00AE1E30">
        <w:rPr>
          <w:rFonts w:ascii="Arial" w:hAnsi="Arial" w:cs="Arial"/>
          <w:sz w:val="22"/>
          <w:szCs w:val="22"/>
        </w:rPr>
        <w:t>, Lutz, Bohnke and Kock, 2011</w:t>
      </w:r>
      <w:r w:rsidR="00FA4612">
        <w:rPr>
          <w:rFonts w:ascii="Arial" w:hAnsi="Arial" w:cs="Arial"/>
          <w:sz w:val="22"/>
          <w:szCs w:val="22"/>
        </w:rPr>
        <w:t>)</w:t>
      </w:r>
      <w:r w:rsidR="005E6CE7">
        <w:rPr>
          <w:rFonts w:ascii="Arial" w:hAnsi="Arial" w:cs="Arial"/>
          <w:sz w:val="22"/>
          <w:szCs w:val="22"/>
        </w:rPr>
        <w:t>.</w:t>
      </w:r>
      <w:r w:rsidR="007B6931">
        <w:rPr>
          <w:rFonts w:ascii="Arial" w:hAnsi="Arial" w:cs="Arial"/>
          <w:sz w:val="22"/>
          <w:szCs w:val="22"/>
        </w:rPr>
        <w:t xml:space="preserve"> </w:t>
      </w:r>
      <w:r>
        <w:rPr>
          <w:rFonts w:ascii="Arial" w:hAnsi="Arial" w:cs="Arial"/>
          <w:sz w:val="22"/>
          <w:szCs w:val="22"/>
        </w:rPr>
        <w:t xml:space="preserve">Where therapy is delivered via a digital method this (either IECBT, guided self-help, virtual reality or video-conference) feedback and guidance </w:t>
      </w:r>
      <w:r w:rsidRPr="00F90E30">
        <w:rPr>
          <w:rFonts w:ascii="Arial" w:hAnsi="Arial" w:cs="Arial"/>
          <w:sz w:val="22"/>
          <w:szCs w:val="22"/>
        </w:rPr>
        <w:t xml:space="preserve">may be delivered in a </w:t>
      </w:r>
      <w:r>
        <w:rPr>
          <w:rFonts w:ascii="Arial" w:hAnsi="Arial" w:cs="Arial"/>
          <w:sz w:val="22"/>
          <w:szCs w:val="22"/>
        </w:rPr>
        <w:t xml:space="preserve">timely </w:t>
      </w:r>
      <w:r w:rsidRPr="00F90E30">
        <w:rPr>
          <w:rFonts w:ascii="Arial" w:hAnsi="Arial" w:cs="Arial"/>
          <w:sz w:val="22"/>
          <w:szCs w:val="22"/>
        </w:rPr>
        <w:t xml:space="preserve">way, whilst the therapist is delivering a treatment session. </w:t>
      </w:r>
      <w:r>
        <w:rPr>
          <w:rFonts w:ascii="Arial" w:hAnsi="Arial" w:cs="Arial"/>
          <w:sz w:val="22"/>
          <w:szCs w:val="22"/>
        </w:rPr>
        <w:t>These</w:t>
      </w:r>
      <w:r w:rsidRPr="00F90E30">
        <w:rPr>
          <w:rFonts w:ascii="Arial" w:hAnsi="Arial" w:cs="Arial"/>
          <w:sz w:val="22"/>
          <w:szCs w:val="22"/>
        </w:rPr>
        <w:t xml:space="preserve"> digitally enabled clinical decision support tools </w:t>
      </w:r>
      <w:r>
        <w:rPr>
          <w:rFonts w:ascii="Arial" w:hAnsi="Arial" w:cs="Arial"/>
          <w:sz w:val="22"/>
          <w:szCs w:val="22"/>
        </w:rPr>
        <w:t xml:space="preserve">can </w:t>
      </w:r>
      <w:r w:rsidRPr="00F90E30">
        <w:rPr>
          <w:rFonts w:ascii="Arial" w:hAnsi="Arial" w:cs="Arial"/>
          <w:sz w:val="22"/>
          <w:szCs w:val="22"/>
        </w:rPr>
        <w:t>provide feedback and guidance on good clinical practice thus enhancing, or even amplifying</w:t>
      </w:r>
      <w:r w:rsidR="009B77A7">
        <w:rPr>
          <w:rFonts w:ascii="Arial" w:hAnsi="Arial" w:cs="Arial"/>
          <w:sz w:val="22"/>
          <w:szCs w:val="22"/>
        </w:rPr>
        <w:t>,</w:t>
      </w:r>
      <w:r w:rsidRPr="00F90E30">
        <w:rPr>
          <w:rFonts w:ascii="Arial" w:hAnsi="Arial" w:cs="Arial"/>
          <w:sz w:val="22"/>
          <w:szCs w:val="22"/>
        </w:rPr>
        <w:t xml:space="preserve"> the effect of evidence-based psychological therapies</w:t>
      </w:r>
      <w:r>
        <w:rPr>
          <w:rFonts w:ascii="Arial" w:hAnsi="Arial" w:cs="Arial"/>
          <w:sz w:val="22"/>
          <w:szCs w:val="22"/>
        </w:rPr>
        <w:t xml:space="preserve"> (Lutz, Bohnke and Kock, 2011)</w:t>
      </w:r>
      <w:r w:rsidRPr="00F90E30">
        <w:rPr>
          <w:rFonts w:ascii="Arial" w:hAnsi="Arial" w:cs="Arial"/>
          <w:sz w:val="22"/>
          <w:szCs w:val="22"/>
        </w:rPr>
        <w:t xml:space="preserve">.  </w:t>
      </w:r>
      <w:r w:rsidR="00C26638">
        <w:rPr>
          <w:rFonts w:ascii="Arial" w:hAnsi="Arial" w:cs="Arial"/>
          <w:sz w:val="22"/>
          <w:szCs w:val="22"/>
        </w:rPr>
        <w:br/>
      </w:r>
    </w:p>
    <w:p w14:paraId="3A8A32F3" w14:textId="43150C77" w:rsidR="007F596B" w:rsidRPr="006B6205" w:rsidRDefault="006B6205" w:rsidP="007F596B">
      <w:pPr>
        <w:pStyle w:val="Heading2"/>
        <w:rPr>
          <w:rFonts w:ascii="Arial" w:hAnsi="Arial" w:cs="Arial"/>
          <w:b w:val="0"/>
          <w:color w:val="000000" w:themeColor="text1"/>
          <w:sz w:val="22"/>
          <w:szCs w:val="22"/>
        </w:rPr>
      </w:pPr>
      <w:bookmarkStart w:id="497" w:name="_Toc46770877"/>
      <w:bookmarkStart w:id="498" w:name="_Toc79414288"/>
      <w:r w:rsidRPr="006B6205">
        <w:rPr>
          <w:rFonts w:ascii="Arial" w:hAnsi="Arial" w:cs="Arial"/>
          <w:color w:val="000000" w:themeColor="text1"/>
          <w:sz w:val="22"/>
          <w:szCs w:val="22"/>
        </w:rPr>
        <w:t>6.</w:t>
      </w:r>
      <w:r w:rsidR="009A07EB">
        <w:rPr>
          <w:rFonts w:ascii="Arial" w:hAnsi="Arial" w:cs="Arial"/>
          <w:color w:val="000000" w:themeColor="text1"/>
          <w:sz w:val="22"/>
          <w:szCs w:val="22"/>
        </w:rPr>
        <w:t>1</w:t>
      </w:r>
      <w:r w:rsidR="00633677">
        <w:rPr>
          <w:rFonts w:ascii="Arial" w:hAnsi="Arial" w:cs="Arial"/>
          <w:color w:val="000000" w:themeColor="text1"/>
          <w:sz w:val="22"/>
          <w:szCs w:val="22"/>
        </w:rPr>
        <w:t>4</w:t>
      </w:r>
      <w:r w:rsidRPr="006B6205">
        <w:rPr>
          <w:rFonts w:ascii="Arial" w:hAnsi="Arial" w:cs="Arial"/>
          <w:color w:val="000000" w:themeColor="text1"/>
          <w:sz w:val="22"/>
          <w:szCs w:val="22"/>
        </w:rPr>
        <w:t xml:space="preserve"> </w:t>
      </w:r>
      <w:r w:rsidR="007F596B" w:rsidRPr="006B6205">
        <w:rPr>
          <w:rFonts w:ascii="Arial" w:hAnsi="Arial" w:cs="Arial"/>
          <w:color w:val="000000" w:themeColor="text1"/>
          <w:sz w:val="22"/>
          <w:szCs w:val="22"/>
        </w:rPr>
        <w:t>CONCLUSION</w:t>
      </w:r>
      <w:bookmarkEnd w:id="497"/>
      <w:bookmarkEnd w:id="498"/>
    </w:p>
    <w:p w14:paraId="62D15F94" w14:textId="77777777" w:rsidR="007F596B" w:rsidRPr="00337C1A" w:rsidRDefault="007F596B" w:rsidP="007F596B"/>
    <w:p w14:paraId="154C9FAA" w14:textId="6E199933" w:rsidR="007F596B" w:rsidRDefault="007F596B" w:rsidP="007F596B">
      <w:pPr>
        <w:spacing w:line="480" w:lineRule="auto"/>
        <w:rPr>
          <w:rFonts w:ascii="Arial" w:hAnsi="Arial" w:cs="Arial"/>
          <w:sz w:val="22"/>
          <w:szCs w:val="22"/>
        </w:rPr>
      </w:pPr>
      <w:r>
        <w:rPr>
          <w:rFonts w:ascii="Arial" w:hAnsi="Arial" w:cs="Arial"/>
          <w:sz w:val="22"/>
          <w:szCs w:val="22"/>
        </w:rPr>
        <w:t>This chapter has</w:t>
      </w:r>
      <w:r w:rsidR="006B6205">
        <w:rPr>
          <w:rFonts w:ascii="Arial" w:hAnsi="Arial" w:cs="Arial"/>
          <w:sz w:val="22"/>
          <w:szCs w:val="22"/>
        </w:rPr>
        <w:t xml:space="preserve"> </w:t>
      </w:r>
      <w:r>
        <w:rPr>
          <w:rFonts w:ascii="Arial" w:hAnsi="Arial" w:cs="Arial"/>
          <w:sz w:val="22"/>
          <w:szCs w:val="22"/>
        </w:rPr>
        <w:t xml:space="preserve">discussed </w:t>
      </w:r>
      <w:r w:rsidR="006B6205">
        <w:rPr>
          <w:rFonts w:ascii="Arial" w:hAnsi="Arial" w:cs="Arial"/>
          <w:sz w:val="22"/>
          <w:szCs w:val="22"/>
        </w:rPr>
        <w:t>the</w:t>
      </w:r>
      <w:r w:rsidR="006B6205" w:rsidRPr="00F90E30">
        <w:rPr>
          <w:rFonts w:ascii="Arial" w:hAnsi="Arial" w:cs="Arial"/>
          <w:sz w:val="22"/>
          <w:szCs w:val="22"/>
        </w:rPr>
        <w:t xml:space="preserve"> findings </w:t>
      </w:r>
      <w:r w:rsidR="006B6205">
        <w:rPr>
          <w:rFonts w:ascii="Arial" w:hAnsi="Arial" w:cs="Arial"/>
          <w:sz w:val="22"/>
          <w:szCs w:val="22"/>
        </w:rPr>
        <w:t xml:space="preserve">from this research with an emphasis on </w:t>
      </w:r>
      <w:r w:rsidR="0011208C">
        <w:rPr>
          <w:rFonts w:ascii="Arial" w:hAnsi="Arial" w:cs="Arial"/>
          <w:sz w:val="22"/>
          <w:szCs w:val="22"/>
        </w:rPr>
        <w:t>how this research has made a significant</w:t>
      </w:r>
      <w:r w:rsidR="006B6205">
        <w:rPr>
          <w:rFonts w:ascii="Arial" w:hAnsi="Arial" w:cs="Arial"/>
          <w:sz w:val="22"/>
          <w:szCs w:val="22"/>
        </w:rPr>
        <w:t xml:space="preserve"> contribution to</w:t>
      </w:r>
      <w:r w:rsidR="006B6205" w:rsidRPr="00F90E30">
        <w:rPr>
          <w:rFonts w:ascii="Arial" w:hAnsi="Arial" w:cs="Arial"/>
          <w:sz w:val="22"/>
          <w:szCs w:val="22"/>
        </w:rPr>
        <w:t xml:space="preserve"> </w:t>
      </w:r>
      <w:r w:rsidR="006B6205">
        <w:rPr>
          <w:rFonts w:ascii="Arial" w:hAnsi="Arial" w:cs="Arial"/>
          <w:sz w:val="22"/>
          <w:szCs w:val="22"/>
        </w:rPr>
        <w:t xml:space="preserve">knowledge regarding the therapist variables that relate to clinical outcome in </w:t>
      </w:r>
      <w:r w:rsidR="009E41F1">
        <w:rPr>
          <w:rFonts w:ascii="Arial" w:hAnsi="Arial" w:cs="Arial"/>
          <w:sz w:val="22"/>
          <w:szCs w:val="22"/>
        </w:rPr>
        <w:t xml:space="preserve">the provision of </w:t>
      </w:r>
      <w:r w:rsidR="006B6205">
        <w:rPr>
          <w:rFonts w:ascii="Arial" w:hAnsi="Arial" w:cs="Arial"/>
          <w:sz w:val="22"/>
          <w:szCs w:val="22"/>
        </w:rPr>
        <w:t>High Intensity cognitive behavioural therapy</w:t>
      </w:r>
      <w:r w:rsidR="009E41F1">
        <w:rPr>
          <w:rFonts w:ascii="Arial" w:hAnsi="Arial" w:cs="Arial"/>
          <w:sz w:val="22"/>
          <w:szCs w:val="22"/>
        </w:rPr>
        <w:t xml:space="preserve"> in IAPT. It has been argued that</w:t>
      </w:r>
      <w:r w:rsidR="006B6205" w:rsidRPr="00F90E30">
        <w:rPr>
          <w:rFonts w:ascii="Arial" w:hAnsi="Arial" w:cs="Arial"/>
          <w:sz w:val="22"/>
          <w:szCs w:val="22"/>
        </w:rPr>
        <w:t xml:space="preserve"> </w:t>
      </w:r>
      <w:r w:rsidR="009E41F1">
        <w:rPr>
          <w:rFonts w:ascii="Arial" w:hAnsi="Arial" w:cs="Arial"/>
          <w:sz w:val="22"/>
          <w:szCs w:val="22"/>
        </w:rPr>
        <w:t>t</w:t>
      </w:r>
      <w:r w:rsidR="006B6205" w:rsidRPr="00F90E30">
        <w:rPr>
          <w:rFonts w:ascii="Arial" w:hAnsi="Arial" w:cs="Arial"/>
          <w:sz w:val="22"/>
          <w:szCs w:val="22"/>
        </w:rPr>
        <w:t xml:space="preserve">he delivery of </w:t>
      </w:r>
      <w:r w:rsidR="009E41F1">
        <w:rPr>
          <w:rFonts w:ascii="Arial" w:hAnsi="Arial" w:cs="Arial"/>
          <w:sz w:val="22"/>
          <w:szCs w:val="22"/>
        </w:rPr>
        <w:t>CBT</w:t>
      </w:r>
      <w:r w:rsidR="006B6205">
        <w:rPr>
          <w:rFonts w:ascii="Arial" w:hAnsi="Arial" w:cs="Arial"/>
          <w:sz w:val="22"/>
          <w:szCs w:val="22"/>
        </w:rPr>
        <w:t xml:space="preserve"> via</w:t>
      </w:r>
      <w:r w:rsidR="006B6205" w:rsidRPr="00F90E30">
        <w:rPr>
          <w:rFonts w:ascii="Arial" w:hAnsi="Arial" w:cs="Arial"/>
          <w:sz w:val="22"/>
          <w:szCs w:val="22"/>
        </w:rPr>
        <w:t xml:space="preserve"> </w:t>
      </w:r>
      <w:r w:rsidR="006B6205">
        <w:rPr>
          <w:rFonts w:ascii="Arial" w:hAnsi="Arial" w:cs="Arial"/>
          <w:sz w:val="22"/>
          <w:szCs w:val="22"/>
        </w:rPr>
        <w:t>Internet</w:t>
      </w:r>
      <w:r w:rsidR="009B77A7">
        <w:rPr>
          <w:rFonts w:ascii="Arial" w:hAnsi="Arial" w:cs="Arial"/>
          <w:sz w:val="22"/>
          <w:szCs w:val="22"/>
        </w:rPr>
        <w:t xml:space="preserve"> </w:t>
      </w:r>
      <w:r w:rsidR="006B6205">
        <w:rPr>
          <w:rFonts w:ascii="Arial" w:hAnsi="Arial" w:cs="Arial"/>
          <w:sz w:val="22"/>
          <w:szCs w:val="22"/>
        </w:rPr>
        <w:t>enabled CBT (IECBT)</w:t>
      </w:r>
      <w:r w:rsidR="006B6205" w:rsidRPr="00F90E30">
        <w:rPr>
          <w:rFonts w:ascii="Arial" w:hAnsi="Arial" w:cs="Arial"/>
          <w:sz w:val="22"/>
          <w:szCs w:val="22"/>
        </w:rPr>
        <w:t xml:space="preserve"> </w:t>
      </w:r>
      <w:r w:rsidR="006B6205">
        <w:rPr>
          <w:rFonts w:ascii="Arial" w:hAnsi="Arial" w:cs="Arial"/>
          <w:sz w:val="22"/>
          <w:szCs w:val="22"/>
        </w:rPr>
        <w:t xml:space="preserve">has provided a new, and currently unique, way to learn more </w:t>
      </w:r>
      <w:r w:rsidR="006B6205" w:rsidRPr="00F90E30">
        <w:rPr>
          <w:rFonts w:ascii="Arial" w:hAnsi="Arial" w:cs="Arial"/>
          <w:sz w:val="22"/>
          <w:szCs w:val="22"/>
        </w:rPr>
        <w:t xml:space="preserve">about what drives good clinical </w:t>
      </w:r>
      <w:r w:rsidR="006B6205" w:rsidRPr="00F90E30">
        <w:rPr>
          <w:rFonts w:ascii="Arial" w:hAnsi="Arial" w:cs="Arial"/>
          <w:sz w:val="22"/>
          <w:szCs w:val="22"/>
        </w:rPr>
        <w:lastRenderedPageBreak/>
        <w:t>outcomes.</w:t>
      </w:r>
      <w:r w:rsidR="009E41F1">
        <w:rPr>
          <w:rFonts w:ascii="Arial" w:hAnsi="Arial" w:cs="Arial"/>
          <w:sz w:val="22"/>
          <w:szCs w:val="22"/>
        </w:rPr>
        <w:t xml:space="preserve"> </w:t>
      </w:r>
      <w:r w:rsidR="00DD31FC">
        <w:rPr>
          <w:rFonts w:ascii="Arial" w:hAnsi="Arial" w:cs="Arial"/>
          <w:sz w:val="22"/>
          <w:szCs w:val="22"/>
        </w:rPr>
        <w:t>It has been argued that the IECBT method represents a new research para</w:t>
      </w:r>
      <w:r w:rsidR="00295F80">
        <w:rPr>
          <w:rFonts w:ascii="Arial" w:hAnsi="Arial" w:cs="Arial"/>
          <w:sz w:val="22"/>
          <w:szCs w:val="22"/>
        </w:rPr>
        <w:t>digm enabling researchers to study real</w:t>
      </w:r>
      <w:r w:rsidR="00622CDC">
        <w:rPr>
          <w:rFonts w:ascii="Arial" w:hAnsi="Arial" w:cs="Arial"/>
          <w:sz w:val="22"/>
          <w:szCs w:val="22"/>
        </w:rPr>
        <w:t>-</w:t>
      </w:r>
      <w:r w:rsidR="00295F80">
        <w:rPr>
          <w:rFonts w:ascii="Arial" w:hAnsi="Arial" w:cs="Arial"/>
          <w:sz w:val="22"/>
          <w:szCs w:val="22"/>
        </w:rPr>
        <w:t xml:space="preserve">world data in great volume. </w:t>
      </w:r>
      <w:r w:rsidR="009E41F1">
        <w:rPr>
          <w:rFonts w:ascii="Arial" w:hAnsi="Arial" w:cs="Arial"/>
          <w:sz w:val="22"/>
          <w:szCs w:val="22"/>
        </w:rPr>
        <w:t>The</w:t>
      </w:r>
      <w:r>
        <w:rPr>
          <w:rFonts w:ascii="Arial" w:hAnsi="Arial" w:cs="Arial"/>
          <w:sz w:val="22"/>
          <w:szCs w:val="22"/>
        </w:rPr>
        <w:t xml:space="preserve"> implications of the findings from this research on professional practice within IAPT</w:t>
      </w:r>
      <w:r w:rsidR="009B77A7">
        <w:rPr>
          <w:rFonts w:ascii="Arial" w:hAnsi="Arial" w:cs="Arial"/>
          <w:sz w:val="22"/>
          <w:szCs w:val="22"/>
        </w:rPr>
        <w:t>,</w:t>
      </w:r>
      <w:r>
        <w:rPr>
          <w:rFonts w:ascii="Arial" w:hAnsi="Arial" w:cs="Arial"/>
          <w:sz w:val="22"/>
          <w:szCs w:val="22"/>
        </w:rPr>
        <w:t xml:space="preserve"> and also on the curricul</w:t>
      </w:r>
      <w:r w:rsidR="00855D2D">
        <w:rPr>
          <w:rFonts w:ascii="Arial" w:hAnsi="Arial" w:cs="Arial"/>
          <w:sz w:val="22"/>
          <w:szCs w:val="22"/>
        </w:rPr>
        <w:t>um</w:t>
      </w:r>
      <w:r>
        <w:rPr>
          <w:rFonts w:ascii="Arial" w:hAnsi="Arial" w:cs="Arial"/>
          <w:sz w:val="22"/>
          <w:szCs w:val="22"/>
        </w:rPr>
        <w:t xml:space="preserve"> and assessment processes used by IAPT training programmes</w:t>
      </w:r>
      <w:r w:rsidR="009B77A7">
        <w:rPr>
          <w:rFonts w:ascii="Arial" w:hAnsi="Arial" w:cs="Arial"/>
          <w:sz w:val="22"/>
          <w:szCs w:val="22"/>
        </w:rPr>
        <w:t>,</w:t>
      </w:r>
      <w:r w:rsidR="009E41F1">
        <w:rPr>
          <w:rFonts w:ascii="Arial" w:hAnsi="Arial" w:cs="Arial"/>
          <w:sz w:val="22"/>
          <w:szCs w:val="22"/>
        </w:rPr>
        <w:t xml:space="preserve"> has been discussed and</w:t>
      </w:r>
      <w:r>
        <w:rPr>
          <w:rFonts w:ascii="Arial" w:hAnsi="Arial" w:cs="Arial"/>
          <w:sz w:val="22"/>
          <w:szCs w:val="22"/>
        </w:rPr>
        <w:t xml:space="preserve"> </w:t>
      </w:r>
      <w:r w:rsidR="009E41F1">
        <w:rPr>
          <w:rFonts w:ascii="Arial" w:hAnsi="Arial" w:cs="Arial"/>
          <w:sz w:val="22"/>
          <w:szCs w:val="22"/>
        </w:rPr>
        <w:t>i</w:t>
      </w:r>
      <w:r>
        <w:rPr>
          <w:rFonts w:ascii="Arial" w:hAnsi="Arial" w:cs="Arial"/>
          <w:sz w:val="22"/>
          <w:szCs w:val="22"/>
        </w:rPr>
        <w:t>t has been argued that the findings of this research support the conceptual framework and basic aims and objectives of IAPT</w:t>
      </w:r>
      <w:r w:rsidR="009E41F1">
        <w:rPr>
          <w:rFonts w:ascii="Arial" w:hAnsi="Arial" w:cs="Arial"/>
          <w:sz w:val="22"/>
          <w:szCs w:val="22"/>
        </w:rPr>
        <w:t>. More specifically</w:t>
      </w:r>
      <w:r w:rsidR="009B77A7">
        <w:rPr>
          <w:rFonts w:ascii="Arial" w:hAnsi="Arial" w:cs="Arial"/>
          <w:sz w:val="22"/>
          <w:szCs w:val="22"/>
        </w:rPr>
        <w:t>,</w:t>
      </w:r>
      <w:r w:rsidR="009E41F1">
        <w:rPr>
          <w:rFonts w:ascii="Arial" w:hAnsi="Arial" w:cs="Arial"/>
          <w:sz w:val="22"/>
          <w:szCs w:val="22"/>
        </w:rPr>
        <w:t xml:space="preserve"> this chapter has argued that the </w:t>
      </w:r>
      <w:r>
        <w:rPr>
          <w:rFonts w:ascii="Arial" w:hAnsi="Arial" w:cs="Arial"/>
          <w:sz w:val="22"/>
          <w:szCs w:val="22"/>
        </w:rPr>
        <w:t>learning from this research would benefit therapists, clinical supervisors, IAPT training programmes, services and patients alike. Without changes in clinical practice and training</w:t>
      </w:r>
      <w:r w:rsidR="009B77A7">
        <w:rPr>
          <w:rFonts w:ascii="Arial" w:hAnsi="Arial" w:cs="Arial"/>
          <w:sz w:val="22"/>
          <w:szCs w:val="22"/>
        </w:rPr>
        <w:t>,</w:t>
      </w:r>
      <w:r>
        <w:rPr>
          <w:rFonts w:ascii="Arial" w:hAnsi="Arial" w:cs="Arial"/>
          <w:sz w:val="22"/>
          <w:szCs w:val="22"/>
        </w:rPr>
        <w:t xml:space="preserve"> it is unlikely that the variance in outcomes between therapists and between services will change. Therefore, as IAPT continues to expand it is highly likely that not all patients will have access to interventions that give then the optimum chance of recovery.</w:t>
      </w:r>
    </w:p>
    <w:p w14:paraId="3795E9A4" w14:textId="77777777" w:rsidR="007F596B" w:rsidRDefault="007F596B" w:rsidP="007F596B">
      <w:pPr>
        <w:spacing w:line="480" w:lineRule="auto"/>
        <w:rPr>
          <w:rFonts w:ascii="Arial" w:hAnsi="Arial" w:cs="Arial"/>
          <w:sz w:val="22"/>
          <w:szCs w:val="22"/>
        </w:rPr>
      </w:pPr>
    </w:p>
    <w:p w14:paraId="201EDB93" w14:textId="2FF45A1D" w:rsidR="00633677" w:rsidRPr="00C26638" w:rsidRDefault="009E41F1" w:rsidP="00C26638">
      <w:pPr>
        <w:spacing w:line="480" w:lineRule="auto"/>
        <w:rPr>
          <w:rFonts w:ascii="Arial" w:hAnsi="Arial" w:cs="Arial"/>
          <w:sz w:val="22"/>
          <w:szCs w:val="22"/>
        </w:rPr>
      </w:pPr>
      <w:r>
        <w:rPr>
          <w:rFonts w:ascii="Arial" w:hAnsi="Arial" w:cs="Arial"/>
          <w:sz w:val="22"/>
          <w:szCs w:val="22"/>
        </w:rPr>
        <w:t xml:space="preserve">Chapter </w:t>
      </w:r>
      <w:r w:rsidR="009B77A7">
        <w:rPr>
          <w:rFonts w:ascii="Arial" w:hAnsi="Arial" w:cs="Arial"/>
          <w:sz w:val="22"/>
          <w:szCs w:val="22"/>
        </w:rPr>
        <w:t>7</w:t>
      </w:r>
      <w:r w:rsidR="007F596B">
        <w:rPr>
          <w:rFonts w:ascii="Arial" w:hAnsi="Arial" w:cs="Arial"/>
          <w:sz w:val="22"/>
          <w:szCs w:val="22"/>
        </w:rPr>
        <w:t xml:space="preserve"> will conclude this thesis with a personal reflection of how this research has impacted on the researcher</w:t>
      </w:r>
      <w:r w:rsidR="00EC6DFF">
        <w:rPr>
          <w:rFonts w:ascii="Arial" w:hAnsi="Arial" w:cs="Arial"/>
          <w:sz w:val="22"/>
          <w:szCs w:val="22"/>
        </w:rPr>
        <w:t>’</w:t>
      </w:r>
      <w:r w:rsidR="007F596B">
        <w:rPr>
          <w:rFonts w:ascii="Arial" w:hAnsi="Arial" w:cs="Arial"/>
          <w:sz w:val="22"/>
          <w:szCs w:val="22"/>
        </w:rPr>
        <w:t>s own professional practice.</w:t>
      </w:r>
    </w:p>
    <w:p w14:paraId="59142D44" w14:textId="77777777" w:rsidR="00490C6F" w:rsidRDefault="00490C6F">
      <w:pPr>
        <w:rPr>
          <w:rFonts w:ascii="Arial" w:eastAsiaTheme="majorEastAsia" w:hAnsi="Arial" w:cs="Arial"/>
          <w:b/>
          <w:bCs/>
          <w:color w:val="000000" w:themeColor="text1"/>
          <w:sz w:val="22"/>
          <w:szCs w:val="22"/>
        </w:rPr>
      </w:pPr>
      <w:r>
        <w:rPr>
          <w:rFonts w:ascii="Arial" w:hAnsi="Arial" w:cs="Arial"/>
          <w:color w:val="000000" w:themeColor="text1"/>
          <w:sz w:val="22"/>
          <w:szCs w:val="22"/>
        </w:rPr>
        <w:br w:type="page"/>
      </w:r>
    </w:p>
    <w:p w14:paraId="3049D762" w14:textId="77777777" w:rsidR="00B65984" w:rsidRDefault="00B65984">
      <w:pPr>
        <w:rPr>
          <w:rFonts w:ascii="Arial" w:eastAsiaTheme="majorEastAsia" w:hAnsi="Arial" w:cs="Arial"/>
          <w:b/>
          <w:bCs/>
          <w:color w:val="000000" w:themeColor="text1"/>
          <w:sz w:val="22"/>
          <w:szCs w:val="22"/>
        </w:rPr>
      </w:pPr>
      <w:r>
        <w:rPr>
          <w:rFonts w:ascii="Arial" w:hAnsi="Arial" w:cs="Arial"/>
          <w:color w:val="000000" w:themeColor="text1"/>
          <w:sz w:val="22"/>
          <w:szCs w:val="22"/>
        </w:rPr>
        <w:lastRenderedPageBreak/>
        <w:br w:type="page"/>
      </w:r>
    </w:p>
    <w:p w14:paraId="349519A4" w14:textId="4ECD2D26" w:rsidR="007F596B" w:rsidRDefault="007F596B" w:rsidP="00525B47">
      <w:pPr>
        <w:pStyle w:val="Heading1"/>
        <w:spacing w:line="480" w:lineRule="auto"/>
        <w:rPr>
          <w:rFonts w:cs="Arial"/>
          <w:color w:val="000000" w:themeColor="text1"/>
          <w:szCs w:val="22"/>
        </w:rPr>
      </w:pPr>
      <w:bookmarkStart w:id="499" w:name="_Toc46770878"/>
      <w:bookmarkStart w:id="500" w:name="_Toc79414289"/>
      <w:r w:rsidRPr="00760F62">
        <w:rPr>
          <w:rFonts w:cs="Arial"/>
          <w:color w:val="000000" w:themeColor="text1"/>
          <w:szCs w:val="22"/>
        </w:rPr>
        <w:lastRenderedPageBreak/>
        <w:t xml:space="preserve">CHAPTER </w:t>
      </w:r>
      <w:r w:rsidR="009E41F1">
        <w:rPr>
          <w:rFonts w:cs="Arial"/>
          <w:color w:val="000000" w:themeColor="text1"/>
          <w:szCs w:val="22"/>
        </w:rPr>
        <w:t>SEVEN</w:t>
      </w:r>
      <w:r w:rsidRPr="00760F62">
        <w:rPr>
          <w:rFonts w:cs="Arial"/>
          <w:color w:val="000000" w:themeColor="text1"/>
          <w:szCs w:val="22"/>
        </w:rPr>
        <w:t xml:space="preserve">: </w:t>
      </w:r>
      <w:r w:rsidR="00525B47">
        <w:rPr>
          <w:rFonts w:cs="Arial"/>
          <w:color w:val="000000" w:themeColor="text1"/>
          <w:szCs w:val="22"/>
        </w:rPr>
        <w:t>A PERSONAL REFLECTION ON THE IMPLICATIONS OF THIS RESEARCH</w:t>
      </w:r>
      <w:bookmarkEnd w:id="499"/>
      <w:bookmarkEnd w:id="500"/>
    </w:p>
    <w:p w14:paraId="1664E312" w14:textId="77777777" w:rsidR="007F5398" w:rsidRPr="007F5398" w:rsidRDefault="007F5398" w:rsidP="007F5398"/>
    <w:p w14:paraId="08F619B8" w14:textId="77777777" w:rsidR="007F596B" w:rsidRDefault="007F596B" w:rsidP="007F596B">
      <w:pPr>
        <w:spacing w:line="480" w:lineRule="auto"/>
        <w:rPr>
          <w:rFonts w:ascii="Arial" w:hAnsi="Arial" w:cs="Arial"/>
          <w:sz w:val="22"/>
          <w:szCs w:val="22"/>
        </w:rPr>
      </w:pPr>
      <w:r w:rsidRPr="00736E86">
        <w:rPr>
          <w:rFonts w:ascii="Arial" w:hAnsi="Arial" w:cs="Arial"/>
          <w:sz w:val="22"/>
          <w:szCs w:val="22"/>
        </w:rPr>
        <w:t>This thesis began with an introduction to the professional context for this research</w:t>
      </w:r>
      <w:r>
        <w:rPr>
          <w:rFonts w:ascii="Arial" w:hAnsi="Arial" w:cs="Arial"/>
          <w:sz w:val="22"/>
          <w:szCs w:val="22"/>
        </w:rPr>
        <w:t>. This thesis went on to sequentially report on the literature review, methodology, findings and discussion relating to the therapist variables that are related to outcome amongst High Intensity cognitive behavioural therapists treating patients in IAPT. This final chapter concludes this thesis with a personal reflection of the process of undertaking this research and the implications of the findings from this research on the researchers own professional practice.</w:t>
      </w:r>
    </w:p>
    <w:p w14:paraId="64456642" w14:textId="77777777" w:rsidR="007F596B" w:rsidRDefault="007F596B" w:rsidP="007F596B">
      <w:pPr>
        <w:spacing w:line="480" w:lineRule="auto"/>
        <w:rPr>
          <w:rFonts w:ascii="Arial" w:hAnsi="Arial" w:cs="Arial"/>
          <w:sz w:val="22"/>
          <w:szCs w:val="22"/>
        </w:rPr>
      </w:pPr>
    </w:p>
    <w:p w14:paraId="5570D794" w14:textId="43AF9DF6" w:rsidR="007F596B" w:rsidRDefault="009E41F1" w:rsidP="007F596B">
      <w:pPr>
        <w:pStyle w:val="Heading2"/>
        <w:rPr>
          <w:rFonts w:ascii="Arial" w:hAnsi="Arial" w:cs="Arial"/>
          <w:b w:val="0"/>
          <w:color w:val="000000" w:themeColor="text1"/>
          <w:sz w:val="22"/>
          <w:szCs w:val="22"/>
        </w:rPr>
      </w:pPr>
      <w:bookmarkStart w:id="501" w:name="_Toc46770879"/>
      <w:bookmarkStart w:id="502" w:name="_Toc79414290"/>
      <w:r>
        <w:rPr>
          <w:rFonts w:ascii="Arial" w:hAnsi="Arial" w:cs="Arial"/>
          <w:color w:val="000000" w:themeColor="text1"/>
          <w:sz w:val="22"/>
          <w:szCs w:val="22"/>
        </w:rPr>
        <w:t>7</w:t>
      </w:r>
      <w:r w:rsidR="007F596B" w:rsidRPr="0059782A">
        <w:rPr>
          <w:rFonts w:ascii="Arial" w:hAnsi="Arial" w:cs="Arial"/>
          <w:color w:val="000000" w:themeColor="text1"/>
          <w:sz w:val="22"/>
          <w:szCs w:val="22"/>
        </w:rPr>
        <w:t>.1 INTRODUCTION</w:t>
      </w:r>
      <w:bookmarkEnd w:id="501"/>
      <w:bookmarkEnd w:id="502"/>
    </w:p>
    <w:p w14:paraId="650B2E4B" w14:textId="77777777" w:rsidR="007F596B" w:rsidRPr="0059782A" w:rsidRDefault="007F596B" w:rsidP="007F596B"/>
    <w:p w14:paraId="78FBD1CD" w14:textId="52D4725E" w:rsidR="007F596B" w:rsidRDefault="007F596B" w:rsidP="007F596B">
      <w:pPr>
        <w:spacing w:line="480" w:lineRule="auto"/>
        <w:rPr>
          <w:rFonts w:ascii="Arial" w:hAnsi="Arial" w:cs="Arial"/>
          <w:sz w:val="22"/>
          <w:szCs w:val="22"/>
        </w:rPr>
      </w:pPr>
      <w:r>
        <w:rPr>
          <w:rFonts w:ascii="Arial" w:hAnsi="Arial" w:cs="Arial"/>
          <w:sz w:val="22"/>
          <w:szCs w:val="22"/>
        </w:rPr>
        <w:t>I undertook this research over a period of four years whilst working, full-time, as the Chief Clinical Officer at Ieso Digital Health. It was important to me that I undertook a Professional Doctorate, rather than a PhD, because I was seeking to further develop my own skills as a Scientist Practitioner and</w:t>
      </w:r>
      <w:r w:rsidR="00F72FAC">
        <w:rPr>
          <w:rFonts w:ascii="Arial" w:hAnsi="Arial" w:cs="Arial"/>
          <w:sz w:val="22"/>
          <w:szCs w:val="22"/>
        </w:rPr>
        <w:t>,</w:t>
      </w:r>
      <w:r>
        <w:rPr>
          <w:rFonts w:ascii="Arial" w:hAnsi="Arial" w:cs="Arial"/>
          <w:sz w:val="22"/>
          <w:szCs w:val="22"/>
        </w:rPr>
        <w:t xml:space="preserve"> therefore</w:t>
      </w:r>
      <w:r w:rsidR="00F72FAC">
        <w:rPr>
          <w:rFonts w:ascii="Arial" w:hAnsi="Arial" w:cs="Arial"/>
          <w:sz w:val="22"/>
          <w:szCs w:val="22"/>
        </w:rPr>
        <w:t>,</w:t>
      </w:r>
      <w:r>
        <w:rPr>
          <w:rFonts w:ascii="Arial" w:hAnsi="Arial" w:cs="Arial"/>
          <w:sz w:val="22"/>
          <w:szCs w:val="22"/>
        </w:rPr>
        <w:t xml:space="preserve"> a direct link to my professional practice was a key focus. This commitment to career-long learning is a theme I discussed in </w:t>
      </w:r>
      <w:r w:rsidR="00F72FAC">
        <w:rPr>
          <w:rFonts w:ascii="Arial" w:hAnsi="Arial" w:cs="Arial"/>
          <w:sz w:val="22"/>
          <w:szCs w:val="22"/>
        </w:rPr>
        <w:t>C</w:t>
      </w:r>
      <w:r>
        <w:rPr>
          <w:rFonts w:ascii="Arial" w:hAnsi="Arial" w:cs="Arial"/>
          <w:sz w:val="22"/>
          <w:szCs w:val="22"/>
        </w:rPr>
        <w:t xml:space="preserve">hapter </w:t>
      </w:r>
      <w:r w:rsidR="00F72FAC">
        <w:rPr>
          <w:rFonts w:ascii="Arial" w:hAnsi="Arial" w:cs="Arial"/>
          <w:sz w:val="22"/>
          <w:szCs w:val="22"/>
        </w:rPr>
        <w:t>1</w:t>
      </w:r>
      <w:r>
        <w:rPr>
          <w:rFonts w:ascii="Arial" w:hAnsi="Arial" w:cs="Arial"/>
          <w:sz w:val="22"/>
          <w:szCs w:val="22"/>
        </w:rPr>
        <w:t xml:space="preserve"> of this thesis and</w:t>
      </w:r>
      <w:r w:rsidR="00F72FAC">
        <w:rPr>
          <w:rFonts w:ascii="Arial" w:hAnsi="Arial" w:cs="Arial"/>
          <w:sz w:val="22"/>
          <w:szCs w:val="22"/>
        </w:rPr>
        <w:t>,</w:t>
      </w:r>
      <w:r>
        <w:rPr>
          <w:rFonts w:ascii="Arial" w:hAnsi="Arial" w:cs="Arial"/>
          <w:sz w:val="22"/>
          <w:szCs w:val="22"/>
        </w:rPr>
        <w:t xml:space="preserve"> as I reflect back</w:t>
      </w:r>
      <w:r w:rsidR="00F72FAC">
        <w:rPr>
          <w:rFonts w:ascii="Arial" w:hAnsi="Arial" w:cs="Arial"/>
          <w:sz w:val="22"/>
          <w:szCs w:val="22"/>
        </w:rPr>
        <w:t xml:space="preserve"> on</w:t>
      </w:r>
      <w:r>
        <w:rPr>
          <w:rFonts w:ascii="Arial" w:hAnsi="Arial" w:cs="Arial"/>
          <w:sz w:val="22"/>
          <w:szCs w:val="22"/>
        </w:rPr>
        <w:t xml:space="preserve"> the last four years, I acknowledge that the process of undertaking this research had a significant impact on my practice.  </w:t>
      </w:r>
    </w:p>
    <w:p w14:paraId="6FACAE84" w14:textId="77777777" w:rsidR="007F596B" w:rsidRDefault="007F596B" w:rsidP="007F596B">
      <w:pPr>
        <w:spacing w:line="480" w:lineRule="auto"/>
        <w:rPr>
          <w:rFonts w:ascii="Arial" w:hAnsi="Arial" w:cs="Arial"/>
          <w:sz w:val="22"/>
          <w:szCs w:val="22"/>
        </w:rPr>
      </w:pPr>
    </w:p>
    <w:p w14:paraId="4EAFE055" w14:textId="4B61A235" w:rsidR="007F596B" w:rsidRDefault="009E41F1" w:rsidP="007F596B">
      <w:pPr>
        <w:pStyle w:val="Heading3"/>
        <w:rPr>
          <w:rFonts w:cs="Arial"/>
          <w:b w:val="0"/>
          <w:color w:val="000000" w:themeColor="text1"/>
          <w:szCs w:val="22"/>
        </w:rPr>
      </w:pPr>
      <w:bookmarkStart w:id="503" w:name="_Toc46770880"/>
      <w:bookmarkStart w:id="504" w:name="_Toc79414291"/>
      <w:r>
        <w:rPr>
          <w:rFonts w:cs="Arial"/>
          <w:color w:val="000000" w:themeColor="text1"/>
          <w:szCs w:val="22"/>
        </w:rPr>
        <w:t>7</w:t>
      </w:r>
      <w:r w:rsidR="007F596B" w:rsidRPr="00960207">
        <w:rPr>
          <w:rFonts w:cs="Arial"/>
          <w:color w:val="000000" w:themeColor="text1"/>
          <w:szCs w:val="22"/>
        </w:rPr>
        <w:t>.1.1 Reflections on the process of undertaking this research</w:t>
      </w:r>
      <w:bookmarkEnd w:id="503"/>
      <w:bookmarkEnd w:id="504"/>
    </w:p>
    <w:p w14:paraId="4C3E09C0" w14:textId="77777777" w:rsidR="007F596B" w:rsidRPr="00960207" w:rsidRDefault="007F596B" w:rsidP="007F596B"/>
    <w:p w14:paraId="0308E1AC" w14:textId="4B90CED7" w:rsidR="007F596B" w:rsidRDefault="007F596B" w:rsidP="007F596B">
      <w:pPr>
        <w:spacing w:line="480" w:lineRule="auto"/>
        <w:rPr>
          <w:rFonts w:ascii="Arial" w:hAnsi="Arial" w:cs="Arial"/>
          <w:sz w:val="22"/>
          <w:szCs w:val="22"/>
        </w:rPr>
      </w:pPr>
      <w:r>
        <w:rPr>
          <w:rFonts w:ascii="Arial" w:hAnsi="Arial" w:cs="Arial"/>
          <w:sz w:val="22"/>
          <w:szCs w:val="22"/>
        </w:rPr>
        <w:t>When I commenced this research in 2015, I was a CBT therapist with over thirty-years’ experience of professional practice, a</w:t>
      </w:r>
      <w:r w:rsidR="009E712F">
        <w:rPr>
          <w:rFonts w:ascii="Arial" w:hAnsi="Arial" w:cs="Arial"/>
          <w:sz w:val="22"/>
          <w:szCs w:val="22"/>
        </w:rPr>
        <w:t xml:space="preserve">n </w:t>
      </w:r>
      <w:r>
        <w:rPr>
          <w:rFonts w:ascii="Arial" w:hAnsi="Arial" w:cs="Arial"/>
          <w:sz w:val="22"/>
          <w:szCs w:val="22"/>
        </w:rPr>
        <w:t>experienced teacher, clinical supervisor and clinical leader. Thirty-years’ experience in any professional role is likely to lead to the development of skills, expertise, beliefs and assumptions about best professional practice and what works for whom (Cooke and Brown</w:t>
      </w:r>
      <w:r w:rsidR="009E41F1">
        <w:rPr>
          <w:rFonts w:ascii="Arial" w:hAnsi="Arial" w:cs="Arial"/>
          <w:sz w:val="22"/>
          <w:szCs w:val="22"/>
        </w:rPr>
        <w:t>,</w:t>
      </w:r>
      <w:r>
        <w:rPr>
          <w:rFonts w:ascii="Arial" w:hAnsi="Arial" w:cs="Arial"/>
          <w:sz w:val="22"/>
          <w:szCs w:val="22"/>
        </w:rPr>
        <w:t xml:space="preserve"> 1999). Prior to undertaking this research I might have described this as reflexive practice or tacit knowledge</w:t>
      </w:r>
      <w:r w:rsidR="00F72FAC">
        <w:rPr>
          <w:rFonts w:ascii="Arial" w:hAnsi="Arial" w:cs="Arial"/>
          <w:sz w:val="22"/>
          <w:szCs w:val="22"/>
        </w:rPr>
        <w:t>,</w:t>
      </w:r>
      <w:r>
        <w:rPr>
          <w:rFonts w:ascii="Arial" w:hAnsi="Arial" w:cs="Arial"/>
          <w:sz w:val="22"/>
          <w:szCs w:val="22"/>
        </w:rPr>
        <w:t xml:space="preserve"> whereby I have learnt a series of </w:t>
      </w:r>
      <w:r>
        <w:rPr>
          <w:rFonts w:ascii="Arial" w:hAnsi="Arial" w:cs="Arial"/>
          <w:sz w:val="22"/>
          <w:szCs w:val="22"/>
        </w:rPr>
        <w:lastRenderedPageBreak/>
        <w:t>skills and expertise which are difficult for me to articulate (Cooke and Brown</w:t>
      </w:r>
      <w:r w:rsidR="009E41F1">
        <w:rPr>
          <w:rFonts w:ascii="Arial" w:hAnsi="Arial" w:cs="Arial"/>
          <w:sz w:val="22"/>
          <w:szCs w:val="22"/>
        </w:rPr>
        <w:t>,1999</w:t>
      </w:r>
      <w:r>
        <w:rPr>
          <w:rFonts w:ascii="Arial" w:hAnsi="Arial" w:cs="Arial"/>
          <w:sz w:val="22"/>
          <w:szCs w:val="22"/>
        </w:rPr>
        <w:t>) but</w:t>
      </w:r>
      <w:r w:rsidR="00F72FAC">
        <w:rPr>
          <w:rFonts w:ascii="Arial" w:hAnsi="Arial" w:cs="Arial"/>
          <w:sz w:val="22"/>
          <w:szCs w:val="22"/>
        </w:rPr>
        <w:t>,</w:t>
      </w:r>
      <w:r>
        <w:rPr>
          <w:rFonts w:ascii="Arial" w:hAnsi="Arial" w:cs="Arial"/>
          <w:sz w:val="22"/>
          <w:szCs w:val="22"/>
        </w:rPr>
        <w:t xml:space="preserve"> through a process of empirical enquiry</w:t>
      </w:r>
      <w:r w:rsidR="00F72FAC">
        <w:rPr>
          <w:rFonts w:ascii="Arial" w:hAnsi="Arial" w:cs="Arial"/>
          <w:sz w:val="22"/>
          <w:szCs w:val="22"/>
        </w:rPr>
        <w:t>,</w:t>
      </w:r>
      <w:r>
        <w:rPr>
          <w:rFonts w:ascii="Arial" w:hAnsi="Arial" w:cs="Arial"/>
          <w:sz w:val="22"/>
          <w:szCs w:val="22"/>
        </w:rPr>
        <w:t xml:space="preserve"> I have come to believe that I have evidence that these skills are effective. However, through this research I have found myself questioning everything about my practice and the practice of others. What I once assumed was fact and proven, I now question. For example, this research has found that fidelity to the CBT model and adherence are related to clinical outcome. My hypotheses for the research questions that relate to these findings were that there would be a relationship between these two variables and clinical outcome. Whilst the answer to both these research questions was affirmative, I was initially disappointed with the results. That part of me which is an experienced CBT therapist and </w:t>
      </w:r>
      <w:r w:rsidR="009E41F1">
        <w:rPr>
          <w:rFonts w:ascii="Arial" w:hAnsi="Arial" w:cs="Arial"/>
          <w:sz w:val="22"/>
          <w:szCs w:val="22"/>
        </w:rPr>
        <w:t xml:space="preserve">a </w:t>
      </w:r>
      <w:r>
        <w:rPr>
          <w:rFonts w:ascii="Arial" w:hAnsi="Arial" w:cs="Arial"/>
          <w:sz w:val="22"/>
          <w:szCs w:val="22"/>
        </w:rPr>
        <w:t xml:space="preserve">‘disciple’ of evidence-based practice believed that the results from the data analysis would be statistically much stronger and that I might even go on to demonstrate a causal relationship. I realise now that this was extremely naïve. I have come to appreciate that the evidence base is only the sum of the knowledge that we have </w:t>
      </w:r>
      <w:r w:rsidR="009E41F1">
        <w:rPr>
          <w:rFonts w:ascii="Arial" w:hAnsi="Arial" w:cs="Arial"/>
          <w:sz w:val="22"/>
          <w:szCs w:val="22"/>
        </w:rPr>
        <w:t>at this current time</w:t>
      </w:r>
      <w:r w:rsidR="00CD54FF">
        <w:rPr>
          <w:rFonts w:ascii="Arial" w:hAnsi="Arial" w:cs="Arial"/>
          <w:sz w:val="22"/>
          <w:szCs w:val="22"/>
        </w:rPr>
        <w:t>: i</w:t>
      </w:r>
      <w:r>
        <w:rPr>
          <w:rFonts w:ascii="Arial" w:hAnsi="Arial" w:cs="Arial"/>
          <w:sz w:val="22"/>
          <w:szCs w:val="22"/>
        </w:rPr>
        <w:t xml:space="preserve">t is the best that we have. The experience of undertaking this research has taught me that only if I am open to learning anything from my research (even that which I do not wish to find) </w:t>
      </w:r>
      <w:r w:rsidR="009E41F1">
        <w:rPr>
          <w:rFonts w:ascii="Arial" w:hAnsi="Arial" w:cs="Arial"/>
          <w:sz w:val="22"/>
          <w:szCs w:val="22"/>
        </w:rPr>
        <w:t>then</w:t>
      </w:r>
      <w:r>
        <w:rPr>
          <w:rFonts w:ascii="Arial" w:hAnsi="Arial" w:cs="Arial"/>
          <w:sz w:val="22"/>
          <w:szCs w:val="22"/>
        </w:rPr>
        <w:t xml:space="preserve"> I </w:t>
      </w:r>
      <w:r w:rsidR="009E41F1">
        <w:rPr>
          <w:rFonts w:ascii="Arial" w:hAnsi="Arial" w:cs="Arial"/>
          <w:sz w:val="22"/>
          <w:szCs w:val="22"/>
        </w:rPr>
        <w:t>may l</w:t>
      </w:r>
      <w:r>
        <w:rPr>
          <w:rFonts w:ascii="Arial" w:hAnsi="Arial" w:cs="Arial"/>
          <w:sz w:val="22"/>
          <w:szCs w:val="22"/>
        </w:rPr>
        <w:t xml:space="preserve">earn something that </w:t>
      </w:r>
      <w:r w:rsidR="009E41F1">
        <w:rPr>
          <w:rFonts w:ascii="Arial" w:hAnsi="Arial" w:cs="Arial"/>
          <w:sz w:val="22"/>
          <w:szCs w:val="22"/>
        </w:rPr>
        <w:t>has the potential to</w:t>
      </w:r>
      <w:r>
        <w:rPr>
          <w:rFonts w:ascii="Arial" w:hAnsi="Arial" w:cs="Arial"/>
          <w:sz w:val="22"/>
          <w:szCs w:val="22"/>
        </w:rPr>
        <w:t xml:space="preserve"> contribute to knowledge and impact on professional practice. I hypothes</w:t>
      </w:r>
      <w:r w:rsidR="004D1CEF">
        <w:rPr>
          <w:rFonts w:ascii="Arial" w:hAnsi="Arial" w:cs="Arial"/>
          <w:sz w:val="22"/>
          <w:szCs w:val="22"/>
        </w:rPr>
        <w:t>ise</w:t>
      </w:r>
      <w:r>
        <w:rPr>
          <w:rFonts w:ascii="Arial" w:hAnsi="Arial" w:cs="Arial"/>
          <w:sz w:val="22"/>
          <w:szCs w:val="22"/>
        </w:rPr>
        <w:t xml:space="preserve"> that further process-outcome research will lead to the development of new</w:t>
      </w:r>
      <w:r w:rsidR="00CD54FF">
        <w:rPr>
          <w:rFonts w:ascii="Arial" w:hAnsi="Arial" w:cs="Arial"/>
          <w:sz w:val="22"/>
          <w:szCs w:val="22"/>
        </w:rPr>
        <w:t>,</w:t>
      </w:r>
      <w:r>
        <w:rPr>
          <w:rFonts w:ascii="Arial" w:hAnsi="Arial" w:cs="Arial"/>
          <w:sz w:val="22"/>
          <w:szCs w:val="22"/>
        </w:rPr>
        <w:t xml:space="preserve"> and hitherto unknown</w:t>
      </w:r>
      <w:r w:rsidR="00CD54FF">
        <w:rPr>
          <w:rFonts w:ascii="Arial" w:hAnsi="Arial" w:cs="Arial"/>
          <w:sz w:val="22"/>
          <w:szCs w:val="22"/>
        </w:rPr>
        <w:t>,</w:t>
      </w:r>
      <w:r>
        <w:rPr>
          <w:rFonts w:ascii="Arial" w:hAnsi="Arial" w:cs="Arial"/>
          <w:sz w:val="22"/>
          <w:szCs w:val="22"/>
        </w:rPr>
        <w:t xml:space="preserve"> forms of psychological therapy that might be more effective than CBT. It is possible that the psychological therapists of the future will look back at the CBT </w:t>
      </w:r>
      <w:r w:rsidR="00B54C7E">
        <w:rPr>
          <w:rFonts w:ascii="Arial" w:hAnsi="Arial" w:cs="Arial"/>
          <w:sz w:val="22"/>
          <w:szCs w:val="22"/>
        </w:rPr>
        <w:t xml:space="preserve">provided by today’s therapists </w:t>
      </w:r>
      <w:r>
        <w:rPr>
          <w:rFonts w:ascii="Arial" w:hAnsi="Arial" w:cs="Arial"/>
          <w:sz w:val="22"/>
          <w:szCs w:val="22"/>
        </w:rPr>
        <w:t xml:space="preserve">with incredulity.  </w:t>
      </w:r>
    </w:p>
    <w:p w14:paraId="74055DC0" w14:textId="0CEA93D3" w:rsidR="009E41F1" w:rsidRDefault="009E41F1" w:rsidP="007F596B">
      <w:pPr>
        <w:spacing w:line="480" w:lineRule="auto"/>
        <w:rPr>
          <w:rFonts w:ascii="Arial" w:hAnsi="Arial" w:cs="Arial"/>
          <w:sz w:val="22"/>
          <w:szCs w:val="22"/>
        </w:rPr>
      </w:pPr>
    </w:p>
    <w:p w14:paraId="1E35CFE9" w14:textId="1920CD48" w:rsidR="009E41F1" w:rsidRDefault="009E41F1" w:rsidP="009E41F1">
      <w:pPr>
        <w:pStyle w:val="Heading3"/>
        <w:rPr>
          <w:rFonts w:cs="Arial"/>
          <w:color w:val="000000" w:themeColor="text1"/>
          <w:szCs w:val="22"/>
        </w:rPr>
      </w:pPr>
      <w:bookmarkStart w:id="505" w:name="_Toc46770881"/>
      <w:bookmarkStart w:id="506" w:name="_Toc79414292"/>
      <w:r w:rsidRPr="009E41F1">
        <w:rPr>
          <w:rFonts w:cs="Arial"/>
          <w:color w:val="000000" w:themeColor="text1"/>
          <w:szCs w:val="22"/>
        </w:rPr>
        <w:t>7.1.2 The ‘insider researcher’</w:t>
      </w:r>
      <w:bookmarkEnd w:id="505"/>
      <w:bookmarkEnd w:id="506"/>
    </w:p>
    <w:p w14:paraId="1A6FF0A4" w14:textId="536F80DE" w:rsidR="009E41F1" w:rsidRDefault="009E41F1" w:rsidP="009E41F1"/>
    <w:p w14:paraId="77AFB4D0" w14:textId="47158C81" w:rsidR="009E41F1" w:rsidRDefault="00B54C7E" w:rsidP="00B54C7E">
      <w:pPr>
        <w:spacing w:line="480" w:lineRule="auto"/>
        <w:rPr>
          <w:rFonts w:ascii="Arial" w:hAnsi="Arial" w:cs="Arial"/>
          <w:sz w:val="22"/>
          <w:szCs w:val="22"/>
        </w:rPr>
      </w:pPr>
      <w:r>
        <w:rPr>
          <w:rFonts w:ascii="Arial" w:hAnsi="Arial" w:cs="Arial"/>
          <w:sz w:val="22"/>
          <w:szCs w:val="22"/>
        </w:rPr>
        <w:t>Reflection “on’ and ‘in’ action are commonly used processes in present</w:t>
      </w:r>
      <w:r w:rsidR="00CD54FF">
        <w:rPr>
          <w:rFonts w:ascii="Arial" w:hAnsi="Arial" w:cs="Arial"/>
          <w:sz w:val="22"/>
          <w:szCs w:val="22"/>
        </w:rPr>
        <w:t>-</w:t>
      </w:r>
      <w:r>
        <w:rPr>
          <w:rFonts w:ascii="Arial" w:hAnsi="Arial" w:cs="Arial"/>
          <w:sz w:val="22"/>
          <w:szCs w:val="22"/>
        </w:rPr>
        <w:t>day CBT (Bennett-Levy</w:t>
      </w:r>
      <w:r w:rsidR="008D0A5A">
        <w:rPr>
          <w:rFonts w:ascii="Arial" w:hAnsi="Arial" w:cs="Arial"/>
          <w:sz w:val="22"/>
          <w:szCs w:val="22"/>
        </w:rPr>
        <w:t>,</w:t>
      </w:r>
      <w:r>
        <w:rPr>
          <w:rFonts w:ascii="Arial" w:hAnsi="Arial" w:cs="Arial"/>
          <w:sz w:val="22"/>
          <w:szCs w:val="22"/>
        </w:rPr>
        <w:t xml:space="preserve"> 20</w:t>
      </w:r>
      <w:r w:rsidR="008D0A5A">
        <w:rPr>
          <w:rFonts w:ascii="Arial" w:hAnsi="Arial" w:cs="Arial"/>
          <w:sz w:val="22"/>
          <w:szCs w:val="22"/>
        </w:rPr>
        <w:t>06</w:t>
      </w:r>
      <w:r>
        <w:rPr>
          <w:rFonts w:ascii="Arial" w:hAnsi="Arial" w:cs="Arial"/>
          <w:sz w:val="22"/>
          <w:szCs w:val="22"/>
        </w:rPr>
        <w:t xml:space="preserve">). The general aim of reflection in this context to is to enhance and hone clinical skills in order to improve patient outcomes (Bennett-Levy). In </w:t>
      </w:r>
      <w:r w:rsidR="00CD54FF">
        <w:rPr>
          <w:rFonts w:ascii="Arial" w:hAnsi="Arial" w:cs="Arial"/>
          <w:sz w:val="22"/>
          <w:szCs w:val="22"/>
        </w:rPr>
        <w:t>C</w:t>
      </w:r>
      <w:r>
        <w:rPr>
          <w:rFonts w:ascii="Arial" w:hAnsi="Arial" w:cs="Arial"/>
          <w:sz w:val="22"/>
          <w:szCs w:val="22"/>
        </w:rPr>
        <w:t>hapter 6 of this thesis I discussed how Bennett-Levy’s conceptual framework</w:t>
      </w:r>
      <w:r w:rsidR="00657E89">
        <w:rPr>
          <w:rFonts w:ascii="Arial" w:hAnsi="Arial" w:cs="Arial"/>
          <w:sz w:val="22"/>
          <w:szCs w:val="22"/>
        </w:rPr>
        <w:t xml:space="preserve"> (the Declarative Procedural Reflective Model) was central</w:t>
      </w:r>
      <w:r w:rsidR="009A2F8F">
        <w:rPr>
          <w:rFonts w:ascii="Arial" w:hAnsi="Arial" w:cs="Arial"/>
          <w:sz w:val="22"/>
          <w:szCs w:val="22"/>
        </w:rPr>
        <w:t xml:space="preserve"> to this research and in </w:t>
      </w:r>
      <w:r w:rsidR="00CD54FF">
        <w:rPr>
          <w:rFonts w:ascii="Arial" w:hAnsi="Arial" w:cs="Arial"/>
          <w:sz w:val="22"/>
          <w:szCs w:val="22"/>
        </w:rPr>
        <w:t>C</w:t>
      </w:r>
      <w:r w:rsidR="009A2F8F">
        <w:rPr>
          <w:rFonts w:ascii="Arial" w:hAnsi="Arial" w:cs="Arial"/>
          <w:sz w:val="22"/>
          <w:szCs w:val="22"/>
        </w:rPr>
        <w:t xml:space="preserve">hapter 2 I established that empirical enquiry is </w:t>
      </w:r>
      <w:r w:rsidR="009A2F8F">
        <w:rPr>
          <w:rFonts w:ascii="Arial" w:hAnsi="Arial" w:cs="Arial"/>
          <w:sz w:val="22"/>
          <w:szCs w:val="22"/>
        </w:rPr>
        <w:lastRenderedPageBreak/>
        <w:t>fundamental to all aspects of CBT. Despite this central focus on empiricism and reflection</w:t>
      </w:r>
      <w:r w:rsidR="00CD54FF">
        <w:rPr>
          <w:rFonts w:ascii="Arial" w:hAnsi="Arial" w:cs="Arial"/>
          <w:sz w:val="22"/>
          <w:szCs w:val="22"/>
        </w:rPr>
        <w:t>,</w:t>
      </w:r>
      <w:r w:rsidR="004F5EA3">
        <w:rPr>
          <w:rFonts w:ascii="Arial" w:hAnsi="Arial" w:cs="Arial"/>
          <w:sz w:val="22"/>
          <w:szCs w:val="22"/>
        </w:rPr>
        <w:t xml:space="preserve"> conducting research as an insider researcher was not without its challenges. </w:t>
      </w:r>
      <w:r w:rsidR="00F3166A">
        <w:rPr>
          <w:rFonts w:ascii="Arial" w:hAnsi="Arial" w:cs="Arial"/>
          <w:sz w:val="22"/>
          <w:szCs w:val="22"/>
        </w:rPr>
        <w:t>The term ‘insider researcher’ is used to describe a member, or employee, of an organisation who is conducting research in their work setting (Coghlan and Brannick, 2005</w:t>
      </w:r>
      <w:r w:rsidR="00583836">
        <w:rPr>
          <w:rFonts w:ascii="Arial" w:hAnsi="Arial" w:cs="Arial"/>
          <w:sz w:val="22"/>
          <w:szCs w:val="22"/>
        </w:rPr>
        <w:t>). The concept of a staff member conducting research in their own work setting is well</w:t>
      </w:r>
      <w:r w:rsidR="00CD54FF">
        <w:rPr>
          <w:rFonts w:ascii="Arial" w:hAnsi="Arial" w:cs="Arial"/>
          <w:sz w:val="22"/>
          <w:szCs w:val="22"/>
        </w:rPr>
        <w:t>-</w:t>
      </w:r>
      <w:r w:rsidR="00583836">
        <w:rPr>
          <w:rFonts w:ascii="Arial" w:hAnsi="Arial" w:cs="Arial"/>
          <w:sz w:val="22"/>
          <w:szCs w:val="22"/>
        </w:rPr>
        <w:t>established in both education and health care settings (Costley, Elliott and Gibbs, 2013).</w:t>
      </w:r>
      <w:r w:rsidR="00D20260">
        <w:rPr>
          <w:rFonts w:ascii="Arial" w:hAnsi="Arial" w:cs="Arial"/>
          <w:sz w:val="22"/>
          <w:szCs w:val="22"/>
        </w:rPr>
        <w:t xml:space="preserve"> The role of insider researcher has been described an extension of a practitioners caring role in order </w:t>
      </w:r>
      <w:r w:rsidR="00D20260" w:rsidRPr="00D20260">
        <w:rPr>
          <w:rFonts w:ascii="Arial" w:hAnsi="Arial" w:cs="Arial"/>
          <w:i/>
          <w:iCs/>
          <w:sz w:val="22"/>
          <w:szCs w:val="22"/>
        </w:rPr>
        <w:t>“to act on behalf of another…”</w:t>
      </w:r>
      <w:r w:rsidR="00D20260">
        <w:rPr>
          <w:rFonts w:ascii="Arial" w:hAnsi="Arial" w:cs="Arial"/>
          <w:sz w:val="22"/>
          <w:szCs w:val="22"/>
        </w:rPr>
        <w:t xml:space="preserve"> (Noddings, 2003, p. 30). This aim resonates with my personal aims and objectives as Chief Clinical Officer, therapist, trainer, supervisor and researcher</w:t>
      </w:r>
      <w:r w:rsidR="00CD54FF">
        <w:rPr>
          <w:rFonts w:ascii="Arial" w:hAnsi="Arial" w:cs="Arial"/>
          <w:sz w:val="22"/>
          <w:szCs w:val="22"/>
        </w:rPr>
        <w:t>.</w:t>
      </w:r>
      <w:r w:rsidR="00D20260">
        <w:rPr>
          <w:rFonts w:ascii="Arial" w:hAnsi="Arial" w:cs="Arial"/>
          <w:sz w:val="22"/>
          <w:szCs w:val="22"/>
        </w:rPr>
        <w:t xml:space="preserve"> </w:t>
      </w:r>
      <w:r w:rsidR="00583836">
        <w:rPr>
          <w:rFonts w:ascii="Arial" w:hAnsi="Arial" w:cs="Arial"/>
          <w:sz w:val="22"/>
          <w:szCs w:val="22"/>
        </w:rPr>
        <w:t xml:space="preserve">Insider research in healthcare is said to be </w:t>
      </w:r>
      <w:r w:rsidR="00583836" w:rsidRPr="00645C83">
        <w:rPr>
          <w:rFonts w:ascii="Arial" w:hAnsi="Arial" w:cs="Arial"/>
          <w:i/>
          <w:iCs/>
          <w:sz w:val="22"/>
          <w:szCs w:val="22"/>
        </w:rPr>
        <w:t>“a formal and systematic attempt by practi</w:t>
      </w:r>
      <w:r w:rsidR="00645C83" w:rsidRPr="00645C83">
        <w:rPr>
          <w:rFonts w:ascii="Arial" w:hAnsi="Arial" w:cs="Arial"/>
          <w:i/>
          <w:iCs/>
          <w:sz w:val="22"/>
          <w:szCs w:val="22"/>
        </w:rPr>
        <w:t>ti</w:t>
      </w:r>
      <w:r w:rsidR="00583836" w:rsidRPr="00645C83">
        <w:rPr>
          <w:rFonts w:ascii="Arial" w:hAnsi="Arial" w:cs="Arial"/>
          <w:i/>
          <w:iCs/>
          <w:sz w:val="22"/>
          <w:szCs w:val="22"/>
        </w:rPr>
        <w:t>oners…to understand practi</w:t>
      </w:r>
      <w:r w:rsidR="00645C83" w:rsidRPr="00645C83">
        <w:rPr>
          <w:rFonts w:ascii="Arial" w:hAnsi="Arial" w:cs="Arial"/>
          <w:i/>
          <w:iCs/>
          <w:sz w:val="22"/>
          <w:szCs w:val="22"/>
        </w:rPr>
        <w:t>ti</w:t>
      </w:r>
      <w:r w:rsidR="00583836" w:rsidRPr="00645C83">
        <w:rPr>
          <w:rFonts w:ascii="Arial" w:hAnsi="Arial" w:cs="Arial"/>
          <w:i/>
          <w:iCs/>
          <w:sz w:val="22"/>
          <w:szCs w:val="22"/>
        </w:rPr>
        <w:t>oners work with the intended purpose of transforming self</w:t>
      </w:r>
      <w:r w:rsidR="0016192B">
        <w:rPr>
          <w:rFonts w:ascii="Arial" w:hAnsi="Arial" w:cs="Arial"/>
          <w:i/>
          <w:iCs/>
          <w:sz w:val="22"/>
          <w:szCs w:val="22"/>
        </w:rPr>
        <w:t>, c</w:t>
      </w:r>
      <w:r w:rsidR="00583836" w:rsidRPr="00645C83">
        <w:rPr>
          <w:rFonts w:ascii="Arial" w:hAnsi="Arial" w:cs="Arial"/>
          <w:i/>
          <w:iCs/>
          <w:sz w:val="22"/>
          <w:szCs w:val="22"/>
        </w:rPr>
        <w:t>olleagues and work contexts and the development of new understandings of practitioners work…”</w:t>
      </w:r>
      <w:r w:rsidR="00583836">
        <w:rPr>
          <w:rFonts w:ascii="Arial" w:hAnsi="Arial" w:cs="Arial"/>
          <w:sz w:val="22"/>
          <w:szCs w:val="22"/>
        </w:rPr>
        <w:t xml:space="preserve"> (McCormack, 2003 p.207). </w:t>
      </w:r>
      <w:r w:rsidR="0016192B">
        <w:rPr>
          <w:rFonts w:ascii="Arial" w:hAnsi="Arial" w:cs="Arial"/>
          <w:sz w:val="22"/>
          <w:szCs w:val="22"/>
        </w:rPr>
        <w:t xml:space="preserve">It might be said that insider researchers enjoy certain advantages when conducting research in their own work setting. </w:t>
      </w:r>
      <w:r w:rsidR="004F5EA3">
        <w:rPr>
          <w:rFonts w:ascii="Arial" w:hAnsi="Arial" w:cs="Arial"/>
          <w:sz w:val="22"/>
          <w:szCs w:val="22"/>
        </w:rPr>
        <w:t>Firstly, insider researcher</w:t>
      </w:r>
      <w:r w:rsidR="0016192B">
        <w:rPr>
          <w:rFonts w:ascii="Arial" w:hAnsi="Arial" w:cs="Arial"/>
          <w:sz w:val="22"/>
          <w:szCs w:val="22"/>
        </w:rPr>
        <w:t xml:space="preserve">s tend to have </w:t>
      </w:r>
      <w:r w:rsidR="00746D68">
        <w:rPr>
          <w:rFonts w:ascii="Arial" w:hAnsi="Arial" w:cs="Arial"/>
          <w:sz w:val="22"/>
          <w:szCs w:val="22"/>
        </w:rPr>
        <w:t xml:space="preserve">privileged access to research subjects (both practitioners and patients) </w:t>
      </w:r>
      <w:r w:rsidR="0016192B">
        <w:rPr>
          <w:rFonts w:ascii="Arial" w:hAnsi="Arial" w:cs="Arial"/>
          <w:sz w:val="22"/>
          <w:szCs w:val="22"/>
        </w:rPr>
        <w:t>expertise and</w:t>
      </w:r>
      <w:r w:rsidR="00746D68">
        <w:rPr>
          <w:rFonts w:ascii="Arial" w:hAnsi="Arial" w:cs="Arial"/>
          <w:sz w:val="22"/>
          <w:szCs w:val="22"/>
        </w:rPr>
        <w:t xml:space="preserve"> the researcher is an established member of the practice team. Secondly, the insider researcher </w:t>
      </w:r>
      <w:r w:rsidR="00910F5C">
        <w:rPr>
          <w:rFonts w:ascii="Arial" w:hAnsi="Arial" w:cs="Arial"/>
          <w:sz w:val="22"/>
          <w:szCs w:val="22"/>
        </w:rPr>
        <w:t xml:space="preserve">often has accumulated years of experience, </w:t>
      </w:r>
      <w:r w:rsidR="0016192B">
        <w:rPr>
          <w:rFonts w:ascii="Arial" w:hAnsi="Arial" w:cs="Arial"/>
          <w:sz w:val="22"/>
          <w:szCs w:val="22"/>
        </w:rPr>
        <w:t xml:space="preserve">knowledge </w:t>
      </w:r>
      <w:r w:rsidR="00746D68">
        <w:rPr>
          <w:rFonts w:ascii="Arial" w:hAnsi="Arial" w:cs="Arial"/>
          <w:sz w:val="22"/>
          <w:szCs w:val="22"/>
        </w:rPr>
        <w:t xml:space="preserve">and expertise that relate specifically to </w:t>
      </w:r>
      <w:r w:rsidR="0016192B">
        <w:rPr>
          <w:rFonts w:ascii="Arial" w:hAnsi="Arial" w:cs="Arial"/>
          <w:sz w:val="22"/>
          <w:szCs w:val="22"/>
        </w:rPr>
        <w:t>their practice setting</w:t>
      </w:r>
      <w:r w:rsidR="00746D68">
        <w:rPr>
          <w:rFonts w:ascii="Arial" w:hAnsi="Arial" w:cs="Arial"/>
          <w:sz w:val="22"/>
          <w:szCs w:val="22"/>
        </w:rPr>
        <w:t xml:space="preserve"> (</w:t>
      </w:r>
      <w:r w:rsidR="00910F5C">
        <w:rPr>
          <w:rFonts w:ascii="Arial" w:hAnsi="Arial" w:cs="Arial"/>
          <w:sz w:val="22"/>
          <w:szCs w:val="22"/>
        </w:rPr>
        <w:t>Lykkeslet-Molde and Gjengedal, 2007</w:t>
      </w:r>
      <w:r w:rsidR="00746D68">
        <w:rPr>
          <w:rFonts w:ascii="Arial" w:hAnsi="Arial" w:cs="Arial"/>
          <w:sz w:val="22"/>
          <w:szCs w:val="22"/>
        </w:rPr>
        <w:t>)</w:t>
      </w:r>
      <w:r w:rsidR="00910F5C">
        <w:rPr>
          <w:rFonts w:ascii="Arial" w:hAnsi="Arial" w:cs="Arial"/>
          <w:sz w:val="22"/>
          <w:szCs w:val="22"/>
        </w:rPr>
        <w:t xml:space="preserve">.  I have seven years of experience in my current role but </w:t>
      </w:r>
      <w:r w:rsidR="00A51D0B">
        <w:rPr>
          <w:rFonts w:ascii="Arial" w:hAnsi="Arial" w:cs="Arial"/>
          <w:sz w:val="22"/>
          <w:szCs w:val="22"/>
        </w:rPr>
        <w:t xml:space="preserve">twenty-five </w:t>
      </w:r>
      <w:r w:rsidR="00910F5C">
        <w:rPr>
          <w:rFonts w:ascii="Arial" w:hAnsi="Arial" w:cs="Arial"/>
          <w:sz w:val="22"/>
          <w:szCs w:val="22"/>
        </w:rPr>
        <w:t xml:space="preserve">years’ experience </w:t>
      </w:r>
      <w:r w:rsidR="00A30923">
        <w:rPr>
          <w:rFonts w:ascii="Arial" w:hAnsi="Arial" w:cs="Arial"/>
          <w:sz w:val="22"/>
          <w:szCs w:val="22"/>
        </w:rPr>
        <w:t>as</w:t>
      </w:r>
      <w:r w:rsidR="004F5EA3">
        <w:rPr>
          <w:rFonts w:ascii="Arial" w:hAnsi="Arial" w:cs="Arial"/>
          <w:sz w:val="22"/>
          <w:szCs w:val="22"/>
        </w:rPr>
        <w:t xml:space="preserve"> </w:t>
      </w:r>
      <w:r w:rsidR="00A51D0B">
        <w:rPr>
          <w:rFonts w:ascii="Arial" w:hAnsi="Arial" w:cs="Arial"/>
          <w:sz w:val="22"/>
          <w:szCs w:val="22"/>
        </w:rPr>
        <w:t>a cognitive behavioural therapist.</w:t>
      </w:r>
      <w:r w:rsidR="00F52461">
        <w:rPr>
          <w:rFonts w:ascii="Arial" w:hAnsi="Arial" w:cs="Arial"/>
          <w:sz w:val="22"/>
          <w:szCs w:val="22"/>
        </w:rPr>
        <w:t xml:space="preserve"> </w:t>
      </w:r>
      <w:r w:rsidR="00A51D0B">
        <w:rPr>
          <w:rFonts w:ascii="Arial" w:hAnsi="Arial" w:cs="Arial"/>
          <w:sz w:val="22"/>
          <w:szCs w:val="22"/>
        </w:rPr>
        <w:t>This ‘insider’ knowledge and experience has undoubtedly led to the development of preconceptions (Lykkeslet-Molde and Gjengedal, 2007) about the delivery of CBT and my experience has influenced this research in that</w:t>
      </w:r>
      <w:r w:rsidR="009A50E9">
        <w:rPr>
          <w:rFonts w:ascii="Arial" w:hAnsi="Arial" w:cs="Arial"/>
          <w:sz w:val="22"/>
          <w:szCs w:val="22"/>
        </w:rPr>
        <w:t xml:space="preserve"> I had hypothesised that both therapist competence and adherence would have a strong relationship with outcome. I have come to understand that</w:t>
      </w:r>
      <w:r w:rsidR="00CD54FF">
        <w:rPr>
          <w:rFonts w:ascii="Arial" w:hAnsi="Arial" w:cs="Arial"/>
          <w:sz w:val="22"/>
          <w:szCs w:val="22"/>
        </w:rPr>
        <w:t>,</w:t>
      </w:r>
      <w:r w:rsidR="009A50E9">
        <w:rPr>
          <w:rFonts w:ascii="Arial" w:hAnsi="Arial" w:cs="Arial"/>
          <w:sz w:val="22"/>
          <w:szCs w:val="22"/>
        </w:rPr>
        <w:t xml:space="preserve"> at the start of this research</w:t>
      </w:r>
      <w:r w:rsidR="00CD54FF">
        <w:rPr>
          <w:rFonts w:ascii="Arial" w:hAnsi="Arial" w:cs="Arial"/>
          <w:sz w:val="22"/>
          <w:szCs w:val="22"/>
        </w:rPr>
        <w:t>,</w:t>
      </w:r>
      <w:r w:rsidR="009A50E9">
        <w:rPr>
          <w:rFonts w:ascii="Arial" w:hAnsi="Arial" w:cs="Arial"/>
          <w:sz w:val="22"/>
          <w:szCs w:val="22"/>
        </w:rPr>
        <w:t xml:space="preserve"> I had a strong feeling that there was a ‘right’ way to do CBT. This ‘right’ way aligned to the IAPT training curriculum. Having spent years training, supervising and managing therapists in how to deliver effective CBT, there was little doubt in my mind that fidelity to the CBT model and adherence were paramount in achieving good clinical outcomes. Whilst this research has demonstrated that there is a </w:t>
      </w:r>
      <w:r w:rsidR="009A50E9">
        <w:rPr>
          <w:rFonts w:ascii="Arial" w:hAnsi="Arial" w:cs="Arial"/>
          <w:sz w:val="22"/>
          <w:szCs w:val="22"/>
        </w:rPr>
        <w:lastRenderedPageBreak/>
        <w:t xml:space="preserve">statistically significant relationship between competence and adherence at the </w:t>
      </w:r>
      <m:oMath>
        <m:r>
          <w:rPr>
            <w:rFonts w:ascii="Cambria Math" w:hAnsi="Cambria Math" w:cs="Arial"/>
            <w:sz w:val="22"/>
            <w:szCs w:val="22"/>
          </w:rPr>
          <m:t xml:space="preserve">≤ </m:t>
        </m:r>
      </m:oMath>
      <w:r w:rsidR="006F0044">
        <w:rPr>
          <w:rFonts w:ascii="Arial" w:hAnsi="Arial" w:cs="Arial"/>
          <w:sz w:val="22"/>
          <w:szCs w:val="22"/>
        </w:rPr>
        <w:t xml:space="preserve"> 0.05 level</w:t>
      </w:r>
      <w:r w:rsidR="00E53DF0">
        <w:rPr>
          <w:rFonts w:ascii="Arial" w:hAnsi="Arial" w:cs="Arial"/>
          <w:sz w:val="22"/>
          <w:szCs w:val="22"/>
        </w:rPr>
        <w:t>,</w:t>
      </w:r>
      <w:r w:rsidR="006F0044">
        <w:rPr>
          <w:rFonts w:ascii="Arial" w:hAnsi="Arial" w:cs="Arial"/>
          <w:sz w:val="22"/>
          <w:szCs w:val="22"/>
        </w:rPr>
        <w:t xml:space="preserve"> </w:t>
      </w:r>
      <w:r w:rsidR="00E53DF0">
        <w:rPr>
          <w:rFonts w:ascii="Arial" w:hAnsi="Arial" w:cs="Arial"/>
          <w:sz w:val="22"/>
          <w:szCs w:val="22"/>
        </w:rPr>
        <w:t>o</w:t>
      </w:r>
      <w:r w:rsidR="006F0044">
        <w:rPr>
          <w:rFonts w:ascii="Arial" w:hAnsi="Arial" w:cs="Arial"/>
          <w:sz w:val="22"/>
          <w:szCs w:val="22"/>
        </w:rPr>
        <w:t xml:space="preserve">n reflection, it is possible that my bias towards the importance of adherence and competence influenced the way I conducted this research. The process of conducting the research has forced me to question whether rating competence and adherence were the most appropriate methods for this research. </w:t>
      </w:r>
      <w:r w:rsidR="003B7DA7">
        <w:rPr>
          <w:rFonts w:ascii="Arial" w:hAnsi="Arial" w:cs="Arial"/>
          <w:sz w:val="22"/>
          <w:szCs w:val="22"/>
        </w:rPr>
        <w:t>Currently</w:t>
      </w:r>
      <w:r w:rsidR="00CD54FF">
        <w:rPr>
          <w:rFonts w:ascii="Arial" w:hAnsi="Arial" w:cs="Arial"/>
          <w:sz w:val="22"/>
          <w:szCs w:val="22"/>
        </w:rPr>
        <w:t>,</w:t>
      </w:r>
      <w:r w:rsidR="003B7DA7">
        <w:rPr>
          <w:rFonts w:ascii="Arial" w:hAnsi="Arial" w:cs="Arial"/>
          <w:sz w:val="22"/>
          <w:szCs w:val="22"/>
        </w:rPr>
        <w:t xml:space="preserve"> I believe that it would be more fruitful to closely examine the transcripts of the most effective therapists in order to understand the mechanisms of change</w:t>
      </w:r>
      <w:r w:rsidR="006F0044">
        <w:rPr>
          <w:rFonts w:ascii="Arial" w:hAnsi="Arial" w:cs="Arial"/>
          <w:sz w:val="22"/>
          <w:szCs w:val="22"/>
        </w:rPr>
        <w:t xml:space="preserve"> </w:t>
      </w:r>
      <w:r w:rsidR="003B7DA7">
        <w:rPr>
          <w:rFonts w:ascii="Arial" w:hAnsi="Arial" w:cs="Arial"/>
          <w:sz w:val="22"/>
          <w:szCs w:val="22"/>
        </w:rPr>
        <w:t>that these therapists employ. It might be argued that an outsider researcher, with no experience of CBT</w:t>
      </w:r>
      <w:r w:rsidR="00CD54FF">
        <w:rPr>
          <w:rFonts w:ascii="Arial" w:hAnsi="Arial" w:cs="Arial"/>
          <w:sz w:val="22"/>
          <w:szCs w:val="22"/>
        </w:rPr>
        <w:t>,</w:t>
      </w:r>
      <w:r w:rsidR="003B7DA7">
        <w:rPr>
          <w:rFonts w:ascii="Arial" w:hAnsi="Arial" w:cs="Arial"/>
          <w:sz w:val="22"/>
          <w:szCs w:val="22"/>
        </w:rPr>
        <w:t xml:space="preserve"> would have been less caught up with the doctrines, </w:t>
      </w:r>
      <w:r w:rsidR="00E57E27">
        <w:rPr>
          <w:rFonts w:ascii="Arial" w:hAnsi="Arial" w:cs="Arial"/>
          <w:sz w:val="22"/>
          <w:szCs w:val="22"/>
        </w:rPr>
        <w:t xml:space="preserve">professional codes </w:t>
      </w:r>
      <w:r w:rsidR="003B7DA7">
        <w:rPr>
          <w:rFonts w:ascii="Arial" w:hAnsi="Arial" w:cs="Arial"/>
          <w:sz w:val="22"/>
          <w:szCs w:val="22"/>
        </w:rPr>
        <w:t>and established principles of CBT and as a result they may have had a naive but more objective stance. Whilst I made attempts to remain objective, control for bias</w:t>
      </w:r>
      <w:r w:rsidR="00E57E27">
        <w:rPr>
          <w:rFonts w:ascii="Arial" w:hAnsi="Arial" w:cs="Arial"/>
          <w:sz w:val="22"/>
          <w:szCs w:val="22"/>
        </w:rPr>
        <w:t>,</w:t>
      </w:r>
      <w:r w:rsidR="003B7DA7">
        <w:rPr>
          <w:rFonts w:ascii="Arial" w:hAnsi="Arial" w:cs="Arial"/>
          <w:sz w:val="22"/>
          <w:szCs w:val="22"/>
        </w:rPr>
        <w:t xml:space="preserve"> and my </w:t>
      </w:r>
      <w:r w:rsidR="00E57E27">
        <w:rPr>
          <w:rFonts w:ascii="Arial" w:hAnsi="Arial" w:cs="Arial"/>
          <w:sz w:val="22"/>
          <w:szCs w:val="22"/>
        </w:rPr>
        <w:t xml:space="preserve">own </w:t>
      </w:r>
      <w:r w:rsidR="003B7DA7">
        <w:rPr>
          <w:rFonts w:ascii="Arial" w:hAnsi="Arial" w:cs="Arial"/>
          <w:sz w:val="22"/>
          <w:szCs w:val="22"/>
        </w:rPr>
        <w:t>personal influence</w:t>
      </w:r>
      <w:r w:rsidR="00E57E27">
        <w:rPr>
          <w:rFonts w:ascii="Arial" w:hAnsi="Arial" w:cs="Arial"/>
          <w:sz w:val="22"/>
          <w:szCs w:val="22"/>
        </w:rPr>
        <w:t xml:space="preserve"> on this research,</w:t>
      </w:r>
      <w:r w:rsidR="003B7DA7">
        <w:rPr>
          <w:rFonts w:ascii="Arial" w:hAnsi="Arial" w:cs="Arial"/>
          <w:sz w:val="22"/>
          <w:szCs w:val="22"/>
        </w:rPr>
        <w:t xml:space="preserve"> this was one of the more challenging aspects of being an insider researcher.</w:t>
      </w:r>
      <w:r w:rsidR="00E57E27">
        <w:rPr>
          <w:rFonts w:ascii="Arial" w:hAnsi="Arial" w:cs="Arial"/>
          <w:sz w:val="22"/>
          <w:szCs w:val="22"/>
        </w:rPr>
        <w:t xml:space="preserve"> The main issue that I contended with was my role as Chief Clinical Officer and the power and influence that this may bestow on those I work with.  This may have been mediated by the fact that this research undertook a post hoc analysis of data </w:t>
      </w:r>
      <w:r w:rsidR="00E57E27" w:rsidRPr="00A305AA">
        <w:rPr>
          <w:rFonts w:ascii="Arial" w:hAnsi="Arial" w:cs="Arial"/>
          <w:i/>
          <w:iCs/>
          <w:sz w:val="22"/>
          <w:szCs w:val="22"/>
        </w:rPr>
        <w:t>in silico</w:t>
      </w:r>
      <w:r w:rsidR="00E57E27">
        <w:rPr>
          <w:rFonts w:ascii="Arial" w:hAnsi="Arial" w:cs="Arial"/>
          <w:sz w:val="22"/>
          <w:szCs w:val="22"/>
        </w:rPr>
        <w:t xml:space="preserve"> (see </w:t>
      </w:r>
      <w:r w:rsidR="00CD54FF">
        <w:rPr>
          <w:rFonts w:ascii="Arial" w:hAnsi="Arial" w:cs="Arial"/>
          <w:sz w:val="22"/>
          <w:szCs w:val="22"/>
        </w:rPr>
        <w:t>C</w:t>
      </w:r>
      <w:r w:rsidR="00E57E27">
        <w:rPr>
          <w:rFonts w:ascii="Arial" w:hAnsi="Arial" w:cs="Arial"/>
          <w:sz w:val="22"/>
          <w:szCs w:val="22"/>
        </w:rPr>
        <w:t xml:space="preserve">hapter six for a description of </w:t>
      </w:r>
      <w:r w:rsidR="00E57E27" w:rsidRPr="00A305AA">
        <w:rPr>
          <w:rFonts w:ascii="Arial" w:hAnsi="Arial" w:cs="Arial"/>
          <w:i/>
          <w:iCs/>
          <w:sz w:val="22"/>
          <w:szCs w:val="22"/>
        </w:rPr>
        <w:t>in silico</w:t>
      </w:r>
      <w:r w:rsidR="00E57E27">
        <w:rPr>
          <w:rFonts w:ascii="Arial" w:hAnsi="Arial" w:cs="Arial"/>
          <w:sz w:val="22"/>
          <w:szCs w:val="22"/>
        </w:rPr>
        <w:t xml:space="preserve"> research). Therefore, at the time the therapy was conducted</w:t>
      </w:r>
      <w:r w:rsidR="00CD54FF">
        <w:rPr>
          <w:rFonts w:ascii="Arial" w:hAnsi="Arial" w:cs="Arial"/>
          <w:sz w:val="22"/>
          <w:szCs w:val="22"/>
        </w:rPr>
        <w:t>,</w:t>
      </w:r>
      <w:r w:rsidR="00E57E27">
        <w:rPr>
          <w:rFonts w:ascii="Arial" w:hAnsi="Arial" w:cs="Arial"/>
          <w:sz w:val="22"/>
          <w:szCs w:val="22"/>
        </w:rPr>
        <w:t xml:space="preserve"> therapists would have been unaware that their work would be studied for research purposes. However, the supervisors who rated the transcripts may have been influenced </w:t>
      </w:r>
      <w:r w:rsidR="00D20260">
        <w:rPr>
          <w:rFonts w:ascii="Arial" w:hAnsi="Arial" w:cs="Arial"/>
          <w:sz w:val="22"/>
          <w:szCs w:val="22"/>
        </w:rPr>
        <w:t xml:space="preserve">by my involvement. </w:t>
      </w:r>
      <w:r w:rsidR="00030708">
        <w:rPr>
          <w:rFonts w:ascii="Arial" w:hAnsi="Arial" w:cs="Arial"/>
          <w:sz w:val="22"/>
          <w:szCs w:val="22"/>
        </w:rPr>
        <w:t xml:space="preserve">I have clearly articulated values about the quality of therapy provision and service delivery that I expect, and the clinical supervisors will have been exposed to these opinions. </w:t>
      </w:r>
      <w:r w:rsidR="00D20260">
        <w:rPr>
          <w:rFonts w:ascii="Arial" w:hAnsi="Arial" w:cs="Arial"/>
          <w:sz w:val="22"/>
          <w:szCs w:val="22"/>
        </w:rPr>
        <w:t xml:space="preserve">Whilst I took care to ensure that I did not provide the inter-rater reliability training or feedback to the supervisors it </w:t>
      </w:r>
      <w:r w:rsidR="00433FDD">
        <w:rPr>
          <w:rFonts w:ascii="Arial" w:hAnsi="Arial" w:cs="Arial"/>
          <w:sz w:val="22"/>
          <w:szCs w:val="22"/>
        </w:rPr>
        <w:t>was</w:t>
      </w:r>
      <w:r w:rsidR="00D20260">
        <w:rPr>
          <w:rFonts w:ascii="Arial" w:hAnsi="Arial" w:cs="Arial"/>
          <w:sz w:val="22"/>
          <w:szCs w:val="22"/>
        </w:rPr>
        <w:t xml:space="preserve"> impossible to completely eradicate my influence as a research</w:t>
      </w:r>
      <w:r w:rsidR="00664CB7">
        <w:rPr>
          <w:rFonts w:ascii="Arial" w:hAnsi="Arial" w:cs="Arial"/>
          <w:sz w:val="22"/>
          <w:szCs w:val="22"/>
        </w:rPr>
        <w:t>er</w:t>
      </w:r>
      <w:r w:rsidR="00D20260">
        <w:rPr>
          <w:rFonts w:ascii="Arial" w:hAnsi="Arial" w:cs="Arial"/>
          <w:sz w:val="22"/>
          <w:szCs w:val="22"/>
        </w:rPr>
        <w:t xml:space="preserve"> because of the duality of roles (researcher and </w:t>
      </w:r>
      <w:r w:rsidR="00664CB7">
        <w:rPr>
          <w:rFonts w:ascii="Arial" w:hAnsi="Arial" w:cs="Arial"/>
          <w:sz w:val="22"/>
          <w:szCs w:val="22"/>
        </w:rPr>
        <w:t>C</w:t>
      </w:r>
      <w:r w:rsidR="00D20260">
        <w:rPr>
          <w:rFonts w:ascii="Arial" w:hAnsi="Arial" w:cs="Arial"/>
          <w:sz w:val="22"/>
          <w:szCs w:val="22"/>
        </w:rPr>
        <w:t xml:space="preserve">hief </w:t>
      </w:r>
      <w:r w:rsidR="00664CB7">
        <w:rPr>
          <w:rFonts w:ascii="Arial" w:hAnsi="Arial" w:cs="Arial"/>
          <w:sz w:val="22"/>
          <w:szCs w:val="22"/>
        </w:rPr>
        <w:t>C</w:t>
      </w:r>
      <w:r w:rsidR="00D20260">
        <w:rPr>
          <w:rFonts w:ascii="Arial" w:hAnsi="Arial" w:cs="Arial"/>
          <w:sz w:val="22"/>
          <w:szCs w:val="22"/>
        </w:rPr>
        <w:t xml:space="preserve">linical </w:t>
      </w:r>
      <w:r w:rsidR="00664CB7">
        <w:rPr>
          <w:rFonts w:ascii="Arial" w:hAnsi="Arial" w:cs="Arial"/>
          <w:sz w:val="22"/>
          <w:szCs w:val="22"/>
        </w:rPr>
        <w:t>O</w:t>
      </w:r>
      <w:r w:rsidR="00D20260">
        <w:rPr>
          <w:rFonts w:ascii="Arial" w:hAnsi="Arial" w:cs="Arial"/>
          <w:sz w:val="22"/>
          <w:szCs w:val="22"/>
        </w:rPr>
        <w:t xml:space="preserve">fficer). </w:t>
      </w:r>
      <w:r w:rsidR="007D0F74">
        <w:rPr>
          <w:rFonts w:ascii="Arial" w:hAnsi="Arial" w:cs="Arial"/>
          <w:sz w:val="22"/>
          <w:szCs w:val="22"/>
        </w:rPr>
        <w:t xml:space="preserve">It might be argued there </w:t>
      </w:r>
      <w:r w:rsidR="00664CB7">
        <w:rPr>
          <w:rFonts w:ascii="Arial" w:hAnsi="Arial" w:cs="Arial"/>
          <w:sz w:val="22"/>
          <w:szCs w:val="22"/>
        </w:rPr>
        <w:t>are no</w:t>
      </w:r>
      <w:r w:rsidR="007D0F74">
        <w:rPr>
          <w:rFonts w:ascii="Arial" w:hAnsi="Arial" w:cs="Arial"/>
          <w:sz w:val="22"/>
          <w:szCs w:val="22"/>
        </w:rPr>
        <w:t xml:space="preserve"> elegant solution</w:t>
      </w:r>
      <w:r w:rsidR="00664CB7">
        <w:rPr>
          <w:rFonts w:ascii="Arial" w:hAnsi="Arial" w:cs="Arial"/>
          <w:sz w:val="22"/>
          <w:szCs w:val="22"/>
        </w:rPr>
        <w:t>s</w:t>
      </w:r>
      <w:r w:rsidR="007D0F74">
        <w:rPr>
          <w:rFonts w:ascii="Arial" w:hAnsi="Arial" w:cs="Arial"/>
          <w:sz w:val="22"/>
          <w:szCs w:val="22"/>
        </w:rPr>
        <w:t xml:space="preserve"> to balancing the benefits of insider research with the difficulties that can be experienced in maintaining a stance of objectivity and design a study that is methodologically robust (Costley Elliott and Gibbs, 2013).  Just as randomised controlled trials have been criticised for over controlling variables</w:t>
      </w:r>
      <w:r w:rsidR="0075578E">
        <w:rPr>
          <w:rFonts w:ascii="Arial" w:hAnsi="Arial" w:cs="Arial"/>
          <w:sz w:val="22"/>
          <w:szCs w:val="22"/>
        </w:rPr>
        <w:t>,</w:t>
      </w:r>
      <w:r w:rsidR="007D0F74">
        <w:rPr>
          <w:rFonts w:ascii="Arial" w:hAnsi="Arial" w:cs="Arial"/>
          <w:sz w:val="22"/>
          <w:szCs w:val="22"/>
        </w:rPr>
        <w:t xml:space="preserve"> so much so that the results </w:t>
      </w:r>
      <w:r w:rsidR="00621F79">
        <w:rPr>
          <w:rFonts w:ascii="Arial" w:hAnsi="Arial" w:cs="Arial"/>
          <w:sz w:val="22"/>
          <w:szCs w:val="22"/>
        </w:rPr>
        <w:t>may not</w:t>
      </w:r>
      <w:r w:rsidR="007D0F74">
        <w:rPr>
          <w:rFonts w:ascii="Arial" w:hAnsi="Arial" w:cs="Arial"/>
          <w:sz w:val="22"/>
          <w:szCs w:val="22"/>
        </w:rPr>
        <w:t xml:space="preserve"> generalise to real</w:t>
      </w:r>
      <w:r w:rsidR="00622CDC">
        <w:rPr>
          <w:rFonts w:ascii="Arial" w:hAnsi="Arial" w:cs="Arial"/>
          <w:sz w:val="22"/>
          <w:szCs w:val="22"/>
        </w:rPr>
        <w:t>-</w:t>
      </w:r>
      <w:r w:rsidR="007D0F74">
        <w:rPr>
          <w:rFonts w:ascii="Arial" w:hAnsi="Arial" w:cs="Arial"/>
          <w:sz w:val="22"/>
          <w:szCs w:val="22"/>
        </w:rPr>
        <w:t xml:space="preserve">world settings (see discussion in </w:t>
      </w:r>
      <w:r w:rsidR="00CD54FF">
        <w:rPr>
          <w:rFonts w:ascii="Arial" w:hAnsi="Arial" w:cs="Arial"/>
          <w:sz w:val="22"/>
          <w:szCs w:val="22"/>
        </w:rPr>
        <w:t>C</w:t>
      </w:r>
      <w:r w:rsidR="007D0F74">
        <w:rPr>
          <w:rFonts w:ascii="Arial" w:hAnsi="Arial" w:cs="Arial"/>
          <w:sz w:val="22"/>
          <w:szCs w:val="22"/>
        </w:rPr>
        <w:t xml:space="preserve">hapter </w:t>
      </w:r>
      <w:r w:rsidR="00C87463">
        <w:rPr>
          <w:rFonts w:ascii="Arial" w:hAnsi="Arial" w:cs="Arial"/>
          <w:sz w:val="22"/>
          <w:szCs w:val="22"/>
        </w:rPr>
        <w:t>3</w:t>
      </w:r>
      <w:r w:rsidR="007D0F74">
        <w:rPr>
          <w:rFonts w:ascii="Arial" w:hAnsi="Arial" w:cs="Arial"/>
          <w:sz w:val="22"/>
          <w:szCs w:val="22"/>
        </w:rPr>
        <w:t>)</w:t>
      </w:r>
      <w:r w:rsidR="00621F79">
        <w:rPr>
          <w:rFonts w:ascii="Arial" w:hAnsi="Arial" w:cs="Arial"/>
          <w:sz w:val="22"/>
          <w:szCs w:val="22"/>
        </w:rPr>
        <w:t>.  This juxtaposition between real</w:t>
      </w:r>
      <w:r w:rsidR="00622CDC">
        <w:rPr>
          <w:rFonts w:ascii="Arial" w:hAnsi="Arial" w:cs="Arial"/>
          <w:sz w:val="22"/>
          <w:szCs w:val="22"/>
        </w:rPr>
        <w:t>-</w:t>
      </w:r>
      <w:r w:rsidR="00621F79">
        <w:rPr>
          <w:rFonts w:ascii="Arial" w:hAnsi="Arial" w:cs="Arial"/>
          <w:sz w:val="22"/>
          <w:szCs w:val="22"/>
        </w:rPr>
        <w:t xml:space="preserve">world research and </w:t>
      </w:r>
      <w:r w:rsidR="000E6D00">
        <w:rPr>
          <w:rFonts w:ascii="Arial" w:hAnsi="Arial" w:cs="Arial"/>
          <w:sz w:val="22"/>
          <w:szCs w:val="22"/>
        </w:rPr>
        <w:t xml:space="preserve">academic </w:t>
      </w:r>
      <w:r w:rsidR="000E6D00">
        <w:rPr>
          <w:rFonts w:ascii="Arial" w:hAnsi="Arial" w:cs="Arial"/>
          <w:sz w:val="22"/>
          <w:szCs w:val="22"/>
        </w:rPr>
        <w:lastRenderedPageBreak/>
        <w:t>(outsider) research was, at times, difficult as I am aware that I cannot remove myself, my influence and prior knowledge from this research. Furthermore, I became aware that there are other stakeholders in this research that I have also had to consider. Figure 7.</w:t>
      </w:r>
      <w:r w:rsidR="00CD48E4">
        <w:rPr>
          <w:rFonts w:ascii="Arial" w:hAnsi="Arial" w:cs="Arial"/>
          <w:sz w:val="22"/>
          <w:szCs w:val="22"/>
        </w:rPr>
        <w:t>1</w:t>
      </w:r>
      <w:r w:rsidR="000E6D00">
        <w:rPr>
          <w:rFonts w:ascii="Arial" w:hAnsi="Arial" w:cs="Arial"/>
          <w:sz w:val="22"/>
          <w:szCs w:val="22"/>
        </w:rPr>
        <w:t xml:space="preserve"> shows the various stakeholders that have impacted on this research. The most contr</w:t>
      </w:r>
      <w:r w:rsidR="00F52461">
        <w:rPr>
          <w:rFonts w:ascii="Arial" w:hAnsi="Arial" w:cs="Arial"/>
          <w:sz w:val="22"/>
          <w:szCs w:val="22"/>
        </w:rPr>
        <w:t>o</w:t>
      </w:r>
      <w:r w:rsidR="000E6D00">
        <w:rPr>
          <w:rFonts w:ascii="Arial" w:hAnsi="Arial" w:cs="Arial"/>
          <w:sz w:val="22"/>
          <w:szCs w:val="22"/>
        </w:rPr>
        <w:t xml:space="preserve">versial of which are the relationships I have with those that have power or influence over me, including my employer (Chief Executive Officer, Chair of the Board of Directors and the Board of Directors as a whole) and the founders and senior managers of the IAPT programme. I am aware that these two groups (employer and IAPT) may have competing expectations and that the results of my research may be controversial to both parties. My employer may expect my research to result in </w:t>
      </w:r>
      <w:r w:rsidR="00F110AC">
        <w:rPr>
          <w:rFonts w:ascii="Arial" w:hAnsi="Arial" w:cs="Arial"/>
          <w:sz w:val="22"/>
          <w:szCs w:val="22"/>
        </w:rPr>
        <w:t>i</w:t>
      </w:r>
      <w:r w:rsidR="000E6D00">
        <w:rPr>
          <w:rFonts w:ascii="Arial" w:hAnsi="Arial" w:cs="Arial"/>
          <w:sz w:val="22"/>
          <w:szCs w:val="22"/>
        </w:rPr>
        <w:t xml:space="preserve">ntellectual </w:t>
      </w:r>
      <w:r w:rsidR="00F110AC">
        <w:rPr>
          <w:rFonts w:ascii="Arial" w:hAnsi="Arial" w:cs="Arial"/>
          <w:sz w:val="22"/>
          <w:szCs w:val="22"/>
        </w:rPr>
        <w:t>p</w:t>
      </w:r>
      <w:r w:rsidR="000E6D00">
        <w:rPr>
          <w:rFonts w:ascii="Arial" w:hAnsi="Arial" w:cs="Arial"/>
          <w:sz w:val="22"/>
          <w:szCs w:val="22"/>
        </w:rPr>
        <w:t>roperty that directly benefits the organisation and IAPT may wish me to present findings that are congruent with their agenda.</w:t>
      </w:r>
    </w:p>
    <w:p w14:paraId="1CFA5691" w14:textId="7DFAA9A0" w:rsidR="00986EDC" w:rsidRDefault="00F110AC" w:rsidP="00B54C7E">
      <w:pPr>
        <w:spacing w:line="480" w:lineRule="auto"/>
      </w:pP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p>
    <w:p w14:paraId="4AD7CCF8" w14:textId="6F102B30" w:rsidR="00986EDC" w:rsidRDefault="00986EDC" w:rsidP="00986EDC">
      <w:pPr>
        <w:pStyle w:val="Figures"/>
        <w:rPr>
          <w:b w:val="0"/>
        </w:rPr>
      </w:pPr>
      <w:bookmarkStart w:id="507" w:name="_Toc46770968"/>
      <w:r w:rsidRPr="000433C0">
        <w:t>Figure 7.</w:t>
      </w:r>
      <w:r w:rsidR="003B70E9">
        <w:t>1</w:t>
      </w:r>
      <w:r w:rsidRPr="000433C0">
        <w:t xml:space="preserve"> </w:t>
      </w:r>
      <w:r w:rsidRPr="00986EDC">
        <w:rPr>
          <w:b w:val="0"/>
        </w:rPr>
        <w:t>The influences and stakeholders impacting on this research (adapted from Costley, Elliott and Gibbs, 2013 p. 2)</w:t>
      </w:r>
      <w:bookmarkEnd w:id="507"/>
    </w:p>
    <w:p w14:paraId="72D583C1" w14:textId="77777777" w:rsidR="00986EDC" w:rsidRPr="00986EDC" w:rsidRDefault="00986EDC" w:rsidP="00986EDC">
      <w:pPr>
        <w:pStyle w:val="Figures"/>
        <w:rPr>
          <w:b w:val="0"/>
        </w:rPr>
      </w:pPr>
    </w:p>
    <w:p w14:paraId="68A6BD0E" w14:textId="77777777" w:rsidR="00986EDC" w:rsidRPr="00986EDC" w:rsidRDefault="00986EDC" w:rsidP="00986EDC"/>
    <w:p w14:paraId="0C6180E3" w14:textId="2127831D" w:rsidR="00F110AC" w:rsidRDefault="00F110AC" w:rsidP="00986EDC">
      <w:pPr>
        <w:spacing w:line="480" w:lineRule="auto"/>
        <w:jc w:val="center"/>
        <w:rPr>
          <w:rFonts w:ascii="Arial" w:hAnsi="Arial" w:cs="Arial"/>
          <w:sz w:val="22"/>
          <w:szCs w:val="22"/>
        </w:rPr>
      </w:pPr>
      <w:r>
        <w:rPr>
          <w:rFonts w:ascii="Arial" w:hAnsi="Arial" w:cs="Arial"/>
          <w:sz w:val="22"/>
          <w:szCs w:val="22"/>
        </w:rPr>
        <w:t>Me</w:t>
      </w:r>
    </w:p>
    <w:p w14:paraId="5334B194" w14:textId="5A84A99E" w:rsidR="00F110AC" w:rsidRDefault="00F110AC" w:rsidP="00B54C7E">
      <w:pPr>
        <w:spacing w:line="480" w:lineRule="auto"/>
        <w:rPr>
          <w:rFonts w:ascii="Arial" w:hAnsi="Arial" w:cs="Arial"/>
          <w:sz w:val="22"/>
          <w:szCs w:val="22"/>
        </w:rPr>
      </w:pP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Senior clinical team and supervisors</w:t>
      </w:r>
    </w:p>
    <w:p w14:paraId="173969EF" w14:textId="296B6B56" w:rsidR="00F110AC" w:rsidRDefault="00F110AC" w:rsidP="00B54C7E">
      <w:pPr>
        <w:spacing w:line="480" w:lineRule="auto"/>
        <w:rPr>
          <w:rFonts w:ascii="Arial" w:hAnsi="Arial" w:cs="Arial"/>
          <w:sz w:val="22"/>
          <w:szCs w:val="22"/>
        </w:rPr>
      </w:pPr>
      <w:r>
        <w:rPr>
          <w:rFonts w:ascii="Arial" w:hAnsi="Arial" w:cs="Arial"/>
          <w:sz w:val="22"/>
          <w:szCs w:val="22"/>
        </w:rPr>
        <w:tab/>
      </w:r>
      <w:r>
        <w:rPr>
          <w:rFonts w:ascii="Arial" w:hAnsi="Arial" w:cs="Arial"/>
          <w:sz w:val="22"/>
          <w:szCs w:val="22"/>
        </w:rPr>
        <w:tab/>
      </w:r>
      <w:r>
        <w:rPr>
          <w:rFonts w:ascii="Arial" w:hAnsi="Arial" w:cs="Arial"/>
          <w:sz w:val="22"/>
          <w:szCs w:val="22"/>
        </w:rPr>
        <w:tab/>
        <w:t>Therapists    who     work    at    Ieso    Digital     Health</w:t>
      </w:r>
    </w:p>
    <w:p w14:paraId="4127BF42" w14:textId="6A31CB98" w:rsidR="00F110AC" w:rsidRDefault="00F110AC" w:rsidP="00B54C7E">
      <w:pPr>
        <w:spacing w:line="480" w:lineRule="auto"/>
        <w:rPr>
          <w:rFonts w:ascii="Arial" w:hAnsi="Arial" w:cs="Arial"/>
          <w:sz w:val="22"/>
          <w:szCs w:val="22"/>
        </w:rPr>
      </w:pPr>
      <w:r>
        <w:rPr>
          <w:rFonts w:ascii="Arial" w:hAnsi="Arial" w:cs="Arial"/>
          <w:sz w:val="22"/>
          <w:szCs w:val="22"/>
        </w:rPr>
        <w:tab/>
      </w:r>
      <w:r>
        <w:rPr>
          <w:rFonts w:ascii="Arial" w:hAnsi="Arial" w:cs="Arial"/>
          <w:sz w:val="22"/>
          <w:szCs w:val="22"/>
        </w:rPr>
        <w:tab/>
        <w:t xml:space="preserve">   Wider         team        at                Ieso           Digital         Health </w:t>
      </w:r>
    </w:p>
    <w:p w14:paraId="29C90684" w14:textId="4CF7CC5F" w:rsidR="00F110AC" w:rsidRDefault="00F110AC" w:rsidP="00F110AC">
      <w:pPr>
        <w:spacing w:line="480" w:lineRule="auto"/>
        <w:rPr>
          <w:rFonts w:ascii="Arial" w:hAnsi="Arial" w:cs="Arial"/>
          <w:sz w:val="22"/>
          <w:szCs w:val="22"/>
        </w:rPr>
      </w:pPr>
      <w:r>
        <w:rPr>
          <w:rFonts w:ascii="Arial" w:hAnsi="Arial" w:cs="Arial"/>
          <w:sz w:val="22"/>
          <w:szCs w:val="22"/>
        </w:rPr>
        <w:tab/>
        <w:t xml:space="preserve">      Chief        Executive      Officer       and       Board      of             Directors</w:t>
      </w:r>
    </w:p>
    <w:p w14:paraId="097CBE0C" w14:textId="1692D8FB" w:rsidR="00F110AC" w:rsidRDefault="00F110AC" w:rsidP="00F110AC">
      <w:pPr>
        <w:spacing w:line="480" w:lineRule="auto"/>
        <w:rPr>
          <w:rFonts w:ascii="Arial" w:hAnsi="Arial" w:cs="Arial"/>
          <w:sz w:val="22"/>
          <w:szCs w:val="22"/>
        </w:rPr>
      </w:pPr>
      <w:r>
        <w:rPr>
          <w:rFonts w:ascii="Arial" w:hAnsi="Arial" w:cs="Arial"/>
          <w:sz w:val="22"/>
          <w:szCs w:val="22"/>
        </w:rPr>
        <w:t xml:space="preserve">         CBT             community              and               key                opinion            leaders</w:t>
      </w:r>
    </w:p>
    <w:p w14:paraId="1406528B" w14:textId="7AD954C8" w:rsidR="00F110AC" w:rsidRDefault="00F110AC" w:rsidP="00F110AC">
      <w:pPr>
        <w:spacing w:line="480" w:lineRule="auto"/>
        <w:rPr>
          <w:rFonts w:ascii="Arial" w:hAnsi="Arial" w:cs="Arial"/>
          <w:sz w:val="22"/>
          <w:szCs w:val="22"/>
        </w:rPr>
      </w:pPr>
      <w:r>
        <w:rPr>
          <w:rFonts w:ascii="Arial" w:hAnsi="Arial" w:cs="Arial"/>
          <w:sz w:val="22"/>
          <w:szCs w:val="22"/>
        </w:rPr>
        <w:t xml:space="preserve">Founders       and        senior        managers       of         IAPT         and             NHS England </w:t>
      </w:r>
    </w:p>
    <w:p w14:paraId="3E8470D1" w14:textId="621A6607" w:rsidR="00F110AC" w:rsidRDefault="00F110AC" w:rsidP="00B54C7E">
      <w:pPr>
        <w:spacing w:line="480" w:lineRule="auto"/>
        <w:rPr>
          <w:rFonts w:ascii="Arial" w:hAnsi="Arial" w:cs="Arial"/>
          <w:sz w:val="22"/>
          <w:szCs w:val="22"/>
        </w:rPr>
      </w:pPr>
    </w:p>
    <w:p w14:paraId="4DB978B0" w14:textId="5F57CF87" w:rsidR="000E6D00" w:rsidRDefault="000E6D00" w:rsidP="00B54C7E">
      <w:pPr>
        <w:spacing w:line="480" w:lineRule="auto"/>
        <w:rPr>
          <w:rFonts w:ascii="Arial" w:hAnsi="Arial" w:cs="Arial"/>
          <w:sz w:val="22"/>
          <w:szCs w:val="22"/>
        </w:rPr>
      </w:pPr>
    </w:p>
    <w:p w14:paraId="32C9BD4A" w14:textId="77777777" w:rsidR="00F110AC" w:rsidRDefault="00F110AC" w:rsidP="00B54C7E">
      <w:pPr>
        <w:spacing w:line="480" w:lineRule="auto"/>
        <w:rPr>
          <w:rFonts w:ascii="Arial" w:hAnsi="Arial" w:cs="Arial"/>
          <w:sz w:val="22"/>
          <w:szCs w:val="22"/>
        </w:rPr>
      </w:pPr>
    </w:p>
    <w:p w14:paraId="39C8DBCC" w14:textId="77777777" w:rsidR="00986EDC" w:rsidRDefault="00986EDC">
      <w:pPr>
        <w:rPr>
          <w:rFonts w:ascii="Arial" w:hAnsi="Arial" w:cs="Arial"/>
          <w:sz w:val="22"/>
          <w:szCs w:val="22"/>
        </w:rPr>
      </w:pPr>
      <w:r>
        <w:rPr>
          <w:rFonts w:ascii="Arial" w:hAnsi="Arial" w:cs="Arial"/>
          <w:sz w:val="22"/>
          <w:szCs w:val="22"/>
        </w:rPr>
        <w:br w:type="page"/>
      </w:r>
    </w:p>
    <w:p w14:paraId="46C154D8" w14:textId="48888E53" w:rsidR="000E6D00" w:rsidRDefault="00F52461" w:rsidP="00B54C7E">
      <w:pPr>
        <w:spacing w:line="480" w:lineRule="auto"/>
        <w:rPr>
          <w:rFonts w:ascii="Arial" w:hAnsi="Arial" w:cs="Arial"/>
          <w:sz w:val="22"/>
          <w:szCs w:val="22"/>
        </w:rPr>
      </w:pPr>
      <w:r>
        <w:rPr>
          <w:rFonts w:ascii="Arial" w:hAnsi="Arial" w:cs="Arial"/>
          <w:sz w:val="22"/>
          <w:szCs w:val="22"/>
        </w:rPr>
        <w:lastRenderedPageBreak/>
        <w:t>It might be argued that the issues I have experienced in conducting this research are merely an extension of my practice in that there are always competing demands that relate to issues such as quality versus cost effectiveness, my employer’s agenda versus the IAPT agenda. I have managed these aspects of my practice</w:t>
      </w:r>
      <w:r w:rsidR="00CD54FF">
        <w:rPr>
          <w:rFonts w:ascii="Arial" w:hAnsi="Arial" w:cs="Arial"/>
          <w:sz w:val="22"/>
          <w:szCs w:val="22"/>
        </w:rPr>
        <w:t>,</w:t>
      </w:r>
      <w:r>
        <w:rPr>
          <w:rFonts w:ascii="Arial" w:hAnsi="Arial" w:cs="Arial"/>
          <w:sz w:val="22"/>
          <w:szCs w:val="22"/>
        </w:rPr>
        <w:t xml:space="preserve"> just as I managed them in my role as a researcher, in this research, in that I am acting on behalf of the patients (Noddings, 2003) in order to improve and enhance patient care. Central to this is the concept of career-</w:t>
      </w:r>
      <w:r w:rsidR="00F110AC">
        <w:rPr>
          <w:rFonts w:ascii="Arial" w:hAnsi="Arial" w:cs="Arial"/>
          <w:sz w:val="22"/>
          <w:szCs w:val="22"/>
        </w:rPr>
        <w:t>long learning</w:t>
      </w:r>
      <w:r>
        <w:rPr>
          <w:rFonts w:ascii="Arial" w:hAnsi="Arial" w:cs="Arial"/>
          <w:sz w:val="22"/>
          <w:szCs w:val="22"/>
        </w:rPr>
        <w:t xml:space="preserve"> and through this research I have learnt from what went well and want did not.</w:t>
      </w:r>
      <w:r w:rsidR="000E6D00">
        <w:rPr>
          <w:rFonts w:ascii="Arial" w:hAnsi="Arial" w:cs="Arial"/>
          <w:sz w:val="22"/>
          <w:szCs w:val="22"/>
        </w:rPr>
        <w:tab/>
      </w:r>
      <w:r w:rsidR="000E6D00">
        <w:rPr>
          <w:rFonts w:ascii="Arial" w:hAnsi="Arial" w:cs="Arial"/>
          <w:sz w:val="22"/>
          <w:szCs w:val="22"/>
        </w:rPr>
        <w:tab/>
      </w:r>
      <w:r w:rsidR="000E6D00">
        <w:rPr>
          <w:rFonts w:ascii="Arial" w:hAnsi="Arial" w:cs="Arial"/>
          <w:sz w:val="22"/>
          <w:szCs w:val="22"/>
        </w:rPr>
        <w:tab/>
      </w:r>
      <w:r w:rsidR="000E6D00">
        <w:rPr>
          <w:rFonts w:ascii="Arial" w:hAnsi="Arial" w:cs="Arial"/>
          <w:sz w:val="22"/>
          <w:szCs w:val="22"/>
        </w:rPr>
        <w:tab/>
      </w:r>
      <w:r w:rsidR="000E6D00">
        <w:rPr>
          <w:rFonts w:ascii="Arial" w:hAnsi="Arial" w:cs="Arial"/>
          <w:sz w:val="22"/>
          <w:szCs w:val="22"/>
        </w:rPr>
        <w:tab/>
      </w:r>
    </w:p>
    <w:p w14:paraId="7B8260B2" w14:textId="236FF543" w:rsidR="007F596B" w:rsidRDefault="009E41F1" w:rsidP="007F596B">
      <w:pPr>
        <w:pStyle w:val="Heading3"/>
        <w:rPr>
          <w:rFonts w:cs="Arial"/>
          <w:b w:val="0"/>
          <w:color w:val="000000" w:themeColor="text1"/>
          <w:szCs w:val="22"/>
        </w:rPr>
      </w:pPr>
      <w:bookmarkStart w:id="508" w:name="_Toc46770882"/>
      <w:bookmarkStart w:id="509" w:name="_Toc79414293"/>
      <w:r>
        <w:rPr>
          <w:rFonts w:cs="Arial"/>
          <w:color w:val="000000" w:themeColor="text1"/>
          <w:szCs w:val="22"/>
        </w:rPr>
        <w:t>7</w:t>
      </w:r>
      <w:r w:rsidR="007F596B" w:rsidRPr="00AC47DA">
        <w:rPr>
          <w:rFonts w:cs="Arial"/>
          <w:color w:val="000000" w:themeColor="text1"/>
          <w:szCs w:val="22"/>
        </w:rPr>
        <w:t>.1.</w:t>
      </w:r>
      <w:r>
        <w:rPr>
          <w:rFonts w:cs="Arial"/>
          <w:color w:val="000000" w:themeColor="text1"/>
          <w:szCs w:val="22"/>
        </w:rPr>
        <w:t>3</w:t>
      </w:r>
      <w:r w:rsidR="007F596B" w:rsidRPr="00AC47DA">
        <w:rPr>
          <w:rFonts w:cs="Arial"/>
          <w:color w:val="000000" w:themeColor="text1"/>
          <w:szCs w:val="22"/>
        </w:rPr>
        <w:t xml:space="preserve"> What I have learned</w:t>
      </w:r>
      <w:bookmarkEnd w:id="508"/>
      <w:bookmarkEnd w:id="509"/>
    </w:p>
    <w:p w14:paraId="53C489A2" w14:textId="77777777" w:rsidR="007F596B" w:rsidRPr="00AC47DA" w:rsidRDefault="007F596B" w:rsidP="007F596B"/>
    <w:p w14:paraId="35E0FC05" w14:textId="1959DF7A" w:rsidR="007F596B" w:rsidRDefault="007F596B" w:rsidP="007F596B">
      <w:pPr>
        <w:spacing w:line="480" w:lineRule="auto"/>
        <w:rPr>
          <w:rFonts w:ascii="Arial" w:hAnsi="Arial" w:cs="Arial"/>
          <w:color w:val="000000" w:themeColor="text1"/>
          <w:sz w:val="22"/>
          <w:szCs w:val="22"/>
          <w:lang w:val="en-US"/>
        </w:rPr>
      </w:pPr>
      <w:r w:rsidRPr="00873AEB">
        <w:rPr>
          <w:rFonts w:ascii="Arial" w:hAnsi="Arial" w:cs="Arial"/>
          <w:color w:val="000000" w:themeColor="text1"/>
          <w:sz w:val="22"/>
          <w:szCs w:val="22"/>
        </w:rPr>
        <w:t xml:space="preserve">In </w:t>
      </w:r>
      <w:r w:rsidR="00CD54FF">
        <w:rPr>
          <w:rFonts w:ascii="Arial" w:hAnsi="Arial" w:cs="Arial"/>
          <w:color w:val="000000" w:themeColor="text1"/>
          <w:sz w:val="22"/>
          <w:szCs w:val="22"/>
        </w:rPr>
        <w:t>C</w:t>
      </w:r>
      <w:r w:rsidRPr="00873AEB">
        <w:rPr>
          <w:rFonts w:ascii="Arial" w:hAnsi="Arial" w:cs="Arial"/>
          <w:color w:val="000000" w:themeColor="text1"/>
          <w:sz w:val="22"/>
          <w:szCs w:val="22"/>
        </w:rPr>
        <w:t xml:space="preserve">hapter </w:t>
      </w:r>
      <w:r w:rsidR="00CD54FF">
        <w:rPr>
          <w:rFonts w:ascii="Arial" w:hAnsi="Arial" w:cs="Arial"/>
          <w:color w:val="000000" w:themeColor="text1"/>
          <w:sz w:val="22"/>
          <w:szCs w:val="22"/>
        </w:rPr>
        <w:t>1</w:t>
      </w:r>
      <w:r w:rsidRPr="00873AEB">
        <w:rPr>
          <w:rFonts w:ascii="Arial" w:hAnsi="Arial" w:cs="Arial"/>
          <w:color w:val="000000" w:themeColor="text1"/>
          <w:sz w:val="22"/>
          <w:szCs w:val="22"/>
        </w:rPr>
        <w:t xml:space="preserve"> of this thesis I outlined my commitment to career-long learning. Through the process of undertaking this research</w:t>
      </w:r>
      <w:r w:rsidR="00CD54FF">
        <w:rPr>
          <w:rFonts w:ascii="Arial" w:hAnsi="Arial" w:cs="Arial"/>
          <w:color w:val="000000" w:themeColor="text1"/>
          <w:sz w:val="22"/>
          <w:szCs w:val="22"/>
        </w:rPr>
        <w:t>,</w:t>
      </w:r>
      <w:r w:rsidRPr="00873AEB">
        <w:rPr>
          <w:rFonts w:ascii="Arial" w:hAnsi="Arial" w:cs="Arial"/>
          <w:color w:val="000000" w:themeColor="text1"/>
          <w:sz w:val="22"/>
          <w:szCs w:val="22"/>
        </w:rPr>
        <w:t xml:space="preserve"> </w:t>
      </w:r>
      <w:r w:rsidRPr="00873AEB">
        <w:rPr>
          <w:rFonts w:ascii="Arial" w:hAnsi="Arial" w:cs="Arial"/>
          <w:color w:val="000000" w:themeColor="text1"/>
          <w:sz w:val="22"/>
          <w:szCs w:val="22"/>
          <w:lang w:val="en-US"/>
        </w:rPr>
        <w:t>I recognise that my primary motivation was to make a difference to others. Most notably, I wished to add to the evidence base so that other CBT therapists might be influenced by the findings of my research and</w:t>
      </w:r>
      <w:r w:rsidR="008A3957">
        <w:rPr>
          <w:rFonts w:ascii="Arial" w:hAnsi="Arial" w:cs="Arial"/>
          <w:color w:val="000000" w:themeColor="text1"/>
          <w:sz w:val="22"/>
          <w:szCs w:val="22"/>
          <w:lang w:val="en-US"/>
        </w:rPr>
        <w:t>,</w:t>
      </w:r>
      <w:r w:rsidRPr="00873AEB">
        <w:rPr>
          <w:rFonts w:ascii="Arial" w:hAnsi="Arial" w:cs="Arial"/>
          <w:color w:val="000000" w:themeColor="text1"/>
          <w:sz w:val="22"/>
          <w:szCs w:val="22"/>
          <w:lang w:val="en-US"/>
        </w:rPr>
        <w:t xml:space="preserve"> therefore</w:t>
      </w:r>
      <w:r w:rsidR="008A3957">
        <w:rPr>
          <w:rFonts w:ascii="Arial" w:hAnsi="Arial" w:cs="Arial"/>
          <w:color w:val="000000" w:themeColor="text1"/>
          <w:sz w:val="22"/>
          <w:szCs w:val="22"/>
          <w:lang w:val="en-US"/>
        </w:rPr>
        <w:t>,</w:t>
      </w:r>
      <w:r w:rsidRPr="00873AEB">
        <w:rPr>
          <w:rFonts w:ascii="Arial" w:hAnsi="Arial" w:cs="Arial"/>
          <w:color w:val="000000" w:themeColor="text1"/>
          <w:sz w:val="22"/>
          <w:szCs w:val="22"/>
          <w:lang w:val="en-US"/>
        </w:rPr>
        <w:t xml:space="preserve"> more patients would benefit. Of course, I appreciate that this thesis will, in itself, make very little difference to other CBT therapists. However, it is possible that the learning that I have derived from this research might make a difference if I disseminate it in a meaningful way. It has been suggested that the dissemination of professional learning that is perceived by the learner to lead to an enhancement in professional competence, in the caring professions, is the strongest motivator for change (Eraut,</w:t>
      </w:r>
      <w:r w:rsidR="00500ABE">
        <w:rPr>
          <w:rFonts w:ascii="Arial" w:hAnsi="Arial" w:cs="Arial"/>
          <w:color w:val="000000" w:themeColor="text1"/>
          <w:sz w:val="22"/>
          <w:szCs w:val="22"/>
          <w:lang w:val="en-US"/>
        </w:rPr>
        <w:t xml:space="preserve"> </w:t>
      </w:r>
      <w:r w:rsidRPr="00873AEB">
        <w:rPr>
          <w:rFonts w:ascii="Arial" w:hAnsi="Arial" w:cs="Arial"/>
          <w:color w:val="000000" w:themeColor="text1"/>
          <w:sz w:val="22"/>
          <w:szCs w:val="22"/>
          <w:lang w:val="en-US"/>
        </w:rPr>
        <w:t xml:space="preserve">2005).  </w:t>
      </w:r>
      <w:r>
        <w:rPr>
          <w:rFonts w:ascii="Arial" w:hAnsi="Arial" w:cs="Arial"/>
          <w:color w:val="000000" w:themeColor="text1"/>
          <w:sz w:val="22"/>
          <w:szCs w:val="22"/>
          <w:lang w:val="en-US"/>
        </w:rPr>
        <w:t xml:space="preserve">At the beginning of this research process I firmly believed </w:t>
      </w:r>
      <w:r w:rsidRPr="00873AEB">
        <w:rPr>
          <w:rFonts w:ascii="Arial" w:hAnsi="Arial" w:cs="Arial"/>
          <w:color w:val="000000" w:themeColor="text1"/>
          <w:sz w:val="22"/>
          <w:szCs w:val="22"/>
          <w:lang w:val="en-US"/>
        </w:rPr>
        <w:t>that professional expertise is built on a foundation of theoretical knowledge (Spencer and Spencer</w:t>
      </w:r>
      <w:r w:rsidR="00C3572E">
        <w:rPr>
          <w:rFonts w:ascii="Arial" w:hAnsi="Arial" w:cs="Arial"/>
          <w:color w:val="000000" w:themeColor="text1"/>
          <w:sz w:val="22"/>
          <w:szCs w:val="22"/>
          <w:lang w:val="en-US"/>
        </w:rPr>
        <w:t>,</w:t>
      </w:r>
      <w:r w:rsidRPr="00873AEB">
        <w:rPr>
          <w:rFonts w:ascii="Arial" w:hAnsi="Arial" w:cs="Arial"/>
          <w:color w:val="000000" w:themeColor="text1"/>
          <w:sz w:val="22"/>
          <w:szCs w:val="22"/>
          <w:lang w:val="en-US"/>
        </w:rPr>
        <w:t xml:space="preserve"> 1983). However, I </w:t>
      </w:r>
      <w:r>
        <w:rPr>
          <w:rFonts w:ascii="Arial" w:hAnsi="Arial" w:cs="Arial"/>
          <w:color w:val="000000" w:themeColor="text1"/>
          <w:sz w:val="22"/>
          <w:szCs w:val="22"/>
          <w:lang w:val="en-US"/>
        </w:rPr>
        <w:t xml:space="preserve">now </w:t>
      </w:r>
      <w:r w:rsidRPr="00873AEB">
        <w:rPr>
          <w:rFonts w:ascii="Arial" w:hAnsi="Arial" w:cs="Arial"/>
          <w:color w:val="000000" w:themeColor="text1"/>
          <w:sz w:val="22"/>
          <w:szCs w:val="22"/>
          <w:lang w:val="en-US"/>
        </w:rPr>
        <w:t>strongly suspect that theoretical knowledge alone does not equate to clinical expertise. A key example, drawn from this research, is that the IAPT training programme has based its curricul</w:t>
      </w:r>
      <w:r w:rsidR="00104109">
        <w:rPr>
          <w:rFonts w:ascii="Arial" w:hAnsi="Arial" w:cs="Arial"/>
          <w:color w:val="000000" w:themeColor="text1"/>
          <w:sz w:val="22"/>
          <w:szCs w:val="22"/>
          <w:lang w:val="en-US"/>
        </w:rPr>
        <w:t>um</w:t>
      </w:r>
      <w:r w:rsidRPr="00873AEB">
        <w:rPr>
          <w:rFonts w:ascii="Arial" w:hAnsi="Arial" w:cs="Arial"/>
          <w:color w:val="000000" w:themeColor="text1"/>
          <w:sz w:val="22"/>
          <w:szCs w:val="22"/>
          <w:lang w:val="en-US"/>
        </w:rPr>
        <w:t xml:space="preserve"> on the acquisition of theoretical knowledge. This includes the theory that relates to each of the evidence-based treatments protocols (NHS England</w:t>
      </w:r>
      <w:r w:rsidR="00C3572E">
        <w:rPr>
          <w:rFonts w:ascii="Arial" w:hAnsi="Arial" w:cs="Arial"/>
          <w:color w:val="000000" w:themeColor="text1"/>
          <w:sz w:val="22"/>
          <w:szCs w:val="22"/>
          <w:lang w:val="en-US"/>
        </w:rPr>
        <w:t>,</w:t>
      </w:r>
      <w:r w:rsidRPr="00873AEB">
        <w:rPr>
          <w:rFonts w:ascii="Arial" w:hAnsi="Arial" w:cs="Arial"/>
          <w:color w:val="000000" w:themeColor="text1"/>
          <w:sz w:val="22"/>
          <w:szCs w:val="22"/>
          <w:lang w:val="en-US"/>
        </w:rPr>
        <w:t xml:space="preserve"> 2018). Trainees are taught about each disorder specific protocol, typically in lecture style presentations. The acquisition of this theoretical knowledge aligns with the summative assessment of knowledge relating to the delivery of disorder specific </w:t>
      </w:r>
      <w:r w:rsidRPr="00873AEB">
        <w:rPr>
          <w:rFonts w:ascii="Arial" w:hAnsi="Arial" w:cs="Arial"/>
          <w:color w:val="000000" w:themeColor="text1"/>
          <w:sz w:val="22"/>
          <w:szCs w:val="22"/>
          <w:lang w:val="en-US"/>
        </w:rPr>
        <w:lastRenderedPageBreak/>
        <w:t>protocols (</w:t>
      </w:r>
      <w:r>
        <w:rPr>
          <w:rFonts w:ascii="Arial" w:hAnsi="Arial" w:cs="Arial"/>
          <w:color w:val="000000" w:themeColor="text1"/>
          <w:sz w:val="22"/>
          <w:szCs w:val="22"/>
          <w:lang w:val="en-US"/>
        </w:rPr>
        <w:t>Department of Health</w:t>
      </w:r>
      <w:r w:rsidR="00C3572E">
        <w:rPr>
          <w:rFonts w:ascii="Arial" w:hAnsi="Arial" w:cs="Arial"/>
          <w:color w:val="000000" w:themeColor="text1"/>
          <w:sz w:val="22"/>
          <w:szCs w:val="22"/>
          <w:lang w:val="en-US"/>
        </w:rPr>
        <w:t>,</w:t>
      </w:r>
      <w:r>
        <w:rPr>
          <w:rFonts w:ascii="Arial" w:hAnsi="Arial" w:cs="Arial"/>
          <w:color w:val="000000" w:themeColor="text1"/>
          <w:sz w:val="22"/>
          <w:szCs w:val="22"/>
          <w:lang w:val="en-US"/>
        </w:rPr>
        <w:t xml:space="preserve"> 2011</w:t>
      </w:r>
      <w:r w:rsidR="00D60108">
        <w:rPr>
          <w:rFonts w:ascii="Arial" w:hAnsi="Arial" w:cs="Arial"/>
          <w:color w:val="000000" w:themeColor="text1"/>
          <w:sz w:val="22"/>
          <w:szCs w:val="22"/>
          <w:lang w:val="en-US"/>
        </w:rPr>
        <w:t>b</w:t>
      </w:r>
      <w:r w:rsidRPr="00873AEB">
        <w:rPr>
          <w:rFonts w:ascii="Arial" w:hAnsi="Arial" w:cs="Arial"/>
          <w:color w:val="000000" w:themeColor="text1"/>
          <w:sz w:val="22"/>
          <w:szCs w:val="22"/>
          <w:lang w:val="en-US"/>
        </w:rPr>
        <w:t>). CBT trainees are assessed on their ability to adhere to a protocol through their academic writing rather than a practical demonstration of the trainees’ ability to adhere to a protocol when treating a patient (</w:t>
      </w:r>
      <w:r>
        <w:rPr>
          <w:rFonts w:ascii="Arial" w:hAnsi="Arial" w:cs="Arial"/>
          <w:color w:val="000000" w:themeColor="text1"/>
          <w:sz w:val="22"/>
          <w:szCs w:val="22"/>
          <w:lang w:val="en-US"/>
        </w:rPr>
        <w:t>Department of Health 2011</w:t>
      </w:r>
      <w:r w:rsidR="00D60108">
        <w:rPr>
          <w:rFonts w:ascii="Arial" w:hAnsi="Arial" w:cs="Arial"/>
          <w:color w:val="000000" w:themeColor="text1"/>
          <w:sz w:val="22"/>
          <w:szCs w:val="22"/>
          <w:lang w:val="en-US"/>
        </w:rPr>
        <w:t>b</w:t>
      </w:r>
      <w:r w:rsidRPr="00873AEB">
        <w:rPr>
          <w:rFonts w:ascii="Arial" w:hAnsi="Arial" w:cs="Arial"/>
          <w:color w:val="000000" w:themeColor="text1"/>
          <w:sz w:val="22"/>
          <w:szCs w:val="22"/>
          <w:lang w:val="en-US"/>
        </w:rPr>
        <w:t>). This highlights the theory-practice gap that is widely discussed in the literature relating to training health care professionals (</w:t>
      </w:r>
      <w:r w:rsidR="006613D1">
        <w:rPr>
          <w:rFonts w:ascii="Arial" w:hAnsi="Arial" w:cs="Arial"/>
          <w:color w:val="000000" w:themeColor="text1"/>
          <w:sz w:val="22"/>
          <w:szCs w:val="22"/>
          <w:lang w:val="en-US"/>
        </w:rPr>
        <w:t xml:space="preserve">Monaghan, 2015, </w:t>
      </w:r>
      <w:r w:rsidR="000C0C32">
        <w:rPr>
          <w:rFonts w:ascii="Arial" w:hAnsi="Arial" w:cs="Arial"/>
          <w:color w:val="000000" w:themeColor="text1"/>
          <w:sz w:val="22"/>
          <w:szCs w:val="22"/>
          <w:lang w:val="en-US"/>
        </w:rPr>
        <w:t>Hofmann, 2013,</w:t>
      </w:r>
      <w:r w:rsidR="006613D1">
        <w:rPr>
          <w:rFonts w:ascii="Arial" w:hAnsi="Arial" w:cs="Arial"/>
          <w:color w:val="000000" w:themeColor="text1"/>
          <w:sz w:val="22"/>
          <w:szCs w:val="22"/>
          <w:lang w:val="en-US"/>
        </w:rPr>
        <w:t xml:space="preserve"> Williams</w:t>
      </w:r>
      <w:r w:rsidR="000C0C32">
        <w:rPr>
          <w:rFonts w:ascii="Arial" w:hAnsi="Arial" w:cs="Arial"/>
          <w:color w:val="000000" w:themeColor="text1"/>
          <w:sz w:val="22"/>
          <w:szCs w:val="22"/>
          <w:lang w:val="en-US"/>
        </w:rPr>
        <w:t>,</w:t>
      </w:r>
      <w:r w:rsidR="006613D1">
        <w:rPr>
          <w:rFonts w:ascii="Arial" w:hAnsi="Arial" w:cs="Arial"/>
          <w:color w:val="000000" w:themeColor="text1"/>
          <w:sz w:val="22"/>
          <w:szCs w:val="22"/>
          <w:lang w:val="en-US"/>
        </w:rPr>
        <w:t xml:space="preserve"> Boyle</w:t>
      </w:r>
      <w:r w:rsidR="000C0C32">
        <w:rPr>
          <w:rFonts w:ascii="Arial" w:hAnsi="Arial" w:cs="Arial"/>
          <w:color w:val="000000" w:themeColor="text1"/>
          <w:sz w:val="22"/>
          <w:szCs w:val="22"/>
          <w:lang w:val="en-US"/>
        </w:rPr>
        <w:t xml:space="preserve"> and O’Meara,</w:t>
      </w:r>
      <w:r w:rsidR="006613D1">
        <w:rPr>
          <w:rFonts w:ascii="Arial" w:hAnsi="Arial" w:cs="Arial"/>
          <w:color w:val="000000" w:themeColor="text1"/>
          <w:sz w:val="22"/>
          <w:szCs w:val="22"/>
          <w:lang w:val="en-US"/>
        </w:rPr>
        <w:t xml:space="preserve"> 2009, Shafran, Clark, Fairburn, Arntz, Barlow, Ehlers et al., 2009</w:t>
      </w:r>
      <w:r w:rsidRPr="00873AEB">
        <w:rPr>
          <w:rFonts w:ascii="Arial" w:hAnsi="Arial" w:cs="Arial"/>
          <w:color w:val="000000" w:themeColor="text1"/>
          <w:sz w:val="22"/>
          <w:szCs w:val="22"/>
          <w:lang w:val="en-US"/>
        </w:rPr>
        <w:t>).  As someone who has taught on IAPT training programmes</w:t>
      </w:r>
      <w:r w:rsidR="008A3957">
        <w:rPr>
          <w:rFonts w:ascii="Arial" w:hAnsi="Arial" w:cs="Arial"/>
          <w:color w:val="000000" w:themeColor="text1"/>
          <w:sz w:val="22"/>
          <w:szCs w:val="22"/>
          <w:lang w:val="en-US"/>
        </w:rPr>
        <w:t>,</w:t>
      </w:r>
      <w:r w:rsidRPr="00873AEB">
        <w:rPr>
          <w:rFonts w:ascii="Arial" w:hAnsi="Arial" w:cs="Arial"/>
          <w:color w:val="000000" w:themeColor="text1"/>
          <w:sz w:val="22"/>
          <w:szCs w:val="22"/>
          <w:lang w:val="en-US"/>
        </w:rPr>
        <w:t xml:space="preserve"> it had not occurred to me that (</w:t>
      </w:r>
      <w:r>
        <w:rPr>
          <w:rFonts w:ascii="Arial" w:hAnsi="Arial" w:cs="Arial"/>
          <w:color w:val="000000" w:themeColor="text1"/>
          <w:sz w:val="22"/>
          <w:szCs w:val="22"/>
          <w:lang w:val="en-US"/>
        </w:rPr>
        <w:t>although</w:t>
      </w:r>
      <w:r w:rsidRPr="00873AEB">
        <w:rPr>
          <w:rFonts w:ascii="Arial" w:hAnsi="Arial" w:cs="Arial"/>
          <w:color w:val="000000" w:themeColor="text1"/>
          <w:sz w:val="22"/>
          <w:szCs w:val="22"/>
          <w:lang w:val="en-US"/>
        </w:rPr>
        <w:t xml:space="preserve"> I was aware of the concept of the theory-practice gap) trainees may not have been adequately supported to translate theoretical knowledge into practice. Whilst there is some evidence that some trainees may have a natural ability to translate theory into practice, termed “practical intelligence” (Eraut 2005 p.177), arguably </w:t>
      </w:r>
      <w:r w:rsidR="001E585C">
        <w:rPr>
          <w:rFonts w:ascii="Arial" w:hAnsi="Arial" w:cs="Arial"/>
          <w:color w:val="000000" w:themeColor="text1"/>
          <w:sz w:val="22"/>
          <w:szCs w:val="22"/>
          <w:lang w:val="en-US"/>
        </w:rPr>
        <w:t xml:space="preserve">some trainees </w:t>
      </w:r>
      <w:r w:rsidRPr="00873AEB">
        <w:rPr>
          <w:rFonts w:ascii="Arial" w:hAnsi="Arial" w:cs="Arial"/>
          <w:color w:val="000000" w:themeColor="text1"/>
          <w:sz w:val="22"/>
          <w:szCs w:val="22"/>
          <w:lang w:val="en-US"/>
        </w:rPr>
        <w:t>will not possess this ability (</w:t>
      </w:r>
      <w:r w:rsidR="001E585C">
        <w:rPr>
          <w:rFonts w:ascii="Arial" w:hAnsi="Arial" w:cs="Arial"/>
          <w:color w:val="000000" w:themeColor="text1"/>
          <w:sz w:val="22"/>
          <w:szCs w:val="22"/>
          <w:lang w:val="en-US"/>
        </w:rPr>
        <w:t>Imel, Sheng, Baldwin and Atkins, 2015</w:t>
      </w:r>
      <w:r w:rsidRPr="00873AEB">
        <w:rPr>
          <w:rFonts w:ascii="Arial" w:hAnsi="Arial" w:cs="Arial"/>
          <w:color w:val="000000" w:themeColor="text1"/>
          <w:sz w:val="22"/>
          <w:szCs w:val="22"/>
          <w:lang w:val="en-US"/>
        </w:rPr>
        <w:t>).  This issue highlights how, before undertaking this research, I had a tendency to accept that</w:t>
      </w:r>
      <w:r>
        <w:rPr>
          <w:rFonts w:ascii="Arial" w:hAnsi="Arial" w:cs="Arial"/>
          <w:color w:val="000000" w:themeColor="text1"/>
          <w:sz w:val="22"/>
          <w:szCs w:val="22"/>
          <w:lang w:val="en-US"/>
        </w:rPr>
        <w:t xml:space="preserve"> what I had been taught (and had therefore been teaching) was the right thing to do. What I know now is that this practice is only based on the best available knowledge at that time and that I have a responsibility to question everything. Finally, I have learnt that if I am truly a Scientist Practitioner then I will reflect on the findings from this research, identify another gap in the knowledge, another research question and formulate another hypothesis in order to build on that I do not know.</w:t>
      </w:r>
    </w:p>
    <w:p w14:paraId="13312270" w14:textId="77777777" w:rsidR="007F596B" w:rsidRDefault="007F596B" w:rsidP="007F596B">
      <w:pPr>
        <w:spacing w:line="480" w:lineRule="auto"/>
        <w:rPr>
          <w:rFonts w:ascii="Arial" w:hAnsi="Arial" w:cs="Arial"/>
          <w:color w:val="000000" w:themeColor="text1"/>
          <w:sz w:val="22"/>
          <w:szCs w:val="22"/>
          <w:lang w:val="en-US"/>
        </w:rPr>
      </w:pPr>
    </w:p>
    <w:p w14:paraId="5F02D543" w14:textId="1A17C8EE" w:rsidR="007F596B" w:rsidRDefault="009E41F1" w:rsidP="007F596B">
      <w:pPr>
        <w:pStyle w:val="Heading3"/>
        <w:rPr>
          <w:rFonts w:cs="Arial"/>
          <w:b w:val="0"/>
          <w:color w:val="000000" w:themeColor="text1"/>
          <w:szCs w:val="22"/>
        </w:rPr>
      </w:pPr>
      <w:bookmarkStart w:id="510" w:name="_Toc46770883"/>
      <w:bookmarkStart w:id="511" w:name="_Toc79414294"/>
      <w:r>
        <w:rPr>
          <w:rFonts w:cs="Arial"/>
          <w:color w:val="000000" w:themeColor="text1"/>
          <w:szCs w:val="22"/>
        </w:rPr>
        <w:t>7</w:t>
      </w:r>
      <w:r w:rsidR="007F596B" w:rsidRPr="00961B48">
        <w:rPr>
          <w:rFonts w:cs="Arial"/>
          <w:color w:val="000000" w:themeColor="text1"/>
          <w:szCs w:val="22"/>
        </w:rPr>
        <w:t>.1.</w:t>
      </w:r>
      <w:r w:rsidR="0012733B">
        <w:rPr>
          <w:rFonts w:cs="Arial"/>
          <w:color w:val="000000" w:themeColor="text1"/>
          <w:szCs w:val="22"/>
        </w:rPr>
        <w:t>4</w:t>
      </w:r>
      <w:r w:rsidR="007F596B" w:rsidRPr="00961B48">
        <w:rPr>
          <w:rFonts w:cs="Arial"/>
          <w:color w:val="000000" w:themeColor="text1"/>
          <w:szCs w:val="22"/>
        </w:rPr>
        <w:t xml:space="preserve"> What I have yet to learn</w:t>
      </w:r>
      <w:bookmarkEnd w:id="510"/>
      <w:bookmarkEnd w:id="511"/>
    </w:p>
    <w:p w14:paraId="0ABC5C7C" w14:textId="77777777" w:rsidR="007F596B" w:rsidRPr="00961B48" w:rsidRDefault="007F596B" w:rsidP="007F596B"/>
    <w:p w14:paraId="3A1FBAA8" w14:textId="5000261F" w:rsidR="00983C3A" w:rsidRPr="00C26638" w:rsidRDefault="007F596B" w:rsidP="00C26638">
      <w:pPr>
        <w:spacing w:line="480" w:lineRule="auto"/>
        <w:rPr>
          <w:rFonts w:ascii="Arial" w:hAnsi="Arial" w:cs="Arial"/>
          <w:sz w:val="22"/>
          <w:szCs w:val="22"/>
        </w:rPr>
      </w:pPr>
      <w:r>
        <w:rPr>
          <w:rFonts w:ascii="Arial" w:hAnsi="Arial" w:cs="Arial"/>
          <w:sz w:val="22"/>
          <w:szCs w:val="22"/>
        </w:rPr>
        <w:t xml:space="preserve">In section </w:t>
      </w:r>
      <w:r w:rsidR="009E41F1">
        <w:rPr>
          <w:rFonts w:ascii="Arial" w:hAnsi="Arial" w:cs="Arial"/>
          <w:sz w:val="22"/>
          <w:szCs w:val="22"/>
        </w:rPr>
        <w:t>7</w:t>
      </w:r>
      <w:r>
        <w:rPr>
          <w:rFonts w:ascii="Arial" w:hAnsi="Arial" w:cs="Arial"/>
          <w:sz w:val="22"/>
          <w:szCs w:val="22"/>
        </w:rPr>
        <w:t>.1.1</w:t>
      </w:r>
      <w:r w:rsidR="009E41F1">
        <w:rPr>
          <w:rFonts w:ascii="Arial" w:hAnsi="Arial" w:cs="Arial"/>
          <w:sz w:val="22"/>
          <w:szCs w:val="22"/>
        </w:rPr>
        <w:t>,</w:t>
      </w:r>
      <w:r>
        <w:rPr>
          <w:rFonts w:ascii="Arial" w:hAnsi="Arial" w:cs="Arial"/>
          <w:sz w:val="22"/>
          <w:szCs w:val="22"/>
        </w:rPr>
        <w:t xml:space="preserve"> above I have alluded to the fact that the most impactful of all the things that I have learned from undertaking this research is that I have so much more to learn.  At the risk of sounding cliched, I have become humbled by the realisation that, whilst I have learnt a great deal in the process of undertaking this research, this learning pales in comparison with what I do not know. That is not to say that I perceive this as a negative outcome, rather more, it motivates me to continue in pursuit of new knowledge and understanding in the service of enabling therapists to be the best they can be so that more patients can get </w:t>
      </w:r>
      <w:r>
        <w:rPr>
          <w:rFonts w:ascii="Arial" w:hAnsi="Arial" w:cs="Arial"/>
          <w:sz w:val="22"/>
          <w:szCs w:val="22"/>
        </w:rPr>
        <w:lastRenderedPageBreak/>
        <w:t>better. This research has highlighted further areas of research that I wish to pursue, some of which I have already embarked upon. Most notably, whilst this research has established that there is a statistically significant relationship between therapist competence, adherence and clinical outcomes I am yet to establish a causal relationship. I am aware that there are likely to be other, perhaps yet unknown, therapist factors that are also related to clinical outcome. I reflect on what a privilege it is to have access to a data set that might provide the answers to these questions. Additionally, I am driven to investigate how it might be possible to improve outcomes and I question whether it will ever become possible to achieve outcomes of 100% recovery. Clearly moving towards this is a worthy goal and will involve partnership and collaboration with others using automated therapist feedback</w:t>
      </w:r>
      <w:r w:rsidR="00983C3A">
        <w:rPr>
          <w:rFonts w:ascii="Arial" w:hAnsi="Arial" w:cs="Arial"/>
          <w:sz w:val="22"/>
          <w:szCs w:val="22"/>
        </w:rPr>
        <w:t>, data</w:t>
      </w:r>
      <w:r w:rsidR="008A3957">
        <w:rPr>
          <w:rFonts w:ascii="Arial" w:hAnsi="Arial" w:cs="Arial"/>
          <w:sz w:val="22"/>
          <w:szCs w:val="22"/>
        </w:rPr>
        <w:t>-</w:t>
      </w:r>
      <w:r w:rsidR="00983C3A">
        <w:rPr>
          <w:rFonts w:ascii="Arial" w:hAnsi="Arial" w:cs="Arial"/>
          <w:sz w:val="22"/>
          <w:szCs w:val="22"/>
        </w:rPr>
        <w:t>driven</w:t>
      </w:r>
      <w:r w:rsidR="008A3957">
        <w:rPr>
          <w:rFonts w:ascii="Arial" w:hAnsi="Arial" w:cs="Arial"/>
          <w:sz w:val="22"/>
          <w:szCs w:val="22"/>
        </w:rPr>
        <w:t xml:space="preserve"> </w:t>
      </w:r>
      <w:r>
        <w:rPr>
          <w:rFonts w:ascii="Arial" w:hAnsi="Arial" w:cs="Arial"/>
          <w:sz w:val="22"/>
          <w:szCs w:val="22"/>
        </w:rPr>
        <w:t>clinical decision support tools like those being developed by Lutz</w:t>
      </w:r>
      <w:r w:rsidR="004645DE">
        <w:rPr>
          <w:rFonts w:ascii="Arial" w:hAnsi="Arial" w:cs="Arial"/>
          <w:sz w:val="22"/>
          <w:szCs w:val="22"/>
        </w:rPr>
        <w:t>, Rubel, Schiefele, Zimmermann, Bohnke and Wittmann</w:t>
      </w:r>
      <w:r>
        <w:rPr>
          <w:rFonts w:ascii="Arial" w:hAnsi="Arial" w:cs="Arial"/>
          <w:sz w:val="22"/>
          <w:szCs w:val="22"/>
        </w:rPr>
        <w:t xml:space="preserve"> (201</w:t>
      </w:r>
      <w:r w:rsidR="004645DE">
        <w:rPr>
          <w:rFonts w:ascii="Arial" w:hAnsi="Arial" w:cs="Arial"/>
          <w:sz w:val="22"/>
          <w:szCs w:val="22"/>
        </w:rPr>
        <w:t>5</w:t>
      </w:r>
      <w:r w:rsidR="00983C3A">
        <w:rPr>
          <w:rFonts w:ascii="Arial" w:hAnsi="Arial" w:cs="Arial"/>
          <w:sz w:val="22"/>
          <w:szCs w:val="22"/>
        </w:rPr>
        <w:t>), Delgadillo, Omar and Lutz, (2016) Degadillo, Overend, Lucock, Groom, Kirby, McMillan et al., (2017).</w:t>
      </w:r>
      <w:r w:rsidR="00C26638">
        <w:rPr>
          <w:rFonts w:ascii="Arial" w:hAnsi="Arial" w:cs="Arial"/>
          <w:sz w:val="22"/>
          <w:szCs w:val="22"/>
        </w:rPr>
        <w:br/>
      </w:r>
    </w:p>
    <w:p w14:paraId="5085F48F" w14:textId="44EC5904" w:rsidR="007F596B" w:rsidRDefault="009E41F1" w:rsidP="007F596B">
      <w:pPr>
        <w:pStyle w:val="Heading2"/>
        <w:rPr>
          <w:rFonts w:ascii="Arial" w:hAnsi="Arial" w:cs="Arial"/>
          <w:b w:val="0"/>
          <w:color w:val="000000" w:themeColor="text1"/>
          <w:sz w:val="22"/>
          <w:szCs w:val="22"/>
        </w:rPr>
      </w:pPr>
      <w:bookmarkStart w:id="512" w:name="_Toc46770884"/>
      <w:bookmarkStart w:id="513" w:name="_Toc79414295"/>
      <w:r>
        <w:rPr>
          <w:rFonts w:ascii="Arial" w:hAnsi="Arial" w:cs="Arial"/>
          <w:color w:val="000000" w:themeColor="text1"/>
          <w:sz w:val="22"/>
          <w:szCs w:val="22"/>
        </w:rPr>
        <w:t>7</w:t>
      </w:r>
      <w:r w:rsidR="007F596B" w:rsidRPr="00960207">
        <w:rPr>
          <w:rFonts w:ascii="Arial" w:hAnsi="Arial" w:cs="Arial"/>
          <w:color w:val="000000" w:themeColor="text1"/>
          <w:sz w:val="22"/>
          <w:szCs w:val="22"/>
        </w:rPr>
        <w:t>.</w:t>
      </w:r>
      <w:r w:rsidR="004D1CEF">
        <w:rPr>
          <w:rFonts w:ascii="Arial" w:hAnsi="Arial" w:cs="Arial"/>
          <w:color w:val="000000" w:themeColor="text1"/>
          <w:sz w:val="22"/>
          <w:szCs w:val="22"/>
        </w:rPr>
        <w:t>2</w:t>
      </w:r>
      <w:r w:rsidR="007F596B" w:rsidRPr="00960207">
        <w:rPr>
          <w:rFonts w:ascii="Arial" w:hAnsi="Arial" w:cs="Arial"/>
          <w:color w:val="000000" w:themeColor="text1"/>
          <w:sz w:val="22"/>
          <w:szCs w:val="22"/>
        </w:rPr>
        <w:t xml:space="preserve"> IMPLICATIONS FOR MY OWN PROFESSIONAL PRACTICE</w:t>
      </w:r>
      <w:bookmarkEnd w:id="512"/>
      <w:bookmarkEnd w:id="513"/>
    </w:p>
    <w:p w14:paraId="3E03EF03" w14:textId="77777777" w:rsidR="007F596B" w:rsidRPr="00960207" w:rsidRDefault="007F596B" w:rsidP="007F596B"/>
    <w:p w14:paraId="37F5107F" w14:textId="7D4738D5" w:rsidR="007F596B" w:rsidRDefault="007F596B" w:rsidP="007F596B">
      <w:pPr>
        <w:spacing w:line="480" w:lineRule="auto"/>
        <w:rPr>
          <w:rFonts w:ascii="Arial" w:hAnsi="Arial" w:cs="Arial"/>
          <w:sz w:val="22"/>
          <w:szCs w:val="22"/>
        </w:rPr>
      </w:pPr>
      <w:r>
        <w:rPr>
          <w:rFonts w:ascii="Arial" w:hAnsi="Arial" w:cs="Arial"/>
          <w:sz w:val="22"/>
          <w:szCs w:val="22"/>
        </w:rPr>
        <w:t xml:space="preserve">In </w:t>
      </w:r>
      <w:r w:rsidR="008A3957">
        <w:rPr>
          <w:rFonts w:ascii="Arial" w:hAnsi="Arial" w:cs="Arial"/>
          <w:sz w:val="22"/>
          <w:szCs w:val="22"/>
        </w:rPr>
        <w:t>C</w:t>
      </w:r>
      <w:r>
        <w:rPr>
          <w:rFonts w:ascii="Arial" w:hAnsi="Arial" w:cs="Arial"/>
          <w:sz w:val="22"/>
          <w:szCs w:val="22"/>
        </w:rPr>
        <w:t xml:space="preserve">hapter </w:t>
      </w:r>
      <w:r w:rsidR="009E41F1">
        <w:rPr>
          <w:rFonts w:ascii="Arial" w:hAnsi="Arial" w:cs="Arial"/>
          <w:sz w:val="22"/>
          <w:szCs w:val="22"/>
        </w:rPr>
        <w:t>6</w:t>
      </w:r>
      <w:r>
        <w:rPr>
          <w:rFonts w:ascii="Arial" w:hAnsi="Arial" w:cs="Arial"/>
          <w:sz w:val="22"/>
          <w:szCs w:val="22"/>
        </w:rPr>
        <w:t xml:space="preserve"> of this thesis I discussed the implications of the findings from this research on the professional practice of other cognitive behavioural therapists, clinical supervisors and clinical leaders. As Chief Clinical Officer of a large psychological therapy service I have overall responsibility for the quality of the therapy that is provided by a team of 619 BABCP accredited CBT therapists and the recovery rates for patients treated by these therapists.  Clearly, if I have indicated that findings from this research has implications for practice for CBT therapists, clinical supervisors, and clinical services as a whole, then these same implications apply to me as a senior leader and as a therapist</w:t>
      </w:r>
      <w:r w:rsidR="009D70A5">
        <w:rPr>
          <w:rFonts w:ascii="Arial" w:hAnsi="Arial" w:cs="Arial"/>
          <w:sz w:val="22"/>
          <w:szCs w:val="22"/>
        </w:rPr>
        <w:t xml:space="preserve"> and clinical supervisor</w:t>
      </w:r>
      <w:r>
        <w:rPr>
          <w:rFonts w:ascii="Arial" w:hAnsi="Arial" w:cs="Arial"/>
          <w:sz w:val="22"/>
          <w:szCs w:val="22"/>
        </w:rPr>
        <w:t>.</w:t>
      </w:r>
    </w:p>
    <w:p w14:paraId="4F8699C6" w14:textId="77777777" w:rsidR="007F596B" w:rsidRDefault="007F596B" w:rsidP="007F596B">
      <w:pPr>
        <w:spacing w:line="480" w:lineRule="auto"/>
        <w:rPr>
          <w:rFonts w:ascii="Arial" w:hAnsi="Arial" w:cs="Arial"/>
          <w:sz w:val="22"/>
          <w:szCs w:val="22"/>
        </w:rPr>
      </w:pPr>
    </w:p>
    <w:p w14:paraId="40AA417B" w14:textId="2D460DF5" w:rsidR="007F596B" w:rsidRDefault="009E41F1" w:rsidP="004D1CEF">
      <w:pPr>
        <w:pStyle w:val="Heading3"/>
        <w:rPr>
          <w:rFonts w:cs="Arial"/>
          <w:color w:val="000000" w:themeColor="text1"/>
          <w:szCs w:val="22"/>
        </w:rPr>
      </w:pPr>
      <w:bookmarkStart w:id="514" w:name="_Toc46770885"/>
      <w:bookmarkStart w:id="515" w:name="_Toc79414296"/>
      <w:r>
        <w:rPr>
          <w:rFonts w:cs="Arial"/>
          <w:color w:val="000000" w:themeColor="text1"/>
          <w:szCs w:val="22"/>
        </w:rPr>
        <w:t>7</w:t>
      </w:r>
      <w:r w:rsidR="007F596B" w:rsidRPr="004D1CEF">
        <w:rPr>
          <w:rFonts w:cs="Arial"/>
          <w:color w:val="000000" w:themeColor="text1"/>
          <w:szCs w:val="22"/>
        </w:rPr>
        <w:t>.2.1 Implications as a senior leader</w:t>
      </w:r>
      <w:r w:rsidR="00043250">
        <w:rPr>
          <w:rFonts w:cs="Arial"/>
          <w:color w:val="000000" w:themeColor="text1"/>
          <w:szCs w:val="22"/>
        </w:rPr>
        <w:t xml:space="preserve"> and researcher</w:t>
      </w:r>
      <w:bookmarkEnd w:id="514"/>
      <w:bookmarkEnd w:id="515"/>
    </w:p>
    <w:p w14:paraId="0D26F965" w14:textId="77777777" w:rsidR="009D70A5" w:rsidRPr="009D70A5" w:rsidRDefault="009D70A5" w:rsidP="009D70A5"/>
    <w:p w14:paraId="5E9ED423" w14:textId="7AB87357" w:rsidR="007F596B" w:rsidRDefault="007F596B" w:rsidP="007F596B">
      <w:pPr>
        <w:spacing w:line="480" w:lineRule="auto"/>
        <w:rPr>
          <w:rFonts w:ascii="Arial" w:hAnsi="Arial" w:cs="Arial"/>
          <w:sz w:val="22"/>
          <w:szCs w:val="22"/>
        </w:rPr>
      </w:pPr>
      <w:r>
        <w:rPr>
          <w:rFonts w:ascii="Arial" w:hAnsi="Arial" w:cs="Arial"/>
          <w:sz w:val="22"/>
          <w:szCs w:val="22"/>
        </w:rPr>
        <w:t>As a senior leader of a large psychological therapy service I fe</w:t>
      </w:r>
      <w:r w:rsidR="009D70A5">
        <w:rPr>
          <w:rFonts w:ascii="Arial" w:hAnsi="Arial" w:cs="Arial"/>
          <w:sz w:val="22"/>
          <w:szCs w:val="22"/>
        </w:rPr>
        <w:t>lt</w:t>
      </w:r>
      <w:r>
        <w:rPr>
          <w:rFonts w:ascii="Arial" w:hAnsi="Arial" w:cs="Arial"/>
          <w:sz w:val="22"/>
          <w:szCs w:val="22"/>
        </w:rPr>
        <w:t xml:space="preserve"> a significant burden of responsibility to share the findings from th</w:t>
      </w:r>
      <w:r w:rsidR="009D70A5">
        <w:rPr>
          <w:rFonts w:ascii="Arial" w:hAnsi="Arial" w:cs="Arial"/>
          <w:sz w:val="22"/>
          <w:szCs w:val="22"/>
        </w:rPr>
        <w:t>is</w:t>
      </w:r>
      <w:r>
        <w:rPr>
          <w:rFonts w:ascii="Arial" w:hAnsi="Arial" w:cs="Arial"/>
          <w:sz w:val="22"/>
          <w:szCs w:val="22"/>
        </w:rPr>
        <w:t xml:space="preserve"> research. Whilst </w:t>
      </w:r>
      <w:r w:rsidR="009D70A5">
        <w:rPr>
          <w:rFonts w:ascii="Arial" w:hAnsi="Arial" w:cs="Arial"/>
          <w:sz w:val="22"/>
          <w:szCs w:val="22"/>
        </w:rPr>
        <w:t>it was important not to</w:t>
      </w:r>
      <w:r>
        <w:rPr>
          <w:rFonts w:ascii="Arial" w:hAnsi="Arial" w:cs="Arial"/>
          <w:sz w:val="22"/>
          <w:szCs w:val="22"/>
        </w:rPr>
        <w:t xml:space="preserve"> infer </w:t>
      </w:r>
      <w:r>
        <w:rPr>
          <w:rFonts w:ascii="Arial" w:hAnsi="Arial" w:cs="Arial"/>
          <w:sz w:val="22"/>
          <w:szCs w:val="22"/>
        </w:rPr>
        <w:lastRenderedPageBreak/>
        <w:t>causality, I believe that the senior clinical team, clinical supervisors and tutors should understand the findings from this research. Once disseminated, I feel that it is my responsibility to collaborate with the team to explore the implications of the findings on the service we provide to the patients who are referred to us. This include</w:t>
      </w:r>
      <w:r w:rsidR="009D70A5">
        <w:rPr>
          <w:rFonts w:ascii="Arial" w:hAnsi="Arial" w:cs="Arial"/>
          <w:sz w:val="22"/>
          <w:szCs w:val="22"/>
        </w:rPr>
        <w:t>s</w:t>
      </w:r>
      <w:r>
        <w:rPr>
          <w:rFonts w:ascii="Arial" w:hAnsi="Arial" w:cs="Arial"/>
          <w:sz w:val="22"/>
          <w:szCs w:val="22"/>
        </w:rPr>
        <w:t xml:space="preserve"> making a decision about how we communicate the findings to the 619 therapists working within the service and what changes we may choose to make to the clinical policies and processes employed by the service. Chapter </w:t>
      </w:r>
      <w:r w:rsidR="008A3957">
        <w:rPr>
          <w:rFonts w:ascii="Arial" w:hAnsi="Arial" w:cs="Arial"/>
          <w:sz w:val="22"/>
          <w:szCs w:val="22"/>
        </w:rPr>
        <w:t>2</w:t>
      </w:r>
      <w:r>
        <w:rPr>
          <w:rFonts w:ascii="Arial" w:hAnsi="Arial" w:cs="Arial"/>
          <w:sz w:val="22"/>
          <w:szCs w:val="22"/>
        </w:rPr>
        <w:t xml:space="preserve"> of this thesis discussed some of the policies and processes currently used as part of the Ieso </w:t>
      </w:r>
      <w:r w:rsidR="009D70A5">
        <w:rPr>
          <w:rFonts w:ascii="Arial" w:hAnsi="Arial" w:cs="Arial"/>
          <w:sz w:val="22"/>
          <w:szCs w:val="22"/>
        </w:rPr>
        <w:t>method of delivering CBT</w:t>
      </w:r>
      <w:r>
        <w:rPr>
          <w:rFonts w:ascii="Arial" w:hAnsi="Arial" w:cs="Arial"/>
          <w:sz w:val="22"/>
          <w:szCs w:val="22"/>
        </w:rPr>
        <w:t>. These include a significant focus on the provision of clinical supervision and continuing professional development to the therapists that work in the service. The provision of supervision and training to Ieso therapists is driven by the data collected by the service. That is to say</w:t>
      </w:r>
      <w:r w:rsidR="008A3957">
        <w:rPr>
          <w:rFonts w:ascii="Arial" w:hAnsi="Arial" w:cs="Arial"/>
          <w:sz w:val="22"/>
          <w:szCs w:val="22"/>
        </w:rPr>
        <w:t>,</w:t>
      </w:r>
      <w:r>
        <w:rPr>
          <w:rFonts w:ascii="Arial" w:hAnsi="Arial" w:cs="Arial"/>
          <w:sz w:val="22"/>
          <w:szCs w:val="22"/>
        </w:rPr>
        <w:t xml:space="preserve"> I place a significant emphasis on providing training and supervision that directly relates to the skill deficits of the therapists. I call this methodology ‘personalised continuing professional development’ in that, rather than relying solely on therapists identifying their own training needs the training and supervisory team can identify what skills individual therapists are struggling with and can direct the therapist to a relevant training module on the service</w:t>
      </w:r>
      <w:r w:rsidR="008A3957">
        <w:rPr>
          <w:rFonts w:ascii="Arial" w:hAnsi="Arial" w:cs="Arial"/>
          <w:sz w:val="22"/>
          <w:szCs w:val="22"/>
        </w:rPr>
        <w:t>’</w:t>
      </w:r>
      <w:r>
        <w:rPr>
          <w:rFonts w:ascii="Arial" w:hAnsi="Arial" w:cs="Arial"/>
          <w:sz w:val="22"/>
          <w:szCs w:val="22"/>
        </w:rPr>
        <w:t xml:space="preserve">s e-learning platform. Given that this research has identified that therapist competence and adherence are related to outcomes </w:t>
      </w:r>
      <w:r w:rsidR="009D70A5">
        <w:rPr>
          <w:rFonts w:ascii="Arial" w:hAnsi="Arial" w:cs="Arial"/>
          <w:sz w:val="22"/>
          <w:szCs w:val="22"/>
        </w:rPr>
        <w:t>a direct impact of this finding on clinical practice is that I have</w:t>
      </w:r>
      <w:r>
        <w:rPr>
          <w:rFonts w:ascii="Arial" w:hAnsi="Arial" w:cs="Arial"/>
          <w:sz w:val="22"/>
          <w:szCs w:val="22"/>
        </w:rPr>
        <w:t xml:space="preserve"> support</w:t>
      </w:r>
      <w:r w:rsidR="009D70A5">
        <w:rPr>
          <w:rFonts w:ascii="Arial" w:hAnsi="Arial" w:cs="Arial"/>
          <w:sz w:val="22"/>
          <w:szCs w:val="22"/>
        </w:rPr>
        <w:t>ed</w:t>
      </w:r>
      <w:r>
        <w:rPr>
          <w:rFonts w:ascii="Arial" w:hAnsi="Arial" w:cs="Arial"/>
          <w:sz w:val="22"/>
          <w:szCs w:val="22"/>
        </w:rPr>
        <w:t xml:space="preserve"> the senior clinical team to develop specific training modules that focus on therapist competence and adherence to evidence-based protocols. I have already highlighted that it is possible that theoretical training alone may not enable all therapists to apply the theory in their clinical work with patients. If this hypothesis is true, then it will be important to explore pedagogical processes which support all therapists to bridge the theory-practice gap. In addition, it will </w:t>
      </w:r>
      <w:r w:rsidR="008A3957">
        <w:rPr>
          <w:rFonts w:ascii="Arial" w:hAnsi="Arial" w:cs="Arial"/>
          <w:sz w:val="22"/>
          <w:szCs w:val="22"/>
        </w:rPr>
        <w:t xml:space="preserve">be </w:t>
      </w:r>
      <w:r>
        <w:rPr>
          <w:rFonts w:ascii="Arial" w:hAnsi="Arial" w:cs="Arial"/>
          <w:sz w:val="22"/>
          <w:szCs w:val="22"/>
        </w:rPr>
        <w:t xml:space="preserve">necessary to support clinical supervisors to identify those therapists who have lower CTS-R scores and/or are failing to use evidence-based protocols and to direct them to the appropriate training module. </w:t>
      </w:r>
      <w:r w:rsidR="00043250">
        <w:rPr>
          <w:rFonts w:ascii="Arial" w:hAnsi="Arial" w:cs="Arial"/>
          <w:sz w:val="22"/>
          <w:szCs w:val="22"/>
        </w:rPr>
        <w:t>As part of this process</w:t>
      </w:r>
      <w:r w:rsidR="008A3957">
        <w:rPr>
          <w:rFonts w:ascii="Arial" w:hAnsi="Arial" w:cs="Arial"/>
          <w:sz w:val="22"/>
          <w:szCs w:val="22"/>
        </w:rPr>
        <w:t>,</w:t>
      </w:r>
      <w:r w:rsidR="00043250">
        <w:rPr>
          <w:rFonts w:ascii="Arial" w:hAnsi="Arial" w:cs="Arial"/>
          <w:sz w:val="22"/>
          <w:szCs w:val="22"/>
        </w:rPr>
        <w:t xml:space="preserve"> I intend to use </w:t>
      </w:r>
      <w:r>
        <w:rPr>
          <w:rFonts w:ascii="Arial" w:hAnsi="Arial" w:cs="Arial"/>
          <w:sz w:val="22"/>
          <w:szCs w:val="22"/>
        </w:rPr>
        <w:t>a post hoc analysis of the outcome data for therapists who ha</w:t>
      </w:r>
      <w:r w:rsidR="00043250">
        <w:rPr>
          <w:rFonts w:ascii="Arial" w:hAnsi="Arial" w:cs="Arial"/>
          <w:sz w:val="22"/>
          <w:szCs w:val="22"/>
        </w:rPr>
        <w:t>ve</w:t>
      </w:r>
      <w:r>
        <w:rPr>
          <w:rFonts w:ascii="Arial" w:hAnsi="Arial" w:cs="Arial"/>
          <w:sz w:val="22"/>
          <w:szCs w:val="22"/>
        </w:rPr>
        <w:t xml:space="preserve"> </w:t>
      </w:r>
      <w:r w:rsidR="00043250">
        <w:rPr>
          <w:rFonts w:ascii="Arial" w:hAnsi="Arial" w:cs="Arial"/>
          <w:sz w:val="22"/>
          <w:szCs w:val="22"/>
        </w:rPr>
        <w:t>completed</w:t>
      </w:r>
      <w:r>
        <w:rPr>
          <w:rFonts w:ascii="Arial" w:hAnsi="Arial" w:cs="Arial"/>
          <w:sz w:val="22"/>
          <w:szCs w:val="22"/>
        </w:rPr>
        <w:t xml:space="preserve"> ‘personalised continuing professional development (CPD)’ to understand whether the additional training and support made a </w:t>
      </w:r>
      <w:r>
        <w:rPr>
          <w:rFonts w:ascii="Arial" w:hAnsi="Arial" w:cs="Arial"/>
          <w:sz w:val="22"/>
          <w:szCs w:val="22"/>
        </w:rPr>
        <w:lastRenderedPageBreak/>
        <w:t>statistically significant difference to patient outcomes. This</w:t>
      </w:r>
      <w:r w:rsidR="008A3957">
        <w:rPr>
          <w:rFonts w:ascii="Arial" w:hAnsi="Arial" w:cs="Arial"/>
          <w:sz w:val="22"/>
          <w:szCs w:val="22"/>
        </w:rPr>
        <w:t>,</w:t>
      </w:r>
      <w:r>
        <w:rPr>
          <w:rFonts w:ascii="Arial" w:hAnsi="Arial" w:cs="Arial"/>
          <w:sz w:val="22"/>
          <w:szCs w:val="22"/>
        </w:rPr>
        <w:t xml:space="preserve"> in turn</w:t>
      </w:r>
      <w:r w:rsidR="008A3957">
        <w:rPr>
          <w:rFonts w:ascii="Arial" w:hAnsi="Arial" w:cs="Arial"/>
          <w:sz w:val="22"/>
          <w:szCs w:val="22"/>
        </w:rPr>
        <w:t>,</w:t>
      </w:r>
      <w:r>
        <w:rPr>
          <w:rFonts w:ascii="Arial" w:hAnsi="Arial" w:cs="Arial"/>
          <w:sz w:val="22"/>
          <w:szCs w:val="22"/>
        </w:rPr>
        <w:t xml:space="preserve"> leads to a further research question that relates to whether or not it is possible to teach an average or poor therapist to become a better therapist. There is currently little or no research in this area (Fairburn and Cooper</w:t>
      </w:r>
      <w:r w:rsidR="00C3572E">
        <w:rPr>
          <w:rFonts w:ascii="Arial" w:hAnsi="Arial" w:cs="Arial"/>
          <w:sz w:val="22"/>
          <w:szCs w:val="22"/>
        </w:rPr>
        <w:t>,</w:t>
      </w:r>
      <w:r>
        <w:rPr>
          <w:rFonts w:ascii="Arial" w:hAnsi="Arial" w:cs="Arial"/>
          <w:sz w:val="22"/>
          <w:szCs w:val="22"/>
        </w:rPr>
        <w:t xml:space="preserve"> 2011).</w:t>
      </w:r>
    </w:p>
    <w:p w14:paraId="0E3D355C" w14:textId="77777777" w:rsidR="007F596B" w:rsidRDefault="007F596B" w:rsidP="007F596B">
      <w:pPr>
        <w:spacing w:line="480" w:lineRule="auto"/>
        <w:rPr>
          <w:rFonts w:ascii="Arial" w:hAnsi="Arial" w:cs="Arial"/>
          <w:sz w:val="22"/>
          <w:szCs w:val="22"/>
        </w:rPr>
      </w:pPr>
    </w:p>
    <w:p w14:paraId="5E14BB66" w14:textId="480C8B6A" w:rsidR="001E58D2" w:rsidRDefault="007F596B" w:rsidP="007F596B">
      <w:pPr>
        <w:spacing w:line="480" w:lineRule="auto"/>
        <w:rPr>
          <w:rFonts w:ascii="Arial" w:hAnsi="Arial" w:cs="Arial"/>
          <w:sz w:val="22"/>
          <w:szCs w:val="22"/>
        </w:rPr>
      </w:pPr>
      <w:r>
        <w:rPr>
          <w:rFonts w:ascii="Arial" w:hAnsi="Arial" w:cs="Arial"/>
          <w:sz w:val="22"/>
          <w:szCs w:val="22"/>
        </w:rPr>
        <w:t>Further research, such as exploring the efficacy of ‘personalised CPD’ and understanding whether it is possible to support an average therapist to become a better therapist</w:t>
      </w:r>
      <w:r w:rsidR="008A3957">
        <w:rPr>
          <w:rFonts w:ascii="Arial" w:hAnsi="Arial" w:cs="Arial"/>
          <w:sz w:val="22"/>
          <w:szCs w:val="22"/>
        </w:rPr>
        <w:t>,</w:t>
      </w:r>
      <w:r>
        <w:rPr>
          <w:rFonts w:ascii="Arial" w:hAnsi="Arial" w:cs="Arial"/>
          <w:sz w:val="22"/>
          <w:szCs w:val="22"/>
        </w:rPr>
        <w:t xml:space="preserve"> is another implication of the findings from the research presented in this thesis. In </w:t>
      </w:r>
      <w:r w:rsidR="008A3957">
        <w:rPr>
          <w:rFonts w:ascii="Arial" w:hAnsi="Arial" w:cs="Arial"/>
          <w:sz w:val="22"/>
          <w:szCs w:val="22"/>
        </w:rPr>
        <w:t>C</w:t>
      </w:r>
      <w:r>
        <w:rPr>
          <w:rFonts w:ascii="Arial" w:hAnsi="Arial" w:cs="Arial"/>
          <w:sz w:val="22"/>
          <w:szCs w:val="22"/>
        </w:rPr>
        <w:t xml:space="preserve">hapter </w:t>
      </w:r>
      <w:r w:rsidR="00043250">
        <w:rPr>
          <w:rFonts w:ascii="Arial" w:hAnsi="Arial" w:cs="Arial"/>
          <w:sz w:val="22"/>
          <w:szCs w:val="22"/>
        </w:rPr>
        <w:t>6</w:t>
      </w:r>
      <w:r>
        <w:rPr>
          <w:rFonts w:ascii="Arial" w:hAnsi="Arial" w:cs="Arial"/>
          <w:sz w:val="22"/>
          <w:szCs w:val="22"/>
        </w:rPr>
        <w:t xml:space="preserve"> I outlined my recommendations for future research. Whilst these recommendations were primarily aimed at an external audience they are also, in some part, my responsibility </w:t>
      </w:r>
      <w:r w:rsidR="00825734">
        <w:rPr>
          <w:rFonts w:ascii="Arial" w:hAnsi="Arial" w:cs="Arial"/>
          <w:sz w:val="22"/>
          <w:szCs w:val="22"/>
        </w:rPr>
        <w:t xml:space="preserve">predominantly </w:t>
      </w:r>
      <w:r>
        <w:rPr>
          <w:rFonts w:ascii="Arial" w:hAnsi="Arial" w:cs="Arial"/>
          <w:sz w:val="22"/>
          <w:szCs w:val="22"/>
        </w:rPr>
        <w:t xml:space="preserve">because other researchers </w:t>
      </w:r>
      <w:r w:rsidR="0053263E">
        <w:rPr>
          <w:rFonts w:ascii="Arial" w:hAnsi="Arial" w:cs="Arial"/>
          <w:sz w:val="22"/>
          <w:szCs w:val="22"/>
        </w:rPr>
        <w:t>may</w:t>
      </w:r>
      <w:r>
        <w:rPr>
          <w:rFonts w:ascii="Arial" w:hAnsi="Arial" w:cs="Arial"/>
          <w:sz w:val="22"/>
          <w:szCs w:val="22"/>
        </w:rPr>
        <w:t xml:space="preserve"> not have access </w:t>
      </w:r>
      <w:r w:rsidR="0053263E">
        <w:rPr>
          <w:rFonts w:ascii="Arial" w:hAnsi="Arial" w:cs="Arial"/>
          <w:sz w:val="22"/>
          <w:szCs w:val="22"/>
        </w:rPr>
        <w:t>to a large data set of therapy transcripts.</w:t>
      </w:r>
      <w:r>
        <w:rPr>
          <w:rFonts w:ascii="Arial" w:hAnsi="Arial" w:cs="Arial"/>
          <w:sz w:val="22"/>
          <w:szCs w:val="22"/>
        </w:rPr>
        <w:t xml:space="preserve"> Therefore, data sharing and collaborating with others, who share my curiosity in this research area, is a further personal implication of this, current, research.</w:t>
      </w:r>
      <w:r w:rsidR="00043250">
        <w:rPr>
          <w:rFonts w:ascii="Arial" w:hAnsi="Arial" w:cs="Arial"/>
          <w:sz w:val="22"/>
          <w:szCs w:val="22"/>
        </w:rPr>
        <w:t xml:space="preserve"> In the final stages of this research I purposefully sought to collaborate with researchers in this field</w:t>
      </w:r>
      <w:r w:rsidR="0053263E">
        <w:rPr>
          <w:rFonts w:ascii="Arial" w:hAnsi="Arial" w:cs="Arial"/>
          <w:sz w:val="22"/>
          <w:szCs w:val="22"/>
        </w:rPr>
        <w:t>, sharing my findings from this research and exploring future questions.</w:t>
      </w:r>
      <w:r w:rsidR="00043250">
        <w:rPr>
          <w:rFonts w:ascii="Arial" w:hAnsi="Arial" w:cs="Arial"/>
          <w:sz w:val="22"/>
          <w:szCs w:val="22"/>
        </w:rPr>
        <w:t xml:space="preserve"> </w:t>
      </w:r>
      <w:r w:rsidR="00D72790">
        <w:rPr>
          <w:rFonts w:ascii="Arial" w:hAnsi="Arial" w:cs="Arial"/>
          <w:sz w:val="22"/>
          <w:szCs w:val="22"/>
        </w:rPr>
        <w:t xml:space="preserve">Earlier in this thesis I argued that </w:t>
      </w:r>
      <w:r w:rsidR="006E35D9">
        <w:rPr>
          <w:rFonts w:ascii="Arial" w:hAnsi="Arial" w:cs="Arial"/>
          <w:sz w:val="22"/>
          <w:szCs w:val="22"/>
        </w:rPr>
        <w:t xml:space="preserve">psychological research should not be focussing on </w:t>
      </w:r>
      <w:r w:rsidR="00D72790">
        <w:rPr>
          <w:rFonts w:ascii="Arial" w:hAnsi="Arial" w:cs="Arial"/>
          <w:sz w:val="22"/>
          <w:szCs w:val="22"/>
        </w:rPr>
        <w:t xml:space="preserve">top down research that places an emphasis on </w:t>
      </w:r>
      <w:r w:rsidR="00077621">
        <w:rPr>
          <w:rFonts w:ascii="Arial" w:hAnsi="Arial" w:cs="Arial"/>
          <w:sz w:val="22"/>
          <w:szCs w:val="22"/>
        </w:rPr>
        <w:t xml:space="preserve">scientists conducting randomised controlled trials </w:t>
      </w:r>
      <w:r w:rsidR="00196DBF">
        <w:rPr>
          <w:rFonts w:ascii="Arial" w:hAnsi="Arial" w:cs="Arial"/>
          <w:sz w:val="22"/>
          <w:szCs w:val="22"/>
        </w:rPr>
        <w:t>away from real</w:t>
      </w:r>
      <w:r w:rsidR="00622CDC">
        <w:rPr>
          <w:rFonts w:ascii="Arial" w:hAnsi="Arial" w:cs="Arial"/>
          <w:sz w:val="22"/>
          <w:szCs w:val="22"/>
        </w:rPr>
        <w:t>-</w:t>
      </w:r>
      <w:r w:rsidR="00196DBF">
        <w:rPr>
          <w:rFonts w:ascii="Arial" w:hAnsi="Arial" w:cs="Arial"/>
          <w:sz w:val="22"/>
          <w:szCs w:val="22"/>
        </w:rPr>
        <w:t>world settings</w:t>
      </w:r>
      <w:r w:rsidR="000A1174">
        <w:rPr>
          <w:rFonts w:ascii="Arial" w:hAnsi="Arial" w:cs="Arial"/>
          <w:sz w:val="22"/>
          <w:szCs w:val="22"/>
        </w:rPr>
        <w:t xml:space="preserve">. That is not to say that I do not feel that this </w:t>
      </w:r>
      <w:r w:rsidR="00B005D6">
        <w:rPr>
          <w:rFonts w:ascii="Arial" w:hAnsi="Arial" w:cs="Arial"/>
          <w:sz w:val="22"/>
          <w:szCs w:val="22"/>
        </w:rPr>
        <w:t xml:space="preserve">type of research is unwarranted, I am merely arguing that </w:t>
      </w:r>
      <w:r w:rsidR="00A719A6">
        <w:rPr>
          <w:rFonts w:ascii="Arial" w:hAnsi="Arial" w:cs="Arial"/>
          <w:sz w:val="22"/>
          <w:szCs w:val="22"/>
        </w:rPr>
        <w:t xml:space="preserve">there should be a greater emphasis on demonstrating the generalisability of such research </w:t>
      </w:r>
      <w:r w:rsidR="00C33944">
        <w:rPr>
          <w:rFonts w:ascii="Arial" w:hAnsi="Arial" w:cs="Arial"/>
          <w:sz w:val="22"/>
          <w:szCs w:val="22"/>
        </w:rPr>
        <w:t>in real</w:t>
      </w:r>
      <w:r w:rsidR="0023735D">
        <w:rPr>
          <w:rFonts w:ascii="Arial" w:hAnsi="Arial" w:cs="Arial"/>
          <w:sz w:val="22"/>
          <w:szCs w:val="22"/>
        </w:rPr>
        <w:t>-</w:t>
      </w:r>
      <w:r w:rsidR="00C33944">
        <w:rPr>
          <w:rFonts w:ascii="Arial" w:hAnsi="Arial" w:cs="Arial"/>
          <w:sz w:val="22"/>
          <w:szCs w:val="22"/>
        </w:rPr>
        <w:t>world settings and that there should be a greater effort made for scientists</w:t>
      </w:r>
      <w:r w:rsidR="004B581D">
        <w:rPr>
          <w:rFonts w:ascii="Arial" w:hAnsi="Arial" w:cs="Arial"/>
          <w:sz w:val="22"/>
          <w:szCs w:val="22"/>
        </w:rPr>
        <w:t>, clinicians and services to collaborate on real</w:t>
      </w:r>
      <w:r w:rsidR="0023735D">
        <w:rPr>
          <w:rFonts w:ascii="Arial" w:hAnsi="Arial" w:cs="Arial"/>
          <w:sz w:val="22"/>
          <w:szCs w:val="22"/>
        </w:rPr>
        <w:t>-</w:t>
      </w:r>
      <w:r w:rsidR="004B581D">
        <w:rPr>
          <w:rFonts w:ascii="Arial" w:hAnsi="Arial" w:cs="Arial"/>
          <w:sz w:val="22"/>
          <w:szCs w:val="22"/>
        </w:rPr>
        <w:t>world research (Strauss, Lutz, Steffan</w:t>
      </w:r>
      <w:r w:rsidR="00D410A6">
        <w:rPr>
          <w:rFonts w:ascii="Arial" w:hAnsi="Arial" w:cs="Arial"/>
          <w:sz w:val="22"/>
          <w:szCs w:val="22"/>
        </w:rPr>
        <w:t>owski, Wittmann, Boehnke, Rubel et al., 2015).</w:t>
      </w:r>
      <w:r w:rsidR="006E35D9">
        <w:rPr>
          <w:rFonts w:ascii="Arial" w:hAnsi="Arial" w:cs="Arial"/>
          <w:sz w:val="22"/>
          <w:szCs w:val="22"/>
        </w:rPr>
        <w:t xml:space="preserve"> </w:t>
      </w:r>
      <w:r w:rsidR="00043250">
        <w:rPr>
          <w:rFonts w:ascii="Arial" w:hAnsi="Arial" w:cs="Arial"/>
          <w:sz w:val="22"/>
          <w:szCs w:val="22"/>
        </w:rPr>
        <w:t>Th</w:t>
      </w:r>
      <w:r w:rsidR="00D410A6">
        <w:rPr>
          <w:rFonts w:ascii="Arial" w:hAnsi="Arial" w:cs="Arial"/>
          <w:sz w:val="22"/>
          <w:szCs w:val="22"/>
        </w:rPr>
        <w:t>ese</w:t>
      </w:r>
      <w:r w:rsidR="00B27119">
        <w:rPr>
          <w:rFonts w:ascii="Arial" w:hAnsi="Arial" w:cs="Arial"/>
          <w:sz w:val="22"/>
          <w:szCs w:val="22"/>
        </w:rPr>
        <w:t xml:space="preserve"> reflections</w:t>
      </w:r>
      <w:r w:rsidR="00043250">
        <w:rPr>
          <w:rFonts w:ascii="Arial" w:hAnsi="Arial" w:cs="Arial"/>
          <w:sz w:val="22"/>
          <w:szCs w:val="22"/>
        </w:rPr>
        <w:t xml:space="preserve"> ha</w:t>
      </w:r>
      <w:r w:rsidR="00B27119">
        <w:rPr>
          <w:rFonts w:ascii="Arial" w:hAnsi="Arial" w:cs="Arial"/>
          <w:sz w:val="22"/>
          <w:szCs w:val="22"/>
        </w:rPr>
        <w:t>ve</w:t>
      </w:r>
      <w:r w:rsidR="00043250">
        <w:rPr>
          <w:rFonts w:ascii="Arial" w:hAnsi="Arial" w:cs="Arial"/>
          <w:sz w:val="22"/>
          <w:szCs w:val="22"/>
        </w:rPr>
        <w:t xml:space="preserve"> resulted in research collaborations with a number of academic and clinical institution</w:t>
      </w:r>
      <w:r w:rsidR="0053263E">
        <w:rPr>
          <w:rFonts w:ascii="Arial" w:hAnsi="Arial" w:cs="Arial"/>
          <w:sz w:val="22"/>
          <w:szCs w:val="22"/>
        </w:rPr>
        <w:t>s</w:t>
      </w:r>
      <w:r w:rsidR="001E58D2">
        <w:rPr>
          <w:rFonts w:ascii="Arial" w:hAnsi="Arial" w:cs="Arial"/>
          <w:sz w:val="22"/>
          <w:szCs w:val="22"/>
        </w:rPr>
        <w:t>, including the University of Exeter, Trier University, Sheffield University, Boston University and the Beck Institute.</w:t>
      </w:r>
      <w:r w:rsidR="0053263E">
        <w:rPr>
          <w:rFonts w:ascii="Arial" w:hAnsi="Arial" w:cs="Arial"/>
          <w:sz w:val="22"/>
          <w:szCs w:val="22"/>
        </w:rPr>
        <w:t xml:space="preserve"> </w:t>
      </w:r>
      <w:r w:rsidR="001E58D2">
        <w:rPr>
          <w:rFonts w:ascii="Arial" w:hAnsi="Arial" w:cs="Arial"/>
          <w:sz w:val="22"/>
          <w:szCs w:val="22"/>
        </w:rPr>
        <w:t xml:space="preserve"> The </w:t>
      </w:r>
      <w:r w:rsidR="00742E92">
        <w:rPr>
          <w:rFonts w:ascii="Arial" w:hAnsi="Arial" w:cs="Arial"/>
          <w:sz w:val="22"/>
          <w:szCs w:val="22"/>
        </w:rPr>
        <w:t>resulting research projects are outlined in table 7.1.</w:t>
      </w:r>
    </w:p>
    <w:p w14:paraId="540CBD91" w14:textId="07D14B61" w:rsidR="002862A3" w:rsidRDefault="002862A3" w:rsidP="007F596B">
      <w:pPr>
        <w:spacing w:line="480" w:lineRule="auto"/>
        <w:rPr>
          <w:rFonts w:ascii="Arial" w:hAnsi="Arial" w:cs="Arial"/>
          <w:sz w:val="22"/>
          <w:szCs w:val="22"/>
        </w:rPr>
      </w:pPr>
    </w:p>
    <w:p w14:paraId="03458AB4" w14:textId="1DE6D34A" w:rsidR="002862A3" w:rsidRDefault="002862A3" w:rsidP="007F596B">
      <w:pPr>
        <w:spacing w:line="480" w:lineRule="auto"/>
        <w:rPr>
          <w:rFonts w:ascii="Arial" w:hAnsi="Arial" w:cs="Arial"/>
          <w:sz w:val="22"/>
          <w:szCs w:val="22"/>
        </w:rPr>
      </w:pPr>
    </w:p>
    <w:p w14:paraId="3B4484B1" w14:textId="4EA35DBB" w:rsidR="002862A3" w:rsidRDefault="002862A3" w:rsidP="007F596B">
      <w:pPr>
        <w:spacing w:line="480" w:lineRule="auto"/>
        <w:rPr>
          <w:rFonts w:ascii="Arial" w:hAnsi="Arial" w:cs="Arial"/>
          <w:sz w:val="22"/>
          <w:szCs w:val="22"/>
        </w:rPr>
      </w:pPr>
    </w:p>
    <w:p w14:paraId="076E759C" w14:textId="77777777" w:rsidR="00DE7B3C" w:rsidRPr="001D546E" w:rsidRDefault="00DE7B3C" w:rsidP="00DE7B3C">
      <w:pPr>
        <w:pStyle w:val="Tables"/>
      </w:pPr>
      <w:bookmarkStart w:id="516" w:name="_Toc28347791"/>
      <w:bookmarkStart w:id="517" w:name="_Toc46770993"/>
      <w:r>
        <w:lastRenderedPageBreak/>
        <w:t>T</w:t>
      </w:r>
      <w:r w:rsidRPr="00302F26">
        <w:t xml:space="preserve">able 7.1 </w:t>
      </w:r>
      <w:r w:rsidRPr="001D546E">
        <w:t>Ongoing research following the findings of this research</w:t>
      </w:r>
      <w:bookmarkEnd w:id="516"/>
      <w:bookmarkEnd w:id="517"/>
      <w:r w:rsidRPr="001D546E">
        <w:t xml:space="preserve"> </w:t>
      </w:r>
    </w:p>
    <w:p w14:paraId="650BD410" w14:textId="77777777" w:rsidR="00742E92" w:rsidRDefault="00E50341" w:rsidP="001D546E">
      <w:pPr>
        <w:spacing w:after="240"/>
      </w:pPr>
      <w:bookmarkStart w:id="518" w:name="_Toc28347792"/>
      <w:bookmarkStart w:id="519" w:name="_Toc28353656"/>
      <w:bookmarkStart w:id="520" w:name="_Toc28354699"/>
      <w:r>
        <w:rPr>
          <w:bCs/>
          <w:noProof/>
        </w:rPr>
        <mc:AlternateContent>
          <mc:Choice Requires="wps">
            <w:drawing>
              <wp:anchor distT="0" distB="0" distL="114300" distR="114300" simplePos="0" relativeHeight="251658245" behindDoc="0" locked="0" layoutInCell="1" allowOverlap="1" wp14:anchorId="4690E066" wp14:editId="66C84E04">
                <wp:simplePos x="0" y="0"/>
                <wp:positionH relativeFrom="column">
                  <wp:posOffset>8792</wp:posOffset>
                </wp:positionH>
                <wp:positionV relativeFrom="paragraph">
                  <wp:posOffset>263769</wp:posOffset>
                </wp:positionV>
                <wp:extent cx="5670550" cy="0"/>
                <wp:effectExtent l="0" t="0" r="6350" b="12700"/>
                <wp:wrapNone/>
                <wp:docPr id="23" name="Straight Connector 23" descr="P3765#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6705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BC52B4B" id="Straight Connector 23" o:spid="_x0000_s1026" alt="P3765#y1" style="position:absolute;z-index:251658245;visibility:visible;mso-wrap-style:square;mso-wrap-distance-left:9pt;mso-wrap-distance-top:0;mso-wrap-distance-right:9pt;mso-wrap-distance-bottom:0;mso-position-horizontal:absolute;mso-position-horizontal-relative:text;mso-position-vertical:absolute;mso-position-vertical-relative:text" from=".7pt,20.75pt" to="447.2pt,2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" strokecolor="black [3040]"/>
            </w:pict>
          </mc:Fallback>
        </mc:AlternateContent>
      </w:r>
      <w:bookmarkEnd w:id="518"/>
      <w:bookmarkEnd w:id="519"/>
      <w:bookmarkEnd w:id="520"/>
      <w:r w:rsidR="001D546E">
        <w:t xml:space="preserve"> </w:t>
      </w:r>
    </w:p>
    <w:p w14:paraId="22A2D269" w14:textId="52912266" w:rsidR="00742E92" w:rsidRPr="00E50341" w:rsidRDefault="00E50341" w:rsidP="007F596B">
      <w:pPr>
        <w:spacing w:line="480" w:lineRule="auto"/>
        <w:rPr>
          <w:rFonts w:ascii="Arial" w:hAnsi="Arial" w:cs="Arial"/>
          <w:b/>
          <w:bCs/>
          <w:sz w:val="22"/>
          <w:szCs w:val="22"/>
        </w:rPr>
      </w:pPr>
      <w:r>
        <w:rPr>
          <w:rFonts w:ascii="Arial" w:hAnsi="Arial" w:cs="Arial"/>
          <w:b/>
          <w:bCs/>
          <w:noProof/>
          <w:sz w:val="22"/>
          <w:szCs w:val="22"/>
        </w:rPr>
        <mc:AlternateContent>
          <mc:Choice Requires="wps">
            <w:drawing>
              <wp:anchor distT="0" distB="0" distL="114300" distR="114300" simplePos="0" relativeHeight="251658244" behindDoc="0" locked="0" layoutInCell="1" allowOverlap="1" wp14:anchorId="24E18117" wp14:editId="2D65DCC6">
                <wp:simplePos x="0" y="0"/>
                <wp:positionH relativeFrom="column">
                  <wp:posOffset>8791</wp:posOffset>
                </wp:positionH>
                <wp:positionV relativeFrom="paragraph">
                  <wp:posOffset>250190</wp:posOffset>
                </wp:positionV>
                <wp:extent cx="5671039" cy="0"/>
                <wp:effectExtent l="0" t="0" r="6350" b="12700"/>
                <wp:wrapNone/>
                <wp:docPr id="7" name="Straight Connector 7" descr="P3766#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67103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188B92A" id="Straight Connector 7" o:spid="_x0000_s1026" alt="P3766#y1" style="position:absolute;z-index:251658244;visibility:visible;mso-wrap-style:square;mso-wrap-distance-left:9pt;mso-wrap-distance-top:0;mso-wrap-distance-right:9pt;mso-wrap-distance-bottom:0;mso-position-horizontal:absolute;mso-position-horizontal-relative:text;mso-position-vertical:absolute;mso-position-vertical-relative:text" from=".7pt,19.7pt" to="447.25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" strokecolor="black [3040]"/>
            </w:pict>
          </mc:Fallback>
        </mc:AlternateContent>
      </w:r>
      <w:r w:rsidR="00742E92" w:rsidRPr="00E50341">
        <w:rPr>
          <w:rFonts w:ascii="Arial" w:hAnsi="Arial" w:cs="Arial"/>
          <w:b/>
          <w:bCs/>
          <w:sz w:val="22"/>
          <w:szCs w:val="22"/>
        </w:rPr>
        <w:t>Institution</w:t>
      </w:r>
      <w:r w:rsidR="00742E92" w:rsidRPr="00E50341">
        <w:rPr>
          <w:rFonts w:ascii="Arial" w:hAnsi="Arial" w:cs="Arial"/>
          <w:b/>
          <w:bCs/>
          <w:sz w:val="22"/>
          <w:szCs w:val="22"/>
        </w:rPr>
        <w:tab/>
      </w:r>
      <w:r w:rsidR="00742E92" w:rsidRPr="00E50341">
        <w:rPr>
          <w:rFonts w:ascii="Arial" w:hAnsi="Arial" w:cs="Arial"/>
          <w:b/>
          <w:bCs/>
          <w:sz w:val="22"/>
          <w:szCs w:val="22"/>
        </w:rPr>
        <w:tab/>
      </w:r>
      <w:r w:rsidR="00742E92" w:rsidRPr="00E50341">
        <w:rPr>
          <w:rFonts w:ascii="Arial" w:hAnsi="Arial" w:cs="Arial"/>
          <w:b/>
          <w:bCs/>
          <w:sz w:val="22"/>
          <w:szCs w:val="22"/>
        </w:rPr>
        <w:tab/>
        <w:t>Research</w:t>
      </w:r>
    </w:p>
    <w:p w14:paraId="23AB391F" w14:textId="0026AC11" w:rsidR="00742E92" w:rsidRDefault="00742E92" w:rsidP="00742E92">
      <w:pPr>
        <w:spacing w:line="480" w:lineRule="auto"/>
        <w:ind w:left="2880" w:hanging="2880"/>
        <w:rPr>
          <w:rFonts w:ascii="Arial" w:hAnsi="Arial" w:cs="Arial"/>
          <w:sz w:val="22"/>
          <w:szCs w:val="22"/>
        </w:rPr>
      </w:pPr>
      <w:r>
        <w:rPr>
          <w:rFonts w:ascii="Arial" w:hAnsi="Arial" w:cs="Arial"/>
          <w:sz w:val="22"/>
          <w:szCs w:val="22"/>
        </w:rPr>
        <w:t>University of Exeter</w:t>
      </w:r>
      <w:r>
        <w:rPr>
          <w:rFonts w:ascii="Arial" w:hAnsi="Arial" w:cs="Arial"/>
          <w:sz w:val="22"/>
          <w:szCs w:val="22"/>
        </w:rPr>
        <w:tab/>
        <w:t>i) Investigating the therapist variables that relate to outcome in High Intensity therapists working with older adults</w:t>
      </w:r>
    </w:p>
    <w:p w14:paraId="0274B854" w14:textId="212E6109" w:rsidR="00742E92" w:rsidRDefault="00742E92" w:rsidP="00742E92">
      <w:pPr>
        <w:spacing w:line="480" w:lineRule="auto"/>
        <w:ind w:left="2880" w:hanging="2880"/>
        <w:rPr>
          <w:rFonts w:ascii="Arial" w:hAnsi="Arial" w:cs="Arial"/>
          <w:sz w:val="22"/>
          <w:szCs w:val="22"/>
        </w:rPr>
      </w:pPr>
      <w:r>
        <w:rPr>
          <w:rFonts w:ascii="Arial" w:hAnsi="Arial" w:cs="Arial"/>
          <w:sz w:val="22"/>
          <w:szCs w:val="22"/>
        </w:rPr>
        <w:tab/>
        <w:t>ii) Investigating the efficacy of a CPD training programme for High Intensity therapists working with older adults</w:t>
      </w:r>
    </w:p>
    <w:p w14:paraId="0B4D6792" w14:textId="000C0F69" w:rsidR="00742E92" w:rsidRDefault="00742E92" w:rsidP="00742E92">
      <w:pPr>
        <w:spacing w:line="480" w:lineRule="auto"/>
        <w:ind w:left="2880" w:hanging="2880"/>
        <w:rPr>
          <w:rFonts w:ascii="Arial" w:hAnsi="Arial" w:cs="Arial"/>
          <w:sz w:val="22"/>
          <w:szCs w:val="22"/>
        </w:rPr>
      </w:pPr>
      <w:r>
        <w:rPr>
          <w:rFonts w:ascii="Arial" w:hAnsi="Arial" w:cs="Arial"/>
          <w:sz w:val="22"/>
          <w:szCs w:val="22"/>
        </w:rPr>
        <w:t>Trier University</w:t>
      </w:r>
      <w:r>
        <w:rPr>
          <w:rFonts w:ascii="Arial" w:hAnsi="Arial" w:cs="Arial"/>
          <w:sz w:val="22"/>
          <w:szCs w:val="22"/>
        </w:rPr>
        <w:tab/>
        <w:t>i) Investigating the use of therapist feedback to improve outcome in patients who are off track</w:t>
      </w:r>
      <w:r w:rsidR="007002FE">
        <w:rPr>
          <w:rFonts w:ascii="Arial" w:hAnsi="Arial" w:cs="Arial"/>
          <w:sz w:val="22"/>
          <w:szCs w:val="22"/>
        </w:rPr>
        <w:t>, using a) static growth curve model b) a dynamic growth curve model</w:t>
      </w:r>
    </w:p>
    <w:p w14:paraId="7D8C7D4D" w14:textId="3350432E" w:rsidR="00742E92" w:rsidRDefault="00742E92" w:rsidP="00742E92">
      <w:pPr>
        <w:spacing w:line="480" w:lineRule="auto"/>
        <w:ind w:left="2880" w:hanging="2880"/>
        <w:rPr>
          <w:rFonts w:ascii="Arial" w:hAnsi="Arial" w:cs="Arial"/>
          <w:sz w:val="22"/>
          <w:szCs w:val="22"/>
        </w:rPr>
      </w:pPr>
      <w:r>
        <w:rPr>
          <w:rFonts w:ascii="Arial" w:hAnsi="Arial" w:cs="Arial"/>
          <w:sz w:val="22"/>
          <w:szCs w:val="22"/>
        </w:rPr>
        <w:tab/>
        <w:t>ii) Investigating</w:t>
      </w:r>
      <w:r w:rsidR="00E50341">
        <w:rPr>
          <w:rFonts w:ascii="Arial" w:hAnsi="Arial" w:cs="Arial"/>
          <w:sz w:val="22"/>
          <w:szCs w:val="22"/>
        </w:rPr>
        <w:t xml:space="preserve"> how patients and therapist may be matched based on interpersonal personality traits, in order to maximise the likelihood of recovery.</w:t>
      </w:r>
    </w:p>
    <w:p w14:paraId="292E1ACC" w14:textId="39068AF8" w:rsidR="00E50341" w:rsidRDefault="00E50341" w:rsidP="00742E92">
      <w:pPr>
        <w:spacing w:line="480" w:lineRule="auto"/>
        <w:ind w:left="2880" w:hanging="2880"/>
        <w:rPr>
          <w:rFonts w:ascii="Arial" w:hAnsi="Arial" w:cs="Arial"/>
          <w:sz w:val="22"/>
          <w:szCs w:val="22"/>
        </w:rPr>
      </w:pPr>
      <w:r>
        <w:rPr>
          <w:rFonts w:ascii="Arial" w:hAnsi="Arial" w:cs="Arial"/>
          <w:sz w:val="22"/>
          <w:szCs w:val="22"/>
        </w:rPr>
        <w:t>Sheffield University</w:t>
      </w:r>
      <w:r>
        <w:rPr>
          <w:rFonts w:ascii="Arial" w:hAnsi="Arial" w:cs="Arial"/>
          <w:sz w:val="22"/>
          <w:szCs w:val="22"/>
        </w:rPr>
        <w:tab/>
        <w:t xml:space="preserve">i) Investigating the correlation between the formative assessment of trainee therapist competence, using the CTS-R, and an automated </w:t>
      </w:r>
      <w:r w:rsidR="007002FE">
        <w:rPr>
          <w:rFonts w:ascii="Arial" w:hAnsi="Arial" w:cs="Arial"/>
          <w:sz w:val="22"/>
          <w:szCs w:val="22"/>
        </w:rPr>
        <w:t>CTS-R using a machine learning model.</w:t>
      </w:r>
    </w:p>
    <w:p w14:paraId="4B0E270E" w14:textId="4EE25AE8" w:rsidR="007002FE" w:rsidRDefault="007002FE" w:rsidP="00742E92">
      <w:pPr>
        <w:spacing w:line="480" w:lineRule="auto"/>
        <w:ind w:left="2880" w:hanging="2880"/>
        <w:rPr>
          <w:rFonts w:ascii="Arial" w:hAnsi="Arial" w:cs="Arial"/>
          <w:sz w:val="22"/>
          <w:szCs w:val="22"/>
        </w:rPr>
      </w:pPr>
      <w:r>
        <w:rPr>
          <w:rFonts w:ascii="Arial" w:hAnsi="Arial" w:cs="Arial"/>
          <w:sz w:val="22"/>
          <w:szCs w:val="22"/>
        </w:rPr>
        <w:tab/>
        <w:t>ii) Investigating the processes that are related to sudden therapeutic gains.</w:t>
      </w:r>
    </w:p>
    <w:p w14:paraId="1E3903C4" w14:textId="35861C25" w:rsidR="00B409DB" w:rsidRDefault="00B409DB" w:rsidP="00742E92">
      <w:pPr>
        <w:spacing w:line="480" w:lineRule="auto"/>
        <w:ind w:left="2880" w:hanging="2880"/>
        <w:rPr>
          <w:rFonts w:ascii="Arial" w:hAnsi="Arial" w:cs="Arial"/>
          <w:sz w:val="22"/>
          <w:szCs w:val="22"/>
        </w:rPr>
      </w:pPr>
      <w:r>
        <w:rPr>
          <w:rFonts w:ascii="Arial" w:hAnsi="Arial" w:cs="Arial"/>
          <w:sz w:val="22"/>
          <w:szCs w:val="22"/>
        </w:rPr>
        <w:tab/>
        <w:t>iii) Using growth curve models</w:t>
      </w:r>
      <w:r w:rsidR="00733AD7">
        <w:rPr>
          <w:rFonts w:ascii="Arial" w:hAnsi="Arial" w:cs="Arial"/>
          <w:sz w:val="22"/>
          <w:szCs w:val="22"/>
        </w:rPr>
        <w:t xml:space="preserve"> to support therapists and patients to address issues </w:t>
      </w:r>
      <w:r w:rsidR="001026F5">
        <w:rPr>
          <w:rFonts w:ascii="Arial" w:hAnsi="Arial" w:cs="Arial"/>
          <w:sz w:val="22"/>
          <w:szCs w:val="22"/>
        </w:rPr>
        <w:t>that relate to therapy being ‘off track</w:t>
      </w:r>
      <w:r w:rsidR="00385ADB">
        <w:rPr>
          <w:rFonts w:ascii="Arial" w:hAnsi="Arial" w:cs="Arial"/>
          <w:sz w:val="22"/>
          <w:szCs w:val="22"/>
        </w:rPr>
        <w:t>’.</w:t>
      </w:r>
    </w:p>
    <w:p w14:paraId="5CC66686" w14:textId="5250D12A" w:rsidR="007002FE" w:rsidRDefault="007002FE" w:rsidP="00742E92">
      <w:pPr>
        <w:spacing w:line="480" w:lineRule="auto"/>
        <w:ind w:left="2880" w:hanging="2880"/>
        <w:rPr>
          <w:rFonts w:ascii="Arial" w:hAnsi="Arial" w:cs="Arial"/>
          <w:sz w:val="22"/>
          <w:szCs w:val="22"/>
        </w:rPr>
      </w:pPr>
      <w:r>
        <w:rPr>
          <w:rFonts w:ascii="Arial" w:hAnsi="Arial" w:cs="Arial"/>
          <w:sz w:val="22"/>
          <w:szCs w:val="22"/>
        </w:rPr>
        <w:t>Boston University</w:t>
      </w:r>
      <w:r>
        <w:rPr>
          <w:rFonts w:ascii="Arial" w:hAnsi="Arial" w:cs="Arial"/>
          <w:sz w:val="22"/>
          <w:szCs w:val="22"/>
        </w:rPr>
        <w:tab/>
        <w:t>Investigating how adherence to a Unified Protocol relates to outcome in US therapists, delivering CBT online using the Ieso Digital Health platform</w:t>
      </w:r>
    </w:p>
    <w:p w14:paraId="5667300B" w14:textId="2F1EA5C2" w:rsidR="007002FE" w:rsidRDefault="007002FE" w:rsidP="007002FE">
      <w:pPr>
        <w:spacing w:line="480" w:lineRule="auto"/>
        <w:ind w:left="2880" w:hanging="2880"/>
        <w:rPr>
          <w:rFonts w:ascii="Arial" w:hAnsi="Arial" w:cs="Arial"/>
          <w:sz w:val="22"/>
          <w:szCs w:val="22"/>
        </w:rPr>
      </w:pPr>
      <w:r>
        <w:rPr>
          <w:rFonts w:ascii="Arial" w:hAnsi="Arial" w:cs="Arial"/>
          <w:sz w:val="22"/>
          <w:szCs w:val="22"/>
        </w:rPr>
        <w:t>Beck Institute</w:t>
      </w:r>
      <w:r>
        <w:rPr>
          <w:rFonts w:ascii="Arial" w:hAnsi="Arial" w:cs="Arial"/>
          <w:sz w:val="22"/>
          <w:szCs w:val="22"/>
        </w:rPr>
        <w:tab/>
        <w:t>Investigating the efficacy of an automated tool to rate therapist competence following face-to-face and online clinical training</w:t>
      </w:r>
    </w:p>
    <w:p w14:paraId="4706DD7B" w14:textId="77777777" w:rsidR="00E50341" w:rsidRDefault="00E50341" w:rsidP="00742E92">
      <w:pPr>
        <w:spacing w:line="480" w:lineRule="auto"/>
        <w:ind w:left="2880" w:hanging="2880"/>
        <w:rPr>
          <w:rFonts w:ascii="Arial" w:hAnsi="Arial" w:cs="Arial"/>
          <w:sz w:val="22"/>
          <w:szCs w:val="22"/>
        </w:rPr>
      </w:pPr>
    </w:p>
    <w:p w14:paraId="7A218139" w14:textId="77777777" w:rsidR="00742E92" w:rsidRDefault="00742E92" w:rsidP="00742E92">
      <w:pPr>
        <w:spacing w:line="480" w:lineRule="auto"/>
        <w:ind w:left="2880" w:hanging="2880"/>
        <w:rPr>
          <w:rFonts w:ascii="Arial" w:hAnsi="Arial" w:cs="Arial"/>
          <w:sz w:val="22"/>
          <w:szCs w:val="22"/>
        </w:rPr>
      </w:pPr>
    </w:p>
    <w:p w14:paraId="5D34BA73" w14:textId="6794439A" w:rsidR="007F596B" w:rsidRDefault="007002FE" w:rsidP="007F596B">
      <w:pPr>
        <w:spacing w:line="480" w:lineRule="auto"/>
        <w:rPr>
          <w:rFonts w:ascii="Arial" w:hAnsi="Arial" w:cs="Arial"/>
          <w:sz w:val="22"/>
          <w:szCs w:val="22"/>
        </w:rPr>
      </w:pPr>
      <w:r>
        <w:rPr>
          <w:rFonts w:ascii="Arial" w:hAnsi="Arial" w:cs="Arial"/>
          <w:sz w:val="22"/>
          <w:szCs w:val="22"/>
        </w:rPr>
        <w:lastRenderedPageBreak/>
        <w:t xml:space="preserve">In addition to the ongoing research outlined in </w:t>
      </w:r>
      <w:r w:rsidR="008A3957">
        <w:rPr>
          <w:rFonts w:ascii="Arial" w:hAnsi="Arial" w:cs="Arial"/>
          <w:sz w:val="22"/>
          <w:szCs w:val="22"/>
        </w:rPr>
        <w:t>T</w:t>
      </w:r>
      <w:r>
        <w:rPr>
          <w:rFonts w:ascii="Arial" w:hAnsi="Arial" w:cs="Arial"/>
          <w:sz w:val="22"/>
          <w:szCs w:val="22"/>
        </w:rPr>
        <w:t>able 7.1</w:t>
      </w:r>
      <w:r w:rsidR="008A3957">
        <w:rPr>
          <w:rFonts w:ascii="Arial" w:hAnsi="Arial" w:cs="Arial"/>
          <w:sz w:val="22"/>
          <w:szCs w:val="22"/>
        </w:rPr>
        <w:t>,</w:t>
      </w:r>
      <w:r>
        <w:rPr>
          <w:rFonts w:ascii="Arial" w:hAnsi="Arial" w:cs="Arial"/>
          <w:sz w:val="22"/>
          <w:szCs w:val="22"/>
        </w:rPr>
        <w:t xml:space="preserve"> </w:t>
      </w:r>
      <w:r w:rsidR="001E58D2">
        <w:rPr>
          <w:rFonts w:ascii="Arial" w:hAnsi="Arial" w:cs="Arial"/>
          <w:sz w:val="22"/>
          <w:szCs w:val="22"/>
        </w:rPr>
        <w:t xml:space="preserve">the findings from </w:t>
      </w:r>
      <w:r>
        <w:rPr>
          <w:rFonts w:ascii="Arial" w:hAnsi="Arial" w:cs="Arial"/>
          <w:sz w:val="22"/>
          <w:szCs w:val="22"/>
        </w:rPr>
        <w:t xml:space="preserve">the research discussed in this thesis has been disseminated to the wider team at Ieso Digital Health and </w:t>
      </w:r>
      <w:r w:rsidR="001D2126">
        <w:rPr>
          <w:rFonts w:ascii="Arial" w:hAnsi="Arial" w:cs="Arial"/>
          <w:sz w:val="22"/>
          <w:szCs w:val="22"/>
        </w:rPr>
        <w:t xml:space="preserve">this </w:t>
      </w:r>
      <w:r>
        <w:rPr>
          <w:rFonts w:ascii="Arial" w:hAnsi="Arial" w:cs="Arial"/>
          <w:sz w:val="22"/>
          <w:szCs w:val="22"/>
        </w:rPr>
        <w:t xml:space="preserve">has resulted in the development </w:t>
      </w:r>
      <w:r w:rsidR="001D2126">
        <w:rPr>
          <w:rFonts w:ascii="Arial" w:hAnsi="Arial" w:cs="Arial"/>
          <w:sz w:val="22"/>
          <w:szCs w:val="22"/>
        </w:rPr>
        <w:t>of</w:t>
      </w:r>
      <w:r>
        <w:rPr>
          <w:rFonts w:ascii="Arial" w:hAnsi="Arial" w:cs="Arial"/>
          <w:sz w:val="22"/>
          <w:szCs w:val="22"/>
        </w:rPr>
        <w:t xml:space="preserve"> a machine learning model that automatically assesses competence at every therapy appointment. This research</w:t>
      </w:r>
      <w:r w:rsidR="0086631B">
        <w:rPr>
          <w:rFonts w:ascii="Arial" w:hAnsi="Arial" w:cs="Arial"/>
          <w:sz w:val="22"/>
          <w:szCs w:val="22"/>
        </w:rPr>
        <w:t xml:space="preserve"> is based on a model entitled the Therapy Insights Model (TIM) and</w:t>
      </w:r>
      <w:r>
        <w:rPr>
          <w:rFonts w:ascii="Arial" w:hAnsi="Arial" w:cs="Arial"/>
          <w:sz w:val="22"/>
          <w:szCs w:val="22"/>
        </w:rPr>
        <w:t xml:space="preserve"> has been </w:t>
      </w:r>
      <w:r w:rsidR="0053263E">
        <w:rPr>
          <w:rFonts w:ascii="Arial" w:hAnsi="Arial" w:cs="Arial"/>
          <w:sz w:val="22"/>
          <w:szCs w:val="22"/>
        </w:rPr>
        <w:t>pub</w:t>
      </w:r>
      <w:r>
        <w:rPr>
          <w:rFonts w:ascii="Arial" w:hAnsi="Arial" w:cs="Arial"/>
          <w:sz w:val="22"/>
          <w:szCs w:val="22"/>
        </w:rPr>
        <w:t xml:space="preserve">lished </w:t>
      </w:r>
      <w:r w:rsidR="0053263E">
        <w:rPr>
          <w:rFonts w:ascii="Arial" w:hAnsi="Arial" w:cs="Arial"/>
          <w:sz w:val="22"/>
          <w:szCs w:val="22"/>
        </w:rPr>
        <w:t>(see Ewbank,</w:t>
      </w:r>
      <w:r w:rsidR="001E58D2">
        <w:rPr>
          <w:rFonts w:ascii="Arial" w:hAnsi="Arial" w:cs="Arial"/>
          <w:sz w:val="22"/>
          <w:szCs w:val="22"/>
        </w:rPr>
        <w:t xml:space="preserve"> Cummins, Tablan, Bateup. Catarino, Martin and Blackwell, 2019)</w:t>
      </w:r>
      <w:r w:rsidR="0086631B">
        <w:rPr>
          <w:rFonts w:ascii="Arial" w:hAnsi="Arial" w:cs="Arial"/>
          <w:sz w:val="22"/>
          <w:szCs w:val="22"/>
        </w:rPr>
        <w:t>. The Therapy Insights Model</w:t>
      </w:r>
      <w:r w:rsidR="00EC6DFF">
        <w:rPr>
          <w:rFonts w:ascii="Arial" w:hAnsi="Arial" w:cs="Arial"/>
          <w:sz w:val="22"/>
          <w:szCs w:val="22"/>
        </w:rPr>
        <w:t xml:space="preserve"> (see </w:t>
      </w:r>
      <w:r w:rsidR="008A3957">
        <w:rPr>
          <w:rFonts w:ascii="Arial" w:hAnsi="Arial" w:cs="Arial"/>
          <w:sz w:val="22"/>
          <w:szCs w:val="22"/>
        </w:rPr>
        <w:t>C</w:t>
      </w:r>
      <w:r w:rsidR="00EC6DFF">
        <w:rPr>
          <w:rFonts w:ascii="Arial" w:hAnsi="Arial" w:cs="Arial"/>
          <w:sz w:val="22"/>
          <w:szCs w:val="22"/>
        </w:rPr>
        <w:t>hapter 6, figure 6.</w:t>
      </w:r>
      <w:r w:rsidR="002E2548">
        <w:rPr>
          <w:rFonts w:ascii="Arial" w:hAnsi="Arial" w:cs="Arial"/>
          <w:sz w:val="22"/>
          <w:szCs w:val="22"/>
        </w:rPr>
        <w:t>6</w:t>
      </w:r>
      <w:r w:rsidR="00EC6DFF">
        <w:rPr>
          <w:rFonts w:ascii="Arial" w:hAnsi="Arial" w:cs="Arial"/>
          <w:sz w:val="22"/>
          <w:szCs w:val="22"/>
        </w:rPr>
        <w:t>)</w:t>
      </w:r>
      <w:r w:rsidR="0086631B">
        <w:rPr>
          <w:rFonts w:ascii="Arial" w:hAnsi="Arial" w:cs="Arial"/>
          <w:sz w:val="22"/>
          <w:szCs w:val="22"/>
        </w:rPr>
        <w:t xml:space="preserve"> </w:t>
      </w:r>
      <w:r w:rsidR="001D2126">
        <w:rPr>
          <w:rFonts w:ascii="Arial" w:hAnsi="Arial" w:cs="Arial"/>
          <w:sz w:val="22"/>
          <w:szCs w:val="22"/>
        </w:rPr>
        <w:t>has been incorporated into the Ieso</w:t>
      </w:r>
      <w:r w:rsidR="003B2EE3">
        <w:rPr>
          <w:rFonts w:ascii="Arial" w:hAnsi="Arial" w:cs="Arial"/>
          <w:sz w:val="22"/>
          <w:szCs w:val="22"/>
        </w:rPr>
        <w:t xml:space="preserve"> Di</w:t>
      </w:r>
      <w:r w:rsidR="0086631B">
        <w:rPr>
          <w:rFonts w:ascii="Arial" w:hAnsi="Arial" w:cs="Arial"/>
          <w:sz w:val="22"/>
          <w:szCs w:val="22"/>
        </w:rPr>
        <w:t>gital Health Platform and the data is available to a therapist’s Clinical Supervisor.  The model, based on the CTS-R, indicates the presence or absence of several aspects of cognitive behavioural therapy, such as agenda setting, giving and eliciting feedback and homework setting. The model provides a score for each aspect of CBT detected for every therapy session the therapist provides.  Higher scores are closely correlated with clinical outcome (Ewbank et al., 2019) and there are plans to provide therapists with their own scores in 2020. Further research exploring therapist variables and the relationship with clinical outcome is also being undertaken. This research involves the close examination of the therapy transcripts of those therapists who are consistently achieving higher outcomes</w:t>
      </w:r>
      <w:r w:rsidR="009D36F1">
        <w:rPr>
          <w:rFonts w:ascii="Arial" w:hAnsi="Arial" w:cs="Arial"/>
          <w:sz w:val="22"/>
          <w:szCs w:val="22"/>
        </w:rPr>
        <w:t xml:space="preserve"> in order to understand the mechanisms of change that might be related to higher outcomes.</w:t>
      </w:r>
    </w:p>
    <w:p w14:paraId="4AE1B82D" w14:textId="77777777" w:rsidR="007F596B" w:rsidRDefault="007F596B" w:rsidP="007F596B">
      <w:pPr>
        <w:spacing w:line="480" w:lineRule="auto"/>
        <w:rPr>
          <w:rFonts w:ascii="Arial" w:hAnsi="Arial" w:cs="Arial"/>
          <w:sz w:val="22"/>
          <w:szCs w:val="22"/>
        </w:rPr>
      </w:pPr>
    </w:p>
    <w:p w14:paraId="50636D7D" w14:textId="1B89922A" w:rsidR="007F596B" w:rsidRDefault="007F596B" w:rsidP="007F596B">
      <w:pPr>
        <w:spacing w:line="480" w:lineRule="auto"/>
        <w:rPr>
          <w:rFonts w:ascii="Arial" w:hAnsi="Arial" w:cs="Arial"/>
          <w:sz w:val="22"/>
          <w:szCs w:val="22"/>
        </w:rPr>
      </w:pPr>
      <w:r>
        <w:rPr>
          <w:rFonts w:ascii="Arial" w:hAnsi="Arial" w:cs="Arial"/>
          <w:sz w:val="22"/>
          <w:szCs w:val="22"/>
        </w:rPr>
        <w:t xml:space="preserve">A final implication of the research presented in this thesis as a senior clinical leader is how I use the knowledge gained to influence policy both in health care and in higher education.  I have argued that the findings from this research may point to a larger problem that is endemic within IAPT training programmes and in IAPT services. This problem relates to the </w:t>
      </w:r>
      <w:r w:rsidR="007002FE">
        <w:rPr>
          <w:rFonts w:ascii="Arial" w:hAnsi="Arial" w:cs="Arial"/>
          <w:sz w:val="22"/>
          <w:szCs w:val="22"/>
        </w:rPr>
        <w:t xml:space="preserve">methods that are used to </w:t>
      </w:r>
      <w:r>
        <w:rPr>
          <w:rFonts w:ascii="Arial" w:hAnsi="Arial" w:cs="Arial"/>
          <w:sz w:val="22"/>
          <w:szCs w:val="22"/>
        </w:rPr>
        <w:t xml:space="preserve">assess therapist competence and adherence. The implications of these findings, and the subsequent hypothesis that IAPT might improve recovery rates by adopting new methods of assessing therapist competence/adherence are not insignificant. </w:t>
      </w:r>
      <w:r w:rsidR="007002FE">
        <w:rPr>
          <w:rFonts w:ascii="Arial" w:hAnsi="Arial" w:cs="Arial"/>
          <w:sz w:val="22"/>
          <w:szCs w:val="22"/>
        </w:rPr>
        <w:t>The</w:t>
      </w:r>
      <w:r>
        <w:rPr>
          <w:rFonts w:ascii="Arial" w:hAnsi="Arial" w:cs="Arial"/>
          <w:sz w:val="22"/>
          <w:szCs w:val="22"/>
        </w:rPr>
        <w:t xml:space="preserve"> overarching aims of IAPT is to improve recovery rates</w:t>
      </w:r>
      <w:r w:rsidR="007002FE">
        <w:rPr>
          <w:rFonts w:ascii="Arial" w:hAnsi="Arial" w:cs="Arial"/>
          <w:sz w:val="22"/>
          <w:szCs w:val="22"/>
        </w:rPr>
        <w:t>,</w:t>
      </w:r>
      <w:r>
        <w:rPr>
          <w:rFonts w:ascii="Arial" w:hAnsi="Arial" w:cs="Arial"/>
          <w:sz w:val="22"/>
          <w:szCs w:val="22"/>
        </w:rPr>
        <w:t xml:space="preserve"> so that as many people as possible benefit from psychological therapy (Clark, Canvin, Layard, Pilling and Janecka, 201</w:t>
      </w:r>
      <w:r w:rsidR="00651ABB">
        <w:rPr>
          <w:rFonts w:ascii="Arial" w:hAnsi="Arial" w:cs="Arial"/>
          <w:sz w:val="22"/>
          <w:szCs w:val="22"/>
        </w:rPr>
        <w:t>8</w:t>
      </w:r>
      <w:r>
        <w:rPr>
          <w:rFonts w:ascii="Arial" w:hAnsi="Arial" w:cs="Arial"/>
          <w:sz w:val="22"/>
          <w:szCs w:val="22"/>
        </w:rPr>
        <w:t xml:space="preserve">).  Therefore, as part of my role it is my responsibility to lobby senior policy makers and </w:t>
      </w:r>
      <w:r>
        <w:rPr>
          <w:rFonts w:ascii="Arial" w:hAnsi="Arial" w:cs="Arial"/>
          <w:sz w:val="22"/>
          <w:szCs w:val="22"/>
        </w:rPr>
        <w:lastRenderedPageBreak/>
        <w:t>those that have responsibility for the national curriculum in Higher Education for IAPT.</w:t>
      </w:r>
      <w:r w:rsidR="007002FE">
        <w:rPr>
          <w:rFonts w:ascii="Arial" w:hAnsi="Arial" w:cs="Arial"/>
          <w:sz w:val="22"/>
          <w:szCs w:val="22"/>
        </w:rPr>
        <w:t xml:space="preserve"> I am currently in discussions with the </w:t>
      </w:r>
      <w:r w:rsidR="001B0EEB">
        <w:rPr>
          <w:rFonts w:ascii="Arial" w:hAnsi="Arial" w:cs="Arial"/>
          <w:sz w:val="22"/>
          <w:szCs w:val="22"/>
        </w:rPr>
        <w:t>board of the British Association of Cognitive and Behavioural Psychotherapy (BABCP), the Beck Institute and various universities in the United Kingdom and have presented at a number of conferences in 2017, 2018 and 2019.</w:t>
      </w:r>
    </w:p>
    <w:p w14:paraId="116C37C5" w14:textId="77777777" w:rsidR="007F596B" w:rsidRDefault="007F596B" w:rsidP="007F596B">
      <w:pPr>
        <w:spacing w:line="480" w:lineRule="auto"/>
        <w:rPr>
          <w:rFonts w:ascii="Arial" w:hAnsi="Arial" w:cs="Arial"/>
          <w:sz w:val="22"/>
          <w:szCs w:val="22"/>
        </w:rPr>
      </w:pPr>
    </w:p>
    <w:p w14:paraId="7FA42E7E" w14:textId="4CCB58E4" w:rsidR="007F596B" w:rsidRDefault="009E41F1" w:rsidP="007F596B">
      <w:pPr>
        <w:pStyle w:val="Heading3"/>
        <w:rPr>
          <w:rFonts w:cs="Arial"/>
          <w:b w:val="0"/>
          <w:color w:val="000000" w:themeColor="text1"/>
          <w:szCs w:val="22"/>
        </w:rPr>
      </w:pPr>
      <w:bookmarkStart w:id="521" w:name="_Toc46770886"/>
      <w:bookmarkStart w:id="522" w:name="_Toc79414297"/>
      <w:r>
        <w:rPr>
          <w:rFonts w:cs="Arial"/>
          <w:color w:val="000000" w:themeColor="text1"/>
          <w:szCs w:val="22"/>
        </w:rPr>
        <w:t>7</w:t>
      </w:r>
      <w:r w:rsidR="007F596B" w:rsidRPr="00F42DBB">
        <w:rPr>
          <w:rFonts w:cs="Arial"/>
          <w:color w:val="000000" w:themeColor="text1"/>
          <w:szCs w:val="22"/>
        </w:rPr>
        <w:t>.2.2 Implications as a clinical supervisor</w:t>
      </w:r>
      <w:bookmarkEnd w:id="521"/>
      <w:bookmarkEnd w:id="522"/>
    </w:p>
    <w:p w14:paraId="5898A53D" w14:textId="77777777" w:rsidR="007F596B" w:rsidRPr="00F42DBB" w:rsidRDefault="007F596B" w:rsidP="007F596B"/>
    <w:p w14:paraId="7307EC99" w14:textId="53804233" w:rsidR="007F596B" w:rsidRDefault="007F596B" w:rsidP="007F596B">
      <w:pPr>
        <w:spacing w:line="480" w:lineRule="auto"/>
        <w:rPr>
          <w:rFonts w:ascii="Arial" w:hAnsi="Arial" w:cs="Arial"/>
          <w:sz w:val="22"/>
          <w:szCs w:val="22"/>
        </w:rPr>
      </w:pPr>
      <w:r>
        <w:rPr>
          <w:rFonts w:ascii="Arial" w:hAnsi="Arial" w:cs="Arial"/>
          <w:sz w:val="22"/>
          <w:szCs w:val="22"/>
        </w:rPr>
        <w:t xml:space="preserve">I continue to deliver clinical supervision to senior clinicians as part of my role as Chief Clinical Officer. The findings from the research presented in this thesis can be incorporated into my role as clinical supervisor. I can place a significant focus on enabling those that I supervise to reflect on competence and adherence in order to further test the hypothesis that this will lead to improved outcomes with their patients. This activity, in itself, has its roots in the scientist practitioner stance (Long and Hollin,1997). </w:t>
      </w:r>
    </w:p>
    <w:p w14:paraId="120CA8D0" w14:textId="77777777" w:rsidR="007F596B" w:rsidRDefault="007F596B" w:rsidP="007F596B">
      <w:pPr>
        <w:spacing w:line="480" w:lineRule="auto"/>
        <w:rPr>
          <w:rFonts w:ascii="Arial" w:hAnsi="Arial" w:cs="Arial"/>
          <w:sz w:val="22"/>
          <w:szCs w:val="22"/>
        </w:rPr>
      </w:pPr>
    </w:p>
    <w:p w14:paraId="0AB4F787" w14:textId="083E8A7E" w:rsidR="007F596B" w:rsidRDefault="009E41F1" w:rsidP="007F596B">
      <w:pPr>
        <w:pStyle w:val="Heading3"/>
        <w:rPr>
          <w:rFonts w:cs="Arial"/>
          <w:b w:val="0"/>
          <w:color w:val="000000" w:themeColor="text1"/>
          <w:szCs w:val="22"/>
        </w:rPr>
      </w:pPr>
      <w:bookmarkStart w:id="523" w:name="_Toc46770887"/>
      <w:bookmarkStart w:id="524" w:name="_Toc79414298"/>
      <w:r>
        <w:rPr>
          <w:rFonts w:cs="Arial"/>
          <w:color w:val="000000" w:themeColor="text1"/>
          <w:szCs w:val="22"/>
        </w:rPr>
        <w:t>7</w:t>
      </w:r>
      <w:r w:rsidR="007F596B" w:rsidRPr="00F42DBB">
        <w:rPr>
          <w:rFonts w:cs="Arial"/>
          <w:color w:val="000000" w:themeColor="text1"/>
          <w:szCs w:val="22"/>
        </w:rPr>
        <w:t>.2.</w:t>
      </w:r>
      <w:r w:rsidR="00C54F79">
        <w:rPr>
          <w:rFonts w:cs="Arial"/>
          <w:color w:val="000000" w:themeColor="text1"/>
          <w:szCs w:val="22"/>
        </w:rPr>
        <w:t>3</w:t>
      </w:r>
      <w:r w:rsidR="007F596B" w:rsidRPr="00F42DBB">
        <w:rPr>
          <w:rFonts w:cs="Arial"/>
          <w:color w:val="000000" w:themeColor="text1"/>
          <w:szCs w:val="22"/>
        </w:rPr>
        <w:t xml:space="preserve"> Implications as cognitive behavioural therapist</w:t>
      </w:r>
      <w:bookmarkEnd w:id="523"/>
      <w:bookmarkEnd w:id="524"/>
    </w:p>
    <w:p w14:paraId="5B889FDA" w14:textId="77777777" w:rsidR="007F596B" w:rsidRPr="00F42DBB" w:rsidRDefault="007F596B" w:rsidP="007F596B"/>
    <w:p w14:paraId="236955AC" w14:textId="6E06BCA0" w:rsidR="007F596B" w:rsidRPr="002D5F25" w:rsidRDefault="007F596B" w:rsidP="007F596B">
      <w:pPr>
        <w:spacing w:line="480" w:lineRule="auto"/>
        <w:rPr>
          <w:rFonts w:ascii="Arial" w:hAnsi="Arial" w:cs="Arial"/>
          <w:sz w:val="22"/>
          <w:szCs w:val="22"/>
        </w:rPr>
      </w:pPr>
      <w:r>
        <w:rPr>
          <w:rFonts w:ascii="Arial" w:hAnsi="Arial" w:cs="Arial"/>
          <w:sz w:val="22"/>
          <w:szCs w:val="22"/>
        </w:rPr>
        <w:t>In addition to continuing to deliver clinical supervision, I continue to practice as a CBT therapist because I believe that clinical leaders should maintain their clinical skills and should therefore continue to practice. One study suggests that leaders who fail to maintain their clinical practice become out</w:t>
      </w:r>
      <w:r w:rsidR="008A3957">
        <w:rPr>
          <w:rFonts w:ascii="Arial" w:hAnsi="Arial" w:cs="Arial"/>
          <w:sz w:val="22"/>
          <w:szCs w:val="22"/>
        </w:rPr>
        <w:t>-</w:t>
      </w:r>
      <w:r>
        <w:rPr>
          <w:rFonts w:ascii="Arial" w:hAnsi="Arial" w:cs="Arial"/>
          <w:sz w:val="22"/>
          <w:szCs w:val="22"/>
        </w:rPr>
        <w:t>of</w:t>
      </w:r>
      <w:r w:rsidR="008A3957">
        <w:rPr>
          <w:rFonts w:ascii="Arial" w:hAnsi="Arial" w:cs="Arial"/>
          <w:sz w:val="22"/>
          <w:szCs w:val="22"/>
        </w:rPr>
        <w:t>-</w:t>
      </w:r>
      <w:r>
        <w:rPr>
          <w:rFonts w:ascii="Arial" w:hAnsi="Arial" w:cs="Arial"/>
          <w:sz w:val="22"/>
          <w:szCs w:val="22"/>
        </w:rPr>
        <w:t>date and become less effective as a leader (</w:t>
      </w:r>
      <w:r w:rsidR="00BB47D2">
        <w:rPr>
          <w:rFonts w:ascii="Arial" w:hAnsi="Arial" w:cs="Arial"/>
          <w:sz w:val="22"/>
          <w:szCs w:val="22"/>
        </w:rPr>
        <w:t xml:space="preserve">see </w:t>
      </w:r>
      <w:r w:rsidR="00983C3A">
        <w:rPr>
          <w:rFonts w:ascii="Arial" w:hAnsi="Arial" w:cs="Arial"/>
          <w:sz w:val="22"/>
          <w:szCs w:val="22"/>
        </w:rPr>
        <w:t>Joffe</w:t>
      </w:r>
      <w:r w:rsidR="00BB47D2">
        <w:rPr>
          <w:rFonts w:ascii="Arial" w:hAnsi="Arial" w:cs="Arial"/>
          <w:sz w:val="22"/>
          <w:szCs w:val="22"/>
        </w:rPr>
        <w:t xml:space="preserve"> and MacKenzie-Davy, 2012</w:t>
      </w:r>
      <w:r>
        <w:rPr>
          <w:rFonts w:ascii="Arial" w:hAnsi="Arial" w:cs="Arial"/>
          <w:sz w:val="22"/>
          <w:szCs w:val="22"/>
        </w:rPr>
        <w:t>). Notwithstanding this research, it is important to me to remain current in my professional practice so I can continue to learn and</w:t>
      </w:r>
      <w:r w:rsidR="008A3957">
        <w:rPr>
          <w:rFonts w:ascii="Arial" w:hAnsi="Arial" w:cs="Arial"/>
          <w:sz w:val="22"/>
          <w:szCs w:val="22"/>
        </w:rPr>
        <w:t>,</w:t>
      </w:r>
      <w:r>
        <w:rPr>
          <w:rFonts w:ascii="Arial" w:hAnsi="Arial" w:cs="Arial"/>
          <w:sz w:val="22"/>
          <w:szCs w:val="22"/>
        </w:rPr>
        <w:t xml:space="preserve"> therefore</w:t>
      </w:r>
      <w:r w:rsidR="008A3957">
        <w:rPr>
          <w:rFonts w:ascii="Arial" w:hAnsi="Arial" w:cs="Arial"/>
          <w:sz w:val="22"/>
          <w:szCs w:val="22"/>
        </w:rPr>
        <w:t>,</w:t>
      </w:r>
      <w:r>
        <w:rPr>
          <w:rFonts w:ascii="Arial" w:hAnsi="Arial" w:cs="Arial"/>
          <w:sz w:val="22"/>
          <w:szCs w:val="22"/>
        </w:rPr>
        <w:t xml:space="preserve"> enable those around me to learn. In keeping with this personal belief, the most immediate implication of this research is how I use the learning drawn from it in my own clinical practice. </w:t>
      </w:r>
      <w:r>
        <w:rPr>
          <w:rFonts w:ascii="Arial" w:hAnsi="Arial" w:cs="Arial"/>
          <w:color w:val="000000" w:themeColor="text1"/>
          <w:sz w:val="22"/>
          <w:szCs w:val="22"/>
          <w:lang w:val="en-US"/>
        </w:rPr>
        <w:t xml:space="preserve">That would mean that I should pay greater attention to my own </w:t>
      </w:r>
      <w:r w:rsidRPr="00873AEB">
        <w:rPr>
          <w:rFonts w:ascii="Arial" w:hAnsi="Arial" w:cs="Arial"/>
          <w:color w:val="000000" w:themeColor="text1"/>
          <w:sz w:val="22"/>
          <w:szCs w:val="22"/>
          <w:lang w:val="en-US"/>
        </w:rPr>
        <w:t xml:space="preserve">practical and theoretical </w:t>
      </w:r>
      <w:r>
        <w:rPr>
          <w:rFonts w:ascii="Arial" w:hAnsi="Arial" w:cs="Arial"/>
          <w:color w:val="000000" w:themeColor="text1"/>
          <w:sz w:val="22"/>
          <w:szCs w:val="22"/>
          <w:lang w:val="en-US"/>
        </w:rPr>
        <w:t>training needs in relation to my own ability to deliver CBT with fidelity to the model</w:t>
      </w:r>
      <w:r w:rsidR="008A3957">
        <w:rPr>
          <w:rFonts w:ascii="Arial" w:hAnsi="Arial" w:cs="Arial"/>
          <w:color w:val="000000" w:themeColor="text1"/>
          <w:sz w:val="22"/>
          <w:szCs w:val="22"/>
          <w:lang w:val="en-US"/>
        </w:rPr>
        <w:t>,</w:t>
      </w:r>
      <w:r>
        <w:rPr>
          <w:rFonts w:ascii="Arial" w:hAnsi="Arial" w:cs="Arial"/>
          <w:color w:val="000000" w:themeColor="text1"/>
          <w:sz w:val="22"/>
          <w:szCs w:val="22"/>
          <w:lang w:val="en-US"/>
        </w:rPr>
        <w:t xml:space="preserve"> whilst adhering to an evidence-based protocol and how my own practice impacts on the clinical outcomes of the patients I treat.</w:t>
      </w:r>
      <w:r w:rsidRPr="00873AEB">
        <w:rPr>
          <w:rFonts w:ascii="Arial" w:hAnsi="Arial" w:cs="Arial"/>
          <w:color w:val="000000" w:themeColor="text1"/>
          <w:sz w:val="22"/>
          <w:szCs w:val="22"/>
          <w:lang w:val="en-US"/>
        </w:rPr>
        <w:t xml:space="preserve"> </w:t>
      </w:r>
      <w:r>
        <w:rPr>
          <w:rFonts w:ascii="Arial" w:hAnsi="Arial" w:cs="Arial"/>
          <w:color w:val="000000" w:themeColor="text1"/>
          <w:sz w:val="22"/>
          <w:szCs w:val="22"/>
          <w:lang w:val="en-US"/>
        </w:rPr>
        <w:t>Additionally, I might take these self-reflections to my own clinical supervision in order that I can be guided and supported to become a better clinician.</w:t>
      </w:r>
    </w:p>
    <w:p w14:paraId="2F73090B" w14:textId="515AC7D8" w:rsidR="007F596B" w:rsidRDefault="009E41F1" w:rsidP="007F596B">
      <w:pPr>
        <w:pStyle w:val="Heading2"/>
        <w:rPr>
          <w:rFonts w:ascii="Arial" w:hAnsi="Arial" w:cs="Arial"/>
          <w:b w:val="0"/>
          <w:color w:val="000000" w:themeColor="text1"/>
          <w:sz w:val="22"/>
          <w:szCs w:val="22"/>
        </w:rPr>
      </w:pPr>
      <w:bookmarkStart w:id="525" w:name="_Toc46770888"/>
      <w:bookmarkStart w:id="526" w:name="_Toc79414299"/>
      <w:r>
        <w:rPr>
          <w:rFonts w:ascii="Arial" w:hAnsi="Arial" w:cs="Arial"/>
          <w:color w:val="000000" w:themeColor="text1"/>
          <w:sz w:val="22"/>
          <w:szCs w:val="22"/>
        </w:rPr>
        <w:lastRenderedPageBreak/>
        <w:t>7</w:t>
      </w:r>
      <w:r w:rsidR="007F596B" w:rsidRPr="00960207">
        <w:rPr>
          <w:rFonts w:ascii="Arial" w:hAnsi="Arial" w:cs="Arial"/>
          <w:color w:val="000000" w:themeColor="text1"/>
          <w:sz w:val="22"/>
          <w:szCs w:val="22"/>
        </w:rPr>
        <w:t>.3 CONCLUSION</w:t>
      </w:r>
      <w:bookmarkEnd w:id="525"/>
      <w:bookmarkEnd w:id="526"/>
    </w:p>
    <w:p w14:paraId="6B2EB0AD" w14:textId="77777777" w:rsidR="007F596B" w:rsidRDefault="007F596B" w:rsidP="007F596B">
      <w:pPr>
        <w:spacing w:line="480" w:lineRule="auto"/>
      </w:pPr>
    </w:p>
    <w:p w14:paraId="793CDA33" w14:textId="53FB63B6" w:rsidR="007F596B" w:rsidRDefault="007F596B" w:rsidP="007F596B">
      <w:pPr>
        <w:spacing w:line="480" w:lineRule="auto"/>
        <w:rPr>
          <w:rFonts w:ascii="Arial" w:hAnsi="Arial" w:cs="Arial"/>
          <w:sz w:val="22"/>
          <w:szCs w:val="22"/>
        </w:rPr>
      </w:pPr>
      <w:r>
        <w:rPr>
          <w:rFonts w:ascii="Arial" w:hAnsi="Arial" w:cs="Arial"/>
          <w:sz w:val="22"/>
          <w:szCs w:val="22"/>
        </w:rPr>
        <w:t xml:space="preserve">This chapter has explored the implications of the findings from this research, and the research process as a whole, on my own professional practice. I have presented these implications in </w:t>
      </w:r>
      <w:r w:rsidR="00C00773">
        <w:rPr>
          <w:rFonts w:ascii="Arial" w:hAnsi="Arial" w:cs="Arial"/>
          <w:sz w:val="22"/>
          <w:szCs w:val="22"/>
        </w:rPr>
        <w:t xml:space="preserve">relation to how I have developed as a cognitive behavioural therapist, a supervisor, a senior clinical leader and as a researcher.  I </w:t>
      </w:r>
      <w:r>
        <w:rPr>
          <w:rFonts w:ascii="Arial" w:hAnsi="Arial" w:cs="Arial"/>
          <w:sz w:val="22"/>
          <w:szCs w:val="22"/>
        </w:rPr>
        <w:t>have</w:t>
      </w:r>
      <w:r w:rsidR="00C00773">
        <w:rPr>
          <w:rFonts w:ascii="Arial" w:hAnsi="Arial" w:cs="Arial"/>
          <w:sz w:val="22"/>
          <w:szCs w:val="22"/>
        </w:rPr>
        <w:t xml:space="preserve"> explored the personal and professional processes that were involved in conducting this research and how these have impacted on what I have</w:t>
      </w:r>
      <w:r>
        <w:rPr>
          <w:rFonts w:ascii="Arial" w:hAnsi="Arial" w:cs="Arial"/>
          <w:sz w:val="22"/>
          <w:szCs w:val="22"/>
        </w:rPr>
        <w:t xml:space="preserve"> learnt</w:t>
      </w:r>
      <w:r w:rsidR="00C00773">
        <w:rPr>
          <w:rFonts w:ascii="Arial" w:hAnsi="Arial" w:cs="Arial"/>
          <w:sz w:val="22"/>
          <w:szCs w:val="22"/>
        </w:rPr>
        <w:t xml:space="preserve"> and what I am currently researching. </w:t>
      </w:r>
    </w:p>
    <w:p w14:paraId="2E8BD263" w14:textId="77777777" w:rsidR="007F596B" w:rsidRDefault="007F596B" w:rsidP="007F596B">
      <w:pPr>
        <w:spacing w:line="480" w:lineRule="auto"/>
        <w:rPr>
          <w:rFonts w:ascii="Arial" w:hAnsi="Arial" w:cs="Arial"/>
          <w:sz w:val="22"/>
          <w:szCs w:val="22"/>
        </w:rPr>
      </w:pPr>
    </w:p>
    <w:p w14:paraId="72D6F52A" w14:textId="77777777" w:rsidR="00C00773" w:rsidRDefault="007F596B" w:rsidP="007F596B">
      <w:pPr>
        <w:spacing w:line="480" w:lineRule="auto"/>
        <w:rPr>
          <w:rFonts w:ascii="Arial" w:hAnsi="Arial" w:cs="Arial"/>
          <w:sz w:val="22"/>
          <w:szCs w:val="22"/>
        </w:rPr>
      </w:pPr>
      <w:r>
        <w:rPr>
          <w:rFonts w:ascii="Arial" w:hAnsi="Arial" w:cs="Arial"/>
          <w:sz w:val="22"/>
          <w:szCs w:val="22"/>
        </w:rPr>
        <w:t>This research has been a culmination of 5 years</w:t>
      </w:r>
      <w:r w:rsidR="001B0EEB">
        <w:rPr>
          <w:rFonts w:ascii="Arial" w:hAnsi="Arial" w:cs="Arial"/>
          <w:sz w:val="22"/>
          <w:szCs w:val="22"/>
        </w:rPr>
        <w:t>’</w:t>
      </w:r>
      <w:r>
        <w:rPr>
          <w:rFonts w:ascii="Arial" w:hAnsi="Arial" w:cs="Arial"/>
          <w:sz w:val="22"/>
          <w:szCs w:val="22"/>
        </w:rPr>
        <w:t xml:space="preserve"> work and has led to a significant contribution to the knowledge that relates to </w:t>
      </w:r>
      <w:r w:rsidR="00C00773">
        <w:rPr>
          <w:rFonts w:ascii="Arial" w:hAnsi="Arial" w:cs="Arial"/>
          <w:sz w:val="22"/>
          <w:szCs w:val="22"/>
        </w:rPr>
        <w:t>understanding which</w:t>
      </w:r>
      <w:r>
        <w:rPr>
          <w:rFonts w:ascii="Arial" w:hAnsi="Arial" w:cs="Arial"/>
          <w:sz w:val="22"/>
          <w:szCs w:val="22"/>
        </w:rPr>
        <w:t xml:space="preserve"> therapist variables are associated with clinical outcome in High Intensity CBT therapists working online using </w:t>
      </w:r>
      <w:r w:rsidR="00C00773">
        <w:rPr>
          <w:rFonts w:ascii="Arial" w:hAnsi="Arial" w:cs="Arial"/>
          <w:sz w:val="22"/>
          <w:szCs w:val="22"/>
        </w:rPr>
        <w:t xml:space="preserve">Internet Enabled cognitive behavioural therapy </w:t>
      </w:r>
      <w:r>
        <w:rPr>
          <w:rFonts w:ascii="Arial" w:hAnsi="Arial" w:cs="Arial"/>
          <w:sz w:val="22"/>
          <w:szCs w:val="22"/>
        </w:rPr>
        <w:t xml:space="preserve">in IAPT. </w:t>
      </w:r>
      <w:r w:rsidR="00C00773">
        <w:rPr>
          <w:rFonts w:ascii="Arial" w:hAnsi="Arial" w:cs="Arial"/>
          <w:sz w:val="22"/>
          <w:szCs w:val="22"/>
        </w:rPr>
        <w:t>This research has found that therapist competence, as rated by the Cognitive Therapy Scale (CTS-R), and therapist adherence to an evidence-based treatment protocol are related to clinical outcome at the</w:t>
      </w:r>
    </w:p>
    <w:p w14:paraId="4512DD2E" w14:textId="46C8CAFA" w:rsidR="007F596B" w:rsidRDefault="00C00773" w:rsidP="007F596B">
      <w:pPr>
        <w:spacing w:line="480" w:lineRule="auto"/>
        <w:rPr>
          <w:rFonts w:ascii="Arial" w:hAnsi="Arial" w:cs="Arial"/>
          <w:sz w:val="22"/>
          <w:szCs w:val="22"/>
        </w:rPr>
      </w:pPr>
      <w:r>
        <w:rPr>
          <w:rFonts w:ascii="Arial" w:hAnsi="Arial" w:cs="Arial"/>
          <w:sz w:val="22"/>
          <w:szCs w:val="22"/>
        </w:rPr>
        <w:t xml:space="preserve"> </w:t>
      </w:r>
      <m:oMath>
        <m:r>
          <w:rPr>
            <w:rFonts w:ascii="Cambria Math" w:hAnsi="Cambria Math" w:cs="Arial"/>
            <w:sz w:val="22"/>
            <w:szCs w:val="22"/>
          </w:rPr>
          <m:t xml:space="preserve">≤ </m:t>
        </m:r>
      </m:oMath>
      <w:r>
        <w:rPr>
          <w:rFonts w:ascii="Arial" w:hAnsi="Arial" w:cs="Arial"/>
          <w:sz w:val="22"/>
          <w:szCs w:val="22"/>
        </w:rPr>
        <w:t xml:space="preserve"> 0.05 level.</w:t>
      </w:r>
      <w:r w:rsidR="001D2126">
        <w:rPr>
          <w:rFonts w:ascii="Arial" w:hAnsi="Arial" w:cs="Arial"/>
          <w:sz w:val="22"/>
          <w:szCs w:val="22"/>
        </w:rPr>
        <w:t xml:space="preserve"> Whilst statistically significant</w:t>
      </w:r>
      <w:r w:rsidR="00780414">
        <w:rPr>
          <w:rFonts w:ascii="Arial" w:hAnsi="Arial" w:cs="Arial"/>
          <w:sz w:val="22"/>
          <w:szCs w:val="22"/>
        </w:rPr>
        <w:t>,</w:t>
      </w:r>
      <w:r w:rsidR="001D2126">
        <w:rPr>
          <w:rFonts w:ascii="Arial" w:hAnsi="Arial" w:cs="Arial"/>
          <w:sz w:val="22"/>
          <w:szCs w:val="22"/>
        </w:rPr>
        <w:t xml:space="preserve"> this finding is not sufficient to suggest that the relationship is causal. Further research is ongoing to explore the therapy transcripts of the therapists who achieve the highest clinical outcomes in order to investigate the mechanisms of change that may be responsible for high clinical outcomes.</w:t>
      </w:r>
      <w:r w:rsidR="00195B64">
        <w:rPr>
          <w:rFonts w:ascii="Arial" w:hAnsi="Arial" w:cs="Arial"/>
          <w:sz w:val="22"/>
          <w:szCs w:val="22"/>
        </w:rPr>
        <w:t xml:space="preserve"> What started out as a privileged opportunity to study</w:t>
      </w:r>
      <w:r w:rsidR="00DD5E0C">
        <w:rPr>
          <w:rFonts w:ascii="Arial" w:hAnsi="Arial" w:cs="Arial"/>
          <w:sz w:val="22"/>
          <w:szCs w:val="22"/>
        </w:rPr>
        <w:t xml:space="preserve"> therapist competence and adherence</w:t>
      </w:r>
      <w:r w:rsidR="00780414">
        <w:rPr>
          <w:rFonts w:ascii="Arial" w:hAnsi="Arial" w:cs="Arial"/>
          <w:sz w:val="22"/>
          <w:szCs w:val="22"/>
        </w:rPr>
        <w:t>,</w:t>
      </w:r>
      <w:r w:rsidR="00DD5E0C">
        <w:rPr>
          <w:rFonts w:ascii="Arial" w:hAnsi="Arial" w:cs="Arial"/>
          <w:sz w:val="22"/>
          <w:szCs w:val="22"/>
        </w:rPr>
        <w:t xml:space="preserve"> and the</w:t>
      </w:r>
      <w:r w:rsidR="00714301">
        <w:rPr>
          <w:rFonts w:ascii="Arial" w:hAnsi="Arial" w:cs="Arial"/>
          <w:sz w:val="22"/>
          <w:szCs w:val="22"/>
        </w:rPr>
        <w:t>ir</w:t>
      </w:r>
      <w:r w:rsidR="00DD5E0C">
        <w:rPr>
          <w:rFonts w:ascii="Arial" w:hAnsi="Arial" w:cs="Arial"/>
          <w:sz w:val="22"/>
          <w:szCs w:val="22"/>
        </w:rPr>
        <w:t xml:space="preserve"> relationship to clinical outcome</w:t>
      </w:r>
      <w:r w:rsidR="00780414">
        <w:rPr>
          <w:rFonts w:ascii="Arial" w:hAnsi="Arial" w:cs="Arial"/>
          <w:sz w:val="22"/>
          <w:szCs w:val="22"/>
        </w:rPr>
        <w:t>,</w:t>
      </w:r>
      <w:r w:rsidR="00714301">
        <w:rPr>
          <w:rFonts w:ascii="Arial" w:hAnsi="Arial" w:cs="Arial"/>
          <w:sz w:val="22"/>
          <w:szCs w:val="22"/>
        </w:rPr>
        <w:t xml:space="preserve"> has turned out to be an acceptance that</w:t>
      </w:r>
      <w:r w:rsidR="005B2F5D">
        <w:rPr>
          <w:rFonts w:ascii="Arial" w:hAnsi="Arial" w:cs="Arial"/>
          <w:sz w:val="22"/>
          <w:szCs w:val="22"/>
        </w:rPr>
        <w:t xml:space="preserve"> I (along with</w:t>
      </w:r>
      <w:r w:rsidR="0040591D">
        <w:rPr>
          <w:rFonts w:ascii="Arial" w:hAnsi="Arial" w:cs="Arial"/>
          <w:sz w:val="22"/>
          <w:szCs w:val="22"/>
        </w:rPr>
        <w:t xml:space="preserve"> the research in his area)</w:t>
      </w:r>
      <w:r w:rsidR="005B2F5D">
        <w:rPr>
          <w:rFonts w:ascii="Arial" w:hAnsi="Arial" w:cs="Arial"/>
          <w:sz w:val="22"/>
          <w:szCs w:val="22"/>
        </w:rPr>
        <w:t xml:space="preserve"> simply do</w:t>
      </w:r>
      <w:r w:rsidR="00780414">
        <w:rPr>
          <w:rFonts w:ascii="Arial" w:hAnsi="Arial" w:cs="Arial"/>
          <w:sz w:val="22"/>
          <w:szCs w:val="22"/>
        </w:rPr>
        <w:t xml:space="preserve"> </w:t>
      </w:r>
      <w:r w:rsidR="005B2F5D">
        <w:rPr>
          <w:rFonts w:ascii="Arial" w:hAnsi="Arial" w:cs="Arial"/>
          <w:sz w:val="22"/>
          <w:szCs w:val="22"/>
        </w:rPr>
        <w:t>n</w:t>
      </w:r>
      <w:r w:rsidR="00780414">
        <w:rPr>
          <w:rFonts w:ascii="Arial" w:hAnsi="Arial" w:cs="Arial"/>
          <w:sz w:val="22"/>
          <w:szCs w:val="22"/>
        </w:rPr>
        <w:t>o</w:t>
      </w:r>
      <w:r w:rsidR="005B2F5D">
        <w:rPr>
          <w:rFonts w:ascii="Arial" w:hAnsi="Arial" w:cs="Arial"/>
          <w:sz w:val="22"/>
          <w:szCs w:val="22"/>
        </w:rPr>
        <w:t xml:space="preserve">t know enough </w:t>
      </w:r>
      <w:r w:rsidR="0040591D">
        <w:rPr>
          <w:rFonts w:ascii="Arial" w:hAnsi="Arial" w:cs="Arial"/>
          <w:sz w:val="22"/>
          <w:szCs w:val="22"/>
        </w:rPr>
        <w:t>about why and how CBT works</w:t>
      </w:r>
      <w:r w:rsidR="003C1ECE">
        <w:rPr>
          <w:rFonts w:ascii="Arial" w:hAnsi="Arial" w:cs="Arial"/>
          <w:sz w:val="22"/>
          <w:szCs w:val="22"/>
        </w:rPr>
        <w:t>.  Therefore</w:t>
      </w:r>
      <w:r w:rsidR="00694347">
        <w:rPr>
          <w:rFonts w:ascii="Arial" w:hAnsi="Arial" w:cs="Arial"/>
          <w:sz w:val="22"/>
          <w:szCs w:val="22"/>
        </w:rPr>
        <w:t>,</w:t>
      </w:r>
      <w:r w:rsidR="003C1ECE">
        <w:rPr>
          <w:rFonts w:ascii="Arial" w:hAnsi="Arial" w:cs="Arial"/>
          <w:sz w:val="22"/>
          <w:szCs w:val="22"/>
        </w:rPr>
        <w:t xml:space="preserve"> it is necessary to answer this question in order to develop new tools that will hopefully be more effective in measuring therapist competence</w:t>
      </w:r>
      <w:r w:rsidR="00694347">
        <w:rPr>
          <w:rFonts w:ascii="Arial" w:hAnsi="Arial" w:cs="Arial"/>
          <w:sz w:val="22"/>
          <w:szCs w:val="22"/>
        </w:rPr>
        <w:t xml:space="preserve">. </w:t>
      </w:r>
      <w:r w:rsidR="00661446">
        <w:rPr>
          <w:rFonts w:ascii="Arial" w:hAnsi="Arial" w:cs="Arial"/>
          <w:sz w:val="22"/>
          <w:szCs w:val="22"/>
        </w:rPr>
        <w:t>This is important work because “…the patients are waiting…” (</w:t>
      </w:r>
      <w:r w:rsidR="00766F75">
        <w:rPr>
          <w:rFonts w:ascii="Arial" w:hAnsi="Arial" w:cs="Arial"/>
          <w:sz w:val="22"/>
          <w:szCs w:val="22"/>
        </w:rPr>
        <w:t>Dr. Paul Janssen</w:t>
      </w:r>
      <w:r w:rsidR="006012B9">
        <w:rPr>
          <w:rFonts w:ascii="Arial" w:hAnsi="Arial" w:cs="Arial"/>
          <w:sz w:val="22"/>
          <w:szCs w:val="22"/>
        </w:rPr>
        <w:t xml:space="preserve">, Johnson and </w:t>
      </w:r>
      <w:r w:rsidR="005D0C2D">
        <w:rPr>
          <w:rFonts w:ascii="Arial" w:hAnsi="Arial" w:cs="Arial"/>
          <w:sz w:val="22"/>
          <w:szCs w:val="22"/>
        </w:rPr>
        <w:t>Johnson).</w:t>
      </w:r>
    </w:p>
    <w:p w14:paraId="1AB7F6AE" w14:textId="29BE98F7" w:rsidR="00CC551D" w:rsidRDefault="00CC551D" w:rsidP="007F596B">
      <w:pPr>
        <w:spacing w:line="480" w:lineRule="auto"/>
        <w:rPr>
          <w:rFonts w:ascii="Arial" w:hAnsi="Arial" w:cs="Arial"/>
          <w:sz w:val="22"/>
          <w:szCs w:val="22"/>
        </w:rPr>
      </w:pPr>
    </w:p>
    <w:p w14:paraId="0FFEF727" w14:textId="435C4838" w:rsidR="00CC551D" w:rsidRDefault="00CC551D" w:rsidP="007F596B">
      <w:pPr>
        <w:spacing w:line="480" w:lineRule="auto"/>
        <w:rPr>
          <w:rFonts w:ascii="Arial" w:hAnsi="Arial" w:cs="Arial"/>
          <w:sz w:val="22"/>
          <w:szCs w:val="22"/>
        </w:rPr>
      </w:pPr>
    </w:p>
    <w:p w14:paraId="464B56E6" w14:textId="53518521" w:rsidR="00CC551D" w:rsidRDefault="00CC551D" w:rsidP="007F596B">
      <w:pPr>
        <w:spacing w:line="480" w:lineRule="auto"/>
        <w:rPr>
          <w:rFonts w:ascii="Arial" w:hAnsi="Arial" w:cs="Arial"/>
          <w:sz w:val="22"/>
          <w:szCs w:val="22"/>
        </w:rPr>
      </w:pPr>
    </w:p>
    <w:p w14:paraId="570B918C" w14:textId="098C93B1" w:rsidR="00CC551D" w:rsidRDefault="00CC551D" w:rsidP="00052C99">
      <w:pPr>
        <w:pStyle w:val="Heading1"/>
      </w:pPr>
      <w:bookmarkStart w:id="527" w:name="_Toc46770889"/>
      <w:bookmarkStart w:id="528" w:name="_Toc79414300"/>
      <w:r w:rsidRPr="00052C99">
        <w:lastRenderedPageBreak/>
        <w:t>REFERENCES</w:t>
      </w:r>
      <w:bookmarkEnd w:id="527"/>
      <w:bookmarkEnd w:id="528"/>
    </w:p>
    <w:p w14:paraId="710AB215" w14:textId="425EC617" w:rsidR="00CC551D" w:rsidRDefault="00CC551D" w:rsidP="00CC551D"/>
    <w:p w14:paraId="3EB58B57" w14:textId="77777777" w:rsidR="00DF57DF" w:rsidRDefault="00DF57DF" w:rsidP="00DF57DF"/>
    <w:p w14:paraId="55AF5D33" w14:textId="77777777" w:rsidR="00DF57DF" w:rsidRPr="006C4D54" w:rsidRDefault="00DF57DF" w:rsidP="00DF57DF">
      <w:pPr>
        <w:spacing w:line="480" w:lineRule="auto"/>
        <w:rPr>
          <w:rFonts w:ascii="Arial" w:hAnsi="Arial"/>
          <w:sz w:val="22"/>
          <w:szCs w:val="22"/>
        </w:rPr>
      </w:pPr>
      <w:r w:rsidRPr="006C4D54">
        <w:rPr>
          <w:rFonts w:ascii="Arial" w:hAnsi="Arial"/>
          <w:sz w:val="22"/>
          <w:szCs w:val="22"/>
        </w:rPr>
        <w:t>Aboujadoude, E.</w:t>
      </w:r>
      <w:r>
        <w:rPr>
          <w:rFonts w:ascii="Arial" w:hAnsi="Arial"/>
          <w:sz w:val="22"/>
          <w:szCs w:val="22"/>
        </w:rPr>
        <w:t>,</w:t>
      </w:r>
      <w:r w:rsidRPr="006C4D54">
        <w:rPr>
          <w:rFonts w:ascii="Arial" w:hAnsi="Arial"/>
          <w:sz w:val="22"/>
          <w:szCs w:val="22"/>
        </w:rPr>
        <w:t xml:space="preserve"> and Starcevic, V. (2014)</w:t>
      </w:r>
      <w:r>
        <w:rPr>
          <w:rFonts w:ascii="Arial" w:hAnsi="Arial"/>
          <w:sz w:val="22"/>
          <w:szCs w:val="22"/>
        </w:rPr>
        <w:t>.</w:t>
      </w:r>
      <w:r w:rsidRPr="006C4D54">
        <w:rPr>
          <w:rFonts w:ascii="Arial" w:hAnsi="Arial"/>
          <w:sz w:val="22"/>
          <w:szCs w:val="22"/>
        </w:rPr>
        <w:t xml:space="preserve"> </w:t>
      </w:r>
      <w:r w:rsidRPr="006C4D54">
        <w:rPr>
          <w:rFonts w:ascii="Arial" w:hAnsi="Arial"/>
          <w:i/>
          <w:sz w:val="22"/>
          <w:szCs w:val="22"/>
        </w:rPr>
        <w:t>Mental Health in the Digital Age</w:t>
      </w:r>
      <w:r w:rsidRPr="006C4D54">
        <w:rPr>
          <w:rFonts w:ascii="Arial" w:hAnsi="Arial"/>
          <w:sz w:val="22"/>
          <w:szCs w:val="22"/>
        </w:rPr>
        <w:t>, Oxford, Oxford University Press.</w:t>
      </w:r>
    </w:p>
    <w:p w14:paraId="43974A24" w14:textId="77777777" w:rsidR="00DF57DF" w:rsidRDefault="00DF57DF" w:rsidP="00DF57DF">
      <w:pPr>
        <w:spacing w:line="480" w:lineRule="auto"/>
      </w:pPr>
    </w:p>
    <w:p w14:paraId="1E040E0A"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sidRPr="001510BD">
        <w:rPr>
          <w:rFonts w:ascii="Arial" w:hAnsi="Arial" w:cs="Arial"/>
          <w:sz w:val="22"/>
          <w:szCs w:val="22"/>
          <w:lang w:val="en-US"/>
        </w:rPr>
        <w:t xml:space="preserve">Almlöv, J., Carlbring, P., Berger, T., Cuijpers, P., and Andersson, G. (2009). Therapist Factors in Internet- Delivered Cognitive Behavioural Therapy for Major Depressive Disorder. </w:t>
      </w:r>
      <w:r w:rsidRPr="001510BD">
        <w:rPr>
          <w:rFonts w:ascii="Arial" w:hAnsi="Arial" w:cs="Arial"/>
          <w:i/>
          <w:iCs/>
          <w:sz w:val="22"/>
          <w:szCs w:val="22"/>
          <w:lang w:val="en-US"/>
        </w:rPr>
        <w:t xml:space="preserve">Cognitive Behaviour Therapy, </w:t>
      </w:r>
      <w:r w:rsidRPr="001510BD">
        <w:rPr>
          <w:rFonts w:ascii="Arial" w:hAnsi="Arial" w:cs="Arial"/>
          <w:sz w:val="22"/>
          <w:szCs w:val="22"/>
          <w:lang w:val="en-US"/>
        </w:rPr>
        <w:t>38, 247-254.</w:t>
      </w:r>
    </w:p>
    <w:p w14:paraId="1C9B49A3"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0C64A7F1" w14:textId="77777777" w:rsidR="00DF57DF" w:rsidRPr="001510BD"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 xml:space="preserve">Anderson, T., Ogles, B.M., Patterson, C.L., Lambert, M.J., Vermeersch, D.A. (2009). Therapist effects: Facilitative interpersonal skills as a predictor of therapist success. </w:t>
      </w:r>
      <w:r w:rsidRPr="0099795F">
        <w:rPr>
          <w:rFonts w:ascii="Arial" w:hAnsi="Arial" w:cs="Arial"/>
          <w:i/>
          <w:iCs/>
          <w:sz w:val="22"/>
          <w:szCs w:val="22"/>
          <w:lang w:val="en-US"/>
        </w:rPr>
        <w:t>Journal of Clinical Psychology</w:t>
      </w:r>
      <w:r>
        <w:rPr>
          <w:rFonts w:ascii="Arial" w:hAnsi="Arial" w:cs="Arial"/>
          <w:sz w:val="22"/>
          <w:szCs w:val="22"/>
          <w:lang w:val="en-US"/>
        </w:rPr>
        <w:t>, 65, 755-768.</w:t>
      </w:r>
    </w:p>
    <w:p w14:paraId="0C8B8519" w14:textId="77777777" w:rsidR="00DF57DF" w:rsidRPr="00280F47" w:rsidRDefault="00DF57DF" w:rsidP="00DF57DF">
      <w:pPr>
        <w:spacing w:line="480" w:lineRule="auto"/>
      </w:pPr>
    </w:p>
    <w:p w14:paraId="5F7DBA91"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fldChar w:fldCharType="begin"/>
      </w:r>
      <w:r w:rsidRPr="005D264F">
        <w:rPr>
          <w:rFonts w:ascii="Arial" w:hAnsi="Arial" w:cs="Arial"/>
          <w:sz w:val="22"/>
          <w:szCs w:val="22"/>
        </w:rPr>
        <w:instrText>ADDIN RW.BIB &lt;?xml version="1.0" encoding="UTF-8" standalone="no"?&gt;&lt;RWBibSettings version="1"&gt;&lt;Option name="NUMBERING" value="NONE"&gt;&lt;/Option&gt;&lt;Option name="LINE_SPACING" value="2"&gt;&lt;/Option&gt;&lt;Option name="LIST_SORT_CATEGORY" value="AUTHOR_NAME"&gt;&lt;/Option&gt;&lt;Option name="INDENT" value="NO_INDENT"&gt;&lt;/Option&gt;&lt;/RWBibSettings&gt;</w:instrText>
      </w:r>
      <w:r w:rsidRPr="005D264F">
        <w:rPr>
          <w:rFonts w:ascii="Arial" w:hAnsi="Arial" w:cs="Arial"/>
          <w:sz w:val="22"/>
          <w:szCs w:val="22"/>
        </w:rPr>
        <w:fldChar w:fldCharType="separate"/>
      </w:r>
      <w:r w:rsidRPr="005D264F">
        <w:rPr>
          <w:rFonts w:ascii="Arial" w:hAnsi="Arial" w:cs="Arial"/>
          <w:sz w:val="22"/>
          <w:szCs w:val="22"/>
        </w:rPr>
        <w:t xml:space="preserve"> Andersson, G. 2009, "Using the Internet to provide cognitive behaviour therapy", </w:t>
      </w:r>
      <w:r w:rsidRPr="005D264F">
        <w:rPr>
          <w:rFonts w:ascii="Arial" w:hAnsi="Arial" w:cs="Arial"/>
          <w:i/>
          <w:iCs/>
          <w:sz w:val="22"/>
          <w:szCs w:val="22"/>
        </w:rPr>
        <w:t xml:space="preserve">Behaviour research and therapy, </w:t>
      </w:r>
      <w:r w:rsidRPr="005D264F">
        <w:rPr>
          <w:rFonts w:ascii="Arial" w:hAnsi="Arial" w:cs="Arial"/>
          <w:sz w:val="22"/>
          <w:szCs w:val="22"/>
        </w:rPr>
        <w:t>vol. 47, no. 3, pp. 175-180.</w:t>
      </w:r>
    </w:p>
    <w:p w14:paraId="756B2623"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2AA30846" w14:textId="77777777" w:rsidR="00DF57DF" w:rsidRPr="006C4D54" w:rsidRDefault="00DF57DF" w:rsidP="00DF57DF">
      <w:pPr>
        <w:pStyle w:val="NormalWeb"/>
        <w:spacing w:before="0" w:beforeAutospacing="0" w:after="0" w:afterAutospacing="0" w:line="480" w:lineRule="auto"/>
        <w:rPr>
          <w:rFonts w:ascii="Arial" w:hAnsi="Arial" w:cs="Arial"/>
          <w:sz w:val="22"/>
          <w:szCs w:val="22"/>
        </w:rPr>
      </w:pPr>
      <w:r w:rsidRPr="006C4D54">
        <w:rPr>
          <w:rFonts w:ascii="Arial" w:hAnsi="Arial"/>
          <w:sz w:val="22"/>
          <w:szCs w:val="22"/>
        </w:rPr>
        <w:t>Andersson, G. (2014)</w:t>
      </w:r>
      <w:r>
        <w:rPr>
          <w:rFonts w:ascii="Arial" w:hAnsi="Arial"/>
          <w:sz w:val="22"/>
          <w:szCs w:val="22"/>
        </w:rPr>
        <w:t>.</w:t>
      </w:r>
      <w:r w:rsidRPr="006C4D54">
        <w:rPr>
          <w:rFonts w:ascii="Arial" w:hAnsi="Arial"/>
          <w:sz w:val="22"/>
          <w:szCs w:val="22"/>
        </w:rPr>
        <w:t xml:space="preserve"> Internet-based psychotherapy in: </w:t>
      </w:r>
      <w:r w:rsidRPr="006C4D54">
        <w:rPr>
          <w:rFonts w:ascii="Arial" w:hAnsi="Arial" w:cs="Arial"/>
          <w:sz w:val="22"/>
          <w:szCs w:val="22"/>
        </w:rPr>
        <w:t xml:space="preserve">Aboujaoude, W. and Starcevic, V. (Eds.) </w:t>
      </w:r>
      <w:r w:rsidRPr="006C4D54">
        <w:rPr>
          <w:rFonts w:ascii="Arial" w:hAnsi="Arial" w:cs="Arial"/>
          <w:i/>
          <w:sz w:val="22"/>
          <w:szCs w:val="22"/>
        </w:rPr>
        <w:t>Mental Health in the Digital Age</w:t>
      </w:r>
      <w:r w:rsidRPr="006C4D54">
        <w:rPr>
          <w:rFonts w:ascii="Arial" w:hAnsi="Arial" w:cs="Arial"/>
          <w:sz w:val="22"/>
          <w:szCs w:val="22"/>
        </w:rPr>
        <w:t>, p. 196-219, Oxford, Oxford University Press.</w:t>
      </w:r>
    </w:p>
    <w:p w14:paraId="4B812D23" w14:textId="77777777" w:rsidR="00DF57DF" w:rsidRPr="006C4D54" w:rsidRDefault="00DF57DF" w:rsidP="00DF57DF">
      <w:pPr>
        <w:pStyle w:val="NormalWeb"/>
        <w:spacing w:before="0" w:beforeAutospacing="0" w:after="0" w:afterAutospacing="0" w:line="480" w:lineRule="auto"/>
        <w:rPr>
          <w:rFonts w:ascii="Arial" w:hAnsi="Arial" w:cs="Arial"/>
          <w:sz w:val="22"/>
          <w:szCs w:val="22"/>
        </w:rPr>
      </w:pPr>
    </w:p>
    <w:p w14:paraId="35AD6B09" w14:textId="77777777" w:rsidR="00DF57DF" w:rsidRDefault="00DF57DF" w:rsidP="00DF57DF">
      <w:pPr>
        <w:spacing w:line="480" w:lineRule="auto"/>
        <w:rPr>
          <w:rFonts w:ascii="Arial" w:hAnsi="Arial"/>
          <w:sz w:val="22"/>
          <w:szCs w:val="22"/>
        </w:rPr>
      </w:pPr>
      <w:r w:rsidRPr="006C4D54">
        <w:rPr>
          <w:rFonts w:ascii="Arial" w:hAnsi="Arial"/>
          <w:sz w:val="22"/>
          <w:szCs w:val="22"/>
        </w:rPr>
        <w:t xml:space="preserve">Andersson, G. (2015), </w:t>
      </w:r>
      <w:r w:rsidRPr="006C4D54">
        <w:rPr>
          <w:rFonts w:ascii="Arial" w:hAnsi="Arial"/>
          <w:i/>
          <w:sz w:val="22"/>
          <w:szCs w:val="22"/>
        </w:rPr>
        <w:t>The Internet and CBT: A Clinical Guide</w:t>
      </w:r>
      <w:r w:rsidRPr="006C4D54">
        <w:rPr>
          <w:rFonts w:ascii="Arial" w:hAnsi="Arial"/>
          <w:sz w:val="22"/>
          <w:szCs w:val="22"/>
        </w:rPr>
        <w:t>, Boca Raton, CRC Press.</w:t>
      </w:r>
    </w:p>
    <w:p w14:paraId="58F01182" w14:textId="77777777" w:rsidR="00DF57DF" w:rsidRDefault="00DF57DF" w:rsidP="00DF57DF">
      <w:pPr>
        <w:spacing w:line="480" w:lineRule="auto"/>
        <w:rPr>
          <w:rFonts w:ascii="Arial" w:hAnsi="Arial"/>
          <w:sz w:val="22"/>
          <w:szCs w:val="22"/>
        </w:rPr>
      </w:pPr>
    </w:p>
    <w:p w14:paraId="0CDC8EE2" w14:textId="77777777" w:rsidR="00DF57DF" w:rsidRPr="00055E1A" w:rsidRDefault="00DF57DF" w:rsidP="00DF57DF">
      <w:pPr>
        <w:spacing w:line="480" w:lineRule="auto"/>
        <w:rPr>
          <w:rFonts w:ascii="Arial" w:hAnsi="Arial"/>
          <w:sz w:val="22"/>
          <w:szCs w:val="22"/>
        </w:rPr>
      </w:pPr>
      <w:r>
        <w:rPr>
          <w:rFonts w:ascii="Arial" w:hAnsi="Arial"/>
          <w:sz w:val="22"/>
          <w:szCs w:val="22"/>
        </w:rPr>
        <w:t xml:space="preserve">Andrews, H.B., (2000). The myth of the scientist practitioner: A reply R.King. </w:t>
      </w:r>
      <w:r w:rsidRPr="00B12936">
        <w:rPr>
          <w:rFonts w:ascii="Arial" w:hAnsi="Arial"/>
          <w:i/>
          <w:iCs/>
          <w:sz w:val="22"/>
          <w:szCs w:val="22"/>
        </w:rPr>
        <w:t>Australian Psychologist</w:t>
      </w:r>
      <w:r>
        <w:rPr>
          <w:rFonts w:ascii="Arial" w:hAnsi="Arial"/>
          <w:sz w:val="22"/>
          <w:szCs w:val="22"/>
        </w:rPr>
        <w:t>, 35, 60-63.</w:t>
      </w:r>
    </w:p>
    <w:p w14:paraId="046221BD"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43B4F486"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 xml:space="preserve">BABCP (2010) </w:t>
      </w:r>
      <w:r w:rsidRPr="005D264F">
        <w:rPr>
          <w:rFonts w:ascii="Arial" w:hAnsi="Arial" w:cs="Arial"/>
          <w:i/>
          <w:sz w:val="22"/>
          <w:szCs w:val="22"/>
        </w:rPr>
        <w:t>Standards of Conduct</w:t>
      </w:r>
      <w:r w:rsidRPr="005D264F">
        <w:rPr>
          <w:rFonts w:ascii="Arial" w:hAnsi="Arial" w:cs="Arial"/>
          <w:sz w:val="22"/>
          <w:szCs w:val="22"/>
        </w:rPr>
        <w:t>. Available online at:</w:t>
      </w:r>
    </w:p>
    <w:p w14:paraId="1015A09C" w14:textId="77777777" w:rsidR="00DF57DF" w:rsidRPr="005D264F" w:rsidRDefault="00DD38EE" w:rsidP="00DF57DF">
      <w:pPr>
        <w:spacing w:line="480" w:lineRule="auto"/>
        <w:rPr>
          <w:rFonts w:ascii="Arial" w:hAnsi="Arial" w:cs="Arial"/>
          <w:sz w:val="22"/>
          <w:szCs w:val="22"/>
        </w:rPr>
      </w:pPr>
      <w:hyperlink r:id="rId85" w:history="1">
        <w:r w:rsidR="00DF57DF" w:rsidRPr="005D264F">
          <w:rPr>
            <w:rStyle w:val="Hyperlink"/>
            <w:rFonts w:ascii="Arial" w:hAnsi="Arial" w:cs="Arial"/>
            <w:sz w:val="22"/>
            <w:szCs w:val="22"/>
            <w:u w:val="none"/>
          </w:rPr>
          <w:t>http://www.babcp.com/files/About/BABCP-Standards-of-Conduct-Performance-and-Ethics.pdf</w:t>
        </w:r>
      </w:hyperlink>
    </w:p>
    <w:p w14:paraId="28BF31AD"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Accessed 16</w:t>
      </w:r>
      <w:r w:rsidRPr="005D264F">
        <w:rPr>
          <w:rFonts w:ascii="Arial" w:hAnsi="Arial" w:cs="Arial"/>
          <w:sz w:val="22"/>
          <w:szCs w:val="22"/>
          <w:vertAlign w:val="superscript"/>
        </w:rPr>
        <w:t>th</w:t>
      </w:r>
      <w:r w:rsidRPr="005D264F">
        <w:rPr>
          <w:rFonts w:ascii="Arial" w:hAnsi="Arial" w:cs="Arial"/>
          <w:sz w:val="22"/>
          <w:szCs w:val="22"/>
        </w:rPr>
        <w:t xml:space="preserve"> June 2018.</w:t>
      </w:r>
    </w:p>
    <w:p w14:paraId="49E18BBE"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lastRenderedPageBreak/>
        <w:t>BABCP (2018) About The BABCP. Available online at:</w:t>
      </w:r>
    </w:p>
    <w:p w14:paraId="6CBAE651"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https://www.babcp.com/About/About.aspx#1</w:t>
      </w:r>
    </w:p>
    <w:p w14:paraId="592299A6"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Accessed 9</w:t>
      </w:r>
      <w:r w:rsidRPr="005D264F">
        <w:rPr>
          <w:rFonts w:ascii="Arial" w:hAnsi="Arial" w:cs="Arial"/>
          <w:sz w:val="22"/>
          <w:szCs w:val="22"/>
          <w:vertAlign w:val="superscript"/>
        </w:rPr>
        <w:t>th</w:t>
      </w:r>
      <w:r w:rsidRPr="005D264F">
        <w:rPr>
          <w:rFonts w:ascii="Arial" w:hAnsi="Arial" w:cs="Arial"/>
          <w:sz w:val="22"/>
          <w:szCs w:val="22"/>
        </w:rPr>
        <w:t xml:space="preserve"> September 201</w:t>
      </w:r>
      <w:r>
        <w:rPr>
          <w:rFonts w:ascii="Arial" w:hAnsi="Arial" w:cs="Arial"/>
          <w:sz w:val="22"/>
          <w:szCs w:val="22"/>
        </w:rPr>
        <w:t>9</w:t>
      </w:r>
    </w:p>
    <w:p w14:paraId="1F6D689F" w14:textId="77777777" w:rsidR="00DF57DF" w:rsidRDefault="00DF57DF" w:rsidP="00DF57DF">
      <w:pPr>
        <w:spacing w:line="480" w:lineRule="auto"/>
        <w:rPr>
          <w:rFonts w:ascii="Arial" w:hAnsi="Arial" w:cs="Arial"/>
          <w:sz w:val="22"/>
          <w:szCs w:val="22"/>
        </w:rPr>
      </w:pPr>
    </w:p>
    <w:p w14:paraId="43536424"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BABCP (2019). Cognitive Behavioural Psychotherapist Full Accreditation. Available online at </w:t>
      </w:r>
      <w:r w:rsidRPr="003D5C5A">
        <w:rPr>
          <w:rFonts w:ascii="Arial" w:hAnsi="Arial" w:cs="Arial"/>
          <w:sz w:val="22"/>
          <w:szCs w:val="22"/>
        </w:rPr>
        <w:t>https://www.babcp.com/Accreditation/CBP/CBP-Full-accreditation.aspx</w:t>
      </w:r>
    </w:p>
    <w:p w14:paraId="7135A4BF"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t>Accessed 9</w:t>
      </w:r>
      <w:r w:rsidRPr="00785D12">
        <w:rPr>
          <w:rFonts w:ascii="Arial" w:hAnsi="Arial" w:cs="Arial"/>
          <w:sz w:val="22"/>
          <w:szCs w:val="22"/>
          <w:vertAlign w:val="superscript"/>
        </w:rPr>
        <w:t>th</w:t>
      </w:r>
      <w:r>
        <w:rPr>
          <w:rFonts w:ascii="Arial" w:hAnsi="Arial" w:cs="Arial"/>
          <w:sz w:val="22"/>
          <w:szCs w:val="22"/>
        </w:rPr>
        <w:t xml:space="preserve"> October 2019.</w:t>
      </w:r>
    </w:p>
    <w:p w14:paraId="31FE3444" w14:textId="77777777" w:rsidR="00DF57DF" w:rsidRPr="005D264F" w:rsidRDefault="00DF57DF" w:rsidP="00DF57DF">
      <w:pPr>
        <w:spacing w:line="480" w:lineRule="auto"/>
        <w:rPr>
          <w:rFonts w:ascii="Arial" w:hAnsi="Arial" w:cs="Arial"/>
          <w:sz w:val="22"/>
          <w:szCs w:val="22"/>
        </w:rPr>
      </w:pPr>
    </w:p>
    <w:p w14:paraId="0027D85E"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Baker, T.B., McFall, R.M. and Shoham, V. (2008)</w:t>
      </w:r>
      <w:r>
        <w:rPr>
          <w:rFonts w:ascii="Arial" w:hAnsi="Arial" w:cs="Arial"/>
          <w:sz w:val="22"/>
          <w:szCs w:val="22"/>
        </w:rPr>
        <w:t>.</w:t>
      </w:r>
      <w:r w:rsidRPr="005D264F">
        <w:rPr>
          <w:rFonts w:ascii="Arial" w:hAnsi="Arial" w:cs="Arial"/>
          <w:sz w:val="22"/>
          <w:szCs w:val="22"/>
        </w:rPr>
        <w:t xml:space="preserve"> Current status and future prospects of clinical psychology: Toward a scientifically principled approach to mental and behavioural healthcare, </w:t>
      </w:r>
      <w:r w:rsidRPr="005D264F">
        <w:rPr>
          <w:rFonts w:ascii="Arial" w:hAnsi="Arial" w:cs="Arial"/>
          <w:i/>
          <w:sz w:val="22"/>
          <w:szCs w:val="22"/>
        </w:rPr>
        <w:t>Psychological Science in the Public Interest,</w:t>
      </w:r>
      <w:r w:rsidRPr="005D264F">
        <w:rPr>
          <w:rFonts w:ascii="Arial" w:hAnsi="Arial" w:cs="Arial"/>
          <w:sz w:val="22"/>
          <w:szCs w:val="22"/>
        </w:rPr>
        <w:t xml:space="preserve"> 9 (1), 67-103.</w:t>
      </w:r>
    </w:p>
    <w:p w14:paraId="13A44274" w14:textId="77777777" w:rsidR="00DF57DF" w:rsidRDefault="00DF57DF" w:rsidP="00DF57DF">
      <w:pPr>
        <w:spacing w:line="480" w:lineRule="auto"/>
        <w:rPr>
          <w:rFonts w:ascii="Arial" w:hAnsi="Arial" w:cs="Arial"/>
          <w:sz w:val="22"/>
          <w:szCs w:val="22"/>
        </w:rPr>
      </w:pPr>
    </w:p>
    <w:p w14:paraId="1F960761"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Baker, C. (2018). </w:t>
      </w:r>
      <w:r w:rsidRPr="00300766">
        <w:rPr>
          <w:rFonts w:ascii="Arial" w:hAnsi="Arial" w:cs="Arial"/>
          <w:i/>
          <w:iCs/>
          <w:sz w:val="22"/>
          <w:szCs w:val="22"/>
        </w:rPr>
        <w:t>Mental Health Statistic for England: Prevalence, Services and Funding.</w:t>
      </w:r>
      <w:r>
        <w:rPr>
          <w:rFonts w:ascii="Arial" w:hAnsi="Arial" w:cs="Arial"/>
          <w:sz w:val="22"/>
          <w:szCs w:val="22"/>
        </w:rPr>
        <w:t xml:space="preserve"> House of Commons Library, Number 6988, 25</w:t>
      </w:r>
      <w:r w:rsidRPr="00300766">
        <w:rPr>
          <w:rFonts w:ascii="Arial" w:hAnsi="Arial" w:cs="Arial"/>
          <w:sz w:val="22"/>
          <w:szCs w:val="22"/>
          <w:vertAlign w:val="superscript"/>
        </w:rPr>
        <w:t>th</w:t>
      </w:r>
      <w:r>
        <w:rPr>
          <w:rFonts w:ascii="Arial" w:hAnsi="Arial" w:cs="Arial"/>
          <w:sz w:val="22"/>
          <w:szCs w:val="22"/>
        </w:rPr>
        <w:t xml:space="preserve"> April 2018.</w:t>
      </w:r>
    </w:p>
    <w:p w14:paraId="59A5CEAA" w14:textId="77777777" w:rsidR="00DF57DF" w:rsidRDefault="00DF57DF" w:rsidP="00DF57DF">
      <w:pPr>
        <w:spacing w:line="480" w:lineRule="auto"/>
        <w:rPr>
          <w:rFonts w:ascii="Arial" w:hAnsi="Arial" w:cs="Arial"/>
          <w:sz w:val="22"/>
          <w:szCs w:val="22"/>
        </w:rPr>
      </w:pPr>
    </w:p>
    <w:p w14:paraId="48F6252D"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t xml:space="preserve">Baldwin, S.A., and Imel, Z.E. (2013). Therapist effects: Finding and methods. In Lambert, M.J. (Ed.), </w:t>
      </w:r>
      <w:r w:rsidRPr="00050ECD">
        <w:rPr>
          <w:rFonts w:ascii="Arial" w:hAnsi="Arial" w:cs="Arial"/>
          <w:i/>
          <w:iCs/>
          <w:sz w:val="22"/>
          <w:szCs w:val="22"/>
        </w:rPr>
        <w:t>Bergin and Garfield's Handbook of Psychotherapy and Behavior Change</w:t>
      </w:r>
      <w:r>
        <w:rPr>
          <w:rFonts w:ascii="Arial" w:hAnsi="Arial" w:cs="Arial"/>
          <w:sz w:val="22"/>
          <w:szCs w:val="22"/>
        </w:rPr>
        <w:t xml:space="preserve"> (6</w:t>
      </w:r>
      <w:r w:rsidRPr="00050ECD">
        <w:rPr>
          <w:rFonts w:ascii="Arial" w:hAnsi="Arial" w:cs="Arial"/>
          <w:sz w:val="22"/>
          <w:szCs w:val="22"/>
          <w:vertAlign w:val="superscript"/>
        </w:rPr>
        <w:t>th</w:t>
      </w:r>
      <w:r>
        <w:rPr>
          <w:rFonts w:ascii="Arial" w:hAnsi="Arial" w:cs="Arial"/>
          <w:sz w:val="22"/>
          <w:szCs w:val="22"/>
        </w:rPr>
        <w:t xml:space="preserve"> edition, pp. 258-297). New York, Wiley.</w:t>
      </w:r>
    </w:p>
    <w:p w14:paraId="25FD0BE3" w14:textId="77777777" w:rsidR="00DF57DF" w:rsidRDefault="00DF57DF" w:rsidP="00DF57DF">
      <w:pPr>
        <w:spacing w:line="480" w:lineRule="auto"/>
        <w:rPr>
          <w:rFonts w:ascii="Arial" w:hAnsi="Arial" w:cs="Arial"/>
          <w:sz w:val="22"/>
          <w:szCs w:val="22"/>
        </w:rPr>
      </w:pPr>
    </w:p>
    <w:p w14:paraId="77BDC373"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Bandura, A., Adams, N.E., and Beyer, J. (1977). Cognitive processes mediating  behavioral change. </w:t>
      </w:r>
      <w:r w:rsidRPr="008C141A">
        <w:rPr>
          <w:rFonts w:ascii="Arial" w:hAnsi="Arial" w:cs="Arial"/>
          <w:i/>
          <w:iCs/>
          <w:sz w:val="22"/>
          <w:szCs w:val="22"/>
        </w:rPr>
        <w:t>Journal of Personality and Social Psychology,</w:t>
      </w:r>
      <w:r>
        <w:rPr>
          <w:rFonts w:ascii="Arial" w:hAnsi="Arial" w:cs="Arial"/>
          <w:sz w:val="22"/>
          <w:szCs w:val="22"/>
        </w:rPr>
        <w:t xml:space="preserve"> 35, 125- 139.</w:t>
      </w:r>
    </w:p>
    <w:p w14:paraId="460017A0" w14:textId="77777777" w:rsidR="00DF57DF" w:rsidRPr="005D264F" w:rsidRDefault="00DF57DF" w:rsidP="00DF57DF">
      <w:pPr>
        <w:spacing w:line="480" w:lineRule="auto"/>
        <w:rPr>
          <w:rFonts w:ascii="Arial" w:hAnsi="Arial" w:cs="Arial"/>
          <w:sz w:val="22"/>
          <w:szCs w:val="22"/>
        </w:rPr>
      </w:pPr>
    </w:p>
    <w:p w14:paraId="0C9730EA"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 xml:space="preserve">Barak, A., Hen, L., Boniel-Nissim, M., &amp; Shapira. N. (2008). A Comprehensive Review and a Meta-Analysis of the Effectiveness of Internet-Based Psychotherapeutic Interventions. </w:t>
      </w:r>
      <w:r w:rsidRPr="005D264F">
        <w:rPr>
          <w:rFonts w:ascii="Arial" w:hAnsi="Arial" w:cs="Arial"/>
          <w:i/>
          <w:sz w:val="22"/>
          <w:szCs w:val="22"/>
        </w:rPr>
        <w:t xml:space="preserve">Journal of Technology in Human Services, 26 (3), </w:t>
      </w:r>
      <w:r w:rsidRPr="005D264F">
        <w:rPr>
          <w:rFonts w:ascii="Arial" w:hAnsi="Arial" w:cs="Arial"/>
          <w:sz w:val="22"/>
          <w:szCs w:val="22"/>
        </w:rPr>
        <w:t>109-160.</w:t>
      </w:r>
    </w:p>
    <w:p w14:paraId="1F3C480B" w14:textId="77777777" w:rsidR="00DF57DF" w:rsidRDefault="00DF57DF" w:rsidP="00DF57DF">
      <w:pPr>
        <w:spacing w:line="480" w:lineRule="auto"/>
        <w:rPr>
          <w:rFonts w:ascii="Arial" w:hAnsi="Arial" w:cs="Arial"/>
          <w:sz w:val="22"/>
          <w:szCs w:val="22"/>
        </w:rPr>
      </w:pPr>
    </w:p>
    <w:p w14:paraId="66A488F6"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Barber, J.P., Liese, B.S., and Abrams, M.J. (2003). Development of the cognitive therapy adherence and competence scale. </w:t>
      </w:r>
      <w:r w:rsidRPr="00A36A05">
        <w:rPr>
          <w:rFonts w:ascii="Arial" w:hAnsi="Arial" w:cs="Arial"/>
          <w:i/>
          <w:iCs/>
          <w:sz w:val="22"/>
          <w:szCs w:val="22"/>
        </w:rPr>
        <w:t>Psychotherapy Research</w:t>
      </w:r>
      <w:r>
        <w:rPr>
          <w:rFonts w:ascii="Arial" w:hAnsi="Arial" w:cs="Arial"/>
          <w:sz w:val="22"/>
          <w:szCs w:val="22"/>
        </w:rPr>
        <w:t>, 13, 205-221.</w:t>
      </w:r>
    </w:p>
    <w:p w14:paraId="09149F3E" w14:textId="77777777" w:rsidR="00DF57DF" w:rsidRDefault="00DF57DF" w:rsidP="00DF57DF">
      <w:pPr>
        <w:spacing w:line="480" w:lineRule="auto"/>
        <w:rPr>
          <w:rFonts w:ascii="Arial" w:hAnsi="Arial" w:cs="Arial"/>
          <w:sz w:val="22"/>
          <w:szCs w:val="22"/>
        </w:rPr>
      </w:pPr>
      <w:r>
        <w:rPr>
          <w:rFonts w:ascii="Arial" w:hAnsi="Arial" w:cs="Arial"/>
          <w:sz w:val="22"/>
          <w:szCs w:val="22"/>
        </w:rPr>
        <w:lastRenderedPageBreak/>
        <w:t xml:space="preserve">Barkham, M., Margison, F., Leach, C., Lucock, M., Mellor-Clark, J., Evans, C., Benson, L., Connell, J., Audin, K., and McGrath, G. (2001). service profiling and outcomes benchmarking using the CORE-IM: Towards practice-based evidence in the psychological therapies. </w:t>
      </w:r>
      <w:r w:rsidRPr="00F3364C">
        <w:rPr>
          <w:rFonts w:ascii="Arial" w:hAnsi="Arial" w:cs="Arial"/>
          <w:i/>
          <w:iCs/>
          <w:sz w:val="22"/>
          <w:szCs w:val="22"/>
        </w:rPr>
        <w:t>Journal of Consulting and Clinical Psychology</w:t>
      </w:r>
      <w:r>
        <w:rPr>
          <w:rFonts w:ascii="Arial" w:hAnsi="Arial" w:cs="Arial"/>
          <w:sz w:val="22"/>
          <w:szCs w:val="22"/>
        </w:rPr>
        <w:t>, 69, 184-196.</w:t>
      </w:r>
    </w:p>
    <w:p w14:paraId="772DD261" w14:textId="77777777" w:rsidR="00DF57DF" w:rsidRDefault="00DF57DF" w:rsidP="00DF57DF">
      <w:pPr>
        <w:spacing w:line="480" w:lineRule="auto"/>
        <w:rPr>
          <w:rFonts w:ascii="Arial" w:hAnsi="Arial" w:cs="Arial"/>
          <w:sz w:val="22"/>
          <w:szCs w:val="22"/>
        </w:rPr>
      </w:pPr>
    </w:p>
    <w:p w14:paraId="33ECD0AB"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Barkham, M., Lutz, W., Lambert, M.J., and Saxon, D. (2017). Therapist effects, effective therapists and the law of variability in Castonguay, L.G., and Hill, C.E.,(Eds.). (2017). </w:t>
      </w:r>
      <w:r w:rsidRPr="001D3EB3">
        <w:rPr>
          <w:rFonts w:ascii="Arial" w:hAnsi="Arial" w:cs="Arial"/>
          <w:i/>
          <w:iCs/>
          <w:sz w:val="22"/>
          <w:szCs w:val="22"/>
        </w:rPr>
        <w:t>How and Why are Some Therapists Better Than Others? Understanding Therapist Effects</w:t>
      </w:r>
      <w:r>
        <w:rPr>
          <w:rFonts w:ascii="Arial" w:hAnsi="Arial" w:cs="Arial"/>
          <w:sz w:val="22"/>
          <w:szCs w:val="22"/>
        </w:rPr>
        <w:t>. American Psychological Association, Washington DC.</w:t>
      </w:r>
    </w:p>
    <w:p w14:paraId="1F0E0CA9" w14:textId="77777777" w:rsidR="00DF57DF" w:rsidRPr="005D264F" w:rsidRDefault="00DF57DF" w:rsidP="00DF57DF">
      <w:pPr>
        <w:spacing w:line="480" w:lineRule="auto"/>
        <w:rPr>
          <w:rFonts w:ascii="Arial" w:hAnsi="Arial" w:cs="Arial"/>
          <w:sz w:val="22"/>
          <w:szCs w:val="22"/>
        </w:rPr>
      </w:pPr>
    </w:p>
    <w:p w14:paraId="79086F61"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Barlow, D.H. (2006)</w:t>
      </w:r>
      <w:r>
        <w:rPr>
          <w:rFonts w:ascii="Arial" w:hAnsi="Arial" w:cs="Arial"/>
          <w:sz w:val="22"/>
          <w:szCs w:val="22"/>
        </w:rPr>
        <w:t>.</w:t>
      </w:r>
      <w:r w:rsidRPr="005D264F">
        <w:rPr>
          <w:rFonts w:ascii="Arial" w:hAnsi="Arial" w:cs="Arial"/>
          <w:sz w:val="22"/>
          <w:szCs w:val="22"/>
        </w:rPr>
        <w:t xml:space="preserve"> Psychotherapy and psychological treatments: </w:t>
      </w:r>
      <w:r>
        <w:rPr>
          <w:rFonts w:ascii="Arial" w:hAnsi="Arial" w:cs="Arial"/>
          <w:sz w:val="22"/>
          <w:szCs w:val="22"/>
        </w:rPr>
        <w:t>t</w:t>
      </w:r>
      <w:r w:rsidRPr="005D264F">
        <w:rPr>
          <w:rFonts w:ascii="Arial" w:hAnsi="Arial" w:cs="Arial"/>
          <w:sz w:val="22"/>
          <w:szCs w:val="22"/>
        </w:rPr>
        <w:t>he future</w:t>
      </w:r>
      <w:r>
        <w:rPr>
          <w:rFonts w:ascii="Arial" w:hAnsi="Arial" w:cs="Arial"/>
          <w:sz w:val="22"/>
          <w:szCs w:val="22"/>
        </w:rPr>
        <w:t>.</w:t>
      </w:r>
      <w:r w:rsidRPr="005D264F">
        <w:rPr>
          <w:rFonts w:ascii="Arial" w:hAnsi="Arial" w:cs="Arial"/>
          <w:sz w:val="22"/>
          <w:szCs w:val="22"/>
        </w:rPr>
        <w:t xml:space="preserve"> </w:t>
      </w:r>
      <w:r w:rsidRPr="005D264F">
        <w:rPr>
          <w:rFonts w:ascii="Arial" w:hAnsi="Arial" w:cs="Arial"/>
          <w:i/>
          <w:sz w:val="22"/>
          <w:szCs w:val="22"/>
        </w:rPr>
        <w:t>Clinical Psychology: Science and Practice</w:t>
      </w:r>
      <w:r w:rsidRPr="005D264F">
        <w:rPr>
          <w:rFonts w:ascii="Arial" w:hAnsi="Arial" w:cs="Arial"/>
          <w:sz w:val="22"/>
          <w:szCs w:val="22"/>
        </w:rPr>
        <w:t>, 13 (1), 216-220.</w:t>
      </w:r>
    </w:p>
    <w:p w14:paraId="53A5E116" w14:textId="77777777" w:rsidR="00DF57DF" w:rsidRDefault="00DF57DF" w:rsidP="00DF57DF">
      <w:pPr>
        <w:spacing w:line="480" w:lineRule="auto"/>
        <w:rPr>
          <w:rFonts w:ascii="Arial" w:hAnsi="Arial" w:cs="Arial"/>
          <w:sz w:val="22"/>
          <w:szCs w:val="22"/>
        </w:rPr>
      </w:pPr>
    </w:p>
    <w:p w14:paraId="1DB8E4C8"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Barlow, D.H., Hayes, S.C., and Nelson, R.M. (1984). </w:t>
      </w:r>
      <w:r w:rsidRPr="00A67234">
        <w:rPr>
          <w:rFonts w:ascii="Arial" w:hAnsi="Arial" w:cs="Arial"/>
          <w:i/>
          <w:iCs/>
          <w:sz w:val="22"/>
          <w:szCs w:val="22"/>
        </w:rPr>
        <w:t>The Scientist Practitioner: Research and Accountability in Clinical and Educational Settings</w:t>
      </w:r>
      <w:r>
        <w:rPr>
          <w:rFonts w:ascii="Arial" w:hAnsi="Arial" w:cs="Arial"/>
          <w:sz w:val="22"/>
          <w:szCs w:val="22"/>
        </w:rPr>
        <w:t>. New York, Pergamon.</w:t>
      </w:r>
    </w:p>
    <w:p w14:paraId="592D93B0" w14:textId="77777777" w:rsidR="00DF57DF" w:rsidRDefault="00DF57DF" w:rsidP="00DF57DF">
      <w:pPr>
        <w:spacing w:line="480" w:lineRule="auto"/>
        <w:rPr>
          <w:rFonts w:ascii="Arial" w:hAnsi="Arial" w:cs="Arial"/>
          <w:sz w:val="22"/>
          <w:szCs w:val="22"/>
        </w:rPr>
      </w:pPr>
    </w:p>
    <w:p w14:paraId="4487A845"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Barnfield, T.V., Mathieson, F.M., and Beaumont, G.R. (2007). Assessing the development of competence during postgraduate cognitive behavioural therapy training. </w:t>
      </w:r>
      <w:r w:rsidRPr="00C0784D">
        <w:rPr>
          <w:rFonts w:ascii="Arial" w:hAnsi="Arial" w:cs="Arial"/>
          <w:i/>
          <w:iCs/>
          <w:sz w:val="22"/>
          <w:szCs w:val="22"/>
        </w:rPr>
        <w:t>Journal of Cognitive Psychotherapy</w:t>
      </w:r>
      <w:r>
        <w:rPr>
          <w:rFonts w:ascii="Arial" w:hAnsi="Arial" w:cs="Arial"/>
          <w:sz w:val="22"/>
          <w:szCs w:val="22"/>
        </w:rPr>
        <w:t>, 21, 140-147</w:t>
      </w:r>
    </w:p>
    <w:p w14:paraId="234F3709" w14:textId="77777777" w:rsidR="00DF57DF" w:rsidRDefault="00DF57DF" w:rsidP="00DF57DF">
      <w:pPr>
        <w:spacing w:line="480" w:lineRule="auto"/>
        <w:rPr>
          <w:rFonts w:ascii="Arial" w:hAnsi="Arial" w:cs="Arial"/>
          <w:sz w:val="22"/>
          <w:szCs w:val="22"/>
        </w:rPr>
      </w:pPr>
    </w:p>
    <w:p w14:paraId="30FF1130"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t xml:space="preserve">Batterham, P.J., Neil, A.L., Bennett, K., Griffiths, K.M., and Christensen, H. (2008). Predictors of adherence among community users of a cognitive behavior therapy website. </w:t>
      </w:r>
      <w:r w:rsidRPr="002D5313">
        <w:rPr>
          <w:rFonts w:ascii="Arial" w:hAnsi="Arial" w:cs="Arial"/>
          <w:i/>
          <w:iCs/>
          <w:sz w:val="22"/>
          <w:szCs w:val="22"/>
        </w:rPr>
        <w:t>Patient Preference and Adherence</w:t>
      </w:r>
      <w:r>
        <w:rPr>
          <w:rFonts w:ascii="Arial" w:hAnsi="Arial" w:cs="Arial"/>
          <w:sz w:val="22"/>
          <w:szCs w:val="22"/>
        </w:rPr>
        <w:t>, 2, 97-105.</w:t>
      </w:r>
    </w:p>
    <w:p w14:paraId="44432BC3" w14:textId="77777777" w:rsidR="00DF57DF" w:rsidRDefault="00DF57DF" w:rsidP="00DF57DF">
      <w:pPr>
        <w:spacing w:line="480" w:lineRule="auto"/>
        <w:rPr>
          <w:rFonts w:ascii="Arial" w:hAnsi="Arial" w:cs="Arial"/>
          <w:sz w:val="22"/>
          <w:szCs w:val="22"/>
        </w:rPr>
      </w:pPr>
    </w:p>
    <w:p w14:paraId="5FF2C310"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Bateup, S.E.</w:t>
      </w:r>
      <w:r>
        <w:rPr>
          <w:rFonts w:ascii="Arial" w:hAnsi="Arial" w:cs="Arial"/>
          <w:sz w:val="22"/>
          <w:szCs w:val="22"/>
        </w:rPr>
        <w:t>,</w:t>
      </w:r>
      <w:r w:rsidRPr="005D264F">
        <w:rPr>
          <w:rFonts w:ascii="Arial" w:hAnsi="Arial" w:cs="Arial"/>
          <w:sz w:val="22"/>
          <w:szCs w:val="22"/>
        </w:rPr>
        <w:t xml:space="preserve"> </w:t>
      </w:r>
      <w:r>
        <w:rPr>
          <w:rFonts w:ascii="Arial" w:hAnsi="Arial" w:cs="Arial"/>
          <w:sz w:val="22"/>
          <w:szCs w:val="22"/>
        </w:rPr>
        <w:t xml:space="preserve">Palmer, C., and Catarino, A. (In review). Using technology to understand how therapist variables correlate to clinical outcomes in IAPT. </w:t>
      </w:r>
      <w:r w:rsidRPr="008904D6">
        <w:rPr>
          <w:rFonts w:ascii="Arial" w:hAnsi="Arial" w:cs="Arial"/>
          <w:i/>
          <w:iCs/>
          <w:sz w:val="22"/>
          <w:szCs w:val="22"/>
        </w:rPr>
        <w:t>Behavioural and Cognitive Psychotherapy,</w:t>
      </w:r>
      <w:r>
        <w:rPr>
          <w:rFonts w:ascii="Arial" w:hAnsi="Arial" w:cs="Arial"/>
          <w:sz w:val="22"/>
          <w:szCs w:val="22"/>
        </w:rPr>
        <w:t xml:space="preserve"> In review.</w:t>
      </w:r>
    </w:p>
    <w:p w14:paraId="7F3213E0" w14:textId="77777777" w:rsidR="00DF57DF" w:rsidRDefault="00DF57DF" w:rsidP="00DF57DF">
      <w:pPr>
        <w:spacing w:line="480" w:lineRule="auto"/>
        <w:rPr>
          <w:rFonts w:ascii="Arial" w:hAnsi="Arial" w:cs="Arial"/>
          <w:sz w:val="22"/>
          <w:szCs w:val="22"/>
        </w:rPr>
      </w:pPr>
    </w:p>
    <w:p w14:paraId="3F317B20" w14:textId="77777777" w:rsidR="00DF57DF" w:rsidRDefault="00DF57DF" w:rsidP="00DF57DF">
      <w:pPr>
        <w:spacing w:line="480" w:lineRule="auto"/>
        <w:rPr>
          <w:rFonts w:ascii="Arial" w:hAnsi="Arial" w:cs="Arial"/>
          <w:sz w:val="22"/>
          <w:szCs w:val="22"/>
          <w:lang w:val="en-US"/>
        </w:rPr>
      </w:pPr>
      <w:r w:rsidRPr="003C44E7">
        <w:rPr>
          <w:rFonts w:ascii="Arial" w:hAnsi="Arial" w:cs="Arial"/>
          <w:sz w:val="22"/>
          <w:szCs w:val="22"/>
          <w:lang w:val="en-US"/>
        </w:rPr>
        <w:lastRenderedPageBreak/>
        <w:t xml:space="preserve">Beck, A. T. (1967). </w:t>
      </w:r>
      <w:r w:rsidRPr="003C44E7">
        <w:rPr>
          <w:rFonts w:ascii="Arial" w:hAnsi="Arial" w:cs="Arial"/>
          <w:i/>
          <w:iCs/>
          <w:sz w:val="22"/>
          <w:szCs w:val="22"/>
          <w:lang w:val="en-US"/>
        </w:rPr>
        <w:t>Depression: Causes and treatment</w:t>
      </w:r>
      <w:r w:rsidRPr="003C44E7">
        <w:rPr>
          <w:rFonts w:ascii="Arial" w:hAnsi="Arial" w:cs="Arial"/>
          <w:sz w:val="22"/>
          <w:szCs w:val="22"/>
          <w:lang w:val="en-US"/>
        </w:rPr>
        <w:t>. Philadelphia: University of Pennsylvania Press.</w:t>
      </w:r>
    </w:p>
    <w:p w14:paraId="684D531D" w14:textId="77777777" w:rsidR="00DF57DF" w:rsidRDefault="00DF57DF" w:rsidP="00DF57DF">
      <w:pPr>
        <w:spacing w:line="480" w:lineRule="auto"/>
        <w:rPr>
          <w:rFonts w:ascii="Arial" w:hAnsi="Arial" w:cs="Arial"/>
          <w:sz w:val="22"/>
          <w:szCs w:val="22"/>
          <w:lang w:val="en-US"/>
        </w:rPr>
      </w:pPr>
    </w:p>
    <w:p w14:paraId="797A6D3A" w14:textId="77777777" w:rsidR="00DF57DF" w:rsidRDefault="00DF57DF" w:rsidP="00DF57DF">
      <w:pPr>
        <w:spacing w:line="480" w:lineRule="auto"/>
        <w:rPr>
          <w:rFonts w:ascii="Arial" w:hAnsi="Arial" w:cs="Arial"/>
          <w:sz w:val="22"/>
          <w:szCs w:val="22"/>
          <w:lang w:val="en-US"/>
        </w:rPr>
      </w:pPr>
      <w:r>
        <w:rPr>
          <w:rFonts w:ascii="Arial" w:hAnsi="Arial" w:cs="Arial"/>
          <w:sz w:val="22"/>
          <w:szCs w:val="22"/>
          <w:lang w:val="en-US"/>
        </w:rPr>
        <w:t xml:space="preserve">Beck, A.T. (1970). Cognitive therapy: Nature and relation to behavior therapy. </w:t>
      </w:r>
      <w:r w:rsidRPr="00252619">
        <w:rPr>
          <w:rFonts w:ascii="Arial" w:hAnsi="Arial" w:cs="Arial"/>
          <w:i/>
          <w:iCs/>
          <w:sz w:val="22"/>
          <w:szCs w:val="22"/>
          <w:lang w:val="en-US"/>
        </w:rPr>
        <w:t>Behavior Therapy</w:t>
      </w:r>
      <w:r>
        <w:rPr>
          <w:rFonts w:ascii="Arial" w:hAnsi="Arial" w:cs="Arial"/>
          <w:sz w:val="22"/>
          <w:szCs w:val="22"/>
          <w:lang w:val="en-US"/>
        </w:rPr>
        <w:t>, 1, 184-200.</w:t>
      </w:r>
    </w:p>
    <w:p w14:paraId="68BD4746" w14:textId="77777777" w:rsidR="00DF57DF" w:rsidRDefault="00DF57DF" w:rsidP="00DF57DF">
      <w:pPr>
        <w:spacing w:line="480" w:lineRule="auto"/>
        <w:rPr>
          <w:rFonts w:ascii="Arial" w:hAnsi="Arial" w:cs="Arial"/>
          <w:sz w:val="22"/>
          <w:szCs w:val="22"/>
          <w:lang w:val="en-US"/>
        </w:rPr>
      </w:pPr>
    </w:p>
    <w:p w14:paraId="4064365A" w14:textId="77777777" w:rsidR="00DF57DF" w:rsidRDefault="00DF57DF" w:rsidP="00DF57DF">
      <w:pPr>
        <w:spacing w:line="480" w:lineRule="auto"/>
        <w:rPr>
          <w:rFonts w:ascii="Arial" w:hAnsi="Arial" w:cs="Arial"/>
          <w:sz w:val="22"/>
          <w:szCs w:val="22"/>
          <w:lang w:val="en-US"/>
        </w:rPr>
      </w:pPr>
      <w:r>
        <w:rPr>
          <w:rFonts w:ascii="Arial" w:hAnsi="Arial" w:cs="Arial"/>
          <w:sz w:val="22"/>
          <w:szCs w:val="22"/>
          <w:lang w:val="en-US"/>
        </w:rPr>
        <w:t xml:space="preserve">Beck, A.T. (1976). </w:t>
      </w:r>
      <w:r w:rsidRPr="003665CD">
        <w:rPr>
          <w:rFonts w:ascii="Arial" w:hAnsi="Arial" w:cs="Arial"/>
          <w:i/>
          <w:iCs/>
          <w:sz w:val="22"/>
          <w:szCs w:val="22"/>
          <w:lang w:val="en-US"/>
        </w:rPr>
        <w:t>Cognitive Therapy and the Emotional Disorders.</w:t>
      </w:r>
      <w:r>
        <w:rPr>
          <w:rFonts w:ascii="Arial" w:hAnsi="Arial" w:cs="Arial"/>
          <w:sz w:val="22"/>
          <w:szCs w:val="22"/>
          <w:lang w:val="en-US"/>
        </w:rPr>
        <w:t xml:space="preserve"> New York, International Universities Press.</w:t>
      </w:r>
    </w:p>
    <w:p w14:paraId="5F85E014" w14:textId="77777777" w:rsidR="00DF57DF" w:rsidRDefault="00DF57DF" w:rsidP="00DF57DF">
      <w:pPr>
        <w:spacing w:line="480" w:lineRule="auto"/>
        <w:rPr>
          <w:rFonts w:ascii="Arial" w:hAnsi="Arial" w:cs="Arial"/>
          <w:sz w:val="22"/>
          <w:szCs w:val="22"/>
          <w:lang w:val="en-US"/>
        </w:rPr>
      </w:pPr>
    </w:p>
    <w:p w14:paraId="2DF240C0" w14:textId="77777777" w:rsidR="00DF57DF" w:rsidRDefault="00DF57DF" w:rsidP="00DF57DF">
      <w:pPr>
        <w:spacing w:line="480" w:lineRule="auto"/>
        <w:rPr>
          <w:rFonts w:ascii="Arial" w:hAnsi="Arial" w:cs="Arial"/>
          <w:sz w:val="22"/>
          <w:szCs w:val="22"/>
          <w:lang w:val="en-US"/>
        </w:rPr>
      </w:pPr>
      <w:r>
        <w:rPr>
          <w:rFonts w:ascii="Arial" w:hAnsi="Arial" w:cs="Arial"/>
          <w:sz w:val="22"/>
          <w:szCs w:val="22"/>
          <w:lang w:val="en-US"/>
        </w:rPr>
        <w:t xml:space="preserve">Beck, J.S. (2011). </w:t>
      </w:r>
      <w:r w:rsidRPr="007446FF">
        <w:rPr>
          <w:rFonts w:ascii="Arial" w:hAnsi="Arial" w:cs="Arial"/>
          <w:i/>
          <w:iCs/>
          <w:sz w:val="22"/>
          <w:szCs w:val="22"/>
          <w:lang w:val="en-US"/>
        </w:rPr>
        <w:t>Cognitive Behavior Therapy: Basics and Beyond</w:t>
      </w:r>
      <w:r>
        <w:rPr>
          <w:rFonts w:ascii="Arial" w:hAnsi="Arial" w:cs="Arial"/>
          <w:sz w:val="22"/>
          <w:szCs w:val="22"/>
          <w:lang w:val="en-US"/>
        </w:rPr>
        <w:t>. New York, Guildford Press.</w:t>
      </w:r>
    </w:p>
    <w:p w14:paraId="41AAC54A" w14:textId="77777777" w:rsidR="00DF57DF" w:rsidRDefault="00DF57DF" w:rsidP="00DF57DF">
      <w:pPr>
        <w:spacing w:line="480" w:lineRule="auto"/>
        <w:rPr>
          <w:rFonts w:ascii="Arial" w:hAnsi="Arial" w:cs="Arial"/>
          <w:sz w:val="22"/>
          <w:szCs w:val="22"/>
          <w:lang w:val="en-US"/>
        </w:rPr>
      </w:pPr>
    </w:p>
    <w:p w14:paraId="4F5F82EC" w14:textId="77777777" w:rsidR="00DF57DF" w:rsidRPr="003C44E7" w:rsidRDefault="00DF57DF" w:rsidP="00DF57DF">
      <w:pPr>
        <w:spacing w:line="480" w:lineRule="auto"/>
        <w:rPr>
          <w:rFonts w:ascii="Arial" w:hAnsi="Arial" w:cs="Arial"/>
          <w:sz w:val="22"/>
          <w:szCs w:val="22"/>
        </w:rPr>
      </w:pPr>
      <w:r>
        <w:rPr>
          <w:rFonts w:ascii="Arial" w:hAnsi="Arial" w:cs="Arial"/>
          <w:sz w:val="22"/>
          <w:szCs w:val="22"/>
          <w:lang w:val="en-US"/>
        </w:rPr>
        <w:t xml:space="preserve">Beck, A.T., Ward, C.H., Mendelson, M., Mock, J., and Erbaugh, J. (1961).  An inventory for measuring depression. </w:t>
      </w:r>
      <w:r w:rsidRPr="00F05D6F">
        <w:rPr>
          <w:rFonts w:ascii="Arial" w:hAnsi="Arial" w:cs="Arial"/>
          <w:i/>
          <w:iCs/>
          <w:sz w:val="22"/>
          <w:szCs w:val="22"/>
          <w:lang w:val="en-US"/>
        </w:rPr>
        <w:t>Archives of General Psychiatry</w:t>
      </w:r>
      <w:r>
        <w:rPr>
          <w:rFonts w:ascii="Arial" w:hAnsi="Arial" w:cs="Arial"/>
          <w:sz w:val="22"/>
          <w:szCs w:val="22"/>
          <w:lang w:val="en-US"/>
        </w:rPr>
        <w:t>, 4, 561-571.</w:t>
      </w:r>
    </w:p>
    <w:p w14:paraId="1E2E65D0" w14:textId="77777777" w:rsidR="00DF57DF" w:rsidRPr="005D264F" w:rsidRDefault="00DF57DF" w:rsidP="00DF57DF">
      <w:pPr>
        <w:spacing w:line="480" w:lineRule="auto"/>
        <w:rPr>
          <w:rFonts w:ascii="Arial" w:hAnsi="Arial" w:cs="Arial"/>
          <w:sz w:val="22"/>
          <w:szCs w:val="22"/>
        </w:rPr>
      </w:pPr>
    </w:p>
    <w:p w14:paraId="75049A60" w14:textId="77777777" w:rsidR="00DF57DF" w:rsidRDefault="00DF57DF" w:rsidP="00DF57DF">
      <w:pPr>
        <w:spacing w:line="480" w:lineRule="auto"/>
        <w:rPr>
          <w:rFonts w:ascii="Arial" w:hAnsi="Arial" w:cs="Arial"/>
          <w:sz w:val="22"/>
          <w:szCs w:val="22"/>
          <w:shd w:val="clear" w:color="auto" w:fill="FFFFFF"/>
        </w:rPr>
      </w:pPr>
      <w:r w:rsidRPr="005D264F">
        <w:rPr>
          <w:rFonts w:ascii="Arial" w:hAnsi="Arial" w:cs="Arial"/>
          <w:sz w:val="22"/>
          <w:szCs w:val="22"/>
          <w:shd w:val="clear" w:color="auto" w:fill="FFFFFF"/>
        </w:rPr>
        <w:t>Beck, A.T., Rush A.J., Shaw, B.F. &amp; Emery, G. (1979)</w:t>
      </w:r>
      <w:r>
        <w:rPr>
          <w:rFonts w:ascii="Arial" w:hAnsi="Arial" w:cs="Arial"/>
          <w:sz w:val="22"/>
          <w:szCs w:val="22"/>
          <w:shd w:val="clear" w:color="auto" w:fill="FFFFFF"/>
        </w:rPr>
        <w:t>.</w:t>
      </w:r>
      <w:r w:rsidRPr="005D264F">
        <w:rPr>
          <w:rFonts w:ascii="Arial" w:hAnsi="Arial" w:cs="Arial"/>
          <w:sz w:val="22"/>
          <w:szCs w:val="22"/>
          <w:shd w:val="clear" w:color="auto" w:fill="FFFFFF"/>
        </w:rPr>
        <w:t xml:space="preserve"> </w:t>
      </w:r>
      <w:r w:rsidRPr="005D264F">
        <w:rPr>
          <w:rFonts w:ascii="Arial" w:hAnsi="Arial" w:cs="Arial"/>
          <w:i/>
          <w:iCs/>
          <w:sz w:val="22"/>
          <w:szCs w:val="22"/>
          <w:shd w:val="clear" w:color="auto" w:fill="FFFFFF"/>
        </w:rPr>
        <w:t xml:space="preserve">Cognitive Therapy of Depression. </w:t>
      </w:r>
      <w:r w:rsidRPr="005D264F">
        <w:rPr>
          <w:rFonts w:ascii="Arial" w:hAnsi="Arial" w:cs="Arial"/>
          <w:sz w:val="22"/>
          <w:szCs w:val="22"/>
          <w:shd w:val="clear" w:color="auto" w:fill="FFFFFF"/>
        </w:rPr>
        <w:t xml:space="preserve">New York: Guilford Press </w:t>
      </w:r>
    </w:p>
    <w:p w14:paraId="4CA34F75" w14:textId="77777777" w:rsidR="00DF57DF" w:rsidRDefault="00DF57DF" w:rsidP="00DF57DF">
      <w:pPr>
        <w:spacing w:line="480" w:lineRule="auto"/>
        <w:rPr>
          <w:rFonts w:ascii="Arial" w:hAnsi="Arial" w:cs="Arial"/>
          <w:sz w:val="22"/>
          <w:szCs w:val="22"/>
          <w:shd w:val="clear" w:color="auto" w:fill="FFFFFF"/>
        </w:rPr>
      </w:pPr>
    </w:p>
    <w:p w14:paraId="302C1BA3" w14:textId="77777777" w:rsidR="00DF57DF" w:rsidRPr="005D264F" w:rsidRDefault="00DF57DF" w:rsidP="00DF57DF">
      <w:pPr>
        <w:spacing w:line="480" w:lineRule="auto"/>
        <w:rPr>
          <w:rFonts w:ascii="Arial" w:hAnsi="Arial" w:cs="Arial"/>
          <w:sz w:val="22"/>
          <w:szCs w:val="22"/>
        </w:rPr>
      </w:pPr>
      <w:r>
        <w:rPr>
          <w:rFonts w:ascii="Arial" w:hAnsi="Arial" w:cs="Arial"/>
          <w:sz w:val="22"/>
          <w:szCs w:val="22"/>
          <w:shd w:val="clear" w:color="auto" w:fill="FFFFFF"/>
        </w:rPr>
        <w:t xml:space="preserve">Beck Institute for Cognitive Behavior Therapy. (2018). </w:t>
      </w:r>
      <w:r w:rsidRPr="000B2751">
        <w:rPr>
          <w:rFonts w:ascii="Arial" w:hAnsi="Arial" w:cs="Arial"/>
          <w:i/>
          <w:iCs/>
          <w:sz w:val="22"/>
          <w:szCs w:val="22"/>
          <w:shd w:val="clear" w:color="auto" w:fill="FFFFFF"/>
        </w:rPr>
        <w:t>Cognitive Therapy Rating Scale.</w:t>
      </w:r>
      <w:r>
        <w:rPr>
          <w:rFonts w:ascii="Arial" w:hAnsi="Arial" w:cs="Arial"/>
          <w:sz w:val="22"/>
          <w:szCs w:val="22"/>
          <w:shd w:val="clear" w:color="auto" w:fill="FFFFFF"/>
        </w:rPr>
        <w:t xml:space="preserve"> Available online at </w:t>
      </w:r>
      <w:r w:rsidRPr="000B2751">
        <w:rPr>
          <w:rFonts w:ascii="Arial" w:hAnsi="Arial" w:cs="Arial"/>
          <w:sz w:val="22"/>
          <w:szCs w:val="22"/>
          <w:shd w:val="clear" w:color="auto" w:fill="FFFFFF"/>
        </w:rPr>
        <w:t>https://beckinstitute.org/get-informed/tools-and-resources/professionals/cbt-basics-and-beyond-patient-worksheets/</w:t>
      </w:r>
      <w:r>
        <w:rPr>
          <w:rFonts w:ascii="Arial" w:hAnsi="Arial" w:cs="Arial"/>
          <w:sz w:val="22"/>
          <w:szCs w:val="22"/>
          <w:shd w:val="clear" w:color="auto" w:fill="FFFFFF"/>
        </w:rPr>
        <w:t xml:space="preserve"> accessed 7</w:t>
      </w:r>
      <w:r w:rsidRPr="000B2751">
        <w:rPr>
          <w:rFonts w:ascii="Arial" w:hAnsi="Arial" w:cs="Arial"/>
          <w:sz w:val="22"/>
          <w:szCs w:val="22"/>
          <w:shd w:val="clear" w:color="auto" w:fill="FFFFFF"/>
          <w:vertAlign w:val="superscript"/>
        </w:rPr>
        <w:t>t</w:t>
      </w:r>
      <w:r>
        <w:rPr>
          <w:rFonts w:ascii="Arial" w:hAnsi="Arial" w:cs="Arial"/>
          <w:sz w:val="22"/>
          <w:szCs w:val="22"/>
          <w:shd w:val="clear" w:color="auto" w:fill="FFFFFF"/>
          <w:vertAlign w:val="superscript"/>
        </w:rPr>
        <w:t xml:space="preserve">h </w:t>
      </w:r>
      <w:r>
        <w:rPr>
          <w:rFonts w:ascii="Arial" w:hAnsi="Arial" w:cs="Arial"/>
          <w:sz w:val="22"/>
          <w:szCs w:val="22"/>
        </w:rPr>
        <w:t>October 2019.</w:t>
      </w:r>
    </w:p>
    <w:p w14:paraId="272D17C7" w14:textId="77777777" w:rsidR="00DF57DF" w:rsidRDefault="00DF57DF" w:rsidP="00DF57DF">
      <w:pPr>
        <w:spacing w:line="480" w:lineRule="auto"/>
        <w:rPr>
          <w:rFonts w:ascii="Arial" w:hAnsi="Arial" w:cs="Arial"/>
          <w:sz w:val="22"/>
          <w:szCs w:val="22"/>
        </w:rPr>
      </w:pPr>
    </w:p>
    <w:p w14:paraId="07F605C9"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t xml:space="preserve">Bennett-Levy, J. (2005). Therapist Skills: A cognitive model of their acquisition and refinement. </w:t>
      </w:r>
      <w:r w:rsidRPr="006749FC">
        <w:rPr>
          <w:rFonts w:ascii="Arial" w:hAnsi="Arial" w:cs="Arial"/>
          <w:i/>
          <w:iCs/>
          <w:sz w:val="22"/>
          <w:szCs w:val="22"/>
        </w:rPr>
        <w:t>Behavioural and Cognitive Psychotherapy</w:t>
      </w:r>
      <w:r>
        <w:rPr>
          <w:rFonts w:ascii="Arial" w:hAnsi="Arial" w:cs="Arial"/>
          <w:sz w:val="22"/>
          <w:szCs w:val="22"/>
        </w:rPr>
        <w:t>, 34, 57-78.</w:t>
      </w:r>
    </w:p>
    <w:p w14:paraId="0448B75B" w14:textId="77777777" w:rsidR="00DF57DF" w:rsidRDefault="00DF57DF" w:rsidP="00DF57DF">
      <w:pPr>
        <w:spacing w:line="480" w:lineRule="auto"/>
        <w:rPr>
          <w:rFonts w:ascii="Arial" w:hAnsi="Arial" w:cs="Arial"/>
          <w:sz w:val="22"/>
          <w:szCs w:val="22"/>
        </w:rPr>
      </w:pPr>
    </w:p>
    <w:p w14:paraId="74AECE89" w14:textId="77777777" w:rsidR="00DF57DF" w:rsidRPr="005D264F" w:rsidRDefault="00DF57DF" w:rsidP="00DF57DF">
      <w:pPr>
        <w:spacing w:line="480" w:lineRule="auto"/>
        <w:rPr>
          <w:rFonts w:ascii="Arial" w:hAnsi="Arial" w:cs="Arial"/>
          <w:sz w:val="22"/>
          <w:szCs w:val="22"/>
        </w:rPr>
      </w:pPr>
    </w:p>
    <w:p w14:paraId="71364B9D"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lastRenderedPageBreak/>
        <w:t>Bennett-Levy, J.  (2006)</w:t>
      </w:r>
      <w:r>
        <w:rPr>
          <w:rFonts w:ascii="Arial" w:hAnsi="Arial" w:cs="Arial"/>
          <w:sz w:val="22"/>
          <w:szCs w:val="22"/>
        </w:rPr>
        <w:t>.</w:t>
      </w:r>
      <w:r w:rsidRPr="005D264F">
        <w:rPr>
          <w:rFonts w:ascii="Arial" w:hAnsi="Arial" w:cs="Arial"/>
          <w:sz w:val="22"/>
          <w:szCs w:val="22"/>
        </w:rPr>
        <w:t xml:space="preserve"> Therapist Skills: A cognitive model of their acquisition and refinement</w:t>
      </w:r>
      <w:r>
        <w:rPr>
          <w:rFonts w:ascii="Arial" w:hAnsi="Arial" w:cs="Arial"/>
          <w:sz w:val="22"/>
          <w:szCs w:val="22"/>
        </w:rPr>
        <w:t>.</w:t>
      </w:r>
      <w:r w:rsidRPr="005D264F">
        <w:rPr>
          <w:rFonts w:ascii="Arial" w:hAnsi="Arial" w:cs="Arial"/>
          <w:sz w:val="22"/>
          <w:szCs w:val="22"/>
        </w:rPr>
        <w:t xml:space="preserve"> Behavioural and Cognitive Psychotherapy, 34, 57-78.</w:t>
      </w:r>
    </w:p>
    <w:p w14:paraId="4AFFAAF7" w14:textId="77777777" w:rsidR="00DF57DF" w:rsidRDefault="00DF57DF" w:rsidP="00DF57DF">
      <w:pPr>
        <w:spacing w:line="480" w:lineRule="auto"/>
        <w:rPr>
          <w:rFonts w:ascii="Arial" w:hAnsi="Arial" w:cs="Arial"/>
          <w:sz w:val="22"/>
          <w:szCs w:val="22"/>
        </w:rPr>
      </w:pPr>
    </w:p>
    <w:p w14:paraId="4D4E92FB" w14:textId="77777777" w:rsidR="00DF57DF" w:rsidRPr="00F6477A" w:rsidRDefault="00DF57DF" w:rsidP="00DF57DF">
      <w:pPr>
        <w:spacing w:line="480" w:lineRule="auto"/>
        <w:rPr>
          <w:rFonts w:ascii="Arial" w:hAnsi="Arial" w:cs="Arial"/>
          <w:sz w:val="22"/>
          <w:szCs w:val="22"/>
          <w:lang w:val="en-US"/>
        </w:rPr>
      </w:pPr>
      <w:r w:rsidRPr="00F6477A">
        <w:rPr>
          <w:rFonts w:ascii="Arial" w:hAnsi="Arial" w:cs="Arial"/>
          <w:sz w:val="22"/>
          <w:szCs w:val="22"/>
          <w:lang w:val="en-US"/>
        </w:rPr>
        <w:t>Bennett-Levy, J.</w:t>
      </w:r>
      <w:r>
        <w:rPr>
          <w:rFonts w:ascii="Arial" w:hAnsi="Arial" w:cs="Arial"/>
          <w:sz w:val="22"/>
          <w:szCs w:val="22"/>
          <w:lang w:val="en-US"/>
        </w:rPr>
        <w:t>,</w:t>
      </w:r>
      <w:r w:rsidRPr="00F6477A">
        <w:rPr>
          <w:rFonts w:ascii="Arial" w:hAnsi="Arial" w:cs="Arial"/>
          <w:sz w:val="22"/>
          <w:szCs w:val="22"/>
          <w:lang w:val="en-US"/>
        </w:rPr>
        <w:t xml:space="preserve"> Butler, G., Fennell, M., Hackman, A., Mueller, M.</w:t>
      </w:r>
      <w:r>
        <w:rPr>
          <w:rFonts w:ascii="Arial" w:hAnsi="Arial" w:cs="Arial"/>
          <w:sz w:val="22"/>
          <w:szCs w:val="22"/>
          <w:lang w:val="en-US"/>
        </w:rPr>
        <w:t>,</w:t>
      </w:r>
      <w:r w:rsidRPr="00F6477A">
        <w:rPr>
          <w:rFonts w:ascii="Arial" w:hAnsi="Arial" w:cs="Arial"/>
          <w:sz w:val="22"/>
          <w:szCs w:val="22"/>
          <w:lang w:val="en-US"/>
        </w:rPr>
        <w:t xml:space="preserve"> and Westbrook, D. (</w:t>
      </w:r>
      <w:r>
        <w:rPr>
          <w:rFonts w:ascii="Arial" w:hAnsi="Arial" w:cs="Arial"/>
          <w:sz w:val="22"/>
          <w:szCs w:val="22"/>
          <w:lang w:val="en-US"/>
        </w:rPr>
        <w:t>E</w:t>
      </w:r>
      <w:r w:rsidRPr="00F6477A">
        <w:rPr>
          <w:rFonts w:ascii="Arial" w:hAnsi="Arial" w:cs="Arial"/>
          <w:sz w:val="22"/>
          <w:szCs w:val="22"/>
          <w:lang w:val="en-US"/>
        </w:rPr>
        <w:t>ds) (2004)</w:t>
      </w:r>
      <w:r>
        <w:rPr>
          <w:rFonts w:ascii="Arial" w:hAnsi="Arial" w:cs="Arial"/>
          <w:sz w:val="22"/>
          <w:szCs w:val="22"/>
          <w:lang w:val="en-US"/>
        </w:rPr>
        <w:t>.</w:t>
      </w:r>
      <w:r w:rsidRPr="00F6477A">
        <w:rPr>
          <w:rFonts w:ascii="Arial" w:hAnsi="Arial" w:cs="Arial"/>
          <w:sz w:val="22"/>
          <w:szCs w:val="22"/>
          <w:lang w:val="en-US"/>
        </w:rPr>
        <w:t xml:space="preserve"> </w:t>
      </w:r>
      <w:r w:rsidRPr="00F6477A">
        <w:rPr>
          <w:rFonts w:ascii="Arial" w:hAnsi="Arial" w:cs="Arial"/>
          <w:i/>
          <w:sz w:val="22"/>
          <w:szCs w:val="22"/>
          <w:lang w:val="en-US"/>
        </w:rPr>
        <w:t>Oxford Guide to Behavioural Experiments in Cognitive Therapy</w:t>
      </w:r>
      <w:r w:rsidRPr="00F6477A">
        <w:rPr>
          <w:rFonts w:ascii="Arial" w:hAnsi="Arial" w:cs="Arial"/>
          <w:sz w:val="22"/>
          <w:szCs w:val="22"/>
          <w:lang w:val="en-US"/>
        </w:rPr>
        <w:t>.  Oxford: Oxford University Press.</w:t>
      </w:r>
    </w:p>
    <w:p w14:paraId="5A698B70" w14:textId="77777777" w:rsidR="00DF57DF" w:rsidRDefault="00DF57DF" w:rsidP="00DF57DF">
      <w:pPr>
        <w:spacing w:line="480" w:lineRule="auto"/>
        <w:rPr>
          <w:rFonts w:ascii="Arial" w:hAnsi="Arial" w:cs="Arial"/>
          <w:sz w:val="22"/>
          <w:szCs w:val="22"/>
        </w:rPr>
      </w:pPr>
    </w:p>
    <w:p w14:paraId="1E1722E1"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Bennett-Levy, J., and Thwaites, R. (2007). Self and self-reflection in the therapeutic relationship in Gilbert, P., and Leahy, R.L. (Eds.) </w:t>
      </w:r>
      <w:r w:rsidRPr="00A67234">
        <w:rPr>
          <w:rFonts w:ascii="Arial" w:hAnsi="Arial" w:cs="Arial"/>
          <w:i/>
          <w:iCs/>
          <w:sz w:val="22"/>
          <w:szCs w:val="22"/>
        </w:rPr>
        <w:t>The Therapeutic Relationship in the Cognitive Behavioural Psychotherapies</w:t>
      </w:r>
      <w:r>
        <w:rPr>
          <w:rFonts w:ascii="Arial" w:hAnsi="Arial" w:cs="Arial"/>
          <w:sz w:val="22"/>
          <w:szCs w:val="22"/>
        </w:rPr>
        <w:t>. Routledge, East Sussex.</w:t>
      </w:r>
    </w:p>
    <w:p w14:paraId="78A1C762" w14:textId="77777777" w:rsidR="00DF57DF" w:rsidRDefault="00DF57DF" w:rsidP="00DF57DF">
      <w:pPr>
        <w:spacing w:line="480" w:lineRule="auto"/>
        <w:rPr>
          <w:rFonts w:ascii="Arial" w:hAnsi="Arial" w:cs="Arial"/>
          <w:sz w:val="22"/>
          <w:szCs w:val="22"/>
        </w:rPr>
      </w:pPr>
    </w:p>
    <w:p w14:paraId="716AFCE6"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t xml:space="preserve">Bennett-Levy, J., and Finlay-Jones, A. (2018). The role of personal practice in therapist skill development: A model to guide therapists, educators, supervisors and researchers. </w:t>
      </w:r>
      <w:r w:rsidRPr="006749FC">
        <w:rPr>
          <w:rFonts w:ascii="Arial" w:hAnsi="Arial" w:cs="Arial"/>
          <w:i/>
          <w:iCs/>
          <w:sz w:val="22"/>
          <w:szCs w:val="22"/>
        </w:rPr>
        <w:t>Cognitive Behaviour Therapy</w:t>
      </w:r>
      <w:r>
        <w:rPr>
          <w:rFonts w:ascii="Arial" w:hAnsi="Arial" w:cs="Arial"/>
          <w:sz w:val="22"/>
          <w:szCs w:val="22"/>
        </w:rPr>
        <w:t>, 47, 185-205.</w:t>
      </w:r>
    </w:p>
    <w:p w14:paraId="3074FEF6" w14:textId="77777777" w:rsidR="00DF57DF" w:rsidRPr="005D264F" w:rsidRDefault="00DF57DF" w:rsidP="00DF57DF">
      <w:pPr>
        <w:spacing w:line="480" w:lineRule="auto"/>
        <w:rPr>
          <w:rFonts w:ascii="Arial" w:hAnsi="Arial" w:cs="Arial"/>
          <w:sz w:val="22"/>
          <w:szCs w:val="22"/>
        </w:rPr>
      </w:pPr>
    </w:p>
    <w:p w14:paraId="13660381"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Bennett-Levy, J. and Lee, N.K. (2012)</w:t>
      </w:r>
      <w:r>
        <w:rPr>
          <w:rFonts w:ascii="Arial" w:hAnsi="Arial" w:cs="Arial"/>
          <w:sz w:val="22"/>
          <w:szCs w:val="22"/>
        </w:rPr>
        <w:t>.</w:t>
      </w:r>
      <w:r w:rsidRPr="005D264F">
        <w:rPr>
          <w:rFonts w:ascii="Arial" w:hAnsi="Arial" w:cs="Arial"/>
          <w:sz w:val="22"/>
          <w:szCs w:val="22"/>
        </w:rPr>
        <w:t xml:space="preserve">  Self-practice and self-reflection in cognitive behavioural therapy training: What factors influence trainees’ engagement and experience of benefit. </w:t>
      </w:r>
      <w:r w:rsidRPr="005D264F">
        <w:rPr>
          <w:rFonts w:ascii="Arial" w:hAnsi="Arial" w:cs="Arial"/>
          <w:i/>
          <w:sz w:val="22"/>
          <w:szCs w:val="22"/>
        </w:rPr>
        <w:t>Behavioural and Cognitive Psychotherapy</w:t>
      </w:r>
      <w:r w:rsidRPr="005D264F">
        <w:rPr>
          <w:rFonts w:ascii="Arial" w:hAnsi="Arial" w:cs="Arial"/>
          <w:sz w:val="22"/>
          <w:szCs w:val="22"/>
        </w:rPr>
        <w:t>, 42 (11), 48-64.</w:t>
      </w:r>
    </w:p>
    <w:p w14:paraId="4BA12110" w14:textId="77777777" w:rsidR="00DF57DF" w:rsidRDefault="00DF57DF" w:rsidP="00DF57DF">
      <w:pPr>
        <w:spacing w:line="480" w:lineRule="auto"/>
        <w:rPr>
          <w:rFonts w:ascii="Arial" w:hAnsi="Arial" w:cs="Arial"/>
          <w:sz w:val="22"/>
          <w:szCs w:val="22"/>
        </w:rPr>
      </w:pPr>
    </w:p>
    <w:p w14:paraId="7F7E3B4D"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Berger, T., Hammerli, K., Gubser, N., Andersson, G., and Caspar, F. (2011). Internet-based treatment of depression: A randomised controlled trial comparing guided with unguided self-help. </w:t>
      </w:r>
      <w:r w:rsidRPr="00A4523C">
        <w:rPr>
          <w:rFonts w:ascii="Arial" w:hAnsi="Arial" w:cs="Arial"/>
          <w:i/>
          <w:iCs/>
          <w:sz w:val="22"/>
          <w:szCs w:val="22"/>
        </w:rPr>
        <w:t>Cognitive Behaviour Therapy</w:t>
      </w:r>
      <w:r>
        <w:rPr>
          <w:rFonts w:ascii="Arial" w:hAnsi="Arial" w:cs="Arial"/>
          <w:sz w:val="22"/>
          <w:szCs w:val="22"/>
        </w:rPr>
        <w:t>, 40, 251-266.</w:t>
      </w:r>
    </w:p>
    <w:p w14:paraId="28B5E6AB" w14:textId="77777777" w:rsidR="00DF57DF" w:rsidRPr="005D264F" w:rsidRDefault="00DF57DF" w:rsidP="00DF57DF">
      <w:pPr>
        <w:spacing w:line="480" w:lineRule="auto"/>
        <w:rPr>
          <w:rFonts w:ascii="Arial" w:hAnsi="Arial" w:cs="Arial"/>
          <w:sz w:val="22"/>
          <w:szCs w:val="22"/>
        </w:rPr>
      </w:pPr>
    </w:p>
    <w:p w14:paraId="655F04F6" w14:textId="77777777" w:rsidR="00DF57DF" w:rsidRDefault="00DF57DF" w:rsidP="00DF57DF">
      <w:pPr>
        <w:spacing w:line="480" w:lineRule="auto"/>
        <w:rPr>
          <w:rFonts w:ascii="Arial" w:hAnsi="Arial" w:cs="Arial"/>
          <w:sz w:val="22"/>
          <w:szCs w:val="22"/>
          <w:shd w:val="clear" w:color="auto" w:fill="FFFFFF"/>
        </w:rPr>
      </w:pPr>
      <w:r w:rsidRPr="005D264F">
        <w:rPr>
          <w:rFonts w:ascii="Arial" w:hAnsi="Arial" w:cs="Arial"/>
          <w:sz w:val="22"/>
          <w:szCs w:val="22"/>
          <w:shd w:val="clear" w:color="auto" w:fill="FFFFFF"/>
        </w:rPr>
        <w:t xml:space="preserve">Bernstein, D.A., Borkovec, T.D., and  Hazlett - Stevens, H. (2000). </w:t>
      </w:r>
      <w:r w:rsidRPr="005D264F">
        <w:rPr>
          <w:rFonts w:ascii="Arial" w:hAnsi="Arial" w:cs="Arial"/>
          <w:i/>
          <w:iCs/>
          <w:sz w:val="22"/>
          <w:szCs w:val="22"/>
          <w:shd w:val="clear" w:color="auto" w:fill="FFFFFF"/>
        </w:rPr>
        <w:t xml:space="preserve">New directions in progressive relaxation training: A guidebook for helping professionals </w:t>
      </w:r>
      <w:r w:rsidRPr="005D264F">
        <w:rPr>
          <w:rFonts w:ascii="Arial" w:hAnsi="Arial" w:cs="Arial"/>
          <w:sz w:val="22"/>
          <w:szCs w:val="22"/>
          <w:shd w:val="clear" w:color="auto" w:fill="FFFFFF"/>
        </w:rPr>
        <w:t xml:space="preserve">. Westport, CT: Praeger Publishers </w:t>
      </w:r>
    </w:p>
    <w:p w14:paraId="094E3F37" w14:textId="77777777" w:rsidR="00DF57DF" w:rsidRDefault="00DF57DF" w:rsidP="00DF57DF">
      <w:pPr>
        <w:spacing w:line="480" w:lineRule="auto"/>
        <w:rPr>
          <w:rFonts w:ascii="Arial" w:hAnsi="Arial" w:cs="Arial"/>
          <w:sz w:val="22"/>
          <w:szCs w:val="22"/>
          <w:shd w:val="clear" w:color="auto" w:fill="FFFFFF"/>
        </w:rPr>
      </w:pPr>
    </w:p>
    <w:p w14:paraId="19DBDF66" w14:textId="77777777" w:rsidR="00DF57DF" w:rsidRPr="003C44E7" w:rsidRDefault="00DF57DF" w:rsidP="00DF57DF">
      <w:pPr>
        <w:spacing w:line="480" w:lineRule="auto"/>
        <w:rPr>
          <w:rFonts w:ascii="Arial" w:hAnsi="Arial" w:cs="Arial"/>
          <w:sz w:val="22"/>
          <w:szCs w:val="22"/>
          <w:shd w:val="clear" w:color="auto" w:fill="FFFFFF"/>
        </w:rPr>
      </w:pPr>
      <w:r w:rsidRPr="003C44E7">
        <w:rPr>
          <w:rFonts w:ascii="Arial" w:hAnsi="Arial" w:cs="Arial"/>
          <w:sz w:val="22"/>
          <w:szCs w:val="22"/>
          <w:lang w:val="en-US"/>
        </w:rPr>
        <w:lastRenderedPageBreak/>
        <w:t>Bettany</w:t>
      </w:r>
      <w:r>
        <w:rPr>
          <w:rFonts w:ascii="Arial" w:hAnsi="Arial" w:cs="Arial"/>
          <w:sz w:val="22"/>
          <w:szCs w:val="22"/>
          <w:lang w:val="en-US"/>
        </w:rPr>
        <w:t>-S</w:t>
      </w:r>
      <w:r w:rsidRPr="003C44E7">
        <w:rPr>
          <w:rFonts w:ascii="Arial" w:hAnsi="Arial" w:cs="Arial"/>
          <w:sz w:val="22"/>
          <w:szCs w:val="22"/>
          <w:lang w:val="en-US"/>
        </w:rPr>
        <w:t>altokov</w:t>
      </w:r>
      <w:r>
        <w:rPr>
          <w:rFonts w:ascii="Arial" w:hAnsi="Arial" w:cs="Arial"/>
          <w:sz w:val="22"/>
          <w:szCs w:val="22"/>
          <w:lang w:val="en-US"/>
        </w:rPr>
        <w:t xml:space="preserve">, J. </w:t>
      </w:r>
      <w:r w:rsidRPr="003C44E7">
        <w:rPr>
          <w:rFonts w:ascii="Arial" w:hAnsi="Arial" w:cs="Arial"/>
          <w:sz w:val="22"/>
          <w:szCs w:val="22"/>
          <w:lang w:val="en-US"/>
        </w:rPr>
        <w:t xml:space="preserve"> (2012)</w:t>
      </w:r>
      <w:r>
        <w:rPr>
          <w:rFonts w:ascii="Arial" w:hAnsi="Arial" w:cs="Arial"/>
          <w:sz w:val="22"/>
          <w:szCs w:val="22"/>
          <w:lang w:val="en-US"/>
        </w:rPr>
        <w:t>.</w:t>
      </w:r>
      <w:r w:rsidRPr="003C44E7">
        <w:rPr>
          <w:rFonts w:ascii="Arial" w:hAnsi="Arial" w:cs="Arial"/>
          <w:sz w:val="22"/>
          <w:szCs w:val="22"/>
          <w:lang w:val="en-US"/>
        </w:rPr>
        <w:t xml:space="preserve"> How </w:t>
      </w:r>
      <w:r>
        <w:rPr>
          <w:rFonts w:ascii="Arial" w:hAnsi="Arial" w:cs="Arial"/>
          <w:sz w:val="22"/>
          <w:szCs w:val="22"/>
          <w:lang w:val="en-US"/>
        </w:rPr>
        <w:t>t</w:t>
      </w:r>
      <w:r w:rsidRPr="003C44E7">
        <w:rPr>
          <w:rFonts w:ascii="Arial" w:hAnsi="Arial" w:cs="Arial"/>
          <w:sz w:val="22"/>
          <w:szCs w:val="22"/>
          <w:lang w:val="en-US"/>
        </w:rPr>
        <w:t xml:space="preserve">o </w:t>
      </w:r>
      <w:r>
        <w:rPr>
          <w:rFonts w:ascii="Arial" w:hAnsi="Arial" w:cs="Arial"/>
          <w:sz w:val="22"/>
          <w:szCs w:val="22"/>
          <w:lang w:val="en-US"/>
        </w:rPr>
        <w:t>d</w:t>
      </w:r>
      <w:r w:rsidRPr="003C44E7">
        <w:rPr>
          <w:rFonts w:ascii="Arial" w:hAnsi="Arial" w:cs="Arial"/>
          <w:sz w:val="22"/>
          <w:szCs w:val="22"/>
          <w:lang w:val="en-US"/>
        </w:rPr>
        <w:t xml:space="preserve">o </w:t>
      </w:r>
      <w:r>
        <w:rPr>
          <w:rFonts w:ascii="Arial" w:hAnsi="Arial" w:cs="Arial"/>
          <w:sz w:val="22"/>
          <w:szCs w:val="22"/>
          <w:lang w:val="en-US"/>
        </w:rPr>
        <w:t>a</w:t>
      </w:r>
      <w:r w:rsidRPr="003C44E7">
        <w:rPr>
          <w:rFonts w:ascii="Arial" w:hAnsi="Arial" w:cs="Arial"/>
          <w:sz w:val="22"/>
          <w:szCs w:val="22"/>
          <w:lang w:val="en-US"/>
        </w:rPr>
        <w:t xml:space="preserve"> Systematic Literature Review In Nursing: A Step-</w:t>
      </w:r>
      <w:r>
        <w:rPr>
          <w:rFonts w:ascii="Arial" w:hAnsi="Arial" w:cs="Arial"/>
          <w:sz w:val="22"/>
          <w:szCs w:val="22"/>
          <w:lang w:val="en-US"/>
        </w:rPr>
        <w:t>b</w:t>
      </w:r>
      <w:r w:rsidRPr="003C44E7">
        <w:rPr>
          <w:rFonts w:ascii="Arial" w:hAnsi="Arial" w:cs="Arial"/>
          <w:sz w:val="22"/>
          <w:szCs w:val="22"/>
          <w:lang w:val="en-US"/>
        </w:rPr>
        <w:t xml:space="preserve">y-Step Guide, </w:t>
      </w:r>
      <w:r>
        <w:rPr>
          <w:rFonts w:ascii="Arial" w:hAnsi="Arial" w:cs="Arial"/>
          <w:sz w:val="22"/>
          <w:szCs w:val="22"/>
          <w:lang w:val="en-US"/>
        </w:rPr>
        <w:t xml:space="preserve">Milton Keynes, </w:t>
      </w:r>
      <w:r w:rsidRPr="003C44E7">
        <w:rPr>
          <w:rFonts w:ascii="Arial" w:hAnsi="Arial" w:cs="Arial"/>
          <w:sz w:val="22"/>
          <w:szCs w:val="22"/>
          <w:lang w:val="en-US"/>
        </w:rPr>
        <w:t>Open University Press</w:t>
      </w:r>
    </w:p>
    <w:p w14:paraId="23160B4C" w14:textId="77777777" w:rsidR="00DF57DF" w:rsidRDefault="00DF57DF" w:rsidP="00DF57DF">
      <w:pPr>
        <w:spacing w:line="480" w:lineRule="auto"/>
        <w:rPr>
          <w:rFonts w:ascii="Arial" w:hAnsi="Arial" w:cs="Arial"/>
          <w:sz w:val="22"/>
          <w:szCs w:val="22"/>
          <w:shd w:val="clear" w:color="auto" w:fill="FFFFFF"/>
        </w:rPr>
      </w:pPr>
    </w:p>
    <w:p w14:paraId="1FBC21C7" w14:textId="77777777" w:rsidR="00DF57DF" w:rsidRDefault="00DF57DF" w:rsidP="00DF57DF">
      <w:pPr>
        <w:spacing w:line="480" w:lineRule="auto"/>
        <w:rPr>
          <w:rFonts w:ascii="Arial" w:hAnsi="Arial" w:cs="Arial"/>
          <w:sz w:val="22"/>
          <w:szCs w:val="22"/>
        </w:rPr>
      </w:pPr>
      <w:r>
        <w:rPr>
          <w:rFonts w:ascii="Arial" w:hAnsi="Arial" w:cs="Arial"/>
          <w:sz w:val="22"/>
          <w:szCs w:val="22"/>
          <w:shd w:val="clear" w:color="auto" w:fill="FFFFFF"/>
        </w:rPr>
        <w:t>Beutler, L.E., Malik,, M., Alimohamed, S., Harwood, T.M., Talebi, H., Noble, S., and Wong, E. (2004). Therapist variables. I</w:t>
      </w:r>
      <w:r>
        <w:rPr>
          <w:rFonts w:ascii="Arial" w:hAnsi="Arial" w:cs="Arial"/>
          <w:sz w:val="22"/>
          <w:szCs w:val="22"/>
        </w:rPr>
        <w:t xml:space="preserve">n Lambert, M.J. (Ed.), </w:t>
      </w:r>
      <w:r w:rsidRPr="00050ECD">
        <w:rPr>
          <w:rFonts w:ascii="Arial" w:hAnsi="Arial" w:cs="Arial"/>
          <w:i/>
          <w:iCs/>
          <w:sz w:val="22"/>
          <w:szCs w:val="22"/>
        </w:rPr>
        <w:t>Bergin and Garfield's Handbook of Psychotherapy and Behavior Change</w:t>
      </w:r>
      <w:r>
        <w:rPr>
          <w:rFonts w:ascii="Arial" w:hAnsi="Arial" w:cs="Arial"/>
          <w:i/>
          <w:iCs/>
          <w:sz w:val="22"/>
          <w:szCs w:val="22"/>
        </w:rPr>
        <w:t xml:space="preserve">, </w:t>
      </w:r>
      <w:r w:rsidRPr="0063047F">
        <w:rPr>
          <w:rFonts w:ascii="Arial" w:hAnsi="Arial" w:cs="Arial"/>
          <w:sz w:val="22"/>
          <w:szCs w:val="22"/>
        </w:rPr>
        <w:t>(5</w:t>
      </w:r>
      <w:r w:rsidRPr="0063047F">
        <w:rPr>
          <w:rFonts w:ascii="Arial" w:hAnsi="Arial" w:cs="Arial"/>
          <w:sz w:val="22"/>
          <w:szCs w:val="22"/>
          <w:vertAlign w:val="superscript"/>
        </w:rPr>
        <w:t>th</w:t>
      </w:r>
      <w:r w:rsidRPr="0063047F">
        <w:rPr>
          <w:rFonts w:ascii="Arial" w:hAnsi="Arial" w:cs="Arial"/>
          <w:sz w:val="22"/>
          <w:szCs w:val="22"/>
        </w:rPr>
        <w:t xml:space="preserve"> Edition, pp. 227-306). New York, Wiley.</w:t>
      </w:r>
    </w:p>
    <w:p w14:paraId="0F68877E" w14:textId="77777777" w:rsidR="00DF57DF" w:rsidRDefault="00DF57DF" w:rsidP="00DF57DF">
      <w:pPr>
        <w:spacing w:line="480" w:lineRule="auto"/>
        <w:rPr>
          <w:rFonts w:ascii="Arial" w:hAnsi="Arial" w:cs="Arial"/>
          <w:sz w:val="22"/>
          <w:szCs w:val="22"/>
        </w:rPr>
      </w:pPr>
    </w:p>
    <w:p w14:paraId="3822A917" w14:textId="77777777" w:rsidR="00DF57DF" w:rsidRPr="0063047F" w:rsidRDefault="00DF57DF" w:rsidP="00DF57DF">
      <w:pPr>
        <w:spacing w:line="480" w:lineRule="auto"/>
        <w:rPr>
          <w:rFonts w:ascii="Arial" w:hAnsi="Arial" w:cs="Arial"/>
          <w:sz w:val="22"/>
          <w:szCs w:val="22"/>
          <w:shd w:val="clear" w:color="auto" w:fill="FFFFFF"/>
        </w:rPr>
      </w:pPr>
      <w:r>
        <w:rPr>
          <w:rFonts w:ascii="Arial" w:hAnsi="Arial" w:cs="Arial"/>
          <w:sz w:val="22"/>
          <w:szCs w:val="22"/>
        </w:rPr>
        <w:t xml:space="preserve">Binnie, J, (2015). Do you want therapy with that? A critical account of working within IAPT. </w:t>
      </w:r>
      <w:r w:rsidRPr="00994E45">
        <w:rPr>
          <w:rFonts w:ascii="Arial" w:hAnsi="Arial" w:cs="Arial"/>
          <w:i/>
          <w:iCs/>
          <w:sz w:val="22"/>
          <w:szCs w:val="22"/>
        </w:rPr>
        <w:t>Mental Health Review Journal</w:t>
      </w:r>
      <w:r>
        <w:rPr>
          <w:rFonts w:ascii="Arial" w:hAnsi="Arial" w:cs="Arial"/>
          <w:sz w:val="22"/>
          <w:szCs w:val="22"/>
        </w:rPr>
        <w:t>, 20, 79-83</w:t>
      </w:r>
    </w:p>
    <w:p w14:paraId="24BDB9AA"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1D886E39" w14:textId="77777777" w:rsidR="00DF57DF" w:rsidRDefault="00DF57DF" w:rsidP="00DF57DF">
      <w:pPr>
        <w:widowControl w:val="0"/>
        <w:autoSpaceDE w:val="0"/>
        <w:autoSpaceDN w:val="0"/>
        <w:adjustRightInd w:val="0"/>
        <w:spacing w:line="480" w:lineRule="auto"/>
        <w:rPr>
          <w:rFonts w:ascii="Arial" w:hAnsi="Arial" w:cs="Arial"/>
          <w:color w:val="393939"/>
          <w:sz w:val="22"/>
          <w:szCs w:val="22"/>
          <w:lang w:val="en-US"/>
        </w:rPr>
      </w:pPr>
      <w:r w:rsidRPr="005D264F">
        <w:rPr>
          <w:rFonts w:ascii="Arial" w:hAnsi="Arial" w:cs="Arial"/>
          <w:color w:val="393939"/>
          <w:sz w:val="22"/>
          <w:szCs w:val="22"/>
          <w:lang w:val="en-US"/>
        </w:rPr>
        <w:t xml:space="preserve">Blackburn, I.M., Milne, D.L. James, I.A., Baker, C., Standart, S. and Garland, A. (2001) The revised cognitive therapy scale (CTS-R): Psychometric properties.  </w:t>
      </w:r>
      <w:r w:rsidRPr="005D264F">
        <w:rPr>
          <w:rFonts w:ascii="Arial" w:hAnsi="Arial" w:cs="Arial"/>
          <w:i/>
          <w:color w:val="393939"/>
          <w:sz w:val="22"/>
          <w:szCs w:val="22"/>
          <w:lang w:val="en-US"/>
        </w:rPr>
        <w:t>Behavioural and Cognitive Psychotherapy</w:t>
      </w:r>
      <w:r w:rsidRPr="005D264F">
        <w:rPr>
          <w:rFonts w:ascii="Arial" w:hAnsi="Arial" w:cs="Arial"/>
          <w:color w:val="393939"/>
          <w:sz w:val="22"/>
          <w:szCs w:val="22"/>
          <w:lang w:val="en-US"/>
        </w:rPr>
        <w:t>, 29 (4), 431-446.</w:t>
      </w:r>
    </w:p>
    <w:p w14:paraId="15F954C8" w14:textId="77777777" w:rsidR="00DF57DF" w:rsidRDefault="00DF57DF" w:rsidP="00DF57DF">
      <w:pPr>
        <w:widowControl w:val="0"/>
        <w:autoSpaceDE w:val="0"/>
        <w:autoSpaceDN w:val="0"/>
        <w:adjustRightInd w:val="0"/>
        <w:spacing w:line="480" w:lineRule="auto"/>
        <w:rPr>
          <w:rFonts w:ascii="Arial" w:hAnsi="Arial" w:cs="Arial"/>
          <w:color w:val="393939"/>
          <w:sz w:val="22"/>
          <w:szCs w:val="22"/>
          <w:lang w:val="en-US"/>
        </w:rPr>
      </w:pPr>
    </w:p>
    <w:p w14:paraId="1936287E" w14:textId="77777777" w:rsidR="00DF57DF" w:rsidRDefault="00DF57DF" w:rsidP="00DF57DF">
      <w:pPr>
        <w:widowControl w:val="0"/>
        <w:autoSpaceDE w:val="0"/>
        <w:autoSpaceDN w:val="0"/>
        <w:adjustRightInd w:val="0"/>
        <w:spacing w:line="480" w:lineRule="auto"/>
        <w:rPr>
          <w:rFonts w:ascii="Arial" w:hAnsi="Arial" w:cs="Arial"/>
          <w:color w:val="393939"/>
          <w:sz w:val="22"/>
          <w:szCs w:val="22"/>
          <w:lang w:val="en-US"/>
        </w:rPr>
      </w:pPr>
      <w:r>
        <w:rPr>
          <w:rFonts w:ascii="Arial" w:hAnsi="Arial" w:cs="Arial"/>
          <w:color w:val="393939"/>
          <w:sz w:val="22"/>
          <w:szCs w:val="22"/>
          <w:lang w:val="en-US"/>
        </w:rPr>
        <w:t xml:space="preserve">Booth, A., Sutton, A., Papaioannou, D. (2016).  </w:t>
      </w:r>
      <w:r w:rsidRPr="00516BD4">
        <w:rPr>
          <w:rFonts w:ascii="Arial" w:hAnsi="Arial" w:cs="Arial"/>
          <w:i/>
          <w:iCs/>
          <w:color w:val="393939"/>
          <w:sz w:val="22"/>
          <w:szCs w:val="22"/>
          <w:lang w:val="en-US"/>
        </w:rPr>
        <w:t>Systematic Approaches to a successful Literature Review</w:t>
      </w:r>
      <w:r>
        <w:rPr>
          <w:rFonts w:ascii="Arial" w:hAnsi="Arial" w:cs="Arial"/>
          <w:color w:val="393939"/>
          <w:sz w:val="22"/>
          <w:szCs w:val="22"/>
          <w:lang w:val="en-US"/>
        </w:rPr>
        <w:t>. London, Sage.</w:t>
      </w:r>
    </w:p>
    <w:p w14:paraId="4DBC2737" w14:textId="77777777" w:rsidR="00DF57DF" w:rsidRDefault="00DF57DF" w:rsidP="00DF57DF">
      <w:pPr>
        <w:widowControl w:val="0"/>
        <w:autoSpaceDE w:val="0"/>
        <w:autoSpaceDN w:val="0"/>
        <w:adjustRightInd w:val="0"/>
        <w:spacing w:line="480" w:lineRule="auto"/>
        <w:rPr>
          <w:rFonts w:ascii="Arial" w:hAnsi="Arial" w:cs="Arial"/>
          <w:color w:val="393939"/>
          <w:sz w:val="22"/>
          <w:szCs w:val="22"/>
          <w:lang w:val="en-US"/>
        </w:rPr>
      </w:pPr>
    </w:p>
    <w:p w14:paraId="463940B9" w14:textId="77777777" w:rsidR="00DF57DF" w:rsidRDefault="00DF57DF" w:rsidP="00DF57DF">
      <w:pPr>
        <w:widowControl w:val="0"/>
        <w:autoSpaceDE w:val="0"/>
        <w:autoSpaceDN w:val="0"/>
        <w:adjustRightInd w:val="0"/>
        <w:spacing w:line="480" w:lineRule="auto"/>
        <w:rPr>
          <w:rFonts w:ascii="Arial" w:hAnsi="Arial" w:cs="Arial"/>
          <w:color w:val="393939"/>
          <w:sz w:val="22"/>
          <w:szCs w:val="22"/>
          <w:lang w:val="en-US"/>
        </w:rPr>
      </w:pPr>
      <w:r>
        <w:rPr>
          <w:rFonts w:ascii="Arial" w:hAnsi="Arial" w:cs="Arial"/>
          <w:color w:val="393939"/>
          <w:sz w:val="22"/>
          <w:szCs w:val="22"/>
          <w:lang w:val="en-US"/>
        </w:rPr>
        <w:t xml:space="preserve">Bordin, E.S. (1979). The generalizability of the psychoanalytic concept of the working allinace, </w:t>
      </w:r>
      <w:r w:rsidRPr="00B62678">
        <w:rPr>
          <w:rFonts w:ascii="Arial" w:hAnsi="Arial" w:cs="Arial"/>
          <w:i/>
          <w:iCs/>
          <w:color w:val="393939"/>
          <w:sz w:val="22"/>
          <w:szCs w:val="22"/>
          <w:lang w:val="en-US"/>
        </w:rPr>
        <w:t>Psychotherapy: Theory</w:t>
      </w:r>
      <w:r>
        <w:rPr>
          <w:rFonts w:ascii="Arial" w:hAnsi="Arial" w:cs="Arial"/>
          <w:i/>
          <w:iCs/>
          <w:color w:val="393939"/>
          <w:sz w:val="22"/>
          <w:szCs w:val="22"/>
          <w:lang w:val="en-US"/>
        </w:rPr>
        <w:t>,</w:t>
      </w:r>
      <w:r w:rsidRPr="00B62678">
        <w:rPr>
          <w:rFonts w:ascii="Arial" w:hAnsi="Arial" w:cs="Arial"/>
          <w:i/>
          <w:iCs/>
          <w:color w:val="393939"/>
          <w:sz w:val="22"/>
          <w:szCs w:val="22"/>
          <w:lang w:val="en-US"/>
        </w:rPr>
        <w:t xml:space="preserve"> Research and Practice</w:t>
      </w:r>
      <w:r>
        <w:rPr>
          <w:rFonts w:ascii="Arial" w:hAnsi="Arial" w:cs="Arial"/>
          <w:color w:val="393939"/>
          <w:sz w:val="22"/>
          <w:szCs w:val="22"/>
          <w:lang w:val="en-US"/>
        </w:rPr>
        <w:t>, 16, 252-260.</w:t>
      </w:r>
    </w:p>
    <w:p w14:paraId="1D74C796" w14:textId="77777777" w:rsidR="00DF57DF" w:rsidRPr="005D264F" w:rsidRDefault="00DF57DF" w:rsidP="00DF57DF">
      <w:pPr>
        <w:widowControl w:val="0"/>
        <w:autoSpaceDE w:val="0"/>
        <w:autoSpaceDN w:val="0"/>
        <w:adjustRightInd w:val="0"/>
        <w:spacing w:line="480" w:lineRule="auto"/>
        <w:rPr>
          <w:rFonts w:ascii="Arial" w:hAnsi="Arial" w:cs="Arial"/>
          <w:color w:val="393939"/>
          <w:sz w:val="22"/>
          <w:szCs w:val="22"/>
          <w:lang w:val="en-US"/>
        </w:rPr>
      </w:pPr>
    </w:p>
    <w:p w14:paraId="241978D2" w14:textId="77777777" w:rsidR="00DF57D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t xml:space="preserve">Borgerson, K. 2013, "Are explanatory trials ethical? Shifting the burden of justification in clinical trial design", </w:t>
      </w:r>
      <w:r w:rsidRPr="005D264F">
        <w:rPr>
          <w:rFonts w:ascii="Arial" w:hAnsi="Arial" w:cs="Arial"/>
          <w:i/>
          <w:iCs/>
          <w:sz w:val="22"/>
          <w:szCs w:val="22"/>
        </w:rPr>
        <w:t xml:space="preserve">Theoretical medicine and bioethics, </w:t>
      </w:r>
      <w:r w:rsidRPr="005D264F">
        <w:rPr>
          <w:rFonts w:ascii="Arial" w:hAnsi="Arial" w:cs="Arial"/>
          <w:sz w:val="22"/>
          <w:szCs w:val="22"/>
        </w:rPr>
        <w:t>vol. 34, no. 4, pp. 293-308.</w:t>
      </w:r>
    </w:p>
    <w:p w14:paraId="003CD407"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389ECBD0"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Bohnke, J.R., Lutz, W., and Delgadillo, J. (2014). Negative affectivity as a transdiagnostic factor in patients with common mental health disorders. </w:t>
      </w:r>
      <w:r w:rsidRPr="001A5864">
        <w:rPr>
          <w:rFonts w:ascii="Arial" w:hAnsi="Arial" w:cs="Arial"/>
          <w:i/>
          <w:iCs/>
          <w:sz w:val="22"/>
          <w:szCs w:val="22"/>
        </w:rPr>
        <w:t>Journal of Affective Disorders</w:t>
      </w:r>
      <w:r>
        <w:rPr>
          <w:rFonts w:ascii="Arial" w:hAnsi="Arial" w:cs="Arial"/>
          <w:sz w:val="22"/>
          <w:szCs w:val="22"/>
        </w:rPr>
        <w:t>, 166, 270-278.</w:t>
      </w:r>
    </w:p>
    <w:p w14:paraId="3EFDB80A" w14:textId="77777777" w:rsidR="00DF57DF" w:rsidRPr="008170DB" w:rsidRDefault="00DF57DF" w:rsidP="00DF57DF">
      <w:pPr>
        <w:pStyle w:val="NormalWeb"/>
        <w:spacing w:before="0" w:beforeAutospacing="0" w:after="0" w:afterAutospacing="0" w:line="480" w:lineRule="auto"/>
        <w:rPr>
          <w:rFonts w:ascii="Arial" w:hAnsi="Arial" w:cs="Arial"/>
          <w:sz w:val="22"/>
          <w:szCs w:val="22"/>
        </w:rPr>
      </w:pPr>
    </w:p>
    <w:p w14:paraId="268A38D1" w14:textId="77777777" w:rsidR="00DF57DF" w:rsidRDefault="00DF57DF" w:rsidP="00DF57DF">
      <w:pPr>
        <w:spacing w:line="480" w:lineRule="auto"/>
        <w:rPr>
          <w:rFonts w:ascii="Arial" w:hAnsi="Arial" w:cs="Arial"/>
          <w:color w:val="393939"/>
          <w:sz w:val="22"/>
          <w:szCs w:val="22"/>
          <w:lang w:val="en-US"/>
        </w:rPr>
      </w:pPr>
      <w:r>
        <w:rPr>
          <w:rFonts w:ascii="Arial" w:hAnsi="Arial" w:cs="Arial"/>
          <w:color w:val="393939"/>
          <w:sz w:val="22"/>
          <w:szCs w:val="22"/>
          <w:lang w:val="en-US"/>
        </w:rPr>
        <w:lastRenderedPageBreak/>
        <w:t xml:space="preserve">Borkovec, T.D., Echemendia, R.J., Rausea, S.A., and Ruiz, M. (2001). The Pennsylvania practice research network and future possibilities for clinically meaningful and scientifically rigorous psychotherapy effectiveness research. </w:t>
      </w:r>
      <w:r w:rsidRPr="00F3364C">
        <w:rPr>
          <w:rFonts w:ascii="Arial" w:hAnsi="Arial" w:cs="Arial"/>
          <w:i/>
          <w:iCs/>
          <w:color w:val="393939"/>
          <w:sz w:val="22"/>
          <w:szCs w:val="22"/>
          <w:lang w:val="en-US"/>
        </w:rPr>
        <w:t>Clinical Psychology: Science and Practice</w:t>
      </w:r>
      <w:r>
        <w:rPr>
          <w:rFonts w:ascii="Arial" w:hAnsi="Arial" w:cs="Arial"/>
          <w:color w:val="393939"/>
          <w:sz w:val="22"/>
          <w:szCs w:val="22"/>
          <w:lang w:val="en-US"/>
        </w:rPr>
        <w:t>, 8, 155-167.</w:t>
      </w:r>
    </w:p>
    <w:p w14:paraId="1FB273F5" w14:textId="77777777" w:rsidR="00DF57DF" w:rsidRPr="005D264F" w:rsidRDefault="00DF57DF" w:rsidP="00DF57DF">
      <w:pPr>
        <w:widowControl w:val="0"/>
        <w:autoSpaceDE w:val="0"/>
        <w:autoSpaceDN w:val="0"/>
        <w:adjustRightInd w:val="0"/>
        <w:spacing w:line="480" w:lineRule="auto"/>
        <w:rPr>
          <w:rFonts w:ascii="Arial" w:hAnsi="Arial" w:cs="Arial"/>
          <w:color w:val="393939"/>
          <w:sz w:val="22"/>
          <w:szCs w:val="22"/>
          <w:lang w:val="en-US"/>
        </w:rPr>
      </w:pPr>
    </w:p>
    <w:p w14:paraId="1C17432A"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shd w:val="clear" w:color="auto" w:fill="FFFFFF"/>
        </w:rPr>
        <w:t xml:space="preserve">Borkovec, T.D., &amp; Sharpless, B. (2004). Generalized Anxiety Disorder: Bringing Cognitive Behavioral Therapy into the Valued Present. In S. Hayes, V. Follette, &amp; M. Linehan (Eds.), </w:t>
      </w:r>
      <w:r w:rsidRPr="005D264F">
        <w:rPr>
          <w:rFonts w:ascii="Arial" w:hAnsi="Arial" w:cs="Arial"/>
          <w:i/>
          <w:iCs/>
          <w:sz w:val="22"/>
          <w:szCs w:val="22"/>
          <w:shd w:val="clear" w:color="auto" w:fill="FFFFFF"/>
        </w:rPr>
        <w:t xml:space="preserve">New directions in behavior therapy, </w:t>
      </w:r>
      <w:r w:rsidRPr="005D264F">
        <w:rPr>
          <w:rFonts w:ascii="Arial" w:hAnsi="Arial" w:cs="Arial"/>
          <w:sz w:val="22"/>
          <w:szCs w:val="22"/>
          <w:shd w:val="clear" w:color="auto" w:fill="FFFFFF"/>
        </w:rPr>
        <w:t>pp. 209 - 242. New York: Guilford Press.</w:t>
      </w:r>
    </w:p>
    <w:p w14:paraId="43786ED6"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7E40D3A4" w14:textId="77777777" w:rsidR="00DF57D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t>Botella, C., Garcia-Palacios, A., Vizcaino, Y., Herrero, R., Banos, R.M. and Belmonte, M.A. (2013)</w:t>
      </w:r>
      <w:r>
        <w:rPr>
          <w:rFonts w:ascii="Arial" w:hAnsi="Arial" w:cs="Arial"/>
          <w:sz w:val="22"/>
          <w:szCs w:val="22"/>
        </w:rPr>
        <w:t>.</w:t>
      </w:r>
      <w:r w:rsidRPr="005D264F">
        <w:rPr>
          <w:rFonts w:ascii="Arial" w:hAnsi="Arial" w:cs="Arial"/>
          <w:sz w:val="22"/>
          <w:szCs w:val="22"/>
        </w:rPr>
        <w:t xml:space="preserve"> Virtual reality in the treatment of fibromylagia: A pilot study</w:t>
      </w:r>
      <w:r>
        <w:rPr>
          <w:rFonts w:ascii="Arial" w:hAnsi="Arial" w:cs="Arial"/>
          <w:sz w:val="22"/>
          <w:szCs w:val="22"/>
        </w:rPr>
        <w:t>.</w:t>
      </w:r>
      <w:r w:rsidRPr="005D264F">
        <w:rPr>
          <w:rFonts w:ascii="Arial" w:hAnsi="Arial" w:cs="Arial"/>
          <w:sz w:val="22"/>
          <w:szCs w:val="22"/>
        </w:rPr>
        <w:t xml:space="preserve"> </w:t>
      </w:r>
      <w:r w:rsidRPr="005D264F">
        <w:rPr>
          <w:rFonts w:ascii="Arial" w:hAnsi="Arial" w:cs="Arial"/>
          <w:i/>
          <w:sz w:val="22"/>
          <w:szCs w:val="22"/>
        </w:rPr>
        <w:t>Cyberpsychology, Behaviour and Social Networking</w:t>
      </w:r>
      <w:r w:rsidRPr="005D264F">
        <w:rPr>
          <w:rFonts w:ascii="Arial" w:hAnsi="Arial" w:cs="Arial"/>
          <w:sz w:val="22"/>
          <w:szCs w:val="22"/>
        </w:rPr>
        <w:t>, 16 (3), 215-223.</w:t>
      </w:r>
    </w:p>
    <w:p w14:paraId="18043ADC"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7552BC32"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Boulet, J.R. (2008) Summative assessment in Medicine: The promise of simulation for high stakes evaluation. Academic Emergency Medicine, 15, 1017-1024.</w:t>
      </w:r>
    </w:p>
    <w:p w14:paraId="020AC5CD"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7252F1DB"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Branson, A., Shafran, R., and Myles, P. (2015). Investigating the relationship between competence and patient outcome with CBT. </w:t>
      </w:r>
      <w:r w:rsidRPr="00053B94">
        <w:rPr>
          <w:rFonts w:ascii="Arial" w:hAnsi="Arial" w:cs="Arial"/>
          <w:i/>
          <w:iCs/>
          <w:sz w:val="22"/>
          <w:szCs w:val="22"/>
        </w:rPr>
        <w:t>Behaviour Research and Therapy</w:t>
      </w:r>
      <w:r>
        <w:rPr>
          <w:rFonts w:ascii="Arial" w:hAnsi="Arial" w:cs="Arial"/>
          <w:sz w:val="22"/>
          <w:szCs w:val="22"/>
        </w:rPr>
        <w:t>, 68, 19-26.</w:t>
      </w:r>
    </w:p>
    <w:p w14:paraId="73155B17"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15546DEE"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Braun, J.D., Strunk, D.R., Sasso, K.E., and Cooper, A.A. (2015). Therapist use of socratic questioning predicts session-to-session symptom change in cognitive therapy for depression. </w:t>
      </w:r>
      <w:r w:rsidRPr="008904D6">
        <w:rPr>
          <w:rFonts w:ascii="Arial" w:hAnsi="Arial" w:cs="Arial"/>
          <w:i/>
          <w:iCs/>
          <w:sz w:val="22"/>
          <w:szCs w:val="22"/>
        </w:rPr>
        <w:t>Behaviour Research and Therapy,</w:t>
      </w:r>
      <w:r>
        <w:rPr>
          <w:rFonts w:ascii="Arial" w:hAnsi="Arial" w:cs="Arial"/>
          <w:sz w:val="22"/>
          <w:szCs w:val="22"/>
        </w:rPr>
        <w:t xml:space="preserve"> 70, 32-37.</w:t>
      </w:r>
    </w:p>
    <w:p w14:paraId="6309FE94"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117859AC"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Brosan, L., Reynolds, S., and Moore, R.G. (2007). Factors associated with competence in cognitive therapists. </w:t>
      </w:r>
      <w:r w:rsidRPr="00F5519D">
        <w:rPr>
          <w:rFonts w:ascii="Arial" w:hAnsi="Arial" w:cs="Arial"/>
          <w:i/>
          <w:iCs/>
          <w:sz w:val="22"/>
          <w:szCs w:val="22"/>
        </w:rPr>
        <w:t>Behavioural and Cognitive Psychotherapy</w:t>
      </w:r>
      <w:r>
        <w:rPr>
          <w:rFonts w:ascii="Arial" w:hAnsi="Arial" w:cs="Arial"/>
          <w:sz w:val="22"/>
          <w:szCs w:val="22"/>
        </w:rPr>
        <w:t>, 35, 179-190.</w:t>
      </w:r>
    </w:p>
    <w:p w14:paraId="5114D029"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268282F9" w14:textId="77777777" w:rsidR="00DF57DF" w:rsidRDefault="00DF57DF" w:rsidP="00DF57DF">
      <w:pPr>
        <w:rPr>
          <w:rFonts w:ascii="Arial" w:hAnsi="Arial" w:cs="Arial"/>
          <w:sz w:val="22"/>
          <w:szCs w:val="22"/>
        </w:rPr>
      </w:pPr>
      <w:r>
        <w:rPr>
          <w:rFonts w:ascii="Arial" w:hAnsi="Arial" w:cs="Arial"/>
          <w:sz w:val="22"/>
          <w:szCs w:val="22"/>
        </w:rPr>
        <w:br w:type="page"/>
      </w:r>
    </w:p>
    <w:p w14:paraId="77E74845"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lastRenderedPageBreak/>
        <w:t xml:space="preserve">Brown, L.A., Craske, M.G., Glenn, D.E., Stein, M.B., Sullivan, G., Sherbourne, C., Bystriksy, A., Welch, S., Campbell-Sills, L., Lang, A., Roy-Byrne, P., and Rose, R. (2013). CBT competence in novice therapists improves anxiety outcome. </w:t>
      </w:r>
      <w:r w:rsidRPr="008963DB">
        <w:rPr>
          <w:rFonts w:ascii="Arial" w:hAnsi="Arial" w:cs="Arial"/>
          <w:i/>
          <w:iCs/>
          <w:sz w:val="22"/>
          <w:szCs w:val="22"/>
        </w:rPr>
        <w:t>Depression and Anxiety</w:t>
      </w:r>
      <w:r>
        <w:rPr>
          <w:rFonts w:ascii="Arial" w:hAnsi="Arial" w:cs="Arial"/>
          <w:sz w:val="22"/>
          <w:szCs w:val="22"/>
        </w:rPr>
        <w:t>, 30, 97-115.</w:t>
      </w:r>
    </w:p>
    <w:p w14:paraId="7ECC79A5"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0563B571"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Brown, L.A., Lambert, M., Jones, E.R., and Minami, T. (2005). Identifying highly effective therapists in a managed care environment. </w:t>
      </w:r>
      <w:r w:rsidRPr="00252619">
        <w:rPr>
          <w:rFonts w:ascii="Arial" w:hAnsi="Arial" w:cs="Arial"/>
          <w:i/>
          <w:iCs/>
          <w:sz w:val="22"/>
          <w:szCs w:val="22"/>
        </w:rPr>
        <w:t>The American Journal of Managed Care</w:t>
      </w:r>
      <w:r>
        <w:rPr>
          <w:rFonts w:ascii="Arial" w:hAnsi="Arial" w:cs="Arial"/>
          <w:sz w:val="22"/>
          <w:szCs w:val="22"/>
        </w:rPr>
        <w:t>, 11, 513-520.</w:t>
      </w:r>
    </w:p>
    <w:p w14:paraId="5D346553"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3E20009D"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Brown, K.W., and Ryan, R.M. (2003). The benefits of being present: Mindfulness and its role in psychological wellbeing. </w:t>
      </w:r>
      <w:r w:rsidRPr="007A7940">
        <w:rPr>
          <w:rFonts w:ascii="Arial" w:hAnsi="Arial" w:cs="Arial"/>
          <w:i/>
          <w:iCs/>
          <w:sz w:val="22"/>
          <w:szCs w:val="22"/>
        </w:rPr>
        <w:t>Journal of Personality and Social Psychology</w:t>
      </w:r>
      <w:r>
        <w:rPr>
          <w:rFonts w:ascii="Arial" w:hAnsi="Arial" w:cs="Arial"/>
          <w:sz w:val="22"/>
          <w:szCs w:val="22"/>
        </w:rPr>
        <w:t>, 84, 822-848.</w:t>
      </w:r>
    </w:p>
    <w:p w14:paraId="6CC44A3E"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41612A1A"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Browne, N.S., and Doshi, M. (2006). Assessing professional and clinical competence: The way forward. Advances in Psychiatric Treatment, 12, 81-91.</w:t>
      </w:r>
    </w:p>
    <w:p w14:paraId="479911C5"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564B82BD"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Bruijniks, S. J.E., Franx, G., and Huibers, M.J.H. (2018). The implementation and adherence to evidence-based protocols for psychotherapy for depression: the perspective of therapists in Dutch specialised mental health care. </w:t>
      </w:r>
      <w:r w:rsidRPr="00010F55">
        <w:rPr>
          <w:rFonts w:ascii="Arial" w:hAnsi="Arial" w:cs="Arial"/>
          <w:i/>
          <w:iCs/>
          <w:sz w:val="22"/>
          <w:szCs w:val="22"/>
        </w:rPr>
        <w:t>BMC Psychiatry,</w:t>
      </w:r>
      <w:r>
        <w:rPr>
          <w:rFonts w:ascii="Arial" w:hAnsi="Arial" w:cs="Arial"/>
          <w:sz w:val="22"/>
          <w:szCs w:val="22"/>
        </w:rPr>
        <w:t xml:space="preserve"> available online at </w:t>
      </w:r>
      <w:r w:rsidRPr="00300766">
        <w:rPr>
          <w:rFonts w:ascii="Arial" w:hAnsi="Arial" w:cs="Arial"/>
          <w:sz w:val="22"/>
          <w:szCs w:val="22"/>
        </w:rPr>
        <w:t>https://bmcpsychiatry.biomedcentral.com/articles/10.1186/s12888-018-1768-x</w:t>
      </w:r>
      <w:r>
        <w:rPr>
          <w:rFonts w:ascii="Arial" w:hAnsi="Arial" w:cs="Arial"/>
          <w:sz w:val="22"/>
          <w:szCs w:val="22"/>
        </w:rPr>
        <w:t xml:space="preserve">  Accessed on 24</w:t>
      </w:r>
      <w:r w:rsidRPr="00010F55">
        <w:rPr>
          <w:rFonts w:ascii="Arial" w:hAnsi="Arial" w:cs="Arial"/>
          <w:sz w:val="22"/>
          <w:szCs w:val="22"/>
          <w:vertAlign w:val="superscript"/>
        </w:rPr>
        <w:t>th</w:t>
      </w:r>
      <w:r>
        <w:rPr>
          <w:rFonts w:ascii="Arial" w:hAnsi="Arial" w:cs="Arial"/>
          <w:sz w:val="22"/>
          <w:szCs w:val="22"/>
        </w:rPr>
        <w:t xml:space="preserve"> October 2019.</w:t>
      </w:r>
    </w:p>
    <w:p w14:paraId="29E37423"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15EB36A3"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Burch, S., Preston, C., </w:t>
      </w:r>
      <w:r w:rsidRPr="00770BDB">
        <w:rPr>
          <w:rFonts w:ascii="Arial" w:hAnsi="Arial" w:cs="Arial"/>
          <w:sz w:val="22"/>
          <w:szCs w:val="22"/>
        </w:rPr>
        <w:t>Bateup, S</w:t>
      </w:r>
      <w:r>
        <w:rPr>
          <w:rFonts w:ascii="Arial" w:hAnsi="Arial" w:cs="Arial"/>
          <w:sz w:val="22"/>
          <w:szCs w:val="22"/>
        </w:rPr>
        <w:t xml:space="preserve">., and Hina, F. (2017). The use of internet-enabled cognitive behavioural therapy in the treatment of depression and anxiety amongst older people. </w:t>
      </w:r>
      <w:r w:rsidRPr="00770BDB">
        <w:rPr>
          <w:rFonts w:ascii="Arial" w:hAnsi="Arial" w:cs="Arial"/>
          <w:i/>
          <w:iCs/>
          <w:sz w:val="22"/>
          <w:szCs w:val="22"/>
        </w:rPr>
        <w:t>The International Journal of Aging and Society</w:t>
      </w:r>
      <w:r>
        <w:rPr>
          <w:rFonts w:ascii="Arial" w:hAnsi="Arial" w:cs="Arial"/>
          <w:sz w:val="22"/>
          <w:szCs w:val="22"/>
        </w:rPr>
        <w:t>, 8, 1-11.</w:t>
      </w:r>
    </w:p>
    <w:p w14:paraId="7B9BCF79"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23734101" w14:textId="77777777" w:rsidR="00DF57DF" w:rsidRDefault="00DF57DF" w:rsidP="00DF57DF">
      <w:pPr>
        <w:rPr>
          <w:rFonts w:ascii="Arial" w:hAnsi="Arial" w:cs="Arial"/>
          <w:sz w:val="22"/>
          <w:szCs w:val="22"/>
        </w:rPr>
      </w:pPr>
      <w:r>
        <w:rPr>
          <w:rFonts w:ascii="Arial" w:hAnsi="Arial" w:cs="Arial"/>
          <w:sz w:val="22"/>
          <w:szCs w:val="22"/>
        </w:rPr>
        <w:br w:type="page"/>
      </w:r>
    </w:p>
    <w:p w14:paraId="17919A82"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lastRenderedPageBreak/>
        <w:t xml:space="preserve">Burch, S., Preston, C., and Bateup, S. (2018). True technology-enabled mental health care: Trust, agency and ageing. </w:t>
      </w:r>
      <w:r w:rsidRPr="00770BDB">
        <w:rPr>
          <w:rFonts w:ascii="Arial" w:hAnsi="Arial" w:cs="Arial"/>
          <w:i/>
          <w:iCs/>
          <w:sz w:val="22"/>
          <w:szCs w:val="22"/>
        </w:rPr>
        <w:t>mHealth</w:t>
      </w:r>
      <w:r>
        <w:rPr>
          <w:rFonts w:ascii="Arial" w:hAnsi="Arial" w:cs="Arial"/>
          <w:sz w:val="22"/>
          <w:szCs w:val="22"/>
        </w:rPr>
        <w:t xml:space="preserve">. Available online at </w:t>
      </w:r>
      <w:r w:rsidRPr="00770BDB">
        <w:rPr>
          <w:rFonts w:ascii="Arial" w:hAnsi="Arial" w:cs="Arial"/>
          <w:sz w:val="22"/>
          <w:szCs w:val="22"/>
        </w:rPr>
        <w:t>https://www.ncbi.nlm.nih.gov/pmc/articles/PMC6131528/</w:t>
      </w:r>
    </w:p>
    <w:p w14:paraId="47E12A38"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Accessed 22</w:t>
      </w:r>
      <w:r w:rsidRPr="00770BDB">
        <w:rPr>
          <w:rFonts w:ascii="Arial" w:hAnsi="Arial" w:cs="Arial"/>
          <w:sz w:val="22"/>
          <w:szCs w:val="22"/>
          <w:vertAlign w:val="superscript"/>
        </w:rPr>
        <w:t>nd</w:t>
      </w:r>
      <w:r>
        <w:rPr>
          <w:rFonts w:ascii="Arial" w:hAnsi="Arial" w:cs="Arial"/>
          <w:sz w:val="22"/>
          <w:szCs w:val="22"/>
        </w:rPr>
        <w:t xml:space="preserve"> November 2019.</w:t>
      </w:r>
    </w:p>
    <w:p w14:paraId="241D7AA4"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19F6A652"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Campling, P. (2019). The industrialisation and marketisation of healthcare. In Jackson, C and Rizq, R. (Eds) </w:t>
      </w:r>
      <w:r w:rsidRPr="00E438A8">
        <w:rPr>
          <w:rFonts w:ascii="Arial" w:hAnsi="Arial" w:cs="Arial"/>
          <w:i/>
          <w:iCs/>
          <w:sz w:val="22"/>
          <w:szCs w:val="22"/>
        </w:rPr>
        <w:t>The Industrialisation of Care: Counselling and Psychotherapy and the Impact of IAPT</w:t>
      </w:r>
      <w:r>
        <w:rPr>
          <w:rFonts w:ascii="Arial" w:hAnsi="Arial" w:cs="Arial"/>
          <w:sz w:val="22"/>
          <w:szCs w:val="22"/>
        </w:rPr>
        <w:t>. Monmouth, PCCS Books.</w:t>
      </w:r>
    </w:p>
    <w:p w14:paraId="265748DE"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7D934583"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Carroll, K.M, Nich, C., Sifry, R.l., Nuro, K.f., Frankforter, T.L., Ball, S.A., et al., (2000). A general system for evaluating therapist adherence and competence in psychotherapy research in the addictions. </w:t>
      </w:r>
      <w:r w:rsidRPr="00A17B8E">
        <w:rPr>
          <w:rFonts w:ascii="Arial" w:hAnsi="Arial" w:cs="Arial"/>
          <w:i/>
          <w:iCs/>
          <w:sz w:val="22"/>
          <w:szCs w:val="22"/>
        </w:rPr>
        <w:t>Drug and Alcohol Dependence.</w:t>
      </w:r>
      <w:r>
        <w:rPr>
          <w:rFonts w:ascii="Arial" w:hAnsi="Arial" w:cs="Arial"/>
          <w:sz w:val="22"/>
          <w:szCs w:val="22"/>
        </w:rPr>
        <w:t xml:space="preserve"> 57, 225-238.</w:t>
      </w:r>
    </w:p>
    <w:p w14:paraId="15DE9CC4"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1830CD84"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Castonguay, L.G., Hayes, A.M., Goldfried, M.R., and DeRubeis, R.J. (1995). The focus of therapist's intervention in cognitive therapy for depression. </w:t>
      </w:r>
      <w:r w:rsidRPr="00580E58">
        <w:rPr>
          <w:rFonts w:ascii="Arial" w:hAnsi="Arial" w:cs="Arial"/>
          <w:i/>
          <w:iCs/>
          <w:sz w:val="22"/>
          <w:szCs w:val="22"/>
        </w:rPr>
        <w:t>Cognitive Therapy and Research</w:t>
      </w:r>
      <w:r>
        <w:rPr>
          <w:rFonts w:ascii="Arial" w:hAnsi="Arial" w:cs="Arial"/>
          <w:sz w:val="22"/>
          <w:szCs w:val="22"/>
        </w:rPr>
        <w:t>, 19, 485-503.</w:t>
      </w:r>
    </w:p>
    <w:p w14:paraId="23491147"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45289FD8"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Castonguay, L.G., and Beutler, L.E. (Eds.). (2006). </w:t>
      </w:r>
      <w:r w:rsidRPr="00240E4A">
        <w:rPr>
          <w:rFonts w:ascii="Arial" w:hAnsi="Arial" w:cs="Arial"/>
          <w:i/>
          <w:iCs/>
          <w:sz w:val="22"/>
          <w:szCs w:val="22"/>
        </w:rPr>
        <w:t>Principles of Therapeutic Change That Work.</w:t>
      </w:r>
      <w:r>
        <w:rPr>
          <w:rFonts w:ascii="Arial" w:hAnsi="Arial" w:cs="Arial"/>
          <w:sz w:val="22"/>
          <w:szCs w:val="22"/>
        </w:rPr>
        <w:t xml:space="preserve"> New York, Oxford University Press.</w:t>
      </w:r>
    </w:p>
    <w:p w14:paraId="4288ED26"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19FE8FD1"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Castonguay, L.G., Eubanks, C.F., Goldfried, M.R., Muran, J.C., Lutz, W. (2015). Research on psychotherapy integration: building on the past, looking to the future. </w:t>
      </w:r>
      <w:r w:rsidRPr="005D028E">
        <w:rPr>
          <w:rFonts w:ascii="Arial" w:hAnsi="Arial" w:cs="Arial"/>
          <w:i/>
          <w:iCs/>
          <w:sz w:val="22"/>
          <w:szCs w:val="22"/>
        </w:rPr>
        <w:t>Psychotherapy Research</w:t>
      </w:r>
      <w:r>
        <w:rPr>
          <w:rFonts w:ascii="Arial" w:hAnsi="Arial" w:cs="Arial"/>
          <w:sz w:val="22"/>
          <w:szCs w:val="22"/>
        </w:rPr>
        <w:t>, 25, 365-382.</w:t>
      </w:r>
    </w:p>
    <w:p w14:paraId="55E00391"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0DF5A5D3"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Castonguay, L.G., and Hill, C.E.,(Eds.). (2017). </w:t>
      </w:r>
      <w:r w:rsidRPr="001D3EB3">
        <w:rPr>
          <w:rFonts w:ascii="Arial" w:hAnsi="Arial" w:cs="Arial"/>
          <w:i/>
          <w:iCs/>
          <w:sz w:val="22"/>
          <w:szCs w:val="22"/>
        </w:rPr>
        <w:t>How and Why are Some Therapists Better Than Others? Understanding Therapist Effects</w:t>
      </w:r>
      <w:r>
        <w:rPr>
          <w:rFonts w:ascii="Arial" w:hAnsi="Arial" w:cs="Arial"/>
          <w:sz w:val="22"/>
          <w:szCs w:val="22"/>
        </w:rPr>
        <w:t>. American Psychological Association, Washington DC.</w:t>
      </w:r>
    </w:p>
    <w:p w14:paraId="23E74275"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79ED3BD2" w14:textId="77777777" w:rsidR="00DF57D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lastRenderedPageBreak/>
        <w:t xml:space="preserve">Castro, V.P., Sanchez, M.J.R., Gonzalez, C.T.P, Bethencort, J.M. de la Fuente Portero, J.A. ( 2014) Cognitive behavioral treatment and antidepressants combined with virtual reality exposure for patients with chronic agoraphobia, </w:t>
      </w:r>
      <w:r w:rsidRPr="005D264F">
        <w:rPr>
          <w:rFonts w:ascii="Arial" w:hAnsi="Arial" w:cs="Arial"/>
          <w:i/>
          <w:sz w:val="22"/>
          <w:szCs w:val="22"/>
        </w:rPr>
        <w:t>International Journal of Clinical and Health Psychology</w:t>
      </w:r>
      <w:r w:rsidRPr="005D264F">
        <w:rPr>
          <w:rFonts w:ascii="Arial" w:hAnsi="Arial" w:cs="Arial"/>
          <w:sz w:val="22"/>
          <w:szCs w:val="22"/>
        </w:rPr>
        <w:t xml:space="preserve">,14 (1) 9-17. </w:t>
      </w:r>
    </w:p>
    <w:p w14:paraId="1D1CE5C5"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78A7816B"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Catarino, A., Bateup, S., Tablan, V., Inness, K., Freer, S., Richards, A., Stott, R., Hollon, S.D., Chamberlain, S.R., Hayes, A., and Blackwell, A. (2018). Demographic and Clinical predictors of response to internet-enabled cognitive-behavioural therapy for depression and anxiety. </w:t>
      </w:r>
      <w:r w:rsidRPr="00770BDB">
        <w:rPr>
          <w:rFonts w:ascii="Arial" w:hAnsi="Arial" w:cs="Arial"/>
          <w:i/>
          <w:iCs/>
          <w:sz w:val="22"/>
          <w:szCs w:val="22"/>
        </w:rPr>
        <w:t>British Journal of Psychiatry</w:t>
      </w:r>
      <w:r>
        <w:rPr>
          <w:rFonts w:ascii="Arial" w:hAnsi="Arial" w:cs="Arial"/>
          <w:sz w:val="22"/>
          <w:szCs w:val="22"/>
        </w:rPr>
        <w:t>, 4, 411-418.</w:t>
      </w:r>
    </w:p>
    <w:p w14:paraId="4D1CD151"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6596FC8C"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Centre for Reviews and Dissemination (2008). </w:t>
      </w:r>
      <w:r w:rsidRPr="00691ACD">
        <w:rPr>
          <w:rFonts w:ascii="Arial" w:hAnsi="Arial" w:cs="Arial"/>
          <w:i/>
          <w:iCs/>
          <w:sz w:val="22"/>
          <w:szCs w:val="22"/>
        </w:rPr>
        <w:t>Systematic Reviews: CRD's Guidance for Understanding Reviews in Health Care.</w:t>
      </w:r>
      <w:r>
        <w:rPr>
          <w:rFonts w:ascii="Arial" w:hAnsi="Arial" w:cs="Arial"/>
          <w:sz w:val="22"/>
          <w:szCs w:val="22"/>
        </w:rPr>
        <w:t xml:space="preserve"> Centre for Reviews and Dissemination, University of York. Available online at </w:t>
      </w:r>
      <w:r w:rsidRPr="00691ACD">
        <w:rPr>
          <w:rFonts w:ascii="Arial" w:hAnsi="Arial" w:cs="Arial"/>
          <w:sz w:val="22"/>
          <w:szCs w:val="22"/>
        </w:rPr>
        <w:t>https://www.york.ac.uk/media/crd/Systematic_Reviews.pdf</w:t>
      </w:r>
    </w:p>
    <w:p w14:paraId="6C6364D1"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Accessed 1</w:t>
      </w:r>
      <w:r w:rsidRPr="00691ACD">
        <w:rPr>
          <w:rFonts w:ascii="Arial" w:hAnsi="Arial" w:cs="Arial"/>
          <w:sz w:val="22"/>
          <w:szCs w:val="22"/>
          <w:vertAlign w:val="superscript"/>
        </w:rPr>
        <w:t>st</w:t>
      </w:r>
      <w:r>
        <w:rPr>
          <w:rFonts w:ascii="Arial" w:hAnsi="Arial" w:cs="Arial"/>
          <w:sz w:val="22"/>
          <w:szCs w:val="22"/>
        </w:rPr>
        <w:t xml:space="preserve"> November 2019.</w:t>
      </w:r>
    </w:p>
    <w:p w14:paraId="3C1F9D96"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23ED607B"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Chambless, D.L., and Ollendick, T.H. (2001). Empirically supported psychological interventions: Controversies and evidence. </w:t>
      </w:r>
      <w:r w:rsidRPr="001D3EB3">
        <w:rPr>
          <w:rFonts w:ascii="Arial" w:hAnsi="Arial" w:cs="Arial"/>
          <w:i/>
          <w:iCs/>
          <w:sz w:val="22"/>
          <w:szCs w:val="22"/>
        </w:rPr>
        <w:t>Annual Review of Psychology</w:t>
      </w:r>
      <w:r>
        <w:rPr>
          <w:rFonts w:ascii="Arial" w:hAnsi="Arial" w:cs="Arial"/>
          <w:sz w:val="22"/>
          <w:szCs w:val="22"/>
        </w:rPr>
        <w:t>, 52, 685-716.</w:t>
      </w:r>
    </w:p>
    <w:p w14:paraId="649B121E"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2C12F506"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Chow, D.L., Miller, S.D., Seidel, J.A., Kane, R.T., Thornton, J.A., and Andrews, W.P. (2015). The role of deliberate practice in the development of highly effective psychotherapists. Psychotherapy, 52, 337-345.</w:t>
      </w:r>
    </w:p>
    <w:p w14:paraId="6E4E9EC6"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592E0997"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Christensen, H., Griffiths, K.M., Korten, A.E., Brittliffe, K., and Groves, C. (2004). A comparison of changes in anxiety and depression symptoms of spontaneous users and trial participants of a cognitive behavior therapy website. J</w:t>
      </w:r>
      <w:r w:rsidRPr="00F45164">
        <w:rPr>
          <w:rFonts w:ascii="Arial" w:hAnsi="Arial" w:cs="Arial"/>
          <w:i/>
          <w:iCs/>
          <w:sz w:val="22"/>
          <w:szCs w:val="22"/>
        </w:rPr>
        <w:t>ournal of Medical Internet Research.</w:t>
      </w:r>
      <w:r>
        <w:rPr>
          <w:rFonts w:ascii="Arial" w:hAnsi="Arial" w:cs="Arial"/>
          <w:sz w:val="22"/>
          <w:szCs w:val="22"/>
        </w:rPr>
        <w:t xml:space="preserve"> Available online at </w:t>
      </w:r>
      <w:r w:rsidRPr="00F45164">
        <w:rPr>
          <w:rFonts w:ascii="Arial" w:hAnsi="Arial" w:cs="Arial"/>
          <w:sz w:val="22"/>
          <w:szCs w:val="22"/>
        </w:rPr>
        <w:t>https://www.jmir.org/2004/4/e46/</w:t>
      </w:r>
    </w:p>
    <w:p w14:paraId="5632C2D7"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Accessed 25</w:t>
      </w:r>
      <w:r w:rsidRPr="00F45164">
        <w:rPr>
          <w:rFonts w:ascii="Arial" w:hAnsi="Arial" w:cs="Arial"/>
          <w:sz w:val="22"/>
          <w:szCs w:val="22"/>
          <w:vertAlign w:val="superscript"/>
        </w:rPr>
        <w:t>th</w:t>
      </w:r>
      <w:r>
        <w:rPr>
          <w:rFonts w:ascii="Arial" w:hAnsi="Arial" w:cs="Arial"/>
          <w:sz w:val="22"/>
          <w:szCs w:val="22"/>
        </w:rPr>
        <w:t xml:space="preserve"> October 2019.</w:t>
      </w:r>
    </w:p>
    <w:p w14:paraId="74699BE7"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128ED90B"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shd w:val="clear" w:color="auto" w:fill="FFFFFF"/>
        </w:rPr>
        <w:lastRenderedPageBreak/>
        <w:t xml:space="preserve">Clark , D.M. ( 2005 ) A cognitive Perspective on Social Phobia in W. Ray Crozicr W.R. &amp; L.L. Alden. </w:t>
      </w:r>
      <w:r w:rsidRPr="005D264F">
        <w:rPr>
          <w:rFonts w:ascii="Arial" w:hAnsi="Arial" w:cs="Arial"/>
          <w:i/>
          <w:iCs/>
          <w:sz w:val="22"/>
          <w:szCs w:val="22"/>
          <w:shd w:val="clear" w:color="auto" w:fill="FFFFFF"/>
        </w:rPr>
        <w:t xml:space="preserve">The Essential Handbook of Social Anxiety for Clinicians </w:t>
      </w:r>
      <w:r w:rsidRPr="005D264F">
        <w:rPr>
          <w:rFonts w:ascii="Arial" w:hAnsi="Arial" w:cs="Arial"/>
          <w:sz w:val="22"/>
          <w:szCs w:val="22"/>
          <w:shd w:val="clear" w:color="auto" w:fill="FFFFFF"/>
        </w:rPr>
        <w:t xml:space="preserve">Chichester : John Wiley &amp; Sons . </w:t>
      </w:r>
    </w:p>
    <w:p w14:paraId="0D2932AC"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0089A264"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Clark, D.M. (2011). Implementing NICE guidelines for the psychological treatment of depression and anxiety disorders: the IAPT experience. </w:t>
      </w:r>
      <w:r w:rsidRPr="008963DB">
        <w:rPr>
          <w:rFonts w:ascii="Arial" w:hAnsi="Arial" w:cs="Arial"/>
          <w:i/>
          <w:iCs/>
          <w:sz w:val="22"/>
          <w:szCs w:val="22"/>
        </w:rPr>
        <w:t>International Review of Psychiatry</w:t>
      </w:r>
      <w:r>
        <w:rPr>
          <w:rFonts w:ascii="Arial" w:hAnsi="Arial" w:cs="Arial"/>
          <w:sz w:val="22"/>
          <w:szCs w:val="22"/>
        </w:rPr>
        <w:t>, 23, 318-327.</w:t>
      </w:r>
    </w:p>
    <w:p w14:paraId="3B2788C1"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76B63751" w14:textId="77777777" w:rsidR="00DF57D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t xml:space="preserve">Clark, D. </w:t>
      </w:r>
      <w:r>
        <w:rPr>
          <w:rFonts w:ascii="Arial" w:hAnsi="Arial" w:cs="Arial"/>
          <w:sz w:val="22"/>
          <w:szCs w:val="22"/>
        </w:rPr>
        <w:t xml:space="preserve">M. </w:t>
      </w:r>
      <w:r w:rsidRPr="005D264F">
        <w:rPr>
          <w:rFonts w:ascii="Arial" w:hAnsi="Arial" w:cs="Arial"/>
          <w:sz w:val="22"/>
          <w:szCs w:val="22"/>
        </w:rPr>
        <w:t>(2012)</w:t>
      </w:r>
      <w:r>
        <w:rPr>
          <w:rFonts w:ascii="Arial" w:hAnsi="Arial" w:cs="Arial"/>
          <w:sz w:val="22"/>
          <w:szCs w:val="22"/>
        </w:rPr>
        <w:t>.</w:t>
      </w:r>
      <w:r w:rsidRPr="005D264F">
        <w:rPr>
          <w:rFonts w:ascii="Arial" w:hAnsi="Arial" w:cs="Arial"/>
          <w:sz w:val="22"/>
          <w:szCs w:val="22"/>
        </w:rPr>
        <w:t xml:space="preserve"> The English Improving Access to Psychological Therapies (IAPT) Prog</w:t>
      </w:r>
      <w:r>
        <w:rPr>
          <w:rFonts w:ascii="Arial" w:hAnsi="Arial" w:cs="Arial"/>
          <w:sz w:val="22"/>
          <w:szCs w:val="22"/>
        </w:rPr>
        <w:t>r</w:t>
      </w:r>
      <w:r w:rsidRPr="005D264F">
        <w:rPr>
          <w:rFonts w:ascii="Arial" w:hAnsi="Arial" w:cs="Arial"/>
          <w:sz w:val="22"/>
          <w:szCs w:val="22"/>
        </w:rPr>
        <w:t xml:space="preserve">amme: History and Progress, in McHugh, K.R. and Barlow, D.H (Eds) </w:t>
      </w:r>
      <w:r w:rsidRPr="005D264F">
        <w:rPr>
          <w:rFonts w:ascii="Arial" w:hAnsi="Arial" w:cs="Arial"/>
          <w:i/>
          <w:sz w:val="22"/>
          <w:szCs w:val="22"/>
        </w:rPr>
        <w:t>Dissemination and Implementation of Evidenced-Based Psychological Interventions</w:t>
      </w:r>
      <w:r w:rsidRPr="005D264F">
        <w:rPr>
          <w:rFonts w:ascii="Arial" w:hAnsi="Arial" w:cs="Arial"/>
          <w:sz w:val="22"/>
          <w:szCs w:val="22"/>
        </w:rPr>
        <w:t>, Sage, London.</w:t>
      </w:r>
    </w:p>
    <w:p w14:paraId="4775169C"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71F145FF"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Clark, D.M. (2018). Realising the mass oublic benefit of evidence-based psychological therapies: The IAPT Program. </w:t>
      </w:r>
      <w:r w:rsidRPr="005656C2">
        <w:rPr>
          <w:rFonts w:ascii="Arial" w:hAnsi="Arial" w:cs="Arial"/>
          <w:i/>
          <w:iCs/>
          <w:sz w:val="22"/>
          <w:szCs w:val="22"/>
        </w:rPr>
        <w:t>Annual Review of Clinical Psychology</w:t>
      </w:r>
      <w:r>
        <w:rPr>
          <w:rFonts w:ascii="Arial" w:hAnsi="Arial" w:cs="Arial"/>
          <w:sz w:val="22"/>
          <w:szCs w:val="22"/>
        </w:rPr>
        <w:t>, 7, 159-183.</w:t>
      </w:r>
    </w:p>
    <w:p w14:paraId="501733FB"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25321733"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Clark, D.M., Canvin, L., Green, J., Layard, R., Pilling, S., and Janecka, M. (2018). Transparency about the outcomes of mental health services (IAPT approach): an analysis of public data. </w:t>
      </w:r>
      <w:r w:rsidRPr="008963DB">
        <w:rPr>
          <w:rFonts w:ascii="Arial" w:hAnsi="Arial" w:cs="Arial"/>
          <w:i/>
          <w:iCs/>
          <w:sz w:val="22"/>
          <w:szCs w:val="22"/>
        </w:rPr>
        <w:t>The Lancet</w:t>
      </w:r>
      <w:r>
        <w:rPr>
          <w:rFonts w:ascii="Arial" w:hAnsi="Arial" w:cs="Arial"/>
          <w:sz w:val="22"/>
          <w:szCs w:val="22"/>
        </w:rPr>
        <w:t>, 391, 679-686.</w:t>
      </w:r>
    </w:p>
    <w:p w14:paraId="0DB0D267"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538468D9"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t xml:space="preserve">Clark, D., Field, S. &amp; Layard, R. (2012), Mental health loses out in the National Health Service, </w:t>
      </w:r>
      <w:r w:rsidRPr="005D264F">
        <w:rPr>
          <w:rFonts w:ascii="Arial" w:hAnsi="Arial" w:cs="Arial"/>
          <w:i/>
          <w:iCs/>
          <w:sz w:val="22"/>
          <w:szCs w:val="22"/>
        </w:rPr>
        <w:t xml:space="preserve">The Lancet, </w:t>
      </w:r>
      <w:r w:rsidRPr="005D264F">
        <w:rPr>
          <w:rFonts w:ascii="Arial" w:hAnsi="Arial" w:cs="Arial"/>
          <w:sz w:val="22"/>
          <w:szCs w:val="22"/>
        </w:rPr>
        <w:t>vol. 379, no. 9834, pp. 2315-2316.</w:t>
      </w:r>
    </w:p>
    <w:p w14:paraId="19B725D9"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2233C795"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t>Clark, D., Layard, R., Smithies, R., Richards, D.A., Suckling, R. and Wright, B. (2009) Improving access to psychological therapy: Initial evaluation of two UK demonstration sites, Behaviour Research and Therapy, 47 (4), 910-920.</w:t>
      </w:r>
    </w:p>
    <w:p w14:paraId="377C5920"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3873EABB"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lastRenderedPageBreak/>
        <w:t xml:space="preserve">Clark, D. and Wells, A. (1995) A cognitive model of social phobia in Heimberg, R., Liebowitz, M., Hope, D.A. and Schneier, F.R. (eds), </w:t>
      </w:r>
      <w:r w:rsidRPr="005D264F">
        <w:rPr>
          <w:rFonts w:ascii="Arial" w:hAnsi="Arial" w:cs="Arial"/>
          <w:i/>
          <w:sz w:val="22"/>
          <w:szCs w:val="22"/>
        </w:rPr>
        <w:t>Social Phobia: diagnosis, assessment and treatment,</w:t>
      </w:r>
      <w:r w:rsidRPr="005D264F">
        <w:rPr>
          <w:rFonts w:ascii="Arial" w:hAnsi="Arial" w:cs="Arial"/>
          <w:sz w:val="22"/>
          <w:szCs w:val="22"/>
        </w:rPr>
        <w:t xml:space="preserve"> Guildford Press, New York.</w:t>
      </w:r>
    </w:p>
    <w:p w14:paraId="5200D40F"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04D43246" w14:textId="77777777" w:rsidR="00DF57D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t xml:space="preserve">Coghlan, D. (2007) Insider action research doctorates: Generating actionable knowledge, </w:t>
      </w:r>
      <w:r w:rsidRPr="005D264F">
        <w:rPr>
          <w:rFonts w:ascii="Arial" w:hAnsi="Arial" w:cs="Arial"/>
          <w:i/>
          <w:sz w:val="22"/>
          <w:szCs w:val="22"/>
        </w:rPr>
        <w:t>Higher Education</w:t>
      </w:r>
      <w:r w:rsidRPr="005D264F">
        <w:rPr>
          <w:rFonts w:ascii="Arial" w:hAnsi="Arial" w:cs="Arial"/>
          <w:sz w:val="22"/>
          <w:szCs w:val="22"/>
        </w:rPr>
        <w:t>, 54 (3), 293-306.</w:t>
      </w:r>
    </w:p>
    <w:p w14:paraId="5B994D58"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Coghlan, D., and Brannick, T. (2005). </w:t>
      </w:r>
      <w:r w:rsidRPr="001C4AC8">
        <w:rPr>
          <w:rFonts w:ascii="Arial" w:hAnsi="Arial" w:cs="Arial"/>
          <w:i/>
          <w:iCs/>
          <w:sz w:val="22"/>
          <w:szCs w:val="22"/>
        </w:rPr>
        <w:t>Doing Action Research in Your Own Organisation</w:t>
      </w:r>
      <w:r>
        <w:rPr>
          <w:rFonts w:ascii="Arial" w:hAnsi="Arial" w:cs="Arial"/>
          <w:sz w:val="22"/>
          <w:szCs w:val="22"/>
        </w:rPr>
        <w:t>. Thousand Oaks, California, Sage Publications.</w:t>
      </w:r>
    </w:p>
    <w:p w14:paraId="2338FF5D"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5CA956D2"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t>Coldwell, C.M. and Bender, W.S. (2007)</w:t>
      </w:r>
      <w:r>
        <w:rPr>
          <w:rFonts w:ascii="Arial" w:hAnsi="Arial" w:cs="Arial"/>
          <w:sz w:val="22"/>
          <w:szCs w:val="22"/>
        </w:rPr>
        <w:t>.</w:t>
      </w:r>
      <w:r w:rsidRPr="005D264F">
        <w:rPr>
          <w:rFonts w:ascii="Arial" w:hAnsi="Arial" w:cs="Arial"/>
          <w:sz w:val="22"/>
          <w:szCs w:val="22"/>
        </w:rPr>
        <w:t xml:space="preserve"> The effectiveness of assertive community treatment for homeless populations with severe mental illness: A meta-analysis, </w:t>
      </w:r>
      <w:r w:rsidRPr="005D264F">
        <w:rPr>
          <w:rFonts w:ascii="Arial" w:hAnsi="Arial" w:cs="Arial"/>
          <w:i/>
          <w:sz w:val="22"/>
          <w:szCs w:val="22"/>
        </w:rPr>
        <w:t>American Journal of Psychiatry</w:t>
      </w:r>
      <w:r w:rsidRPr="005D264F">
        <w:rPr>
          <w:rFonts w:ascii="Arial" w:hAnsi="Arial" w:cs="Arial"/>
          <w:sz w:val="22"/>
          <w:szCs w:val="22"/>
        </w:rPr>
        <w:t>, 164</w:t>
      </w:r>
      <w:r>
        <w:rPr>
          <w:rFonts w:ascii="Arial" w:hAnsi="Arial" w:cs="Arial"/>
          <w:sz w:val="22"/>
          <w:szCs w:val="22"/>
        </w:rPr>
        <w:t>,</w:t>
      </w:r>
      <w:r w:rsidRPr="005D264F">
        <w:rPr>
          <w:rFonts w:ascii="Arial" w:hAnsi="Arial" w:cs="Arial"/>
          <w:sz w:val="22"/>
          <w:szCs w:val="22"/>
        </w:rPr>
        <w:t xml:space="preserve"> 393-394.</w:t>
      </w:r>
    </w:p>
    <w:p w14:paraId="67748D6E"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7D629850"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t xml:space="preserve">Collier, S. &amp; Scally, G. 2015, "Can private providers be trusted to run NHS hospitals after Hinchingbrooke?", </w:t>
      </w:r>
      <w:r w:rsidRPr="005D264F">
        <w:rPr>
          <w:rFonts w:ascii="Arial" w:hAnsi="Arial" w:cs="Arial"/>
          <w:i/>
          <w:iCs/>
          <w:sz w:val="22"/>
          <w:szCs w:val="22"/>
        </w:rPr>
        <w:t xml:space="preserve">BMJ (Clinical research ed.), </w:t>
      </w:r>
      <w:r w:rsidRPr="005D264F">
        <w:rPr>
          <w:rFonts w:ascii="Arial" w:hAnsi="Arial" w:cs="Arial"/>
          <w:sz w:val="22"/>
          <w:szCs w:val="22"/>
        </w:rPr>
        <w:t>vol. 350, pp. 289.</w:t>
      </w:r>
    </w:p>
    <w:p w14:paraId="4A7A2FB8"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4C858D05" w14:textId="77777777" w:rsidR="00DF57DF" w:rsidRDefault="00DF57DF" w:rsidP="00DF57DF">
      <w:pPr>
        <w:pStyle w:val="NormalWeb"/>
        <w:spacing w:before="0" w:beforeAutospacing="0" w:after="0" w:afterAutospacing="0" w:line="480" w:lineRule="auto"/>
        <w:rPr>
          <w:rFonts w:ascii="Arial" w:hAnsi="Arial" w:cs="Arial"/>
          <w:color w:val="000000"/>
          <w:sz w:val="22"/>
          <w:szCs w:val="22"/>
        </w:rPr>
      </w:pPr>
      <w:r w:rsidRPr="005D264F">
        <w:rPr>
          <w:rFonts w:ascii="Arial" w:hAnsi="Arial" w:cs="Arial"/>
          <w:sz w:val="22"/>
          <w:szCs w:val="22"/>
        </w:rPr>
        <w:t xml:space="preserve">Connor, K.M., Davidson, J.R., Churchil, L.E., Sherwood, A., Foa, E. and Weisler, R.H. (2000) </w:t>
      </w:r>
      <w:r w:rsidRPr="005D264F">
        <w:rPr>
          <w:rFonts w:ascii="Arial" w:hAnsi="Arial" w:cs="Arial"/>
          <w:color w:val="000000"/>
          <w:sz w:val="22"/>
          <w:szCs w:val="22"/>
        </w:rPr>
        <w:t xml:space="preserve">Psychometric properties of the Social Phobia Inventory (SPIN). New self-rating scale. </w:t>
      </w:r>
      <w:r w:rsidRPr="005D264F">
        <w:rPr>
          <w:rFonts w:ascii="Arial" w:hAnsi="Arial" w:cs="Arial"/>
          <w:i/>
          <w:color w:val="000000"/>
          <w:sz w:val="22"/>
          <w:szCs w:val="22"/>
        </w:rPr>
        <w:t>British Journal of Psychiatry</w:t>
      </w:r>
      <w:r w:rsidRPr="005D264F">
        <w:rPr>
          <w:rFonts w:ascii="Arial" w:hAnsi="Arial" w:cs="Arial"/>
          <w:color w:val="000000"/>
          <w:sz w:val="22"/>
          <w:szCs w:val="22"/>
        </w:rPr>
        <w:t>, 176: 379-386</w:t>
      </w:r>
    </w:p>
    <w:p w14:paraId="3A7FD73A" w14:textId="77777777" w:rsidR="00DF57DF" w:rsidRDefault="00DF57DF" w:rsidP="00DF57DF">
      <w:pPr>
        <w:pStyle w:val="NormalWeb"/>
        <w:spacing w:before="0" w:beforeAutospacing="0" w:after="0" w:afterAutospacing="0" w:line="480" w:lineRule="auto"/>
        <w:rPr>
          <w:rFonts w:ascii="Arial" w:hAnsi="Arial" w:cs="Arial"/>
          <w:color w:val="000000"/>
          <w:sz w:val="22"/>
          <w:szCs w:val="22"/>
        </w:rPr>
      </w:pPr>
    </w:p>
    <w:p w14:paraId="5570A0D0" w14:textId="77777777" w:rsidR="00DF57DF" w:rsidRPr="005D264F" w:rsidRDefault="00DF57DF" w:rsidP="00DF57DF">
      <w:pPr>
        <w:pStyle w:val="NormalWeb"/>
        <w:spacing w:before="0" w:beforeAutospacing="0" w:after="0" w:afterAutospacing="0" w:line="480" w:lineRule="auto"/>
        <w:rPr>
          <w:rFonts w:ascii="Arial" w:hAnsi="Arial" w:cs="Arial"/>
          <w:color w:val="000000"/>
          <w:sz w:val="22"/>
          <w:szCs w:val="22"/>
        </w:rPr>
      </w:pPr>
      <w:r w:rsidRPr="001F5176">
        <w:rPr>
          <w:rFonts w:ascii="Arial" w:hAnsi="Arial" w:cs="Arial"/>
          <w:color w:val="000000"/>
          <w:sz w:val="22"/>
          <w:szCs w:val="22"/>
        </w:rPr>
        <w:t xml:space="preserve">Conway, J.B. (1988) Differences among clinical psychologists: Scientists, practitioners, and scientist-practitioners. Professional Psychology: </w:t>
      </w:r>
      <w:r w:rsidRPr="001F5176">
        <w:rPr>
          <w:rFonts w:ascii="Arial" w:hAnsi="Arial" w:cs="Arial"/>
          <w:i/>
          <w:iCs/>
          <w:color w:val="000000"/>
          <w:sz w:val="22"/>
          <w:szCs w:val="22"/>
        </w:rPr>
        <w:t>Research and Practice</w:t>
      </w:r>
      <w:r w:rsidRPr="001F5176">
        <w:rPr>
          <w:rFonts w:ascii="Arial" w:hAnsi="Arial" w:cs="Arial"/>
          <w:color w:val="000000"/>
          <w:sz w:val="22"/>
          <w:szCs w:val="22"/>
        </w:rPr>
        <w:t>, 19, (642-655).</w:t>
      </w:r>
    </w:p>
    <w:p w14:paraId="5CD6361C"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20E6B541"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Cook, S.D., and Brown, J.S., (1999). Bridging epistemologies: The generative dance between organisational knowledge and organisational knowing. </w:t>
      </w:r>
      <w:r w:rsidRPr="00202D19">
        <w:rPr>
          <w:rFonts w:ascii="Arial" w:hAnsi="Arial" w:cs="Arial"/>
          <w:i/>
          <w:iCs/>
          <w:sz w:val="22"/>
          <w:szCs w:val="22"/>
        </w:rPr>
        <w:t>Organization Science</w:t>
      </w:r>
      <w:r>
        <w:rPr>
          <w:rFonts w:ascii="Arial" w:hAnsi="Arial" w:cs="Arial"/>
          <w:sz w:val="22"/>
          <w:szCs w:val="22"/>
        </w:rPr>
        <w:t>, 10, 381-400,</w:t>
      </w:r>
    </w:p>
    <w:p w14:paraId="4DC4335D"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7AF34BD3" w14:textId="77777777" w:rsidR="00DF57D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lastRenderedPageBreak/>
        <w:t>Cooke, J., Ariss, S., Smith, C.</w:t>
      </w:r>
      <w:r>
        <w:rPr>
          <w:rFonts w:ascii="Arial" w:hAnsi="Arial" w:cs="Arial"/>
          <w:sz w:val="22"/>
          <w:szCs w:val="22"/>
        </w:rPr>
        <w:t>,</w:t>
      </w:r>
      <w:r w:rsidRPr="005D264F">
        <w:rPr>
          <w:rFonts w:ascii="Arial" w:hAnsi="Arial" w:cs="Arial"/>
          <w:sz w:val="22"/>
          <w:szCs w:val="22"/>
        </w:rPr>
        <w:t xml:space="preserve"> </w:t>
      </w:r>
      <w:r>
        <w:rPr>
          <w:rFonts w:ascii="Arial" w:hAnsi="Arial" w:cs="Arial"/>
          <w:sz w:val="22"/>
          <w:szCs w:val="22"/>
        </w:rPr>
        <w:t>and</w:t>
      </w:r>
      <w:r w:rsidRPr="005D264F">
        <w:rPr>
          <w:rFonts w:ascii="Arial" w:hAnsi="Arial" w:cs="Arial"/>
          <w:sz w:val="22"/>
          <w:szCs w:val="22"/>
        </w:rPr>
        <w:t xml:space="preserve"> Read, J. </w:t>
      </w:r>
      <w:r>
        <w:rPr>
          <w:rFonts w:ascii="Arial" w:hAnsi="Arial" w:cs="Arial"/>
          <w:sz w:val="22"/>
          <w:szCs w:val="22"/>
        </w:rPr>
        <w:t>(</w:t>
      </w:r>
      <w:r w:rsidRPr="005D264F">
        <w:rPr>
          <w:rFonts w:ascii="Arial" w:hAnsi="Arial" w:cs="Arial"/>
          <w:sz w:val="22"/>
          <w:szCs w:val="22"/>
        </w:rPr>
        <w:t>2015</w:t>
      </w:r>
      <w:r>
        <w:rPr>
          <w:rFonts w:ascii="Arial" w:hAnsi="Arial" w:cs="Arial"/>
          <w:sz w:val="22"/>
          <w:szCs w:val="22"/>
        </w:rPr>
        <w:t>).</w:t>
      </w:r>
      <w:r w:rsidRPr="005D264F">
        <w:rPr>
          <w:rFonts w:ascii="Arial" w:hAnsi="Arial" w:cs="Arial"/>
          <w:sz w:val="22"/>
          <w:szCs w:val="22"/>
        </w:rPr>
        <w:t xml:space="preserve"> On-going collaborative priority-setting for research activity: a method of capacity building to reduce the research-practice translational gap.  </w:t>
      </w:r>
      <w:r w:rsidRPr="005D264F">
        <w:rPr>
          <w:rFonts w:ascii="Arial" w:hAnsi="Arial" w:cs="Arial"/>
          <w:i/>
          <w:iCs/>
          <w:sz w:val="22"/>
          <w:szCs w:val="22"/>
        </w:rPr>
        <w:t>Health Research Policy and Systems</w:t>
      </w:r>
      <w:r>
        <w:rPr>
          <w:rFonts w:ascii="Arial" w:hAnsi="Arial" w:cs="Arial"/>
          <w:i/>
          <w:iCs/>
          <w:sz w:val="22"/>
          <w:szCs w:val="22"/>
        </w:rPr>
        <w:t xml:space="preserve">. </w:t>
      </w:r>
      <w:r w:rsidRPr="005C2627">
        <w:rPr>
          <w:rFonts w:ascii="Arial" w:hAnsi="Arial" w:cs="Arial"/>
          <w:sz w:val="22"/>
          <w:szCs w:val="22"/>
        </w:rPr>
        <w:t>Available online at https://health-policy-systems.biomedcentral.com/articles/10.1186/s12961-015-0014-y</w:t>
      </w:r>
    </w:p>
    <w:p w14:paraId="62B0E412"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Accessed 26</w:t>
      </w:r>
      <w:r w:rsidRPr="005C2627">
        <w:rPr>
          <w:rFonts w:ascii="Arial" w:hAnsi="Arial" w:cs="Arial"/>
          <w:sz w:val="22"/>
          <w:szCs w:val="22"/>
          <w:vertAlign w:val="superscript"/>
        </w:rPr>
        <w:t>th</w:t>
      </w:r>
      <w:r>
        <w:rPr>
          <w:rFonts w:ascii="Arial" w:hAnsi="Arial" w:cs="Arial"/>
          <w:sz w:val="22"/>
          <w:szCs w:val="22"/>
        </w:rPr>
        <w:t xml:space="preserve"> October 2019.</w:t>
      </w:r>
    </w:p>
    <w:p w14:paraId="372A81A6" w14:textId="77777777" w:rsidR="00DF57DF" w:rsidRPr="005C2627" w:rsidRDefault="00DF57DF" w:rsidP="00DF57DF">
      <w:pPr>
        <w:pStyle w:val="NormalWeb"/>
        <w:spacing w:before="0" w:beforeAutospacing="0" w:after="0" w:afterAutospacing="0" w:line="480" w:lineRule="auto"/>
        <w:rPr>
          <w:rFonts w:ascii="Arial" w:hAnsi="Arial" w:cs="Arial"/>
          <w:sz w:val="22"/>
          <w:szCs w:val="22"/>
        </w:rPr>
      </w:pPr>
    </w:p>
    <w:p w14:paraId="74BC817D" w14:textId="77777777" w:rsidR="00DF57D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t>Costley, C., Elliott, G.</w:t>
      </w:r>
      <w:r>
        <w:rPr>
          <w:rFonts w:ascii="Arial" w:hAnsi="Arial" w:cs="Arial"/>
          <w:sz w:val="22"/>
          <w:szCs w:val="22"/>
        </w:rPr>
        <w:t>,</w:t>
      </w:r>
      <w:r w:rsidRPr="005D264F">
        <w:rPr>
          <w:rFonts w:ascii="Arial" w:hAnsi="Arial" w:cs="Arial"/>
          <w:sz w:val="22"/>
          <w:szCs w:val="22"/>
        </w:rPr>
        <w:t xml:space="preserve"> and Gibbs, P. (2013)</w:t>
      </w:r>
      <w:r>
        <w:rPr>
          <w:rFonts w:ascii="Arial" w:hAnsi="Arial" w:cs="Arial"/>
          <w:sz w:val="22"/>
          <w:szCs w:val="22"/>
        </w:rPr>
        <w:t>.</w:t>
      </w:r>
      <w:r w:rsidRPr="005D264F">
        <w:rPr>
          <w:rFonts w:ascii="Arial" w:hAnsi="Arial" w:cs="Arial"/>
          <w:sz w:val="22"/>
          <w:szCs w:val="22"/>
        </w:rPr>
        <w:t xml:space="preserve"> </w:t>
      </w:r>
      <w:r w:rsidRPr="005D264F">
        <w:rPr>
          <w:rFonts w:ascii="Arial" w:hAnsi="Arial" w:cs="Arial"/>
          <w:i/>
          <w:sz w:val="22"/>
          <w:szCs w:val="22"/>
        </w:rPr>
        <w:t>Doing Work Based Research: Approaches to Enquiry for Insider-Researchers</w:t>
      </w:r>
      <w:r w:rsidRPr="005D264F">
        <w:rPr>
          <w:rFonts w:ascii="Arial" w:hAnsi="Arial" w:cs="Arial"/>
          <w:sz w:val="22"/>
          <w:szCs w:val="22"/>
        </w:rPr>
        <w:t>, Sage, London.</w:t>
      </w:r>
    </w:p>
    <w:p w14:paraId="7EC07D7C"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399AFF99"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Cowdrey, N.D., and Waller, G. (2015). Are we really delivering evidence-based treatments for eating disorders? How eating-disordered patients describe their experience of cognitive behavioral therapy. </w:t>
      </w:r>
      <w:r w:rsidRPr="00752E88">
        <w:rPr>
          <w:rFonts w:ascii="Arial" w:hAnsi="Arial" w:cs="Arial"/>
          <w:i/>
          <w:iCs/>
          <w:sz w:val="22"/>
          <w:szCs w:val="22"/>
        </w:rPr>
        <w:t>Behaviour Research and Therapy</w:t>
      </w:r>
      <w:r>
        <w:rPr>
          <w:rFonts w:ascii="Arial" w:hAnsi="Arial" w:cs="Arial"/>
          <w:sz w:val="22"/>
          <w:szCs w:val="22"/>
        </w:rPr>
        <w:t>, 75, 72-77.</w:t>
      </w:r>
    </w:p>
    <w:p w14:paraId="0A4C6CAC"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30F1BF07" w14:textId="77777777" w:rsidR="00DF57DF" w:rsidRDefault="00DF57DF" w:rsidP="00DF57DF">
      <w:pPr>
        <w:spacing w:line="480" w:lineRule="auto"/>
        <w:rPr>
          <w:rFonts w:ascii="Arial" w:hAnsi="Arial" w:cs="Arial"/>
          <w:sz w:val="22"/>
          <w:szCs w:val="22"/>
          <w:shd w:val="clear" w:color="auto" w:fill="FFFFFF"/>
        </w:rPr>
      </w:pPr>
      <w:r w:rsidRPr="005D264F">
        <w:rPr>
          <w:rFonts w:ascii="Arial" w:hAnsi="Arial" w:cs="Arial"/>
          <w:sz w:val="22"/>
          <w:szCs w:val="22"/>
          <w:shd w:val="clear" w:color="auto" w:fill="FFFFFF"/>
        </w:rPr>
        <w:t>Craske, M.G.</w:t>
      </w:r>
      <w:r>
        <w:rPr>
          <w:rFonts w:ascii="Arial" w:hAnsi="Arial" w:cs="Arial"/>
          <w:sz w:val="22"/>
          <w:szCs w:val="22"/>
          <w:shd w:val="clear" w:color="auto" w:fill="FFFFFF"/>
        </w:rPr>
        <w:t>,</w:t>
      </w:r>
      <w:r w:rsidRPr="005D264F">
        <w:rPr>
          <w:rFonts w:ascii="Arial" w:hAnsi="Arial" w:cs="Arial"/>
          <w:sz w:val="22"/>
          <w:szCs w:val="22"/>
          <w:shd w:val="clear" w:color="auto" w:fill="FFFFFF"/>
        </w:rPr>
        <w:t xml:space="preserve"> and Barlow, D.H. (2007)</w:t>
      </w:r>
      <w:r>
        <w:rPr>
          <w:rFonts w:ascii="Arial" w:hAnsi="Arial" w:cs="Arial"/>
          <w:sz w:val="22"/>
          <w:szCs w:val="22"/>
          <w:shd w:val="clear" w:color="auto" w:fill="FFFFFF"/>
        </w:rPr>
        <w:t>.</w:t>
      </w:r>
      <w:r w:rsidRPr="005D264F">
        <w:rPr>
          <w:rFonts w:ascii="Arial" w:hAnsi="Arial" w:cs="Arial"/>
          <w:sz w:val="22"/>
          <w:szCs w:val="22"/>
          <w:shd w:val="clear" w:color="auto" w:fill="FFFFFF"/>
        </w:rPr>
        <w:t xml:space="preserve"> </w:t>
      </w:r>
      <w:r w:rsidRPr="005D264F">
        <w:rPr>
          <w:rFonts w:ascii="Arial" w:hAnsi="Arial" w:cs="Arial"/>
          <w:i/>
          <w:iCs/>
          <w:sz w:val="22"/>
          <w:szCs w:val="22"/>
          <w:shd w:val="clear" w:color="auto" w:fill="FFFFFF"/>
        </w:rPr>
        <w:t xml:space="preserve">Mastery of your anxiety and panic (Therapist guide) </w:t>
      </w:r>
      <w:r w:rsidRPr="005D264F">
        <w:rPr>
          <w:rFonts w:ascii="Arial" w:hAnsi="Arial" w:cs="Arial"/>
          <w:sz w:val="22"/>
          <w:szCs w:val="22"/>
          <w:shd w:val="clear" w:color="auto" w:fill="FFFFFF"/>
        </w:rPr>
        <w:t xml:space="preserve">4th edition) Oxford: Oxford University Press </w:t>
      </w:r>
    </w:p>
    <w:p w14:paraId="453A4064" w14:textId="77777777" w:rsidR="00DF57DF" w:rsidRDefault="00DF57DF" w:rsidP="00DF57DF">
      <w:pPr>
        <w:spacing w:line="480" w:lineRule="auto"/>
        <w:rPr>
          <w:rFonts w:ascii="Arial" w:hAnsi="Arial" w:cs="Arial"/>
          <w:sz w:val="22"/>
          <w:szCs w:val="22"/>
          <w:shd w:val="clear" w:color="auto" w:fill="FFFFFF"/>
        </w:rPr>
      </w:pPr>
    </w:p>
    <w:p w14:paraId="66C515CA"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Crits-Christoph, P., Baranackie, K., Kurcias, J., Beck, A., Carroll, K., Perry, K., Luborsky, L., McLellan, A., Woody, G., Thompson, L., Gallager, D., and Zitrin, C. (1991). Meta-analysis of therapist effects in psychotherapy outcome studies. </w:t>
      </w:r>
      <w:r w:rsidRPr="001510BD">
        <w:rPr>
          <w:rFonts w:ascii="Arial" w:hAnsi="Arial" w:cs="Arial"/>
          <w:i/>
          <w:iCs/>
          <w:sz w:val="22"/>
          <w:szCs w:val="22"/>
        </w:rPr>
        <w:t>Psychotherapy Research,</w:t>
      </w:r>
      <w:r>
        <w:rPr>
          <w:rFonts w:ascii="Arial" w:hAnsi="Arial" w:cs="Arial"/>
          <w:sz w:val="22"/>
          <w:szCs w:val="22"/>
        </w:rPr>
        <w:t xml:space="preserve"> 1, 81-91.</w:t>
      </w:r>
    </w:p>
    <w:p w14:paraId="31E1E1F1" w14:textId="77777777" w:rsidR="00DF57DF" w:rsidRPr="005D264F" w:rsidRDefault="00DF57DF" w:rsidP="00DF57DF">
      <w:pPr>
        <w:spacing w:line="480" w:lineRule="auto"/>
        <w:rPr>
          <w:rFonts w:ascii="Arial" w:hAnsi="Arial" w:cs="Arial"/>
          <w:sz w:val="22"/>
          <w:szCs w:val="22"/>
        </w:rPr>
      </w:pPr>
    </w:p>
    <w:p w14:paraId="41A5A22F"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Cuijpers, P., Donker, T., van Straten, A., and Andersson, G. (2010). Is guided self-help as effectiive as face-to-face psychotherapy for depression and anxiety disorders? A meta-analysis of comparative outcome studies. </w:t>
      </w:r>
      <w:r w:rsidRPr="00055E1A">
        <w:rPr>
          <w:rFonts w:ascii="Arial" w:hAnsi="Arial" w:cs="Arial"/>
          <w:i/>
          <w:iCs/>
          <w:sz w:val="22"/>
          <w:szCs w:val="22"/>
        </w:rPr>
        <w:t>Psychological Medicine,</w:t>
      </w:r>
      <w:r>
        <w:rPr>
          <w:rFonts w:ascii="Arial" w:hAnsi="Arial" w:cs="Arial"/>
          <w:sz w:val="22"/>
          <w:szCs w:val="22"/>
        </w:rPr>
        <w:t xml:space="preserve"> 40, 1943-1957.</w:t>
      </w:r>
    </w:p>
    <w:p w14:paraId="0A4BB16E"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14E27FF6"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Cuijpers, P., Marks, I.M., van Straten, A., Cavanagh, K., Gega, L., and Andersson, G. (2009). Computer-aided psychotherapy for anxiety disorders: A meta-analytic review. </w:t>
      </w:r>
      <w:r w:rsidRPr="0036581C">
        <w:rPr>
          <w:rFonts w:ascii="Arial" w:hAnsi="Arial" w:cs="Arial"/>
          <w:i/>
          <w:iCs/>
          <w:sz w:val="22"/>
          <w:szCs w:val="22"/>
        </w:rPr>
        <w:t>Cognitive Behaviour Therapy</w:t>
      </w:r>
      <w:r>
        <w:rPr>
          <w:rFonts w:ascii="Arial" w:hAnsi="Arial" w:cs="Arial"/>
          <w:sz w:val="22"/>
          <w:szCs w:val="22"/>
        </w:rPr>
        <w:t>. 38, 66-82.</w:t>
      </w:r>
    </w:p>
    <w:p w14:paraId="5053C048"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380461AC"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lastRenderedPageBreak/>
        <w:t xml:space="preserve">Cuijpers, P., Weitz, E., Twisk, J., Kuehner, C., Cristea, I., David, D, DeRubeis, R.J., Dimidjian, S., Dunlop, B.W., Faramarzi, M., Heferl, U., Jarrett, R.B., Kennedy, S.H., Kheirkhah, F.,  Mergl, R., Miranda, J., Mohr, D.C., Segal, Z.V., Siddique, J., Simons, A.D., Vittengl, J.R., and Hollon, S.D. (2014). gender as predictor and moderator of outcome in cognitive behavior therapy and pharmacotherapy for adult depression: An individual patient data meta-analysis. </w:t>
      </w:r>
      <w:r w:rsidRPr="00165C7E">
        <w:rPr>
          <w:rFonts w:ascii="Arial" w:hAnsi="Arial" w:cs="Arial"/>
          <w:i/>
          <w:iCs/>
          <w:sz w:val="22"/>
          <w:szCs w:val="22"/>
        </w:rPr>
        <w:t>Depression and Anxiety</w:t>
      </w:r>
      <w:r>
        <w:rPr>
          <w:rFonts w:ascii="Arial" w:hAnsi="Arial" w:cs="Arial"/>
          <w:sz w:val="22"/>
          <w:szCs w:val="22"/>
        </w:rPr>
        <w:t>. 31, 941-951.</w:t>
      </w:r>
    </w:p>
    <w:p w14:paraId="1B23E352"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4AD4807A"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Data.gov.uk. (2016). </w:t>
      </w:r>
      <w:r w:rsidRPr="00312695">
        <w:rPr>
          <w:rFonts w:ascii="Arial" w:hAnsi="Arial" w:cs="Arial"/>
          <w:i/>
          <w:iCs/>
          <w:sz w:val="22"/>
          <w:szCs w:val="22"/>
        </w:rPr>
        <w:t>National Audit of Psychological Therapies</w:t>
      </w:r>
      <w:r>
        <w:rPr>
          <w:rFonts w:ascii="Arial" w:hAnsi="Arial" w:cs="Arial"/>
          <w:sz w:val="22"/>
          <w:szCs w:val="22"/>
        </w:rPr>
        <w:t xml:space="preserve">. Available online at </w:t>
      </w:r>
      <w:r w:rsidRPr="00312695">
        <w:rPr>
          <w:rFonts w:ascii="Arial" w:hAnsi="Arial" w:cs="Arial"/>
          <w:sz w:val="22"/>
          <w:szCs w:val="22"/>
        </w:rPr>
        <w:t>https://data.gov.uk/dataset/c1015196-b320-4212-b4da-36e63fb9eb9b/national-audit-of-psychological-therapies-napt</w:t>
      </w:r>
    </w:p>
    <w:p w14:paraId="5551B14B"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Accessed 29</w:t>
      </w:r>
      <w:r w:rsidRPr="00312695">
        <w:rPr>
          <w:rFonts w:ascii="Arial" w:hAnsi="Arial" w:cs="Arial"/>
          <w:sz w:val="22"/>
          <w:szCs w:val="22"/>
          <w:vertAlign w:val="superscript"/>
        </w:rPr>
        <w:t>th</w:t>
      </w:r>
      <w:r>
        <w:rPr>
          <w:rFonts w:ascii="Arial" w:hAnsi="Arial" w:cs="Arial"/>
          <w:sz w:val="22"/>
          <w:szCs w:val="22"/>
        </w:rPr>
        <w:t xml:space="preserve"> September 2019.</w:t>
      </w:r>
    </w:p>
    <w:p w14:paraId="3A0B7671"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64CBB1FA" w14:textId="77777777" w:rsidR="00DF57D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t>Davies, S.C. ( 2013)</w:t>
      </w:r>
      <w:r>
        <w:rPr>
          <w:rFonts w:ascii="Arial" w:hAnsi="Arial" w:cs="Arial"/>
          <w:sz w:val="22"/>
          <w:szCs w:val="22"/>
        </w:rPr>
        <w:t>.</w:t>
      </w:r>
      <w:r w:rsidRPr="005D264F">
        <w:rPr>
          <w:rFonts w:ascii="Arial" w:hAnsi="Arial" w:cs="Arial"/>
          <w:sz w:val="22"/>
          <w:szCs w:val="22"/>
        </w:rPr>
        <w:t xml:space="preserve"> </w:t>
      </w:r>
      <w:r w:rsidRPr="005D264F">
        <w:rPr>
          <w:rFonts w:ascii="Arial" w:hAnsi="Arial" w:cs="Arial"/>
          <w:i/>
          <w:sz w:val="22"/>
          <w:szCs w:val="22"/>
        </w:rPr>
        <w:t>Annual Report of the Chief Medical Officer</w:t>
      </w:r>
      <w:r w:rsidRPr="005D264F">
        <w:rPr>
          <w:rFonts w:ascii="Arial" w:hAnsi="Arial" w:cs="Arial"/>
          <w:sz w:val="22"/>
          <w:szCs w:val="22"/>
        </w:rPr>
        <w:t>.  London, Department of Health.</w:t>
      </w:r>
    </w:p>
    <w:p w14:paraId="7577B75B"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0CC221B6"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Davis, K., Grey, N., and Gould, D. (2009). What are scoping studies? A review of the nursing literature. </w:t>
      </w:r>
      <w:r w:rsidRPr="00EA50E9">
        <w:rPr>
          <w:rFonts w:ascii="Arial" w:hAnsi="Arial" w:cs="Arial"/>
          <w:i/>
          <w:iCs/>
          <w:sz w:val="22"/>
          <w:szCs w:val="22"/>
        </w:rPr>
        <w:t>International Journal of Nursing Studies</w:t>
      </w:r>
      <w:r>
        <w:rPr>
          <w:rFonts w:ascii="Arial" w:hAnsi="Arial" w:cs="Arial"/>
          <w:sz w:val="22"/>
          <w:szCs w:val="22"/>
        </w:rPr>
        <w:t>, 46, 1386-1400.</w:t>
      </w:r>
    </w:p>
    <w:p w14:paraId="0E93FC24"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5E3CAD52"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Davis, M.L., Thwaites, R., Freeston, M., and Bennett-Levy, J. (2014). A measurable impact of a self-practice/self-reflection programme on the therapeutic skills of experienced cognitive-behavioural therapists. </w:t>
      </w:r>
      <w:r w:rsidRPr="00AA1013">
        <w:rPr>
          <w:rFonts w:ascii="Arial" w:hAnsi="Arial" w:cs="Arial"/>
          <w:i/>
          <w:iCs/>
          <w:sz w:val="22"/>
          <w:szCs w:val="22"/>
        </w:rPr>
        <w:t>Clinical Psychology and Psychotherapy</w:t>
      </w:r>
      <w:r>
        <w:rPr>
          <w:rFonts w:ascii="Arial" w:hAnsi="Arial" w:cs="Arial"/>
          <w:sz w:val="22"/>
          <w:szCs w:val="22"/>
        </w:rPr>
        <w:t>, 22, 176-184.</w:t>
      </w:r>
    </w:p>
    <w:p w14:paraId="58D1FE20"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0B0EFB94"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Deacon, B.J., Farrell, N.R., Kemp, J.J., Dixon, L.J., Sy, L.J., Zhang, A.R., and McGrath, P.B. (2013). Assessing therapist reservations about exposure therapy for anxiety disorders: The Therapist Beliefs about Exposure Scale. J</w:t>
      </w:r>
      <w:r w:rsidRPr="00FE0EA8">
        <w:rPr>
          <w:rFonts w:ascii="Arial" w:hAnsi="Arial" w:cs="Arial"/>
          <w:i/>
          <w:iCs/>
          <w:sz w:val="22"/>
          <w:szCs w:val="22"/>
        </w:rPr>
        <w:t>ournal of Anxiety Disorders</w:t>
      </w:r>
      <w:r>
        <w:rPr>
          <w:rFonts w:ascii="Arial" w:hAnsi="Arial" w:cs="Arial"/>
          <w:sz w:val="22"/>
          <w:szCs w:val="22"/>
        </w:rPr>
        <w:t>, 27, 772-780.</w:t>
      </w:r>
    </w:p>
    <w:p w14:paraId="58D60A19"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4F6D9D1F" w14:textId="77777777" w:rsidR="000E4F1A" w:rsidRDefault="000E4F1A">
      <w:pPr>
        <w:rPr>
          <w:rFonts w:ascii="Arial" w:hAnsi="Arial" w:cs="Arial"/>
          <w:sz w:val="22"/>
          <w:szCs w:val="22"/>
        </w:rPr>
      </w:pPr>
      <w:r>
        <w:rPr>
          <w:rFonts w:ascii="Arial" w:hAnsi="Arial" w:cs="Arial"/>
          <w:sz w:val="22"/>
          <w:szCs w:val="22"/>
        </w:rPr>
        <w:br w:type="page"/>
      </w:r>
    </w:p>
    <w:p w14:paraId="264E36CD" w14:textId="610672C3"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lastRenderedPageBreak/>
        <w:t xml:space="preserve">de Graaf, L.E., Gerhards, S.A., Arntz, A., Riper, H., Metsemakers, J.F., Evers, S.M., Severens, J.L., Widdershoven, G. and Huibers, M.J. (2009). Clinical effectiveness of online computerised cognitive behavioural therapy without support for depression in primary care: A randomised controlled trial. </w:t>
      </w:r>
      <w:r w:rsidRPr="00605805">
        <w:rPr>
          <w:rFonts w:ascii="Arial" w:hAnsi="Arial" w:cs="Arial"/>
          <w:i/>
          <w:iCs/>
          <w:sz w:val="22"/>
          <w:szCs w:val="22"/>
        </w:rPr>
        <w:t>British Journal of Psychiatry</w:t>
      </w:r>
      <w:r>
        <w:rPr>
          <w:rFonts w:ascii="Arial" w:hAnsi="Arial" w:cs="Arial"/>
          <w:sz w:val="22"/>
          <w:szCs w:val="22"/>
        </w:rPr>
        <w:t>, 1, 73-80.</w:t>
      </w:r>
    </w:p>
    <w:p w14:paraId="21992885"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0BB44C30"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Delgadillo, J., Gellatly, J., and Stephenson-Bellowood, S. (2015).  Decision making in stepped care: How do therapists decide whether to prolong treatment or not? </w:t>
      </w:r>
      <w:r w:rsidRPr="00AC0735">
        <w:rPr>
          <w:rFonts w:ascii="Arial" w:hAnsi="Arial" w:cs="Arial"/>
          <w:i/>
          <w:iCs/>
          <w:sz w:val="22"/>
          <w:szCs w:val="22"/>
        </w:rPr>
        <w:t>Behavioural and Cognitive Psychotherapy</w:t>
      </w:r>
      <w:r>
        <w:rPr>
          <w:rFonts w:ascii="Arial" w:hAnsi="Arial" w:cs="Arial"/>
          <w:sz w:val="22"/>
          <w:szCs w:val="22"/>
        </w:rPr>
        <w:t>, 43, 328-341.</w:t>
      </w:r>
    </w:p>
    <w:p w14:paraId="1EDB870F"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66D91813"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Delgadillo, J., Moreea, O., and Lutz, W. (2016). Different people respond differently to therapy: A demonstration using patient profiling and risk stratification. </w:t>
      </w:r>
      <w:r w:rsidRPr="006A5053">
        <w:rPr>
          <w:rFonts w:ascii="Arial" w:hAnsi="Arial" w:cs="Arial"/>
          <w:i/>
          <w:iCs/>
          <w:sz w:val="22"/>
          <w:szCs w:val="22"/>
        </w:rPr>
        <w:t>Behaviour Research and Therapy</w:t>
      </w:r>
      <w:r>
        <w:rPr>
          <w:rFonts w:ascii="Arial" w:hAnsi="Arial" w:cs="Arial"/>
          <w:sz w:val="22"/>
          <w:szCs w:val="22"/>
        </w:rPr>
        <w:t>, 79, 15-22.</w:t>
      </w:r>
    </w:p>
    <w:p w14:paraId="317D71A3"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347D40CC"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Delgadillo, J., Overend, K.J., Lucock, M., Groom, M., Kirby, N., Mcmillan, D., Gilbody, S., Lutz, W., Rubel. J.A., and de Jong, K. (2017). Improving the efficiency of psychological treatment using outcome feedback technology. </w:t>
      </w:r>
      <w:r w:rsidRPr="006A5053">
        <w:rPr>
          <w:rFonts w:ascii="Arial" w:hAnsi="Arial" w:cs="Arial"/>
          <w:i/>
          <w:iCs/>
          <w:sz w:val="22"/>
          <w:szCs w:val="22"/>
        </w:rPr>
        <w:t>Behaviour Research and Therapy</w:t>
      </w:r>
      <w:r>
        <w:rPr>
          <w:rFonts w:ascii="Arial" w:hAnsi="Arial" w:cs="Arial"/>
          <w:sz w:val="22"/>
          <w:szCs w:val="22"/>
        </w:rPr>
        <w:t>, 99, 89-97.</w:t>
      </w:r>
    </w:p>
    <w:p w14:paraId="442BAFFF"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5B0B93F7"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Delgadillo, J., Saxon, D., and Barkham, M. (2018). Associations between therapists' occupational burnout and their patients' depression and anxiety treatment outcomes. Depression and Anxiety. Available online at </w:t>
      </w:r>
      <w:r w:rsidRPr="00B92B03">
        <w:rPr>
          <w:rFonts w:ascii="Arial" w:hAnsi="Arial" w:cs="Arial"/>
          <w:sz w:val="22"/>
          <w:szCs w:val="22"/>
        </w:rPr>
        <w:t>http://eprints.whiterose.ac.uk/129198/1/Therapist_burnout_study_2018_preprint.pdf</w:t>
      </w:r>
    </w:p>
    <w:p w14:paraId="66384BC3"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Accessed 1</w:t>
      </w:r>
      <w:r w:rsidRPr="00B92B03">
        <w:rPr>
          <w:rFonts w:ascii="Arial" w:hAnsi="Arial" w:cs="Arial"/>
          <w:sz w:val="22"/>
          <w:szCs w:val="22"/>
          <w:vertAlign w:val="superscript"/>
        </w:rPr>
        <w:t>st</w:t>
      </w:r>
      <w:r>
        <w:rPr>
          <w:rFonts w:ascii="Arial" w:hAnsi="Arial" w:cs="Arial"/>
          <w:sz w:val="22"/>
          <w:szCs w:val="22"/>
        </w:rPr>
        <w:t xml:space="preserve"> November 2019.</w:t>
      </w:r>
    </w:p>
    <w:p w14:paraId="18BF5A4C"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7FF7E302"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Del Re, A.C., Fluckiger, C., Horvath, A.O., Symonds, D., and Wampold, B.E. (2012). Therapist effects in the tehrapist alliance-outcome relationship: A restricted-maximum likelihood meta-analysis. </w:t>
      </w:r>
      <w:r w:rsidRPr="0063047F">
        <w:rPr>
          <w:rFonts w:ascii="Arial" w:hAnsi="Arial" w:cs="Arial"/>
          <w:i/>
          <w:iCs/>
          <w:sz w:val="22"/>
          <w:szCs w:val="22"/>
        </w:rPr>
        <w:t>Clinical Psychology Review</w:t>
      </w:r>
      <w:r>
        <w:rPr>
          <w:rFonts w:ascii="Arial" w:hAnsi="Arial" w:cs="Arial"/>
          <w:sz w:val="22"/>
          <w:szCs w:val="22"/>
        </w:rPr>
        <w:t>, 32, 642-649.</w:t>
      </w:r>
    </w:p>
    <w:p w14:paraId="63CCB5EA"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3F6BCB51"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lastRenderedPageBreak/>
        <w:t xml:space="preserve">Demerouti, E., Bakker, A.B., Nachreiner, F., and Schaufeli, W.B. (2001). The job demnads-resources model of burnout. </w:t>
      </w:r>
      <w:r w:rsidRPr="00B92B03">
        <w:rPr>
          <w:rFonts w:ascii="Arial" w:hAnsi="Arial" w:cs="Arial"/>
          <w:i/>
          <w:iCs/>
          <w:sz w:val="22"/>
          <w:szCs w:val="22"/>
        </w:rPr>
        <w:t>Journal of Applied Psychology</w:t>
      </w:r>
      <w:r>
        <w:rPr>
          <w:rFonts w:ascii="Arial" w:hAnsi="Arial" w:cs="Arial"/>
          <w:sz w:val="22"/>
          <w:szCs w:val="22"/>
        </w:rPr>
        <w:t>, 86, 499-512.</w:t>
      </w:r>
    </w:p>
    <w:p w14:paraId="2563BF30"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7EAA6954"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Dennhag, I., Connolly Gibbons, M.B., Barber, J.P., Gallop, R., and Crits-Christoph, P. (2012). Do supervisors and independent judges agree on evaluations of therapist adherence and competence in the treatment of cocaine dependence? </w:t>
      </w:r>
      <w:r w:rsidRPr="0029246F">
        <w:rPr>
          <w:rFonts w:ascii="Arial" w:hAnsi="Arial" w:cs="Arial"/>
          <w:i/>
          <w:iCs/>
          <w:sz w:val="22"/>
          <w:szCs w:val="22"/>
        </w:rPr>
        <w:t>Psychotherapy Research</w:t>
      </w:r>
      <w:r>
        <w:rPr>
          <w:rFonts w:ascii="Arial" w:hAnsi="Arial" w:cs="Arial"/>
          <w:sz w:val="22"/>
          <w:szCs w:val="22"/>
        </w:rPr>
        <w:t>, 22, 720-730.</w:t>
      </w:r>
    </w:p>
    <w:p w14:paraId="6A97B3FF"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58E140D6"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Department of Health (2009). </w:t>
      </w:r>
      <w:r w:rsidRPr="006C4D54">
        <w:rPr>
          <w:rFonts w:ascii="Arial" w:hAnsi="Arial" w:cs="Arial"/>
          <w:i/>
          <w:iCs/>
          <w:sz w:val="22"/>
          <w:szCs w:val="22"/>
        </w:rPr>
        <w:t>Which Talking Therapy for Depression</w:t>
      </w:r>
      <w:r>
        <w:rPr>
          <w:rFonts w:ascii="Arial" w:hAnsi="Arial" w:cs="Arial"/>
          <w:sz w:val="22"/>
          <w:szCs w:val="22"/>
        </w:rPr>
        <w:t xml:space="preserve">. Available online at </w:t>
      </w:r>
      <w:r w:rsidRPr="006C4D54">
        <w:rPr>
          <w:rFonts w:ascii="Arial" w:hAnsi="Arial" w:cs="Arial"/>
          <w:sz w:val="22"/>
          <w:szCs w:val="22"/>
        </w:rPr>
        <w:t>https://thesf.org.uk/wp-content/uploads/2018/10/Which_Talking_Therapy_For_Depression_-_print-ready_version_with_cropmark___-1.pdf</w:t>
      </w:r>
    </w:p>
    <w:p w14:paraId="54812D9A"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Accessed 25</w:t>
      </w:r>
      <w:r w:rsidRPr="006C4D54">
        <w:rPr>
          <w:rFonts w:ascii="Arial" w:hAnsi="Arial" w:cs="Arial"/>
          <w:sz w:val="22"/>
          <w:szCs w:val="22"/>
          <w:vertAlign w:val="superscript"/>
        </w:rPr>
        <w:t>th</w:t>
      </w:r>
      <w:r>
        <w:rPr>
          <w:rFonts w:ascii="Arial" w:hAnsi="Arial" w:cs="Arial"/>
          <w:sz w:val="22"/>
          <w:szCs w:val="22"/>
        </w:rPr>
        <w:t xml:space="preserve"> October 2019.</w:t>
      </w:r>
    </w:p>
    <w:p w14:paraId="7ABF614E"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1B04F0EA"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Department of Health (2011</w:t>
      </w:r>
      <w:r>
        <w:rPr>
          <w:rFonts w:ascii="Arial" w:hAnsi="Arial" w:cs="Arial"/>
          <w:sz w:val="22"/>
          <w:szCs w:val="22"/>
        </w:rPr>
        <w:t>a</w:t>
      </w:r>
      <w:r w:rsidRPr="005D264F">
        <w:rPr>
          <w:rFonts w:ascii="Arial" w:hAnsi="Arial" w:cs="Arial"/>
          <w:sz w:val="22"/>
          <w:szCs w:val="22"/>
        </w:rPr>
        <w:t>)</w:t>
      </w:r>
      <w:r>
        <w:rPr>
          <w:rFonts w:ascii="Arial" w:hAnsi="Arial" w:cs="Arial"/>
          <w:sz w:val="22"/>
          <w:szCs w:val="22"/>
        </w:rPr>
        <w:t>.</w:t>
      </w:r>
      <w:r w:rsidRPr="005D264F">
        <w:rPr>
          <w:rFonts w:ascii="Arial" w:hAnsi="Arial" w:cs="Arial"/>
          <w:sz w:val="22"/>
          <w:szCs w:val="22"/>
        </w:rPr>
        <w:t xml:space="preserve"> </w:t>
      </w:r>
      <w:r w:rsidRPr="005D264F">
        <w:rPr>
          <w:rFonts w:ascii="Arial" w:hAnsi="Arial" w:cs="Arial"/>
          <w:i/>
          <w:sz w:val="22"/>
          <w:szCs w:val="22"/>
        </w:rPr>
        <w:t>Talking therapies: a four</w:t>
      </w:r>
      <w:r>
        <w:rPr>
          <w:rFonts w:ascii="Arial" w:hAnsi="Arial" w:cs="Arial"/>
          <w:i/>
          <w:sz w:val="22"/>
          <w:szCs w:val="22"/>
        </w:rPr>
        <w:t>-</w:t>
      </w:r>
      <w:r w:rsidRPr="005D264F">
        <w:rPr>
          <w:rFonts w:ascii="Arial" w:hAnsi="Arial" w:cs="Arial"/>
          <w:i/>
          <w:sz w:val="22"/>
          <w:szCs w:val="22"/>
        </w:rPr>
        <w:t>year plan of action.  Available online</w:t>
      </w:r>
      <w:r w:rsidRPr="005D264F">
        <w:rPr>
          <w:rFonts w:ascii="Arial" w:hAnsi="Arial" w:cs="Arial"/>
          <w:sz w:val="22"/>
          <w:szCs w:val="22"/>
        </w:rPr>
        <w:t xml:space="preserve"> at</w:t>
      </w:r>
    </w:p>
    <w:p w14:paraId="279AF2FD" w14:textId="77777777" w:rsidR="00DF57DF" w:rsidRPr="005D264F" w:rsidRDefault="00DD38EE" w:rsidP="00DF57DF">
      <w:pPr>
        <w:spacing w:line="480" w:lineRule="auto"/>
        <w:rPr>
          <w:rFonts w:ascii="Arial" w:hAnsi="Arial" w:cs="Arial"/>
          <w:sz w:val="22"/>
          <w:szCs w:val="22"/>
        </w:rPr>
      </w:pPr>
      <w:hyperlink r:id="rId86" w:history="1">
        <w:r w:rsidR="00DF57DF" w:rsidRPr="005D264F">
          <w:rPr>
            <w:rStyle w:val="Hyperlink"/>
            <w:rFonts w:ascii="Arial" w:hAnsi="Arial" w:cs="Arial"/>
            <w:sz w:val="22"/>
            <w:szCs w:val="22"/>
          </w:rPr>
          <w:t>https://www.gov.uk/government/publications/talking-therapies-a-4-year-plan-of-action</w:t>
        </w:r>
      </w:hyperlink>
    </w:p>
    <w:p w14:paraId="7E688D4D"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Accessed on 9</w:t>
      </w:r>
      <w:r w:rsidRPr="005D264F">
        <w:rPr>
          <w:rFonts w:ascii="Arial" w:hAnsi="Arial" w:cs="Arial"/>
          <w:sz w:val="22"/>
          <w:szCs w:val="22"/>
          <w:vertAlign w:val="superscript"/>
        </w:rPr>
        <w:t>th</w:t>
      </w:r>
      <w:r w:rsidRPr="005D264F">
        <w:rPr>
          <w:rFonts w:ascii="Arial" w:hAnsi="Arial" w:cs="Arial"/>
          <w:sz w:val="22"/>
          <w:szCs w:val="22"/>
        </w:rPr>
        <w:t xml:space="preserve"> June 201</w:t>
      </w:r>
      <w:r>
        <w:rPr>
          <w:rFonts w:ascii="Arial" w:hAnsi="Arial" w:cs="Arial"/>
          <w:sz w:val="22"/>
          <w:szCs w:val="22"/>
        </w:rPr>
        <w:t>9</w:t>
      </w:r>
    </w:p>
    <w:p w14:paraId="0C01C86C" w14:textId="77777777" w:rsidR="00DF57DF" w:rsidRDefault="00DF57DF" w:rsidP="00DF57DF">
      <w:pPr>
        <w:spacing w:line="480" w:lineRule="auto"/>
        <w:rPr>
          <w:rFonts w:ascii="Arial" w:hAnsi="Arial" w:cs="Arial"/>
          <w:sz w:val="22"/>
          <w:szCs w:val="22"/>
        </w:rPr>
      </w:pPr>
    </w:p>
    <w:p w14:paraId="3B729E0B"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t xml:space="preserve">Department of Health (2011b). </w:t>
      </w:r>
      <w:r w:rsidRPr="008963DB">
        <w:rPr>
          <w:rFonts w:ascii="Arial" w:hAnsi="Arial" w:cs="Arial"/>
          <w:i/>
          <w:iCs/>
          <w:sz w:val="22"/>
          <w:szCs w:val="22"/>
        </w:rPr>
        <w:t>National Curriculum for High Intensity Cognitive Behavioural Therapy Course.</w:t>
      </w:r>
      <w:r>
        <w:rPr>
          <w:rFonts w:ascii="Arial" w:hAnsi="Arial" w:cs="Arial"/>
          <w:sz w:val="22"/>
          <w:szCs w:val="22"/>
        </w:rPr>
        <w:t xml:space="preserve"> Leeds, NHS Digital.</w:t>
      </w:r>
    </w:p>
    <w:p w14:paraId="3725D86C" w14:textId="77777777" w:rsidR="00DF57DF" w:rsidRPr="005D264F" w:rsidRDefault="00DF57DF" w:rsidP="00DF57DF">
      <w:pPr>
        <w:spacing w:line="480" w:lineRule="auto"/>
        <w:rPr>
          <w:rFonts w:ascii="Arial" w:hAnsi="Arial" w:cs="Arial"/>
          <w:sz w:val="22"/>
          <w:szCs w:val="22"/>
        </w:rPr>
      </w:pPr>
    </w:p>
    <w:p w14:paraId="41EC8B90" w14:textId="77777777" w:rsidR="00DF57DF" w:rsidRPr="005D264F" w:rsidRDefault="00DF57DF" w:rsidP="00DF57DF">
      <w:pPr>
        <w:spacing w:line="480" w:lineRule="auto"/>
        <w:rPr>
          <w:rFonts w:ascii="Arial" w:hAnsi="Arial" w:cs="Arial"/>
          <w:color w:val="000000"/>
          <w:sz w:val="22"/>
          <w:szCs w:val="22"/>
        </w:rPr>
      </w:pPr>
      <w:r w:rsidRPr="005D264F">
        <w:rPr>
          <w:rFonts w:ascii="Arial" w:hAnsi="Arial" w:cs="Arial"/>
          <w:color w:val="000000"/>
          <w:sz w:val="22"/>
          <w:szCs w:val="22"/>
        </w:rPr>
        <w:t>Department of Health (2015)</w:t>
      </w:r>
      <w:r>
        <w:rPr>
          <w:rFonts w:ascii="Arial" w:hAnsi="Arial" w:cs="Arial"/>
          <w:color w:val="000000"/>
          <w:sz w:val="22"/>
          <w:szCs w:val="22"/>
        </w:rPr>
        <w:t>.</w:t>
      </w:r>
      <w:r w:rsidRPr="005D264F">
        <w:rPr>
          <w:rFonts w:ascii="Arial" w:hAnsi="Arial" w:cs="Arial"/>
          <w:color w:val="000000"/>
          <w:sz w:val="22"/>
          <w:szCs w:val="22"/>
        </w:rPr>
        <w:t> </w:t>
      </w:r>
      <w:r w:rsidRPr="005D264F">
        <w:rPr>
          <w:rFonts w:ascii="Arial" w:hAnsi="Arial" w:cs="Arial"/>
          <w:i/>
          <w:color w:val="000000"/>
          <w:sz w:val="22"/>
          <w:szCs w:val="22"/>
        </w:rPr>
        <w:t>The Mandate: A mandate from the government to NHS England April 2015 to March 2016</w:t>
      </w:r>
      <w:r w:rsidRPr="005D264F">
        <w:rPr>
          <w:rFonts w:ascii="Arial" w:hAnsi="Arial" w:cs="Arial"/>
          <w:color w:val="000000"/>
          <w:sz w:val="22"/>
          <w:szCs w:val="22"/>
        </w:rPr>
        <w:t>  available online at:</w:t>
      </w:r>
    </w:p>
    <w:p w14:paraId="2AB2F578" w14:textId="77777777" w:rsidR="00DF57DF" w:rsidRPr="005D264F" w:rsidRDefault="00DD38EE" w:rsidP="00DF57DF">
      <w:pPr>
        <w:spacing w:line="480" w:lineRule="auto"/>
        <w:rPr>
          <w:rFonts w:ascii="Arial" w:hAnsi="Arial" w:cs="Arial"/>
          <w:color w:val="000000"/>
          <w:sz w:val="22"/>
          <w:szCs w:val="22"/>
        </w:rPr>
      </w:pPr>
      <w:hyperlink r:id="rId87" w:history="1">
        <w:r w:rsidR="00DF57DF" w:rsidRPr="005D264F">
          <w:rPr>
            <w:rStyle w:val="Hyperlink"/>
            <w:rFonts w:ascii="Arial" w:hAnsi="Arial" w:cs="Arial"/>
            <w:color w:val="954F72"/>
            <w:sz w:val="22"/>
            <w:szCs w:val="22"/>
          </w:rPr>
          <w:t>https://assets.publishing.service.gov.uk/government/uploads/system/uploads/attachment_data/file/486818/mndate-NHSE-15_16.pdf</w:t>
        </w:r>
      </w:hyperlink>
    </w:p>
    <w:p w14:paraId="2E7FD47C" w14:textId="77777777" w:rsidR="00DF57DF" w:rsidRDefault="00DF57DF" w:rsidP="00DF57DF">
      <w:pPr>
        <w:spacing w:line="480" w:lineRule="auto"/>
        <w:rPr>
          <w:rFonts w:ascii="Arial" w:hAnsi="Arial" w:cs="Arial"/>
          <w:color w:val="000000"/>
          <w:sz w:val="22"/>
          <w:szCs w:val="22"/>
        </w:rPr>
      </w:pPr>
      <w:r w:rsidRPr="005D264F">
        <w:rPr>
          <w:rFonts w:ascii="Arial" w:hAnsi="Arial" w:cs="Arial"/>
          <w:color w:val="000000"/>
          <w:sz w:val="22"/>
          <w:szCs w:val="22"/>
        </w:rPr>
        <w:t>Accessed 14</w:t>
      </w:r>
      <w:r w:rsidRPr="005D264F">
        <w:rPr>
          <w:rFonts w:ascii="Arial" w:hAnsi="Arial" w:cs="Arial"/>
          <w:color w:val="000000"/>
          <w:sz w:val="22"/>
          <w:szCs w:val="22"/>
          <w:vertAlign w:val="superscript"/>
        </w:rPr>
        <w:t>th</w:t>
      </w:r>
      <w:r w:rsidRPr="005D264F">
        <w:rPr>
          <w:rStyle w:val="apple-converted-space"/>
          <w:rFonts w:ascii="Arial" w:hAnsi="Arial" w:cs="Arial"/>
          <w:color w:val="000000"/>
          <w:sz w:val="22"/>
          <w:szCs w:val="22"/>
        </w:rPr>
        <w:t> </w:t>
      </w:r>
      <w:r w:rsidRPr="005D264F">
        <w:rPr>
          <w:rFonts w:ascii="Arial" w:hAnsi="Arial" w:cs="Arial"/>
          <w:color w:val="000000"/>
          <w:sz w:val="22"/>
          <w:szCs w:val="22"/>
        </w:rPr>
        <w:t>September 201</w:t>
      </w:r>
      <w:r>
        <w:rPr>
          <w:rFonts w:ascii="Arial" w:hAnsi="Arial" w:cs="Arial"/>
          <w:color w:val="000000"/>
          <w:sz w:val="22"/>
          <w:szCs w:val="22"/>
        </w:rPr>
        <w:t>9</w:t>
      </w:r>
    </w:p>
    <w:p w14:paraId="7907755B" w14:textId="77777777" w:rsidR="00DF57DF" w:rsidRPr="005D264F" w:rsidRDefault="00DF57DF" w:rsidP="00DF57DF">
      <w:pPr>
        <w:spacing w:line="480" w:lineRule="auto"/>
        <w:rPr>
          <w:rFonts w:ascii="Arial" w:hAnsi="Arial" w:cs="Arial"/>
          <w:color w:val="000000"/>
          <w:sz w:val="22"/>
          <w:szCs w:val="22"/>
        </w:rPr>
      </w:pPr>
    </w:p>
    <w:p w14:paraId="2E2E1BDF" w14:textId="77777777" w:rsidR="00DF57DF" w:rsidRDefault="00DF57DF" w:rsidP="00DF57DF">
      <w:pPr>
        <w:spacing w:line="480" w:lineRule="auto"/>
        <w:rPr>
          <w:rFonts w:ascii="Arial" w:hAnsi="Arial" w:cs="Arial"/>
          <w:sz w:val="22"/>
          <w:szCs w:val="22"/>
        </w:rPr>
      </w:pPr>
      <w:r>
        <w:rPr>
          <w:rFonts w:ascii="Arial" w:hAnsi="Arial" w:cs="Arial"/>
          <w:sz w:val="22"/>
          <w:szCs w:val="22"/>
        </w:rPr>
        <w:lastRenderedPageBreak/>
        <w:t xml:space="preserve">DeRubeis, R.J., and Feeley, M. (1990). Determinants of change in cognitive therapy for depression. </w:t>
      </w:r>
      <w:r w:rsidRPr="002F664A">
        <w:rPr>
          <w:rFonts w:ascii="Arial" w:hAnsi="Arial" w:cs="Arial"/>
          <w:i/>
          <w:iCs/>
          <w:sz w:val="22"/>
          <w:szCs w:val="22"/>
        </w:rPr>
        <w:t>Cognitive Therapy and Research</w:t>
      </w:r>
      <w:r>
        <w:rPr>
          <w:rFonts w:ascii="Arial" w:hAnsi="Arial" w:cs="Arial"/>
          <w:sz w:val="22"/>
          <w:szCs w:val="22"/>
        </w:rPr>
        <w:t>, 14, 469-482.</w:t>
      </w:r>
    </w:p>
    <w:p w14:paraId="39EFFE92" w14:textId="77777777" w:rsidR="00DF57DF" w:rsidRDefault="00DF57DF" w:rsidP="00DF57DF">
      <w:pPr>
        <w:spacing w:line="480" w:lineRule="auto"/>
        <w:rPr>
          <w:rFonts w:ascii="Arial" w:hAnsi="Arial" w:cs="Arial"/>
          <w:sz w:val="22"/>
          <w:szCs w:val="22"/>
        </w:rPr>
      </w:pPr>
    </w:p>
    <w:p w14:paraId="47060898"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DeRubeis, R.J., Gefland, L.A., German, R.E., Fournier, J.C. and Forand, N.R. (2014). Understanding processes of change: How some patients reveal more than others- and some groups of therapists less- about what matters in psychotherapy. </w:t>
      </w:r>
      <w:r w:rsidRPr="00CA0998">
        <w:rPr>
          <w:rFonts w:ascii="Arial" w:hAnsi="Arial" w:cs="Arial"/>
          <w:i/>
          <w:iCs/>
          <w:sz w:val="22"/>
          <w:szCs w:val="22"/>
        </w:rPr>
        <w:t>Psychotherapy Research</w:t>
      </w:r>
      <w:r>
        <w:rPr>
          <w:rFonts w:ascii="Arial" w:hAnsi="Arial" w:cs="Arial"/>
          <w:sz w:val="22"/>
          <w:szCs w:val="22"/>
        </w:rPr>
        <w:t>, 24, 419-428.</w:t>
      </w:r>
    </w:p>
    <w:p w14:paraId="4D849C17" w14:textId="77777777" w:rsidR="00DF57DF" w:rsidRDefault="00DF57DF" w:rsidP="00DF57DF">
      <w:pPr>
        <w:spacing w:line="480" w:lineRule="auto"/>
        <w:rPr>
          <w:rFonts w:ascii="Arial" w:hAnsi="Arial" w:cs="Arial"/>
          <w:sz w:val="22"/>
          <w:szCs w:val="22"/>
        </w:rPr>
      </w:pPr>
    </w:p>
    <w:p w14:paraId="7364F545"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Dijkers, M.P. (2009). The value of traditional reviews in the era of systematic reviewing. </w:t>
      </w:r>
      <w:r w:rsidRPr="00EA50E9">
        <w:rPr>
          <w:rFonts w:ascii="Arial" w:hAnsi="Arial" w:cs="Arial"/>
          <w:i/>
          <w:iCs/>
          <w:sz w:val="22"/>
          <w:szCs w:val="22"/>
        </w:rPr>
        <w:t>American Journal of Physical Medicine and Rehabilitation</w:t>
      </w:r>
      <w:r>
        <w:rPr>
          <w:rFonts w:ascii="Arial" w:hAnsi="Arial" w:cs="Arial"/>
          <w:sz w:val="22"/>
          <w:szCs w:val="22"/>
        </w:rPr>
        <w:t>, 88, 423-430.</w:t>
      </w:r>
    </w:p>
    <w:p w14:paraId="03224CE2" w14:textId="77777777" w:rsidR="00DF57DF" w:rsidRPr="005D264F" w:rsidRDefault="00DF57DF" w:rsidP="00DF57DF">
      <w:pPr>
        <w:spacing w:line="480" w:lineRule="auto"/>
        <w:rPr>
          <w:rFonts w:ascii="Arial" w:hAnsi="Arial" w:cs="Arial"/>
          <w:sz w:val="22"/>
          <w:szCs w:val="22"/>
        </w:rPr>
      </w:pPr>
    </w:p>
    <w:p w14:paraId="55EC3478"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Dreyfus, H.L.</w:t>
      </w:r>
      <w:r>
        <w:rPr>
          <w:rFonts w:ascii="Arial" w:hAnsi="Arial" w:cs="Arial"/>
          <w:sz w:val="22"/>
          <w:szCs w:val="22"/>
        </w:rPr>
        <w:t>,</w:t>
      </w:r>
      <w:r w:rsidRPr="005D264F">
        <w:rPr>
          <w:rFonts w:ascii="Arial" w:hAnsi="Arial" w:cs="Arial"/>
          <w:sz w:val="22"/>
          <w:szCs w:val="22"/>
        </w:rPr>
        <w:t xml:space="preserve"> and Dreyfus, S.E. (1986)</w:t>
      </w:r>
      <w:r>
        <w:rPr>
          <w:rFonts w:ascii="Arial" w:hAnsi="Arial" w:cs="Arial"/>
          <w:sz w:val="22"/>
          <w:szCs w:val="22"/>
        </w:rPr>
        <w:t>.</w:t>
      </w:r>
      <w:r w:rsidRPr="005D264F">
        <w:rPr>
          <w:rFonts w:ascii="Arial" w:hAnsi="Arial" w:cs="Arial"/>
          <w:sz w:val="22"/>
          <w:szCs w:val="22"/>
        </w:rPr>
        <w:t xml:space="preserve"> </w:t>
      </w:r>
      <w:r w:rsidRPr="005D264F">
        <w:rPr>
          <w:rFonts w:ascii="Arial" w:hAnsi="Arial" w:cs="Arial"/>
          <w:i/>
          <w:sz w:val="22"/>
          <w:szCs w:val="22"/>
        </w:rPr>
        <w:t>Mind over machine: The Power of human intuition and expertise in the era of the computer</w:t>
      </w:r>
      <w:r w:rsidRPr="005D264F">
        <w:rPr>
          <w:rFonts w:ascii="Arial" w:hAnsi="Arial" w:cs="Arial"/>
          <w:sz w:val="22"/>
          <w:szCs w:val="22"/>
        </w:rPr>
        <w:t>.  The Free Press, New York.</w:t>
      </w:r>
    </w:p>
    <w:p w14:paraId="61A5CC8A" w14:textId="77777777" w:rsidR="00DF57DF" w:rsidRPr="005D264F" w:rsidRDefault="00DF57DF" w:rsidP="00DF57DF">
      <w:pPr>
        <w:spacing w:line="480" w:lineRule="auto"/>
        <w:rPr>
          <w:rFonts w:ascii="Arial" w:hAnsi="Arial" w:cs="Arial"/>
          <w:sz w:val="22"/>
          <w:szCs w:val="22"/>
        </w:rPr>
      </w:pPr>
    </w:p>
    <w:p w14:paraId="30A4BF06"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Dreyfus, H.L. (1989)</w:t>
      </w:r>
      <w:r>
        <w:rPr>
          <w:rFonts w:ascii="Arial" w:hAnsi="Arial" w:cs="Arial"/>
          <w:sz w:val="22"/>
          <w:szCs w:val="22"/>
        </w:rPr>
        <w:t>.</w:t>
      </w:r>
      <w:r w:rsidRPr="005D264F">
        <w:rPr>
          <w:rFonts w:ascii="Arial" w:hAnsi="Arial" w:cs="Arial"/>
          <w:sz w:val="22"/>
          <w:szCs w:val="22"/>
        </w:rPr>
        <w:t xml:space="preserve"> </w:t>
      </w:r>
      <w:r w:rsidRPr="005D264F">
        <w:rPr>
          <w:rFonts w:ascii="Arial" w:hAnsi="Arial" w:cs="Arial"/>
          <w:i/>
          <w:sz w:val="22"/>
          <w:szCs w:val="22"/>
        </w:rPr>
        <w:t>The Dreyfus model of skill acquisition in Burke, J. (Ed) Competency based education and training</w:t>
      </w:r>
      <w:r w:rsidRPr="005D264F">
        <w:rPr>
          <w:rFonts w:ascii="Arial" w:hAnsi="Arial" w:cs="Arial"/>
          <w:sz w:val="22"/>
          <w:szCs w:val="22"/>
        </w:rPr>
        <w:t>. London, Falmer Press.</w:t>
      </w:r>
    </w:p>
    <w:p w14:paraId="3B410A71" w14:textId="77777777" w:rsidR="00DF57DF" w:rsidRPr="005D264F" w:rsidRDefault="00DF57DF" w:rsidP="00DF57DF">
      <w:pPr>
        <w:spacing w:line="480" w:lineRule="auto"/>
        <w:rPr>
          <w:rFonts w:ascii="Arial" w:hAnsi="Arial" w:cs="Arial"/>
          <w:sz w:val="22"/>
          <w:szCs w:val="22"/>
        </w:rPr>
      </w:pPr>
    </w:p>
    <w:p w14:paraId="493A72E8" w14:textId="77777777" w:rsidR="00DF57DF" w:rsidRDefault="00DF57DF" w:rsidP="00DF57DF">
      <w:pPr>
        <w:spacing w:line="480" w:lineRule="auto"/>
        <w:rPr>
          <w:rFonts w:ascii="Arial" w:hAnsi="Arial" w:cs="Arial"/>
          <w:sz w:val="22"/>
          <w:szCs w:val="22"/>
          <w:shd w:val="clear" w:color="auto" w:fill="FFFFFF"/>
        </w:rPr>
      </w:pPr>
      <w:r w:rsidRPr="005D264F">
        <w:rPr>
          <w:rFonts w:ascii="Arial" w:hAnsi="Arial" w:cs="Arial"/>
          <w:sz w:val="22"/>
          <w:szCs w:val="22"/>
          <w:shd w:val="clear" w:color="auto" w:fill="FFFFFF"/>
        </w:rPr>
        <w:t xml:space="preserve">Dugas, M. J., </w:t>
      </w:r>
      <w:r>
        <w:rPr>
          <w:rFonts w:ascii="Arial" w:hAnsi="Arial" w:cs="Arial"/>
          <w:sz w:val="22"/>
          <w:szCs w:val="22"/>
          <w:shd w:val="clear" w:color="auto" w:fill="FFFFFF"/>
        </w:rPr>
        <w:t>and</w:t>
      </w:r>
      <w:r w:rsidRPr="005D264F">
        <w:rPr>
          <w:rFonts w:ascii="Arial" w:hAnsi="Arial" w:cs="Arial"/>
          <w:sz w:val="22"/>
          <w:szCs w:val="22"/>
          <w:shd w:val="clear" w:color="auto" w:fill="FFFFFF"/>
        </w:rPr>
        <w:t xml:space="preserve"> Koerner, N. (2005). The cognitive - behavioral treatment for generalized anxiety disorder: Current status and future directions. </w:t>
      </w:r>
      <w:r w:rsidRPr="005D264F">
        <w:rPr>
          <w:rFonts w:ascii="Arial" w:hAnsi="Arial" w:cs="Arial"/>
          <w:i/>
          <w:iCs/>
          <w:sz w:val="22"/>
          <w:szCs w:val="22"/>
          <w:shd w:val="clear" w:color="auto" w:fill="FFFFFF"/>
        </w:rPr>
        <w:t>Journal of Cognitive Psychotherapy: An International Quarterly</w:t>
      </w:r>
      <w:r>
        <w:rPr>
          <w:rFonts w:ascii="Arial" w:hAnsi="Arial" w:cs="Arial"/>
          <w:i/>
          <w:iCs/>
          <w:sz w:val="22"/>
          <w:szCs w:val="22"/>
          <w:shd w:val="clear" w:color="auto" w:fill="FFFFFF"/>
        </w:rPr>
        <w:t>,</w:t>
      </w:r>
      <w:r w:rsidRPr="005D264F">
        <w:rPr>
          <w:rFonts w:ascii="Arial" w:hAnsi="Arial" w:cs="Arial"/>
          <w:i/>
          <w:iCs/>
          <w:sz w:val="22"/>
          <w:szCs w:val="22"/>
          <w:shd w:val="clear" w:color="auto" w:fill="FFFFFF"/>
        </w:rPr>
        <w:t xml:space="preserve"> </w:t>
      </w:r>
      <w:r w:rsidRPr="008963DB">
        <w:rPr>
          <w:rFonts w:ascii="Arial" w:hAnsi="Arial" w:cs="Arial"/>
          <w:sz w:val="22"/>
          <w:szCs w:val="22"/>
          <w:shd w:val="clear" w:color="auto" w:fill="FFFFFF"/>
        </w:rPr>
        <w:t xml:space="preserve">19 </w:t>
      </w:r>
      <w:r w:rsidRPr="005D264F">
        <w:rPr>
          <w:rFonts w:ascii="Arial" w:hAnsi="Arial" w:cs="Arial"/>
          <w:i/>
          <w:iCs/>
          <w:sz w:val="22"/>
          <w:szCs w:val="22"/>
          <w:shd w:val="clear" w:color="auto" w:fill="FFFFFF"/>
        </w:rPr>
        <w:t xml:space="preserve">, </w:t>
      </w:r>
      <w:r w:rsidRPr="005D264F">
        <w:rPr>
          <w:rFonts w:ascii="Arial" w:hAnsi="Arial" w:cs="Arial"/>
          <w:sz w:val="22"/>
          <w:szCs w:val="22"/>
          <w:shd w:val="clear" w:color="auto" w:fill="FFFFFF"/>
        </w:rPr>
        <w:t xml:space="preserve">61 - 81 </w:t>
      </w:r>
    </w:p>
    <w:p w14:paraId="625710A9" w14:textId="77777777" w:rsidR="00DF57DF" w:rsidRPr="00FB76AF" w:rsidRDefault="00DF57DF" w:rsidP="00DF57DF">
      <w:pPr>
        <w:spacing w:line="480" w:lineRule="auto"/>
        <w:rPr>
          <w:rFonts w:ascii="Arial" w:hAnsi="Arial" w:cs="Arial"/>
          <w:sz w:val="22"/>
          <w:szCs w:val="22"/>
        </w:rPr>
      </w:pPr>
    </w:p>
    <w:p w14:paraId="41271031" w14:textId="77777777" w:rsidR="00DF57DF" w:rsidRDefault="00DF57DF" w:rsidP="00DF57DF">
      <w:pPr>
        <w:spacing w:line="480" w:lineRule="auto"/>
        <w:rPr>
          <w:rFonts w:ascii="Arial" w:hAnsi="Arial" w:cs="Arial"/>
          <w:sz w:val="22"/>
          <w:szCs w:val="22"/>
          <w:shd w:val="clear" w:color="auto" w:fill="FFFFFF"/>
        </w:rPr>
      </w:pPr>
      <w:r w:rsidRPr="005D264F">
        <w:rPr>
          <w:rFonts w:ascii="Arial" w:hAnsi="Arial" w:cs="Arial"/>
          <w:sz w:val="22"/>
          <w:szCs w:val="22"/>
          <w:shd w:val="clear" w:color="auto" w:fill="FFFFFF"/>
        </w:rPr>
        <w:t xml:space="preserve">Ehlers, A., Clark, D.M., Hackmann, A., McManus, F., &amp; Fennell, M. (2005). Cognitive therapy for PTSD: development and evaluation. </w:t>
      </w:r>
      <w:r w:rsidRPr="005D264F">
        <w:rPr>
          <w:rFonts w:ascii="Arial" w:hAnsi="Arial" w:cs="Arial"/>
          <w:i/>
          <w:iCs/>
          <w:sz w:val="22"/>
          <w:szCs w:val="22"/>
          <w:shd w:val="clear" w:color="auto" w:fill="FFFFFF"/>
        </w:rPr>
        <w:t xml:space="preserve">Behaviour Research and Therapy, 43 </w:t>
      </w:r>
      <w:r w:rsidRPr="005D264F">
        <w:rPr>
          <w:rFonts w:ascii="Arial" w:hAnsi="Arial" w:cs="Arial"/>
          <w:sz w:val="22"/>
          <w:szCs w:val="22"/>
          <w:shd w:val="clear" w:color="auto" w:fill="FFFFFF"/>
        </w:rPr>
        <w:t>, 413 - 431.</w:t>
      </w:r>
    </w:p>
    <w:p w14:paraId="12A4F7C1" w14:textId="77777777" w:rsidR="00DF57DF" w:rsidRDefault="00DF57DF" w:rsidP="00DF57DF">
      <w:pPr>
        <w:spacing w:line="480" w:lineRule="auto"/>
        <w:rPr>
          <w:rFonts w:ascii="Arial" w:hAnsi="Arial" w:cs="Arial"/>
          <w:sz w:val="22"/>
          <w:szCs w:val="22"/>
          <w:shd w:val="clear" w:color="auto" w:fill="FFFFFF"/>
        </w:rPr>
      </w:pPr>
    </w:p>
    <w:p w14:paraId="78C30225" w14:textId="77777777" w:rsidR="000E4F1A" w:rsidRDefault="000E4F1A">
      <w:pPr>
        <w:rPr>
          <w:rFonts w:ascii="Arial" w:hAnsi="Arial" w:cs="Arial"/>
          <w:sz w:val="22"/>
          <w:szCs w:val="22"/>
          <w:shd w:val="clear" w:color="auto" w:fill="FFFFFF"/>
        </w:rPr>
      </w:pPr>
      <w:r>
        <w:rPr>
          <w:rFonts w:ascii="Arial" w:hAnsi="Arial" w:cs="Arial"/>
          <w:sz w:val="22"/>
          <w:szCs w:val="22"/>
          <w:shd w:val="clear" w:color="auto" w:fill="FFFFFF"/>
        </w:rPr>
        <w:br w:type="page"/>
      </w:r>
    </w:p>
    <w:p w14:paraId="5DC15352" w14:textId="3B3198E3" w:rsidR="00DF57DF" w:rsidRDefault="00DF57DF" w:rsidP="00DF57DF">
      <w:pPr>
        <w:spacing w:line="480" w:lineRule="auto"/>
        <w:rPr>
          <w:rFonts w:ascii="Arial" w:hAnsi="Arial" w:cs="Arial"/>
          <w:sz w:val="22"/>
          <w:szCs w:val="22"/>
          <w:shd w:val="clear" w:color="auto" w:fill="FFFFFF"/>
        </w:rPr>
      </w:pPr>
      <w:r>
        <w:rPr>
          <w:rFonts w:ascii="Arial" w:hAnsi="Arial" w:cs="Arial"/>
          <w:sz w:val="22"/>
          <w:szCs w:val="22"/>
          <w:shd w:val="clear" w:color="auto" w:fill="FFFFFF"/>
        </w:rPr>
        <w:lastRenderedPageBreak/>
        <w:t xml:space="preserve">Ehlers, A., Grey, N., Wild, Stott, R., Linness, S., Deale, A., Handley, R., Albert, I., Hackmann, A., Manley, J., McManus, F., Brady, F., Salkovskis, P., and Clark, D.M. (2013). Implementation of cognitive therapy for PTSD in routine clinical care: Effectiveness and moderators of outcome in a consecutive sample. </w:t>
      </w:r>
      <w:r w:rsidRPr="00D7563E">
        <w:rPr>
          <w:rFonts w:ascii="Arial" w:hAnsi="Arial" w:cs="Arial"/>
          <w:i/>
          <w:iCs/>
          <w:sz w:val="22"/>
          <w:szCs w:val="22"/>
          <w:shd w:val="clear" w:color="auto" w:fill="FFFFFF"/>
        </w:rPr>
        <w:t>Behaviour Research and Therapy</w:t>
      </w:r>
      <w:r>
        <w:rPr>
          <w:rFonts w:ascii="Arial" w:hAnsi="Arial" w:cs="Arial"/>
          <w:sz w:val="22"/>
          <w:szCs w:val="22"/>
          <w:shd w:val="clear" w:color="auto" w:fill="FFFFFF"/>
        </w:rPr>
        <w:t>, 51, 742-752.</w:t>
      </w:r>
    </w:p>
    <w:p w14:paraId="5CA65112" w14:textId="77777777" w:rsidR="00DF57DF" w:rsidRDefault="00DF57DF" w:rsidP="00DF57DF">
      <w:pPr>
        <w:spacing w:line="480" w:lineRule="auto"/>
        <w:rPr>
          <w:rFonts w:ascii="Arial" w:hAnsi="Arial" w:cs="Arial"/>
          <w:sz w:val="22"/>
          <w:szCs w:val="22"/>
          <w:shd w:val="clear" w:color="auto" w:fill="FFFFFF"/>
        </w:rPr>
      </w:pPr>
    </w:p>
    <w:p w14:paraId="73810909" w14:textId="77777777" w:rsidR="00DF57DF" w:rsidRDefault="00DF57DF" w:rsidP="00DF57DF">
      <w:pPr>
        <w:spacing w:line="480" w:lineRule="auto"/>
        <w:rPr>
          <w:rFonts w:ascii="Arial" w:hAnsi="Arial" w:cs="Arial"/>
          <w:sz w:val="22"/>
          <w:szCs w:val="22"/>
          <w:shd w:val="clear" w:color="auto" w:fill="FFFFFF"/>
        </w:rPr>
      </w:pPr>
      <w:r>
        <w:rPr>
          <w:rFonts w:ascii="Arial" w:hAnsi="Arial" w:cs="Arial"/>
          <w:sz w:val="22"/>
          <w:szCs w:val="22"/>
          <w:shd w:val="clear" w:color="auto" w:fill="FFFFFF"/>
        </w:rPr>
        <w:t xml:space="preserve">Elhers, A., Hackmann, A., Grey, N., Wild, J., Liness, S., Albert, I., Deale, A., Stott, R., and Clark, D.M. (2014). A randomized controlled trial of 7-day intensive and standard weekly cognitive therapy for PTSD and emotion-focused supportive therapy. </w:t>
      </w:r>
      <w:r w:rsidRPr="005F2082">
        <w:rPr>
          <w:rFonts w:ascii="Arial" w:hAnsi="Arial" w:cs="Arial"/>
          <w:i/>
          <w:iCs/>
          <w:sz w:val="22"/>
          <w:szCs w:val="22"/>
          <w:shd w:val="clear" w:color="auto" w:fill="FFFFFF"/>
        </w:rPr>
        <w:t>American Journal of Psychiatry</w:t>
      </w:r>
      <w:r>
        <w:rPr>
          <w:rFonts w:ascii="Arial" w:hAnsi="Arial" w:cs="Arial"/>
          <w:sz w:val="22"/>
          <w:szCs w:val="22"/>
          <w:shd w:val="clear" w:color="auto" w:fill="FFFFFF"/>
        </w:rPr>
        <w:t>, 171, 294-304.</w:t>
      </w:r>
    </w:p>
    <w:p w14:paraId="384494E2" w14:textId="77777777" w:rsidR="00DF57DF" w:rsidRDefault="00DF57DF" w:rsidP="00DF57DF">
      <w:pPr>
        <w:spacing w:line="480" w:lineRule="auto"/>
        <w:rPr>
          <w:rFonts w:ascii="Arial" w:hAnsi="Arial" w:cs="Arial"/>
          <w:sz w:val="22"/>
          <w:szCs w:val="22"/>
          <w:shd w:val="clear" w:color="auto" w:fill="FFFFFF"/>
        </w:rPr>
      </w:pPr>
    </w:p>
    <w:p w14:paraId="3A106A42" w14:textId="77777777" w:rsidR="00DF57DF" w:rsidRDefault="00DF57DF" w:rsidP="00DF57DF">
      <w:pPr>
        <w:spacing w:line="480" w:lineRule="auto"/>
        <w:rPr>
          <w:rFonts w:ascii="Arial" w:hAnsi="Arial" w:cs="Arial"/>
          <w:sz w:val="22"/>
          <w:szCs w:val="22"/>
          <w:shd w:val="clear" w:color="auto" w:fill="FFFFFF"/>
        </w:rPr>
      </w:pPr>
      <w:r>
        <w:rPr>
          <w:rFonts w:ascii="Arial" w:hAnsi="Arial" w:cs="Arial"/>
          <w:sz w:val="22"/>
          <w:szCs w:val="22"/>
          <w:shd w:val="clear" w:color="auto" w:fill="FFFFFF"/>
        </w:rPr>
        <w:t>Elkin, I. (1999). A major dilemma in psychotherapy outcome research: Disentangling therapists from therapies. Clinical Psychology Science and Practice, 6, 10-32.</w:t>
      </w:r>
    </w:p>
    <w:p w14:paraId="22C93CBF" w14:textId="77777777" w:rsidR="00DF57DF" w:rsidRDefault="00DF57DF" w:rsidP="00DF57DF">
      <w:pPr>
        <w:spacing w:line="480" w:lineRule="auto"/>
        <w:rPr>
          <w:rFonts w:ascii="Arial" w:hAnsi="Arial" w:cs="Arial"/>
          <w:sz w:val="22"/>
          <w:szCs w:val="22"/>
          <w:shd w:val="clear" w:color="auto" w:fill="FFFFFF"/>
        </w:rPr>
      </w:pPr>
    </w:p>
    <w:p w14:paraId="1D2C2BE7" w14:textId="77777777" w:rsidR="00DF57DF" w:rsidRDefault="00DF57DF" w:rsidP="00DF57DF">
      <w:pPr>
        <w:spacing w:line="480" w:lineRule="auto"/>
        <w:rPr>
          <w:rFonts w:ascii="Arial" w:hAnsi="Arial" w:cs="Arial"/>
          <w:sz w:val="22"/>
          <w:szCs w:val="22"/>
          <w:shd w:val="clear" w:color="auto" w:fill="FFFFFF"/>
        </w:rPr>
      </w:pPr>
      <w:r>
        <w:rPr>
          <w:rFonts w:ascii="Arial" w:hAnsi="Arial" w:cs="Arial"/>
          <w:sz w:val="22"/>
          <w:szCs w:val="22"/>
          <w:shd w:val="clear" w:color="auto" w:fill="FFFFFF"/>
        </w:rPr>
        <w:t xml:space="preserve">Elkin, I., Shea, M.T., Watkins, J.T., Imber, S.D., Sotsky, S.M., Collins, J.F. (1989). NIMH treatment of depression collaborative research program: general effectiveness of treatments. </w:t>
      </w:r>
      <w:r w:rsidRPr="009A4423">
        <w:rPr>
          <w:rFonts w:ascii="Arial" w:hAnsi="Arial" w:cs="Arial"/>
          <w:i/>
          <w:iCs/>
          <w:sz w:val="22"/>
          <w:szCs w:val="22"/>
          <w:shd w:val="clear" w:color="auto" w:fill="FFFFFF"/>
        </w:rPr>
        <w:t>Archives of General Psychiatry</w:t>
      </w:r>
      <w:r>
        <w:rPr>
          <w:rFonts w:ascii="Arial" w:hAnsi="Arial" w:cs="Arial"/>
          <w:sz w:val="22"/>
          <w:szCs w:val="22"/>
          <w:shd w:val="clear" w:color="auto" w:fill="FFFFFF"/>
        </w:rPr>
        <w:t>, 46, 971-982.</w:t>
      </w:r>
    </w:p>
    <w:p w14:paraId="429CFF74" w14:textId="77777777" w:rsidR="00DF57DF" w:rsidRDefault="00DF57DF" w:rsidP="00DF57DF">
      <w:pPr>
        <w:spacing w:line="480" w:lineRule="auto"/>
        <w:rPr>
          <w:rFonts w:ascii="Arial" w:hAnsi="Arial" w:cs="Arial"/>
          <w:sz w:val="22"/>
          <w:szCs w:val="22"/>
          <w:shd w:val="clear" w:color="auto" w:fill="FFFFFF"/>
        </w:rPr>
      </w:pPr>
    </w:p>
    <w:p w14:paraId="1C00EA5F" w14:textId="77777777" w:rsidR="00DF57DF" w:rsidRPr="005D264F" w:rsidRDefault="00DF57DF" w:rsidP="00DF57DF">
      <w:pPr>
        <w:spacing w:line="480" w:lineRule="auto"/>
        <w:rPr>
          <w:rFonts w:ascii="Arial" w:hAnsi="Arial" w:cs="Arial"/>
          <w:sz w:val="22"/>
          <w:szCs w:val="22"/>
        </w:rPr>
      </w:pPr>
      <w:r>
        <w:rPr>
          <w:rFonts w:ascii="Arial" w:hAnsi="Arial" w:cs="Arial"/>
          <w:sz w:val="22"/>
          <w:szCs w:val="22"/>
          <w:shd w:val="clear" w:color="auto" w:fill="FFFFFF"/>
        </w:rPr>
        <w:t xml:space="preserve">Elkin, I., Falconnier, L., Martinovich, Z., and Mahoney, C. (2006). Therapist effects in the National Institute of Mental Health Treatment of Depression Collaborative Research Program. </w:t>
      </w:r>
      <w:r w:rsidRPr="00320051">
        <w:rPr>
          <w:rFonts w:ascii="Arial" w:hAnsi="Arial" w:cs="Arial"/>
          <w:i/>
          <w:iCs/>
          <w:sz w:val="22"/>
          <w:szCs w:val="22"/>
          <w:shd w:val="clear" w:color="auto" w:fill="FFFFFF"/>
        </w:rPr>
        <w:t>Psychotherapy Research</w:t>
      </w:r>
      <w:r>
        <w:rPr>
          <w:rFonts w:ascii="Arial" w:hAnsi="Arial" w:cs="Arial"/>
          <w:sz w:val="22"/>
          <w:szCs w:val="22"/>
          <w:shd w:val="clear" w:color="auto" w:fill="FFFFFF"/>
        </w:rPr>
        <w:t>, 16, 144-160.</w:t>
      </w:r>
      <w:r w:rsidRPr="005D264F">
        <w:rPr>
          <w:rFonts w:ascii="Arial" w:hAnsi="Arial" w:cs="Arial"/>
          <w:sz w:val="22"/>
          <w:szCs w:val="22"/>
          <w:shd w:val="clear" w:color="auto" w:fill="FFFFFF"/>
        </w:rPr>
        <w:t xml:space="preserve"> </w:t>
      </w:r>
    </w:p>
    <w:p w14:paraId="6A2C0132" w14:textId="77777777" w:rsidR="00DF57DF" w:rsidRPr="005D264F" w:rsidRDefault="00DF57DF" w:rsidP="00DF57DF">
      <w:pPr>
        <w:spacing w:line="480" w:lineRule="auto"/>
        <w:rPr>
          <w:rFonts w:ascii="Arial" w:hAnsi="Arial" w:cs="Arial"/>
          <w:sz w:val="22"/>
          <w:szCs w:val="22"/>
        </w:rPr>
      </w:pPr>
    </w:p>
    <w:p w14:paraId="3536CE54"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Elliott, J. (1991)</w:t>
      </w:r>
      <w:r>
        <w:rPr>
          <w:rFonts w:ascii="Arial" w:hAnsi="Arial" w:cs="Arial"/>
          <w:sz w:val="22"/>
          <w:szCs w:val="22"/>
        </w:rPr>
        <w:t>.</w:t>
      </w:r>
      <w:r w:rsidRPr="005D264F">
        <w:rPr>
          <w:rFonts w:ascii="Arial" w:hAnsi="Arial" w:cs="Arial"/>
          <w:sz w:val="22"/>
          <w:szCs w:val="22"/>
        </w:rPr>
        <w:t xml:space="preserve"> A model of professionalism and its implications for teacher education</w:t>
      </w:r>
      <w:r>
        <w:rPr>
          <w:rFonts w:ascii="Arial" w:hAnsi="Arial" w:cs="Arial"/>
          <w:sz w:val="22"/>
          <w:szCs w:val="22"/>
        </w:rPr>
        <w:t>.</w:t>
      </w:r>
      <w:r w:rsidRPr="005D264F">
        <w:rPr>
          <w:rFonts w:ascii="Arial" w:hAnsi="Arial" w:cs="Arial"/>
          <w:sz w:val="22"/>
          <w:szCs w:val="22"/>
        </w:rPr>
        <w:t xml:space="preserve"> </w:t>
      </w:r>
      <w:r w:rsidRPr="005D264F">
        <w:rPr>
          <w:rFonts w:ascii="Arial" w:hAnsi="Arial" w:cs="Arial"/>
          <w:i/>
          <w:sz w:val="22"/>
          <w:szCs w:val="22"/>
        </w:rPr>
        <w:t>British Education Research Journal,</w:t>
      </w:r>
      <w:r w:rsidRPr="005D264F">
        <w:rPr>
          <w:rFonts w:ascii="Arial" w:hAnsi="Arial" w:cs="Arial"/>
          <w:sz w:val="22"/>
          <w:szCs w:val="22"/>
        </w:rPr>
        <w:t xml:space="preserve"> 17 (4), 309-318.</w:t>
      </w:r>
    </w:p>
    <w:p w14:paraId="12964D53" w14:textId="77777777" w:rsidR="00DF57DF" w:rsidRDefault="00DF57DF" w:rsidP="00DF57DF">
      <w:pPr>
        <w:spacing w:line="480" w:lineRule="auto"/>
        <w:rPr>
          <w:rFonts w:ascii="Arial" w:hAnsi="Arial" w:cs="Arial"/>
          <w:sz w:val="22"/>
          <w:szCs w:val="22"/>
        </w:rPr>
      </w:pPr>
    </w:p>
    <w:p w14:paraId="78AD6199" w14:textId="77777777" w:rsidR="000E4F1A" w:rsidRDefault="000E4F1A">
      <w:pPr>
        <w:rPr>
          <w:rFonts w:ascii="Arial" w:hAnsi="Arial" w:cs="Arial"/>
          <w:sz w:val="22"/>
          <w:szCs w:val="22"/>
        </w:rPr>
      </w:pPr>
      <w:r>
        <w:rPr>
          <w:rFonts w:ascii="Arial" w:hAnsi="Arial" w:cs="Arial"/>
          <w:sz w:val="22"/>
          <w:szCs w:val="22"/>
        </w:rPr>
        <w:br w:type="page"/>
      </w:r>
    </w:p>
    <w:p w14:paraId="2B2136B4" w14:textId="6C3642CB" w:rsidR="00DF57DF" w:rsidRDefault="00DF57DF" w:rsidP="00DF57DF">
      <w:pPr>
        <w:spacing w:line="480" w:lineRule="auto"/>
        <w:rPr>
          <w:rFonts w:ascii="Arial" w:hAnsi="Arial" w:cs="Arial"/>
          <w:sz w:val="22"/>
          <w:szCs w:val="22"/>
        </w:rPr>
      </w:pPr>
      <w:r>
        <w:rPr>
          <w:rFonts w:ascii="Arial" w:hAnsi="Arial" w:cs="Arial"/>
          <w:sz w:val="22"/>
          <w:szCs w:val="22"/>
        </w:rPr>
        <w:lastRenderedPageBreak/>
        <w:t xml:space="preserve">Elliott, L. (2018) In visibility today: Gail Ward from Disabled People Against Cuts. </w:t>
      </w:r>
      <w:r w:rsidRPr="00EB024C">
        <w:rPr>
          <w:rFonts w:ascii="Arial" w:hAnsi="Arial" w:cs="Arial"/>
          <w:i/>
          <w:iCs/>
          <w:sz w:val="22"/>
          <w:szCs w:val="22"/>
        </w:rPr>
        <w:t>Medium</w:t>
      </w:r>
      <w:r>
        <w:rPr>
          <w:rFonts w:ascii="Arial" w:hAnsi="Arial" w:cs="Arial"/>
          <w:sz w:val="22"/>
          <w:szCs w:val="22"/>
        </w:rPr>
        <w:t xml:space="preserve">. Available online at </w:t>
      </w:r>
      <w:r w:rsidRPr="00EB024C">
        <w:rPr>
          <w:rFonts w:ascii="Arial" w:hAnsi="Arial" w:cs="Arial"/>
          <w:sz w:val="22"/>
          <w:szCs w:val="22"/>
        </w:rPr>
        <w:t>https://medium.com/@lcelliott2/in-visibility-today-gail-ward-from-disabled-people-against-cuts-501be4bc7e92</w:t>
      </w:r>
    </w:p>
    <w:p w14:paraId="343C7128" w14:textId="77777777" w:rsidR="00DF57DF" w:rsidRDefault="00DF57DF" w:rsidP="00DF57DF">
      <w:pPr>
        <w:spacing w:line="480" w:lineRule="auto"/>
        <w:rPr>
          <w:rFonts w:ascii="Arial" w:hAnsi="Arial" w:cs="Arial"/>
          <w:sz w:val="22"/>
          <w:szCs w:val="22"/>
        </w:rPr>
      </w:pPr>
      <w:r>
        <w:rPr>
          <w:rFonts w:ascii="Arial" w:hAnsi="Arial" w:cs="Arial"/>
          <w:sz w:val="22"/>
          <w:szCs w:val="22"/>
        </w:rPr>
        <w:t>Accessed 24</w:t>
      </w:r>
      <w:r w:rsidRPr="00EB024C">
        <w:rPr>
          <w:rFonts w:ascii="Arial" w:hAnsi="Arial" w:cs="Arial"/>
          <w:sz w:val="22"/>
          <w:szCs w:val="22"/>
          <w:vertAlign w:val="superscript"/>
        </w:rPr>
        <w:t>th</w:t>
      </w:r>
      <w:r>
        <w:rPr>
          <w:rFonts w:ascii="Arial" w:hAnsi="Arial" w:cs="Arial"/>
          <w:sz w:val="22"/>
          <w:szCs w:val="22"/>
        </w:rPr>
        <w:t xml:space="preserve"> October 2019.</w:t>
      </w:r>
    </w:p>
    <w:p w14:paraId="0DCDD63D" w14:textId="77777777" w:rsidR="00DF57DF" w:rsidRDefault="00DF57DF" w:rsidP="00DF57DF">
      <w:pPr>
        <w:spacing w:line="480" w:lineRule="auto"/>
        <w:rPr>
          <w:rFonts w:ascii="Arial" w:hAnsi="Arial" w:cs="Arial"/>
          <w:sz w:val="22"/>
          <w:szCs w:val="22"/>
        </w:rPr>
      </w:pPr>
    </w:p>
    <w:p w14:paraId="2CA0994F"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Eraut, M. (2005). Expert and expertise: Meanings and perspectives. </w:t>
      </w:r>
      <w:r w:rsidRPr="00202D19">
        <w:rPr>
          <w:rFonts w:ascii="Arial" w:hAnsi="Arial" w:cs="Arial"/>
          <w:i/>
          <w:iCs/>
          <w:sz w:val="22"/>
          <w:szCs w:val="22"/>
        </w:rPr>
        <w:t>Learning in Health and Social Care</w:t>
      </w:r>
      <w:r>
        <w:rPr>
          <w:rFonts w:ascii="Arial" w:hAnsi="Arial" w:cs="Arial"/>
          <w:sz w:val="22"/>
          <w:szCs w:val="22"/>
        </w:rPr>
        <w:t>, 4, 173-179.</w:t>
      </w:r>
    </w:p>
    <w:p w14:paraId="2826398D" w14:textId="77777777" w:rsidR="00DF57DF" w:rsidRDefault="00DF57DF" w:rsidP="00DF57DF">
      <w:pPr>
        <w:spacing w:line="480" w:lineRule="auto"/>
        <w:rPr>
          <w:rFonts w:ascii="Arial" w:hAnsi="Arial" w:cs="Arial"/>
          <w:sz w:val="22"/>
          <w:szCs w:val="22"/>
        </w:rPr>
      </w:pPr>
    </w:p>
    <w:p w14:paraId="5D7AA57F"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Evening Standard. (2019). </w:t>
      </w:r>
      <w:r w:rsidRPr="00505063">
        <w:rPr>
          <w:rFonts w:ascii="Arial" w:hAnsi="Arial" w:cs="Arial"/>
          <w:i/>
          <w:iCs/>
          <w:sz w:val="22"/>
          <w:szCs w:val="22"/>
        </w:rPr>
        <w:t xml:space="preserve">Can AI treat depression and anxiety? </w:t>
      </w:r>
      <w:r>
        <w:rPr>
          <w:rFonts w:ascii="Arial" w:hAnsi="Arial" w:cs="Arial"/>
          <w:i/>
          <w:iCs/>
          <w:sz w:val="22"/>
          <w:szCs w:val="22"/>
        </w:rPr>
        <w:t>U</w:t>
      </w:r>
      <w:r w:rsidRPr="00505063">
        <w:rPr>
          <w:rFonts w:ascii="Arial" w:hAnsi="Arial" w:cs="Arial"/>
          <w:i/>
          <w:iCs/>
          <w:sz w:val="22"/>
          <w:szCs w:val="22"/>
        </w:rPr>
        <w:t>sing artificial intelligence in cognitive behavioural therapy for mental health issues</w:t>
      </w:r>
      <w:r>
        <w:rPr>
          <w:rFonts w:ascii="Arial" w:hAnsi="Arial" w:cs="Arial"/>
          <w:sz w:val="22"/>
          <w:szCs w:val="22"/>
        </w:rPr>
        <w:t>. Evening Standard, 6th March, 2019.</w:t>
      </w:r>
    </w:p>
    <w:p w14:paraId="452BD9B8" w14:textId="77777777" w:rsidR="00DF57DF" w:rsidRDefault="00DF57DF" w:rsidP="00DF57DF">
      <w:pPr>
        <w:spacing w:line="480" w:lineRule="auto"/>
        <w:rPr>
          <w:rFonts w:ascii="Arial" w:hAnsi="Arial" w:cs="Arial"/>
          <w:sz w:val="22"/>
          <w:szCs w:val="22"/>
        </w:rPr>
      </w:pPr>
    </w:p>
    <w:p w14:paraId="3E4C46DA"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Everitt, B.S. (1977). </w:t>
      </w:r>
      <w:r w:rsidRPr="00796C3C">
        <w:rPr>
          <w:rFonts w:ascii="Arial" w:hAnsi="Arial" w:cs="Arial"/>
          <w:i/>
          <w:iCs/>
          <w:sz w:val="22"/>
          <w:szCs w:val="22"/>
        </w:rPr>
        <w:t>The Analysis of Contingency Tables</w:t>
      </w:r>
      <w:r>
        <w:rPr>
          <w:rFonts w:ascii="Arial" w:hAnsi="Arial" w:cs="Arial"/>
          <w:sz w:val="22"/>
          <w:szCs w:val="22"/>
        </w:rPr>
        <w:t>.  London, Halstead Press.</w:t>
      </w:r>
    </w:p>
    <w:p w14:paraId="0F46FF53" w14:textId="77777777" w:rsidR="00DF57DF" w:rsidRDefault="00DF57DF" w:rsidP="00DF57DF">
      <w:pPr>
        <w:spacing w:line="480" w:lineRule="auto"/>
        <w:rPr>
          <w:rFonts w:ascii="Arial" w:hAnsi="Arial" w:cs="Arial"/>
          <w:sz w:val="22"/>
          <w:szCs w:val="22"/>
        </w:rPr>
      </w:pPr>
    </w:p>
    <w:p w14:paraId="31BDDCBC"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Ewbank, M.P., Cummins, R., Tablan, V., Bateup, S., Catarino, A., Martin, A.J., Blackwell, A.D. (2019). Quantifying the association between psychotherapy content and clinical outcomes using deep learning. JAMA Psychiatry. Available online at </w:t>
      </w:r>
      <w:r w:rsidRPr="00B171AF">
        <w:rPr>
          <w:rFonts w:ascii="Arial" w:hAnsi="Arial" w:cs="Arial"/>
          <w:sz w:val="22"/>
          <w:szCs w:val="22"/>
        </w:rPr>
        <w:t>https://jamanetwork.com/journals/jamapsychiatry/fullarticle/2748757</w:t>
      </w:r>
    </w:p>
    <w:p w14:paraId="5BC9DA02" w14:textId="77777777" w:rsidR="00DF57DF" w:rsidRDefault="00DF57DF" w:rsidP="00DF57DF">
      <w:pPr>
        <w:spacing w:line="480" w:lineRule="auto"/>
        <w:rPr>
          <w:rFonts w:ascii="Arial" w:hAnsi="Arial" w:cs="Arial"/>
          <w:sz w:val="22"/>
          <w:szCs w:val="22"/>
        </w:rPr>
      </w:pPr>
      <w:r>
        <w:rPr>
          <w:rFonts w:ascii="Arial" w:hAnsi="Arial" w:cs="Arial"/>
          <w:sz w:val="22"/>
          <w:szCs w:val="22"/>
        </w:rPr>
        <w:t>Accessed 8</w:t>
      </w:r>
      <w:r w:rsidRPr="00B171AF">
        <w:rPr>
          <w:rFonts w:ascii="Arial" w:hAnsi="Arial" w:cs="Arial"/>
          <w:sz w:val="22"/>
          <w:szCs w:val="22"/>
          <w:vertAlign w:val="superscript"/>
        </w:rPr>
        <w:t>th</w:t>
      </w:r>
      <w:r>
        <w:rPr>
          <w:rFonts w:ascii="Arial" w:hAnsi="Arial" w:cs="Arial"/>
          <w:sz w:val="22"/>
          <w:szCs w:val="22"/>
        </w:rPr>
        <w:t xml:space="preserve"> November 2019.</w:t>
      </w:r>
    </w:p>
    <w:p w14:paraId="69BD6407" w14:textId="77777777" w:rsidR="00DF57DF" w:rsidRDefault="00DF57DF" w:rsidP="00DF57DF">
      <w:pPr>
        <w:spacing w:line="480" w:lineRule="auto"/>
        <w:rPr>
          <w:rFonts w:ascii="Arial" w:hAnsi="Arial" w:cs="Arial"/>
          <w:sz w:val="22"/>
          <w:szCs w:val="22"/>
        </w:rPr>
      </w:pPr>
    </w:p>
    <w:p w14:paraId="21B35090"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Eysenck, H.J. (1966). Personality and experimental psychology. </w:t>
      </w:r>
      <w:r w:rsidRPr="00FB76AF">
        <w:rPr>
          <w:rFonts w:ascii="Arial" w:hAnsi="Arial" w:cs="Arial"/>
          <w:i/>
          <w:iCs/>
          <w:sz w:val="22"/>
          <w:szCs w:val="22"/>
        </w:rPr>
        <w:t>Bulletin of the British Psychological Society</w:t>
      </w:r>
      <w:r>
        <w:rPr>
          <w:rFonts w:ascii="Arial" w:hAnsi="Arial" w:cs="Arial"/>
          <w:sz w:val="22"/>
          <w:szCs w:val="22"/>
        </w:rPr>
        <w:t>, 19, 1-28.</w:t>
      </w:r>
    </w:p>
    <w:p w14:paraId="77266CFD" w14:textId="77777777" w:rsidR="00DF57DF" w:rsidRDefault="00DF57DF" w:rsidP="00DF57DF">
      <w:pPr>
        <w:spacing w:line="480" w:lineRule="auto"/>
        <w:rPr>
          <w:rFonts w:ascii="Arial" w:hAnsi="Arial" w:cs="Arial"/>
          <w:sz w:val="22"/>
          <w:szCs w:val="22"/>
        </w:rPr>
      </w:pPr>
    </w:p>
    <w:p w14:paraId="18302D75"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Farmer, C.C., Mitchell, K.S., Parker-Guilbert, K., and Galovski, T.E. (2017). Fidelity to the cognitive processing therapy protocol: Evaluation of critical elements. </w:t>
      </w:r>
      <w:r w:rsidRPr="00C953C4">
        <w:rPr>
          <w:rFonts w:ascii="Arial" w:hAnsi="Arial" w:cs="Arial"/>
          <w:i/>
          <w:iCs/>
          <w:sz w:val="22"/>
          <w:szCs w:val="22"/>
        </w:rPr>
        <w:t>Behavior Therapy</w:t>
      </w:r>
      <w:r>
        <w:rPr>
          <w:rFonts w:ascii="Arial" w:hAnsi="Arial" w:cs="Arial"/>
          <w:sz w:val="22"/>
          <w:szCs w:val="22"/>
        </w:rPr>
        <w:t>, 48, 195-206.</w:t>
      </w:r>
    </w:p>
    <w:p w14:paraId="0B4CAB9D" w14:textId="77777777" w:rsidR="00DF57DF" w:rsidRDefault="00DF57DF" w:rsidP="00DF57DF">
      <w:pPr>
        <w:spacing w:line="480" w:lineRule="auto"/>
        <w:rPr>
          <w:rFonts w:ascii="Arial" w:hAnsi="Arial" w:cs="Arial"/>
          <w:sz w:val="22"/>
          <w:szCs w:val="22"/>
        </w:rPr>
      </w:pPr>
    </w:p>
    <w:p w14:paraId="17604BCD"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lastRenderedPageBreak/>
        <w:t xml:space="preserve">Fairburn, C.G., and Cooper, Z. (2011). Therapist competence, therapy quality and therapist training. </w:t>
      </w:r>
      <w:r w:rsidRPr="000B2751">
        <w:rPr>
          <w:rFonts w:ascii="Arial" w:hAnsi="Arial" w:cs="Arial"/>
          <w:i/>
          <w:iCs/>
          <w:sz w:val="22"/>
          <w:szCs w:val="22"/>
        </w:rPr>
        <w:t>Behaviour Research and Therapy</w:t>
      </w:r>
      <w:r>
        <w:rPr>
          <w:rFonts w:ascii="Arial" w:hAnsi="Arial" w:cs="Arial"/>
          <w:sz w:val="22"/>
          <w:szCs w:val="22"/>
        </w:rPr>
        <w:t>, 49, 373-378.</w:t>
      </w:r>
    </w:p>
    <w:p w14:paraId="6448BFED" w14:textId="77777777" w:rsidR="00DF57DF" w:rsidRDefault="00DF57DF" w:rsidP="00DF57DF">
      <w:pPr>
        <w:spacing w:line="480" w:lineRule="auto"/>
        <w:rPr>
          <w:rFonts w:ascii="Arial" w:hAnsi="Arial" w:cs="Arial"/>
          <w:sz w:val="22"/>
          <w:szCs w:val="22"/>
        </w:rPr>
      </w:pPr>
    </w:p>
    <w:p w14:paraId="55F7D9BD"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Fairburn, C.G., Cooper, Z., Doll, H.A., O'Connor, M.E., Bohn, K., Hawker, D.M.  (2009). Transdiagnostic cognitive-behavioural therapy for patients with eating disorders: A two-site trial with 60-week follow-up. </w:t>
      </w:r>
      <w:r w:rsidRPr="00EC1A69">
        <w:rPr>
          <w:rFonts w:ascii="Arial" w:hAnsi="Arial" w:cs="Arial"/>
          <w:i/>
          <w:iCs/>
          <w:sz w:val="22"/>
          <w:szCs w:val="22"/>
        </w:rPr>
        <w:t>American Journal of Psychiatry,</w:t>
      </w:r>
      <w:r>
        <w:rPr>
          <w:rFonts w:ascii="Arial" w:hAnsi="Arial" w:cs="Arial"/>
          <w:sz w:val="22"/>
          <w:szCs w:val="22"/>
        </w:rPr>
        <w:t xml:space="preserve"> 166, 311-319.</w:t>
      </w:r>
    </w:p>
    <w:p w14:paraId="2068FE0E" w14:textId="77777777" w:rsidR="00DF57DF" w:rsidRDefault="00DF57DF" w:rsidP="00DF57DF">
      <w:pPr>
        <w:spacing w:line="480" w:lineRule="auto"/>
        <w:rPr>
          <w:rFonts w:ascii="Arial" w:hAnsi="Arial" w:cs="Arial"/>
          <w:sz w:val="22"/>
          <w:szCs w:val="22"/>
        </w:rPr>
      </w:pPr>
    </w:p>
    <w:p w14:paraId="76E7231E"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t>Firth, N., Saxon, D., Stiles, W.B. and Barkham, M. (2019). Therapist and clinic effects in psychotherapy: A three level model of outcome variability. J</w:t>
      </w:r>
      <w:r w:rsidRPr="00960822">
        <w:rPr>
          <w:rFonts w:ascii="Arial" w:hAnsi="Arial" w:cs="Arial"/>
          <w:i/>
          <w:iCs/>
          <w:sz w:val="22"/>
          <w:szCs w:val="22"/>
        </w:rPr>
        <w:t>ournal of Consulting and Clinical Psychology</w:t>
      </w:r>
      <w:r>
        <w:rPr>
          <w:rFonts w:ascii="Arial" w:hAnsi="Arial" w:cs="Arial"/>
          <w:sz w:val="22"/>
          <w:szCs w:val="22"/>
        </w:rPr>
        <w:t>, 87, 345-356.</w:t>
      </w:r>
    </w:p>
    <w:p w14:paraId="1C3B3368" w14:textId="77777777" w:rsidR="00DF57DF" w:rsidRPr="005D264F" w:rsidRDefault="00DF57DF" w:rsidP="00DF57DF">
      <w:pPr>
        <w:spacing w:line="480" w:lineRule="auto"/>
        <w:rPr>
          <w:rFonts w:ascii="Arial" w:hAnsi="Arial" w:cs="Arial"/>
          <w:sz w:val="22"/>
          <w:szCs w:val="22"/>
        </w:rPr>
      </w:pPr>
    </w:p>
    <w:p w14:paraId="262FD9DA"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Fisher, J.E. and Happell, B. (2009)</w:t>
      </w:r>
      <w:r>
        <w:rPr>
          <w:rFonts w:ascii="Arial" w:hAnsi="Arial" w:cs="Arial"/>
          <w:sz w:val="22"/>
          <w:szCs w:val="22"/>
        </w:rPr>
        <w:t>.</w:t>
      </w:r>
      <w:r w:rsidRPr="005D264F">
        <w:rPr>
          <w:rFonts w:ascii="Arial" w:hAnsi="Arial" w:cs="Arial"/>
          <w:sz w:val="22"/>
          <w:szCs w:val="22"/>
        </w:rPr>
        <w:t xml:space="preserve"> Implication of evidence</w:t>
      </w:r>
      <w:r>
        <w:rPr>
          <w:rFonts w:ascii="Arial" w:hAnsi="Arial" w:cs="Arial"/>
          <w:sz w:val="22"/>
          <w:szCs w:val="22"/>
        </w:rPr>
        <w:t>-</w:t>
      </w:r>
      <w:r w:rsidRPr="005D264F">
        <w:rPr>
          <w:rFonts w:ascii="Arial" w:hAnsi="Arial" w:cs="Arial"/>
          <w:sz w:val="22"/>
          <w:szCs w:val="22"/>
        </w:rPr>
        <w:t xml:space="preserve">based practice for mental health nursing.  </w:t>
      </w:r>
      <w:r w:rsidRPr="005D264F">
        <w:rPr>
          <w:rFonts w:ascii="Arial" w:hAnsi="Arial" w:cs="Arial"/>
          <w:i/>
          <w:sz w:val="22"/>
          <w:szCs w:val="22"/>
        </w:rPr>
        <w:t>International Journal of Mental Health Nursing</w:t>
      </w:r>
      <w:r w:rsidRPr="005D264F">
        <w:rPr>
          <w:rFonts w:ascii="Arial" w:hAnsi="Arial" w:cs="Arial"/>
          <w:sz w:val="22"/>
          <w:szCs w:val="22"/>
        </w:rPr>
        <w:t>, 18 (3), 179-185.</w:t>
      </w:r>
    </w:p>
    <w:p w14:paraId="14C53519" w14:textId="77777777" w:rsidR="00DF57DF" w:rsidRDefault="00DF57DF" w:rsidP="00DF57DF">
      <w:pPr>
        <w:spacing w:line="480" w:lineRule="auto"/>
        <w:rPr>
          <w:rFonts w:ascii="Arial" w:hAnsi="Arial" w:cs="Arial"/>
          <w:sz w:val="22"/>
          <w:szCs w:val="22"/>
        </w:rPr>
      </w:pPr>
    </w:p>
    <w:p w14:paraId="6C92BCB2"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Fiske, D.W. (1977). Methodological issues in research on the psychotherapist. In Gurman, A.S., and Razin, A.M. (Eds) </w:t>
      </w:r>
      <w:r w:rsidRPr="00820D76">
        <w:rPr>
          <w:rFonts w:ascii="Arial" w:hAnsi="Arial" w:cs="Arial"/>
          <w:i/>
          <w:iCs/>
          <w:sz w:val="22"/>
          <w:szCs w:val="22"/>
        </w:rPr>
        <w:t xml:space="preserve">Effective Psychotherapy: A Handbook of Research </w:t>
      </w:r>
      <w:r>
        <w:rPr>
          <w:rFonts w:ascii="Arial" w:hAnsi="Arial" w:cs="Arial"/>
          <w:sz w:val="22"/>
          <w:szCs w:val="22"/>
        </w:rPr>
        <w:t>(pp.23-43). New York, Pergamon.</w:t>
      </w:r>
    </w:p>
    <w:p w14:paraId="545DF6D8" w14:textId="77777777" w:rsidR="00DF57DF" w:rsidRDefault="00DF57DF" w:rsidP="00DF57DF">
      <w:pPr>
        <w:spacing w:line="480" w:lineRule="auto"/>
        <w:rPr>
          <w:rFonts w:ascii="Arial" w:hAnsi="Arial" w:cs="Arial"/>
          <w:sz w:val="22"/>
          <w:szCs w:val="22"/>
        </w:rPr>
      </w:pPr>
    </w:p>
    <w:p w14:paraId="33D391D0"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t xml:space="preserve">Fluckiger, C., Del Re, A.C., Wampold, B.E., Symonds, D., and Horvath, A.O. (2012). How central is the alliance in psychotherapy? A multilevel longitudinal meta-analysis. </w:t>
      </w:r>
      <w:r w:rsidRPr="000B0BEB">
        <w:rPr>
          <w:rFonts w:ascii="Arial" w:hAnsi="Arial" w:cs="Arial"/>
          <w:i/>
          <w:iCs/>
          <w:sz w:val="22"/>
          <w:szCs w:val="22"/>
        </w:rPr>
        <w:t>Journal of Counselling Psychology</w:t>
      </w:r>
      <w:r>
        <w:rPr>
          <w:rFonts w:ascii="Arial" w:hAnsi="Arial" w:cs="Arial"/>
          <w:sz w:val="22"/>
          <w:szCs w:val="22"/>
        </w:rPr>
        <w:t>, 59, 10-17.</w:t>
      </w:r>
    </w:p>
    <w:p w14:paraId="568DAE21" w14:textId="77777777" w:rsidR="00DF57DF" w:rsidRPr="005D264F" w:rsidRDefault="00DF57DF" w:rsidP="00DF57DF">
      <w:pPr>
        <w:spacing w:line="480" w:lineRule="auto"/>
        <w:rPr>
          <w:rFonts w:ascii="Arial" w:hAnsi="Arial" w:cs="Arial"/>
          <w:sz w:val="22"/>
          <w:szCs w:val="22"/>
        </w:rPr>
      </w:pPr>
    </w:p>
    <w:p w14:paraId="145E1277" w14:textId="77777777" w:rsidR="00DF57DF" w:rsidRPr="005D264F" w:rsidRDefault="00DF57DF" w:rsidP="00DF57DF">
      <w:pPr>
        <w:spacing w:line="480" w:lineRule="auto"/>
        <w:rPr>
          <w:rFonts w:ascii="Arial" w:hAnsi="Arial" w:cs="Arial"/>
          <w:i/>
          <w:iCs/>
          <w:color w:val="000000"/>
          <w:sz w:val="22"/>
          <w:szCs w:val="22"/>
        </w:rPr>
      </w:pPr>
      <w:r w:rsidRPr="005D264F">
        <w:rPr>
          <w:rFonts w:ascii="Arial" w:hAnsi="Arial" w:cs="Arial"/>
          <w:color w:val="000000"/>
          <w:sz w:val="22"/>
          <w:szCs w:val="22"/>
          <w:shd w:val="clear" w:color="auto" w:fill="E5E2DD"/>
        </w:rPr>
        <w:t>Foa, E.B., Kozak, M.J.,</w:t>
      </w:r>
      <w:r>
        <w:rPr>
          <w:rFonts w:ascii="Arial" w:hAnsi="Arial" w:cs="Arial"/>
          <w:color w:val="000000"/>
          <w:sz w:val="22"/>
          <w:szCs w:val="22"/>
          <w:shd w:val="clear" w:color="auto" w:fill="E5E2DD"/>
        </w:rPr>
        <w:t xml:space="preserve"> </w:t>
      </w:r>
      <w:r w:rsidRPr="005D264F">
        <w:rPr>
          <w:rFonts w:ascii="Arial" w:hAnsi="Arial" w:cs="Arial"/>
          <w:color w:val="000000"/>
          <w:sz w:val="22"/>
          <w:szCs w:val="22"/>
          <w:shd w:val="clear" w:color="auto" w:fill="E5E2DD"/>
        </w:rPr>
        <w:t>Salkovskis, P.M., Coles, M.E. &amp; Amir, N. (1998)</w:t>
      </w:r>
      <w:r>
        <w:rPr>
          <w:rFonts w:ascii="Arial" w:hAnsi="Arial" w:cs="Arial"/>
          <w:color w:val="000000"/>
          <w:sz w:val="22"/>
          <w:szCs w:val="22"/>
          <w:shd w:val="clear" w:color="auto" w:fill="E5E2DD"/>
        </w:rPr>
        <w:t>.</w:t>
      </w:r>
      <w:r w:rsidRPr="005D264F">
        <w:rPr>
          <w:rFonts w:ascii="Arial" w:hAnsi="Arial" w:cs="Arial"/>
          <w:color w:val="000000"/>
          <w:sz w:val="22"/>
          <w:szCs w:val="22"/>
          <w:shd w:val="clear" w:color="auto" w:fill="E5E2DD"/>
        </w:rPr>
        <w:t> </w:t>
      </w:r>
      <w:r w:rsidRPr="00B60AB5">
        <w:rPr>
          <w:rFonts w:ascii="Arial" w:hAnsi="Arial" w:cs="Arial"/>
          <w:color w:val="000000"/>
          <w:sz w:val="22"/>
          <w:szCs w:val="22"/>
        </w:rPr>
        <w:t>The validation of a new obsessive</w:t>
      </w:r>
      <w:r>
        <w:rPr>
          <w:rFonts w:ascii="Arial" w:hAnsi="Arial" w:cs="Arial"/>
          <w:color w:val="000000"/>
          <w:sz w:val="22"/>
          <w:szCs w:val="22"/>
        </w:rPr>
        <w:t>-</w:t>
      </w:r>
      <w:r w:rsidRPr="00B60AB5">
        <w:rPr>
          <w:rFonts w:ascii="Arial" w:hAnsi="Arial" w:cs="Arial"/>
          <w:color w:val="000000"/>
          <w:sz w:val="22"/>
          <w:szCs w:val="22"/>
        </w:rPr>
        <w:t>compulsive disorder scale: The Obsessive Compulsive Inventory (OCI)</w:t>
      </w:r>
      <w:r>
        <w:rPr>
          <w:rFonts w:ascii="Arial" w:hAnsi="Arial" w:cs="Arial"/>
          <w:color w:val="000000"/>
          <w:sz w:val="22"/>
          <w:szCs w:val="22"/>
        </w:rPr>
        <w:t>.</w:t>
      </w:r>
      <w:r w:rsidRPr="005D264F">
        <w:rPr>
          <w:rFonts w:ascii="Arial" w:hAnsi="Arial" w:cs="Arial"/>
          <w:i/>
          <w:iCs/>
          <w:color w:val="000000"/>
          <w:sz w:val="22"/>
          <w:szCs w:val="22"/>
        </w:rPr>
        <w:t xml:space="preserve"> Psychological Assessment 10, 206-214.</w:t>
      </w:r>
    </w:p>
    <w:p w14:paraId="77F716F9" w14:textId="77777777" w:rsidR="00DF57DF" w:rsidRPr="005D264F" w:rsidRDefault="00DF57DF" w:rsidP="00DF57DF">
      <w:pPr>
        <w:spacing w:line="480" w:lineRule="auto"/>
        <w:rPr>
          <w:rFonts w:ascii="Arial" w:hAnsi="Arial" w:cs="Arial"/>
          <w:i/>
          <w:iCs/>
          <w:color w:val="000000"/>
          <w:sz w:val="22"/>
          <w:szCs w:val="22"/>
        </w:rPr>
      </w:pPr>
    </w:p>
    <w:p w14:paraId="5D39540D" w14:textId="77777777" w:rsidR="00DF57DF" w:rsidRDefault="00DF57DF" w:rsidP="00DF57DF">
      <w:pPr>
        <w:spacing w:line="480" w:lineRule="auto"/>
        <w:rPr>
          <w:rFonts w:ascii="Arial" w:hAnsi="Arial" w:cs="Arial"/>
          <w:sz w:val="22"/>
          <w:szCs w:val="22"/>
          <w:shd w:val="clear" w:color="auto" w:fill="FFFFFF"/>
        </w:rPr>
      </w:pPr>
      <w:r w:rsidRPr="005D264F">
        <w:rPr>
          <w:rFonts w:ascii="Arial" w:hAnsi="Arial" w:cs="Arial"/>
          <w:sz w:val="22"/>
          <w:szCs w:val="22"/>
          <w:shd w:val="clear" w:color="auto" w:fill="FFFFFF"/>
        </w:rPr>
        <w:t>Foa, E.B. &amp; Rothbaum, B.A. (1998)</w:t>
      </w:r>
      <w:r>
        <w:rPr>
          <w:rFonts w:ascii="Arial" w:hAnsi="Arial" w:cs="Arial"/>
          <w:sz w:val="22"/>
          <w:szCs w:val="22"/>
          <w:shd w:val="clear" w:color="auto" w:fill="FFFFFF"/>
        </w:rPr>
        <w:t>.</w:t>
      </w:r>
      <w:r w:rsidRPr="005D264F">
        <w:rPr>
          <w:rFonts w:ascii="Arial" w:hAnsi="Arial" w:cs="Arial"/>
          <w:sz w:val="22"/>
          <w:szCs w:val="22"/>
          <w:shd w:val="clear" w:color="auto" w:fill="FFFFFF"/>
        </w:rPr>
        <w:t xml:space="preserve"> </w:t>
      </w:r>
      <w:r w:rsidRPr="005D264F">
        <w:rPr>
          <w:rFonts w:ascii="Arial" w:hAnsi="Arial" w:cs="Arial"/>
          <w:i/>
          <w:iCs/>
          <w:sz w:val="22"/>
          <w:szCs w:val="22"/>
          <w:shd w:val="clear" w:color="auto" w:fill="FFFFFF"/>
        </w:rPr>
        <w:t xml:space="preserve">Treating the trauma of rape: Cognitive behavioral therapy for PTSD . </w:t>
      </w:r>
      <w:r w:rsidRPr="005D264F">
        <w:rPr>
          <w:rFonts w:ascii="Arial" w:hAnsi="Arial" w:cs="Arial"/>
          <w:sz w:val="22"/>
          <w:szCs w:val="22"/>
          <w:shd w:val="clear" w:color="auto" w:fill="FFFFFF"/>
        </w:rPr>
        <w:t xml:space="preserve">New York: Guilford Press </w:t>
      </w:r>
    </w:p>
    <w:p w14:paraId="7B5A71D4" w14:textId="77777777" w:rsidR="00DF57DF" w:rsidRDefault="00DF57DF" w:rsidP="00DF57DF">
      <w:pPr>
        <w:spacing w:line="480" w:lineRule="auto"/>
        <w:rPr>
          <w:rFonts w:ascii="Arial" w:hAnsi="Arial" w:cs="Arial"/>
          <w:sz w:val="22"/>
          <w:szCs w:val="22"/>
          <w:shd w:val="clear" w:color="auto" w:fill="FFFFFF"/>
        </w:rPr>
      </w:pPr>
    </w:p>
    <w:p w14:paraId="57CDBC90" w14:textId="77777777" w:rsidR="00DF57DF" w:rsidRDefault="00DF57DF" w:rsidP="00DF57DF">
      <w:pPr>
        <w:spacing w:line="480" w:lineRule="auto"/>
        <w:rPr>
          <w:rFonts w:ascii="Arial" w:hAnsi="Arial" w:cs="Arial"/>
          <w:sz w:val="22"/>
          <w:szCs w:val="22"/>
          <w:shd w:val="clear" w:color="auto" w:fill="FFFFFF"/>
        </w:rPr>
      </w:pPr>
      <w:r>
        <w:rPr>
          <w:rFonts w:ascii="Arial" w:hAnsi="Arial" w:cs="Arial"/>
          <w:sz w:val="22"/>
          <w:szCs w:val="22"/>
          <w:shd w:val="clear" w:color="auto" w:fill="FFFFFF"/>
        </w:rPr>
        <w:t xml:space="preserve">Frank, J.D., and Frank, J.A. (1991). </w:t>
      </w:r>
      <w:r w:rsidRPr="009943BA">
        <w:rPr>
          <w:rFonts w:ascii="Arial" w:hAnsi="Arial" w:cs="Arial"/>
          <w:i/>
          <w:iCs/>
          <w:sz w:val="22"/>
          <w:szCs w:val="22"/>
          <w:shd w:val="clear" w:color="auto" w:fill="FFFFFF"/>
        </w:rPr>
        <w:t>Persuasion and Healing: A Comparative Study of Psychotherapy.</w:t>
      </w:r>
      <w:r>
        <w:rPr>
          <w:rFonts w:ascii="Arial" w:hAnsi="Arial" w:cs="Arial"/>
          <w:sz w:val="22"/>
          <w:szCs w:val="22"/>
          <w:shd w:val="clear" w:color="auto" w:fill="FFFFFF"/>
        </w:rPr>
        <w:t xml:space="preserve"> Baltimore, John Hopkins University Press.</w:t>
      </w:r>
    </w:p>
    <w:p w14:paraId="0AC7C58B" w14:textId="77777777" w:rsidR="00DF57DF" w:rsidRDefault="00DF57DF" w:rsidP="00DF57DF">
      <w:pPr>
        <w:spacing w:line="480" w:lineRule="auto"/>
        <w:rPr>
          <w:rFonts w:ascii="Arial" w:hAnsi="Arial" w:cs="Arial"/>
          <w:sz w:val="22"/>
          <w:szCs w:val="22"/>
          <w:shd w:val="clear" w:color="auto" w:fill="FFFFFF"/>
        </w:rPr>
      </w:pPr>
    </w:p>
    <w:p w14:paraId="2CF2282F" w14:textId="77777777" w:rsidR="00DF57DF" w:rsidRPr="00F6477A" w:rsidRDefault="00DF57DF" w:rsidP="00DF57DF">
      <w:pPr>
        <w:spacing w:line="480" w:lineRule="auto"/>
        <w:rPr>
          <w:rFonts w:ascii="Arial" w:hAnsi="Arial" w:cs="Arial"/>
          <w:sz w:val="22"/>
          <w:szCs w:val="22"/>
          <w:lang w:val="en-US"/>
        </w:rPr>
      </w:pPr>
      <w:r w:rsidRPr="00F6477A">
        <w:rPr>
          <w:rFonts w:ascii="Arial" w:hAnsi="Arial" w:cs="Arial"/>
          <w:sz w:val="22"/>
          <w:szCs w:val="22"/>
          <w:lang w:val="en-US"/>
        </w:rPr>
        <w:t>Freeman, D., Reeve, S., Robinson, A., Ehlers, A., Clark, D., Spanlang, B. and Slater, M. (2017)</w:t>
      </w:r>
      <w:r>
        <w:rPr>
          <w:rFonts w:ascii="Arial" w:hAnsi="Arial" w:cs="Arial"/>
          <w:sz w:val="22"/>
          <w:szCs w:val="22"/>
          <w:lang w:val="en-US"/>
        </w:rPr>
        <w:t>.</w:t>
      </w:r>
      <w:r w:rsidRPr="00F6477A">
        <w:rPr>
          <w:rFonts w:ascii="Arial" w:hAnsi="Arial" w:cs="Arial"/>
          <w:sz w:val="22"/>
          <w:szCs w:val="22"/>
          <w:lang w:val="en-US"/>
        </w:rPr>
        <w:t xml:space="preserve"> Virtual reality in the assessment, understanding, and treatment of mental health disorders.  </w:t>
      </w:r>
      <w:r w:rsidRPr="00F6477A">
        <w:rPr>
          <w:rFonts w:ascii="Arial" w:hAnsi="Arial" w:cs="Arial"/>
          <w:i/>
          <w:sz w:val="22"/>
          <w:szCs w:val="22"/>
          <w:lang w:val="en-US"/>
        </w:rPr>
        <w:t>Psychological Medicine</w:t>
      </w:r>
      <w:r w:rsidRPr="00F6477A">
        <w:rPr>
          <w:rFonts w:ascii="Arial" w:hAnsi="Arial" w:cs="Arial"/>
          <w:sz w:val="22"/>
          <w:szCs w:val="22"/>
          <w:lang w:val="en-US"/>
        </w:rPr>
        <w:t>, 47, 2393-2400.</w:t>
      </w:r>
    </w:p>
    <w:p w14:paraId="60FC5FE0" w14:textId="77777777" w:rsidR="00DF57DF" w:rsidRPr="00F6477A" w:rsidRDefault="00DF57DF" w:rsidP="00DF57DF">
      <w:pPr>
        <w:spacing w:line="480" w:lineRule="auto"/>
        <w:rPr>
          <w:rFonts w:ascii="Arial" w:hAnsi="Arial" w:cs="Arial"/>
          <w:sz w:val="22"/>
          <w:szCs w:val="22"/>
          <w:lang w:val="en-US"/>
        </w:rPr>
      </w:pPr>
    </w:p>
    <w:p w14:paraId="4CF6F52F" w14:textId="77777777" w:rsidR="00DF57DF" w:rsidRDefault="00DF57DF" w:rsidP="00DF57DF">
      <w:pPr>
        <w:spacing w:line="480" w:lineRule="auto"/>
        <w:rPr>
          <w:rFonts w:ascii="Arial" w:hAnsi="Arial" w:cs="Arial"/>
          <w:sz w:val="22"/>
          <w:szCs w:val="22"/>
          <w:lang w:val="en-US"/>
        </w:rPr>
      </w:pPr>
      <w:r w:rsidRPr="00F6477A">
        <w:rPr>
          <w:rFonts w:ascii="Arial" w:hAnsi="Arial" w:cs="Arial"/>
          <w:sz w:val="22"/>
          <w:szCs w:val="22"/>
          <w:lang w:val="en-US"/>
        </w:rPr>
        <w:t>Freeman, D., Haselton, P., Freeman, P., Spanlang, B., Kishore, S., Albery, E., Denne, M., Brown, P., Slater, M., and Nickless, A. (2018)</w:t>
      </w:r>
      <w:r>
        <w:rPr>
          <w:rFonts w:ascii="Arial" w:hAnsi="Arial" w:cs="Arial"/>
          <w:sz w:val="22"/>
          <w:szCs w:val="22"/>
          <w:lang w:val="en-US"/>
        </w:rPr>
        <w:t>.</w:t>
      </w:r>
      <w:r w:rsidRPr="00F6477A">
        <w:rPr>
          <w:rFonts w:ascii="Arial" w:hAnsi="Arial" w:cs="Arial"/>
          <w:sz w:val="22"/>
          <w:szCs w:val="22"/>
          <w:lang w:val="en-US"/>
        </w:rPr>
        <w:t xml:space="preserve"> Automated psychological therapy using immersive virtual reality for treatment of fear of heights: a single-blind, parallel-group, randomised controlled trial.  </w:t>
      </w:r>
      <w:r w:rsidRPr="00F6477A">
        <w:rPr>
          <w:rFonts w:ascii="Arial" w:hAnsi="Arial" w:cs="Arial"/>
          <w:i/>
          <w:sz w:val="22"/>
          <w:szCs w:val="22"/>
          <w:lang w:val="en-US"/>
        </w:rPr>
        <w:t>The Lancet</w:t>
      </w:r>
      <w:r w:rsidRPr="00F6477A">
        <w:rPr>
          <w:rFonts w:ascii="Arial" w:hAnsi="Arial" w:cs="Arial"/>
          <w:sz w:val="22"/>
          <w:szCs w:val="22"/>
          <w:lang w:val="en-US"/>
        </w:rPr>
        <w:t xml:space="preserve">.  </w:t>
      </w:r>
      <w:r>
        <w:rPr>
          <w:rFonts w:ascii="Arial" w:hAnsi="Arial" w:cs="Arial"/>
          <w:sz w:val="22"/>
          <w:szCs w:val="22"/>
          <w:lang w:val="en-US"/>
        </w:rPr>
        <w:t xml:space="preserve">Available online at </w:t>
      </w:r>
      <w:r w:rsidRPr="00F6477A">
        <w:rPr>
          <w:rFonts w:ascii="Arial" w:hAnsi="Arial" w:cs="Arial"/>
          <w:sz w:val="22"/>
          <w:szCs w:val="22"/>
          <w:lang w:val="en-US"/>
        </w:rPr>
        <w:t>https://www.thelancet.com/journals/lanpsy/article/PIIS2215-0366(18)30226-8/fulltext</w:t>
      </w:r>
    </w:p>
    <w:p w14:paraId="3928D9A0" w14:textId="77777777" w:rsidR="00DF57DF" w:rsidRPr="00F6477A" w:rsidRDefault="00DF57DF" w:rsidP="00DF57DF">
      <w:pPr>
        <w:spacing w:line="480" w:lineRule="auto"/>
        <w:rPr>
          <w:rFonts w:ascii="Arial" w:hAnsi="Arial" w:cs="Arial"/>
          <w:sz w:val="22"/>
          <w:szCs w:val="22"/>
          <w:lang w:val="en-US"/>
        </w:rPr>
      </w:pPr>
      <w:r>
        <w:rPr>
          <w:rFonts w:ascii="Arial" w:hAnsi="Arial" w:cs="Arial"/>
          <w:sz w:val="22"/>
          <w:szCs w:val="22"/>
          <w:lang w:val="en-US"/>
        </w:rPr>
        <w:t>Accessed 26</w:t>
      </w:r>
      <w:r w:rsidRPr="00F6477A">
        <w:rPr>
          <w:rFonts w:ascii="Arial" w:hAnsi="Arial" w:cs="Arial"/>
          <w:sz w:val="22"/>
          <w:szCs w:val="22"/>
          <w:vertAlign w:val="superscript"/>
          <w:lang w:val="en-US"/>
        </w:rPr>
        <w:t>th</w:t>
      </w:r>
      <w:r>
        <w:rPr>
          <w:rFonts w:ascii="Arial" w:hAnsi="Arial" w:cs="Arial"/>
          <w:sz w:val="22"/>
          <w:szCs w:val="22"/>
          <w:lang w:val="en-US"/>
        </w:rPr>
        <w:t xml:space="preserve"> October 2019.</w:t>
      </w:r>
    </w:p>
    <w:p w14:paraId="6F31A8E3" w14:textId="77777777" w:rsidR="00DF57DF" w:rsidRDefault="00DF57DF" w:rsidP="00DF57DF">
      <w:pPr>
        <w:spacing w:line="480" w:lineRule="auto"/>
        <w:rPr>
          <w:rFonts w:ascii="Arial" w:hAnsi="Arial" w:cs="Arial"/>
          <w:sz w:val="22"/>
          <w:szCs w:val="22"/>
          <w:shd w:val="clear" w:color="auto" w:fill="FFFFFF"/>
        </w:rPr>
      </w:pPr>
      <w:r>
        <w:rPr>
          <w:rFonts w:ascii="Arial" w:hAnsi="Arial" w:cs="Arial"/>
          <w:sz w:val="22"/>
          <w:szCs w:val="22"/>
          <w:shd w:val="clear" w:color="auto" w:fill="FFFFFF"/>
        </w:rPr>
        <w:t>Friedi, L., and Stearn, S. (2015). Postive affect as coercive strategy: Conditionality, activation and the role of psychology in UK government workfare programmes. Medical Humanties, 41, 40-47.</w:t>
      </w:r>
    </w:p>
    <w:p w14:paraId="5F28FD88" w14:textId="77777777" w:rsidR="00DF57DF" w:rsidRDefault="00DF57DF" w:rsidP="00DF57DF">
      <w:pPr>
        <w:spacing w:line="480" w:lineRule="auto"/>
        <w:rPr>
          <w:rFonts w:ascii="Arial" w:hAnsi="Arial" w:cs="Arial"/>
          <w:sz w:val="22"/>
          <w:szCs w:val="22"/>
          <w:shd w:val="clear" w:color="auto" w:fill="FFFFFF"/>
        </w:rPr>
      </w:pPr>
    </w:p>
    <w:p w14:paraId="429327FE" w14:textId="77777777" w:rsidR="00DF57DF" w:rsidRDefault="00DF57DF" w:rsidP="00DF57DF">
      <w:pPr>
        <w:spacing w:line="480" w:lineRule="auto"/>
        <w:rPr>
          <w:rFonts w:ascii="Arial" w:hAnsi="Arial" w:cs="Arial"/>
          <w:sz w:val="22"/>
          <w:szCs w:val="22"/>
          <w:shd w:val="clear" w:color="auto" w:fill="FFFFFF"/>
        </w:rPr>
      </w:pPr>
      <w:r>
        <w:rPr>
          <w:rFonts w:ascii="Arial" w:hAnsi="Arial" w:cs="Arial"/>
          <w:sz w:val="22"/>
          <w:szCs w:val="22"/>
          <w:shd w:val="clear" w:color="auto" w:fill="FFFFFF"/>
        </w:rPr>
        <w:t xml:space="preserve">Galvan, J.L., and Galvan, M.C. (2017). </w:t>
      </w:r>
      <w:r w:rsidRPr="00516BD4">
        <w:rPr>
          <w:rFonts w:ascii="Arial" w:hAnsi="Arial" w:cs="Arial"/>
          <w:i/>
          <w:iCs/>
          <w:sz w:val="22"/>
          <w:szCs w:val="22"/>
          <w:shd w:val="clear" w:color="auto" w:fill="FFFFFF"/>
        </w:rPr>
        <w:t>Writing Literature Reviews: A Guide for Students of the Social and Behavioural Sciences.</w:t>
      </w:r>
      <w:r>
        <w:rPr>
          <w:rFonts w:ascii="Arial" w:hAnsi="Arial" w:cs="Arial"/>
          <w:sz w:val="22"/>
          <w:szCs w:val="22"/>
          <w:shd w:val="clear" w:color="auto" w:fill="FFFFFF"/>
        </w:rPr>
        <w:t xml:space="preserve"> New York and London, Routledge.</w:t>
      </w:r>
    </w:p>
    <w:p w14:paraId="22721018" w14:textId="77777777" w:rsidR="00DF57DF" w:rsidRDefault="00DF57DF" w:rsidP="00DF57DF">
      <w:pPr>
        <w:spacing w:line="480" w:lineRule="auto"/>
        <w:rPr>
          <w:rFonts w:ascii="Arial" w:hAnsi="Arial" w:cs="Arial"/>
          <w:sz w:val="22"/>
          <w:szCs w:val="22"/>
          <w:shd w:val="clear" w:color="auto" w:fill="FFFFFF"/>
        </w:rPr>
      </w:pPr>
    </w:p>
    <w:p w14:paraId="0CE033E0" w14:textId="77777777" w:rsidR="00DF57DF" w:rsidRPr="007309D3" w:rsidRDefault="00DF57DF" w:rsidP="00DF57DF">
      <w:pPr>
        <w:spacing w:line="480" w:lineRule="auto"/>
        <w:rPr>
          <w:rFonts w:ascii="Arial" w:hAnsi="Arial" w:cs="Arial"/>
          <w:sz w:val="22"/>
          <w:szCs w:val="22"/>
          <w:shd w:val="clear" w:color="auto" w:fill="FFFFFF"/>
        </w:rPr>
      </w:pPr>
      <w:r w:rsidRPr="007309D3">
        <w:rPr>
          <w:rFonts w:ascii="Arial" w:hAnsi="Arial" w:cs="Arial"/>
          <w:sz w:val="22"/>
          <w:szCs w:val="22"/>
        </w:rPr>
        <w:t xml:space="preserve">Gauraha, N. (2017). Graphical log-linear models: fundamental concepts and applications. </w:t>
      </w:r>
      <w:r w:rsidRPr="0022284F">
        <w:rPr>
          <w:rFonts w:ascii="Arial" w:hAnsi="Arial" w:cs="Arial"/>
          <w:i/>
          <w:iCs/>
          <w:sz w:val="22"/>
          <w:szCs w:val="22"/>
        </w:rPr>
        <w:t>Journal of Modern Applied Statistical Methods</w:t>
      </w:r>
      <w:r w:rsidRPr="007309D3">
        <w:rPr>
          <w:rFonts w:ascii="Arial" w:hAnsi="Arial" w:cs="Arial"/>
          <w:sz w:val="22"/>
          <w:szCs w:val="22"/>
        </w:rPr>
        <w:t>, 16</w:t>
      </w:r>
      <w:r>
        <w:rPr>
          <w:rFonts w:ascii="Arial" w:hAnsi="Arial" w:cs="Arial"/>
          <w:sz w:val="22"/>
          <w:szCs w:val="22"/>
        </w:rPr>
        <w:t>,</w:t>
      </w:r>
      <w:r w:rsidRPr="007309D3">
        <w:rPr>
          <w:rFonts w:ascii="Arial" w:hAnsi="Arial" w:cs="Arial"/>
          <w:sz w:val="22"/>
          <w:szCs w:val="22"/>
        </w:rPr>
        <w:t xml:space="preserve"> 545-577</w:t>
      </w:r>
      <w:r>
        <w:rPr>
          <w:rFonts w:ascii="Arial" w:hAnsi="Arial" w:cs="Arial"/>
          <w:sz w:val="22"/>
          <w:szCs w:val="22"/>
        </w:rPr>
        <w:t>.</w:t>
      </w:r>
    </w:p>
    <w:p w14:paraId="1032D2F9" w14:textId="77777777" w:rsidR="00DF57DF" w:rsidRDefault="00DF57DF" w:rsidP="00DF57DF">
      <w:pPr>
        <w:spacing w:line="480" w:lineRule="auto"/>
        <w:rPr>
          <w:rFonts w:ascii="Arial" w:hAnsi="Arial" w:cs="Arial"/>
          <w:sz w:val="22"/>
          <w:szCs w:val="22"/>
          <w:shd w:val="clear" w:color="auto" w:fill="FFFFFF"/>
        </w:rPr>
      </w:pPr>
    </w:p>
    <w:p w14:paraId="08D44F96" w14:textId="77777777" w:rsidR="00DF57DF" w:rsidRDefault="00DF57DF" w:rsidP="00DF57DF">
      <w:pPr>
        <w:spacing w:line="480" w:lineRule="auto"/>
        <w:rPr>
          <w:rFonts w:ascii="Arial" w:hAnsi="Arial" w:cs="Arial"/>
          <w:sz w:val="22"/>
          <w:szCs w:val="22"/>
          <w:shd w:val="clear" w:color="auto" w:fill="FFFFFF"/>
        </w:rPr>
      </w:pPr>
      <w:r>
        <w:rPr>
          <w:rFonts w:ascii="Arial" w:hAnsi="Arial" w:cs="Arial"/>
          <w:sz w:val="22"/>
          <w:szCs w:val="22"/>
          <w:shd w:val="clear" w:color="auto" w:fill="FFFFFF"/>
        </w:rPr>
        <w:t xml:space="preserve">Gaudiano, B.A., (2013). Cognitive-behavioral therapies: Achievements and challenges. </w:t>
      </w:r>
      <w:r w:rsidRPr="00940FD4">
        <w:rPr>
          <w:rFonts w:ascii="Arial" w:hAnsi="Arial" w:cs="Arial"/>
          <w:i/>
          <w:iCs/>
          <w:sz w:val="22"/>
          <w:szCs w:val="22"/>
          <w:shd w:val="clear" w:color="auto" w:fill="FFFFFF"/>
        </w:rPr>
        <w:t>Evidence Based Mental Health</w:t>
      </w:r>
      <w:r>
        <w:rPr>
          <w:rFonts w:ascii="Arial" w:hAnsi="Arial" w:cs="Arial"/>
          <w:sz w:val="22"/>
          <w:szCs w:val="22"/>
          <w:shd w:val="clear" w:color="auto" w:fill="FFFFFF"/>
        </w:rPr>
        <w:t>, 11, 5-7.</w:t>
      </w:r>
    </w:p>
    <w:p w14:paraId="53FDD8A6" w14:textId="77777777" w:rsidR="00DF57DF" w:rsidRDefault="00DF57DF" w:rsidP="00DF57DF">
      <w:pPr>
        <w:spacing w:line="480" w:lineRule="auto"/>
        <w:rPr>
          <w:rFonts w:ascii="Arial" w:hAnsi="Arial" w:cs="Arial"/>
          <w:sz w:val="22"/>
          <w:szCs w:val="22"/>
          <w:shd w:val="clear" w:color="auto" w:fill="FFFFFF"/>
        </w:rPr>
      </w:pPr>
    </w:p>
    <w:p w14:paraId="4C6D4A1F" w14:textId="77777777" w:rsidR="00DF57DF" w:rsidRDefault="00DF57DF" w:rsidP="00DF57DF">
      <w:pPr>
        <w:spacing w:line="480" w:lineRule="auto"/>
        <w:rPr>
          <w:rFonts w:ascii="Arial" w:hAnsi="Arial" w:cs="Arial"/>
          <w:sz w:val="22"/>
          <w:szCs w:val="22"/>
          <w:shd w:val="clear" w:color="auto" w:fill="FFFFFF"/>
        </w:rPr>
      </w:pPr>
      <w:r>
        <w:rPr>
          <w:rFonts w:ascii="Arial" w:hAnsi="Arial" w:cs="Arial"/>
          <w:sz w:val="22"/>
          <w:szCs w:val="22"/>
          <w:shd w:val="clear" w:color="auto" w:fill="FFFFFF"/>
        </w:rPr>
        <w:t xml:space="preserve">Gelder, M. (2012).  </w:t>
      </w:r>
      <w:r w:rsidRPr="005509FF">
        <w:rPr>
          <w:rFonts w:ascii="Arial" w:hAnsi="Arial" w:cs="Arial"/>
          <w:i/>
          <w:iCs/>
          <w:sz w:val="22"/>
          <w:szCs w:val="22"/>
          <w:shd w:val="clear" w:color="auto" w:fill="FFFFFF"/>
        </w:rPr>
        <w:t>New Oxford Textbook of Psychiatry</w:t>
      </w:r>
      <w:r>
        <w:rPr>
          <w:rFonts w:ascii="Arial" w:hAnsi="Arial" w:cs="Arial"/>
          <w:sz w:val="22"/>
          <w:szCs w:val="22"/>
          <w:shd w:val="clear" w:color="auto" w:fill="FFFFFF"/>
        </w:rPr>
        <w:t>. Oxford, Oxford University Press.</w:t>
      </w:r>
    </w:p>
    <w:p w14:paraId="17C15DBB" w14:textId="77777777" w:rsidR="00DF57DF" w:rsidRDefault="00DF57DF" w:rsidP="00DF57DF">
      <w:pPr>
        <w:spacing w:line="480" w:lineRule="auto"/>
        <w:rPr>
          <w:rFonts w:ascii="Arial" w:hAnsi="Arial" w:cs="Arial"/>
          <w:sz w:val="22"/>
          <w:szCs w:val="22"/>
          <w:shd w:val="clear" w:color="auto" w:fill="FFFFFF"/>
        </w:rPr>
      </w:pPr>
    </w:p>
    <w:p w14:paraId="703599EF"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Gellatly, J. (2011). </w:t>
      </w:r>
      <w:r w:rsidRPr="009F2249">
        <w:rPr>
          <w:rFonts w:ascii="Arial" w:hAnsi="Arial" w:cs="Arial"/>
          <w:i/>
          <w:iCs/>
          <w:sz w:val="22"/>
          <w:szCs w:val="22"/>
        </w:rPr>
        <w:t>Decision making in stepped care for common mental health problems. PhD Thesis</w:t>
      </w:r>
      <w:r>
        <w:rPr>
          <w:rFonts w:ascii="Arial" w:hAnsi="Arial" w:cs="Arial"/>
          <w:sz w:val="22"/>
          <w:szCs w:val="22"/>
        </w:rPr>
        <w:t xml:space="preserve">. The University of Manchester, School of Nursing, Midwifery and Social Work. Available online at </w:t>
      </w:r>
      <w:r w:rsidRPr="009F2249">
        <w:rPr>
          <w:rFonts w:ascii="Arial" w:hAnsi="Arial" w:cs="Arial"/>
          <w:sz w:val="22"/>
          <w:szCs w:val="22"/>
        </w:rPr>
        <w:t>https://www.research.manchester.ac.uk/portal/files/54506935/FULL_TEXT.PDF</w:t>
      </w:r>
    </w:p>
    <w:p w14:paraId="535F5F35" w14:textId="77777777" w:rsidR="00DF57DF" w:rsidRDefault="00DF57DF" w:rsidP="00DF57DF">
      <w:pPr>
        <w:spacing w:line="480" w:lineRule="auto"/>
        <w:rPr>
          <w:rFonts w:ascii="Arial" w:hAnsi="Arial" w:cs="Arial"/>
          <w:sz w:val="22"/>
          <w:szCs w:val="22"/>
        </w:rPr>
      </w:pPr>
      <w:r>
        <w:rPr>
          <w:rFonts w:ascii="Arial" w:hAnsi="Arial" w:cs="Arial"/>
          <w:sz w:val="22"/>
          <w:szCs w:val="22"/>
        </w:rPr>
        <w:t>Accessed 24</w:t>
      </w:r>
      <w:r w:rsidRPr="009F2249">
        <w:rPr>
          <w:rFonts w:ascii="Arial" w:hAnsi="Arial" w:cs="Arial"/>
          <w:sz w:val="22"/>
          <w:szCs w:val="22"/>
          <w:vertAlign w:val="superscript"/>
        </w:rPr>
        <w:t>th</w:t>
      </w:r>
      <w:r>
        <w:rPr>
          <w:rFonts w:ascii="Arial" w:hAnsi="Arial" w:cs="Arial"/>
          <w:sz w:val="22"/>
          <w:szCs w:val="22"/>
        </w:rPr>
        <w:t xml:space="preserve"> October 2019.</w:t>
      </w:r>
    </w:p>
    <w:p w14:paraId="0CD457FD" w14:textId="77777777" w:rsidR="00DF57DF" w:rsidRDefault="00DF57DF" w:rsidP="00DF57DF">
      <w:pPr>
        <w:spacing w:line="480" w:lineRule="auto"/>
        <w:rPr>
          <w:rFonts w:ascii="Arial" w:hAnsi="Arial" w:cs="Arial"/>
          <w:sz w:val="22"/>
          <w:szCs w:val="22"/>
        </w:rPr>
      </w:pPr>
    </w:p>
    <w:p w14:paraId="49402F52"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Gelman, A. (2004). Analysis of variance - why it is more important than ever. </w:t>
      </w:r>
      <w:r w:rsidRPr="00AA5742">
        <w:rPr>
          <w:rFonts w:ascii="Arial" w:hAnsi="Arial" w:cs="Arial"/>
          <w:i/>
          <w:iCs/>
          <w:sz w:val="22"/>
          <w:szCs w:val="22"/>
        </w:rPr>
        <w:t>Annals of Statistics</w:t>
      </w:r>
      <w:r>
        <w:rPr>
          <w:rFonts w:ascii="Arial" w:hAnsi="Arial" w:cs="Arial"/>
          <w:sz w:val="22"/>
          <w:szCs w:val="22"/>
        </w:rPr>
        <w:t xml:space="preserve">. Available online at </w:t>
      </w:r>
      <w:r w:rsidRPr="00E56A59">
        <w:rPr>
          <w:rFonts w:ascii="Arial" w:hAnsi="Arial" w:cs="Arial"/>
          <w:sz w:val="22"/>
          <w:szCs w:val="22"/>
        </w:rPr>
        <w:t>http://www.stat.columbia.edu/~gelman/research/published/banova7.pdf</w:t>
      </w:r>
    </w:p>
    <w:p w14:paraId="3E642F49" w14:textId="77777777" w:rsidR="00DF57DF" w:rsidRDefault="00DF57DF" w:rsidP="00DF57DF">
      <w:pPr>
        <w:spacing w:line="480" w:lineRule="auto"/>
        <w:rPr>
          <w:rFonts w:ascii="Arial" w:hAnsi="Arial" w:cs="Arial"/>
          <w:sz w:val="22"/>
          <w:szCs w:val="22"/>
        </w:rPr>
      </w:pPr>
      <w:r>
        <w:rPr>
          <w:rFonts w:ascii="Arial" w:hAnsi="Arial" w:cs="Arial"/>
          <w:sz w:val="22"/>
          <w:szCs w:val="22"/>
        </w:rPr>
        <w:t>Accessed 31</w:t>
      </w:r>
      <w:r w:rsidRPr="00E56A59">
        <w:rPr>
          <w:rFonts w:ascii="Arial" w:hAnsi="Arial" w:cs="Arial"/>
          <w:sz w:val="22"/>
          <w:szCs w:val="22"/>
          <w:vertAlign w:val="superscript"/>
        </w:rPr>
        <w:t>st</w:t>
      </w:r>
      <w:r>
        <w:rPr>
          <w:rFonts w:ascii="Arial" w:hAnsi="Arial" w:cs="Arial"/>
          <w:sz w:val="22"/>
          <w:szCs w:val="22"/>
        </w:rPr>
        <w:t xml:space="preserve"> October 2019.</w:t>
      </w:r>
    </w:p>
    <w:p w14:paraId="2476DCD6" w14:textId="77777777" w:rsidR="00DF57DF" w:rsidRDefault="00DF57DF" w:rsidP="00DF57DF">
      <w:pPr>
        <w:spacing w:line="480" w:lineRule="auto"/>
        <w:rPr>
          <w:rFonts w:ascii="Arial" w:hAnsi="Arial" w:cs="Arial"/>
          <w:sz w:val="22"/>
          <w:szCs w:val="22"/>
        </w:rPr>
      </w:pPr>
    </w:p>
    <w:p w14:paraId="7F02C4FF"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Gibbons, C.R., Stirman, S.W., De Rubeis, R.J., Newman, C.F., and Beck A.T. (2013). Research setting versus clinic setting: Which produces better outcomes in cognitive therapy for depression? </w:t>
      </w:r>
      <w:r w:rsidRPr="009A4423">
        <w:rPr>
          <w:rFonts w:ascii="Arial" w:hAnsi="Arial" w:cs="Arial"/>
          <w:i/>
          <w:iCs/>
          <w:sz w:val="22"/>
          <w:szCs w:val="22"/>
        </w:rPr>
        <w:t>Cognitive Therapy Research</w:t>
      </w:r>
      <w:r>
        <w:rPr>
          <w:rFonts w:ascii="Arial" w:hAnsi="Arial" w:cs="Arial"/>
          <w:sz w:val="22"/>
          <w:szCs w:val="22"/>
        </w:rPr>
        <w:t>, 37, 605-612.</w:t>
      </w:r>
    </w:p>
    <w:p w14:paraId="284C60E0" w14:textId="77777777" w:rsidR="00DF57DF" w:rsidRDefault="00DF57DF" w:rsidP="00DF57DF">
      <w:pPr>
        <w:spacing w:line="480" w:lineRule="auto"/>
        <w:rPr>
          <w:rFonts w:ascii="Arial" w:hAnsi="Arial" w:cs="Arial"/>
          <w:sz w:val="22"/>
          <w:szCs w:val="22"/>
        </w:rPr>
      </w:pPr>
    </w:p>
    <w:p w14:paraId="152D3D21"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Gilbert, P. (2010). An introduction to compassion focussed therapy in cognitive behaviour therapy.  </w:t>
      </w:r>
      <w:r w:rsidRPr="003C465B">
        <w:rPr>
          <w:rFonts w:ascii="Arial" w:hAnsi="Arial" w:cs="Arial"/>
          <w:i/>
          <w:iCs/>
          <w:sz w:val="22"/>
          <w:szCs w:val="22"/>
        </w:rPr>
        <w:t>International Journal of Cognitive Therapy</w:t>
      </w:r>
      <w:r>
        <w:rPr>
          <w:rFonts w:ascii="Arial" w:hAnsi="Arial" w:cs="Arial"/>
          <w:sz w:val="22"/>
          <w:szCs w:val="22"/>
        </w:rPr>
        <w:t>, 3, 97-112.</w:t>
      </w:r>
    </w:p>
    <w:p w14:paraId="038EE6F8" w14:textId="77777777" w:rsidR="00DF57DF" w:rsidRDefault="00DF57DF" w:rsidP="00DF57DF">
      <w:pPr>
        <w:spacing w:line="480" w:lineRule="auto"/>
        <w:rPr>
          <w:rFonts w:ascii="Arial" w:hAnsi="Arial" w:cs="Arial"/>
          <w:sz w:val="22"/>
          <w:szCs w:val="22"/>
        </w:rPr>
      </w:pPr>
    </w:p>
    <w:p w14:paraId="1C3F729E"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Gilbody, S., Littlewood, E., Hewitt, C., Brierley, G., Tharmanathan, P., Araya, R., Barkham, M.M., Bower, P., Cooper, C.L., Gask, L., Kessler, D., Lester, H., Lovell, K., Parry, G., Richards, D.A., Andersen, P., Brabyn, S., Knowles, S., Shepherd, C.K., Tallon, D., and White, D. (2016). Computerised cognitive behaviour therapy (cCBT) as treatment for depression in primary care (REEACT trial): Large scale pragmatic randomised controlled trial. </w:t>
      </w:r>
      <w:r w:rsidRPr="00772B4A">
        <w:rPr>
          <w:rFonts w:ascii="Arial" w:hAnsi="Arial" w:cs="Arial"/>
          <w:i/>
          <w:iCs/>
          <w:sz w:val="22"/>
          <w:szCs w:val="22"/>
        </w:rPr>
        <w:t>British Medical Journal</w:t>
      </w:r>
      <w:r>
        <w:rPr>
          <w:rFonts w:ascii="Arial" w:hAnsi="Arial" w:cs="Arial"/>
          <w:sz w:val="22"/>
          <w:szCs w:val="22"/>
        </w:rPr>
        <w:t xml:space="preserve">. Available online at. </w:t>
      </w:r>
      <w:r w:rsidRPr="00772B4A">
        <w:rPr>
          <w:rFonts w:ascii="Arial" w:hAnsi="Arial" w:cs="Arial"/>
          <w:sz w:val="22"/>
          <w:szCs w:val="22"/>
        </w:rPr>
        <w:t>https://pdfs.semanticscholar.org/8599/e90df88b88dfc80d2293afb30f398cb88c2d.pdf?_ga=2.131020488.633805187.1572196167-1358761830.1562235177</w:t>
      </w:r>
    </w:p>
    <w:p w14:paraId="491CC58E" w14:textId="77777777" w:rsidR="00DF57DF" w:rsidRDefault="00DF57DF" w:rsidP="00DF57DF">
      <w:pPr>
        <w:spacing w:line="480" w:lineRule="auto"/>
        <w:rPr>
          <w:rFonts w:ascii="Arial" w:hAnsi="Arial" w:cs="Arial"/>
          <w:sz w:val="22"/>
          <w:szCs w:val="22"/>
        </w:rPr>
      </w:pPr>
      <w:r>
        <w:rPr>
          <w:rFonts w:ascii="Arial" w:hAnsi="Arial" w:cs="Arial"/>
          <w:sz w:val="22"/>
          <w:szCs w:val="22"/>
        </w:rPr>
        <w:t>Accessed 24</w:t>
      </w:r>
      <w:r w:rsidRPr="00772B4A">
        <w:rPr>
          <w:rFonts w:ascii="Arial" w:hAnsi="Arial" w:cs="Arial"/>
          <w:sz w:val="22"/>
          <w:szCs w:val="22"/>
          <w:vertAlign w:val="superscript"/>
        </w:rPr>
        <w:t>th</w:t>
      </w:r>
      <w:r>
        <w:rPr>
          <w:rFonts w:ascii="Arial" w:hAnsi="Arial" w:cs="Arial"/>
          <w:sz w:val="22"/>
          <w:szCs w:val="22"/>
        </w:rPr>
        <w:t xml:space="preserve"> October 2019.</w:t>
      </w:r>
    </w:p>
    <w:p w14:paraId="6FD3AE3A" w14:textId="77777777" w:rsidR="00DF57DF" w:rsidRDefault="00DF57DF" w:rsidP="00DF57DF">
      <w:pPr>
        <w:spacing w:line="480" w:lineRule="auto"/>
        <w:rPr>
          <w:rFonts w:ascii="Arial" w:hAnsi="Arial" w:cs="Arial"/>
          <w:sz w:val="22"/>
          <w:szCs w:val="22"/>
        </w:rPr>
      </w:pPr>
    </w:p>
    <w:p w14:paraId="26CFD883"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Ginzburg, D.M., Bohn, C., Hofling, V., Weck, F., Clark, D.M.,Stangier, I. (2012). Treatment specific competence predicts outcome in cognitive therapy for social anxiety disorder.  </w:t>
      </w:r>
      <w:r w:rsidRPr="001510BD">
        <w:rPr>
          <w:rFonts w:ascii="Arial" w:hAnsi="Arial" w:cs="Arial"/>
          <w:i/>
          <w:iCs/>
          <w:sz w:val="22"/>
          <w:szCs w:val="22"/>
        </w:rPr>
        <w:t>Behaviour Research and Therapy</w:t>
      </w:r>
      <w:r>
        <w:rPr>
          <w:rFonts w:ascii="Arial" w:hAnsi="Arial" w:cs="Arial"/>
          <w:sz w:val="22"/>
          <w:szCs w:val="22"/>
        </w:rPr>
        <w:t>, 50, 747-752.</w:t>
      </w:r>
    </w:p>
    <w:p w14:paraId="0EB1F3BB" w14:textId="77777777" w:rsidR="00DF57DF" w:rsidRDefault="00DF57DF" w:rsidP="00DF57DF">
      <w:pPr>
        <w:spacing w:line="480" w:lineRule="auto"/>
        <w:rPr>
          <w:rFonts w:ascii="Arial" w:hAnsi="Arial" w:cs="Arial"/>
          <w:sz w:val="22"/>
          <w:szCs w:val="22"/>
        </w:rPr>
      </w:pPr>
    </w:p>
    <w:p w14:paraId="5BE0141D"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Goldberg, S.B., Rousmaniere, T., Miller, S.D., Whipple, J., Nielden, S.L., Hoyt, W.T., and Wampold, B.E. (2016). Do therapists improve with time and experience? A longitudinal analysis of outcomes in a clinical setting. </w:t>
      </w:r>
      <w:r w:rsidRPr="00C953C4">
        <w:rPr>
          <w:rFonts w:ascii="Arial" w:hAnsi="Arial" w:cs="Arial"/>
          <w:i/>
          <w:iCs/>
          <w:sz w:val="22"/>
          <w:szCs w:val="22"/>
        </w:rPr>
        <w:t>Journal of Counselling and Psychology</w:t>
      </w:r>
      <w:r>
        <w:rPr>
          <w:rFonts w:ascii="Arial" w:hAnsi="Arial" w:cs="Arial"/>
          <w:sz w:val="22"/>
          <w:szCs w:val="22"/>
        </w:rPr>
        <w:t>, 63, 1-11.</w:t>
      </w:r>
    </w:p>
    <w:p w14:paraId="3E708BCE" w14:textId="77777777" w:rsidR="00DF57DF" w:rsidRDefault="00DF57DF" w:rsidP="00DF57DF">
      <w:pPr>
        <w:spacing w:line="480" w:lineRule="auto"/>
        <w:rPr>
          <w:rFonts w:ascii="Arial" w:hAnsi="Arial" w:cs="Arial"/>
          <w:sz w:val="22"/>
          <w:szCs w:val="22"/>
        </w:rPr>
      </w:pPr>
    </w:p>
    <w:p w14:paraId="7EB02D8E"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Goldsmith, L.P., Dunn, G., Bentall, R.P., Lewis, S.W., Wearden, A.J. (2015). Therapist effects and the impact of early therapeutic alliance on symptomatic outcome in chronic fatigue syndrome. </w:t>
      </w:r>
      <w:r w:rsidRPr="00680669">
        <w:rPr>
          <w:rFonts w:ascii="Arial" w:hAnsi="Arial" w:cs="Arial"/>
          <w:i/>
          <w:iCs/>
          <w:sz w:val="22"/>
          <w:szCs w:val="22"/>
        </w:rPr>
        <w:t>Psychological Medicine</w:t>
      </w:r>
      <w:r>
        <w:rPr>
          <w:rFonts w:ascii="Arial" w:hAnsi="Arial" w:cs="Arial"/>
          <w:sz w:val="22"/>
          <w:szCs w:val="22"/>
        </w:rPr>
        <w:t>, 45, 2365-2373.</w:t>
      </w:r>
    </w:p>
    <w:p w14:paraId="47D0AAFA" w14:textId="77777777" w:rsidR="00DF57DF" w:rsidRDefault="00DF57DF" w:rsidP="00DF57DF">
      <w:pPr>
        <w:spacing w:line="480" w:lineRule="auto"/>
        <w:rPr>
          <w:rFonts w:ascii="Arial" w:hAnsi="Arial" w:cs="Arial"/>
          <w:sz w:val="22"/>
          <w:szCs w:val="22"/>
        </w:rPr>
      </w:pPr>
    </w:p>
    <w:p w14:paraId="2B3C258B"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Goodyear, R.K., Wampold, B.E., Tracey, T.J., and Lichtenberg, J.W. (2017). Psychotherapy expertise should mean superior outcomes and demonstrable improvement over time. </w:t>
      </w:r>
      <w:r w:rsidRPr="009057B9">
        <w:rPr>
          <w:rFonts w:ascii="Arial" w:hAnsi="Arial" w:cs="Arial"/>
          <w:i/>
          <w:iCs/>
          <w:sz w:val="22"/>
          <w:szCs w:val="22"/>
        </w:rPr>
        <w:t>The Counseling Psychologist</w:t>
      </w:r>
      <w:r>
        <w:rPr>
          <w:rFonts w:ascii="Arial" w:hAnsi="Arial" w:cs="Arial"/>
          <w:sz w:val="22"/>
          <w:szCs w:val="22"/>
        </w:rPr>
        <w:t>, 45, 54-65.</w:t>
      </w:r>
    </w:p>
    <w:p w14:paraId="3D790E7A" w14:textId="77777777" w:rsidR="00DF57DF" w:rsidRDefault="00DF57DF" w:rsidP="00DF57DF">
      <w:pPr>
        <w:spacing w:line="480" w:lineRule="auto"/>
        <w:rPr>
          <w:rFonts w:ascii="Arial" w:hAnsi="Arial" w:cs="Arial"/>
          <w:sz w:val="22"/>
          <w:szCs w:val="22"/>
        </w:rPr>
      </w:pPr>
    </w:p>
    <w:p w14:paraId="682D3503" w14:textId="77777777" w:rsidR="00DF57DF" w:rsidRPr="001510BD" w:rsidRDefault="00DF57DF" w:rsidP="00DF57DF">
      <w:pPr>
        <w:spacing w:line="480" w:lineRule="auto"/>
        <w:rPr>
          <w:rFonts w:ascii="Arial" w:hAnsi="Arial" w:cs="Arial"/>
          <w:sz w:val="22"/>
          <w:szCs w:val="22"/>
        </w:rPr>
      </w:pPr>
      <w:r>
        <w:rPr>
          <w:rFonts w:ascii="Arial" w:hAnsi="Arial" w:cs="Arial"/>
          <w:sz w:val="22"/>
          <w:szCs w:val="22"/>
        </w:rPr>
        <w:t xml:space="preserve">Govaerts, M.J., van der Vleuten, C.P., Schuwirth, L.W., and Muijtjens, A.M. (2007). Broadening perspectives on clinical performance assessment: Rethinking the nature of in-training assessment. </w:t>
      </w:r>
      <w:r w:rsidRPr="00F55C15">
        <w:rPr>
          <w:rFonts w:ascii="Arial" w:hAnsi="Arial" w:cs="Arial"/>
          <w:i/>
          <w:iCs/>
          <w:sz w:val="22"/>
          <w:szCs w:val="22"/>
        </w:rPr>
        <w:t xml:space="preserve">Advanced Health Science Education Theory and Practice </w:t>
      </w:r>
      <w:r>
        <w:rPr>
          <w:rFonts w:ascii="Arial" w:hAnsi="Arial" w:cs="Arial"/>
          <w:sz w:val="22"/>
          <w:szCs w:val="22"/>
        </w:rPr>
        <w:t>12, 239-260.</w:t>
      </w:r>
    </w:p>
    <w:p w14:paraId="29579400" w14:textId="77777777" w:rsidR="00DF57DF" w:rsidRDefault="00DF57DF" w:rsidP="00DF57DF">
      <w:pPr>
        <w:spacing w:line="480" w:lineRule="auto"/>
        <w:rPr>
          <w:rFonts w:ascii="Arial" w:hAnsi="Arial" w:cs="Arial"/>
          <w:i/>
          <w:iCs/>
          <w:color w:val="000000"/>
          <w:sz w:val="22"/>
          <w:szCs w:val="22"/>
        </w:rPr>
      </w:pPr>
    </w:p>
    <w:p w14:paraId="1FD58AA9" w14:textId="77777777" w:rsidR="00DF57DF" w:rsidRPr="005D264F" w:rsidRDefault="00DF57DF" w:rsidP="00DF57DF">
      <w:pPr>
        <w:spacing w:line="480" w:lineRule="auto"/>
        <w:rPr>
          <w:rFonts w:ascii="Arial" w:hAnsi="Arial" w:cs="Arial"/>
          <w:iCs/>
          <w:color w:val="000000"/>
          <w:sz w:val="22"/>
          <w:szCs w:val="22"/>
        </w:rPr>
      </w:pPr>
      <w:r>
        <w:rPr>
          <w:rFonts w:ascii="Arial" w:hAnsi="Arial" w:cs="Arial"/>
          <w:iCs/>
          <w:color w:val="000000"/>
          <w:sz w:val="22"/>
          <w:szCs w:val="22"/>
        </w:rPr>
        <w:t xml:space="preserve">Grant, A., and Townend, M. (2007). Some emerging implications for clinical supervision in British mental health nursing. </w:t>
      </w:r>
      <w:r w:rsidRPr="00F25184">
        <w:rPr>
          <w:rFonts w:ascii="Arial" w:hAnsi="Arial" w:cs="Arial"/>
          <w:i/>
          <w:color w:val="000000"/>
          <w:sz w:val="22"/>
          <w:szCs w:val="22"/>
        </w:rPr>
        <w:t>Journal of Psychiatric and Mental Health Nursing</w:t>
      </w:r>
      <w:r>
        <w:rPr>
          <w:rFonts w:ascii="Arial" w:hAnsi="Arial" w:cs="Arial"/>
          <w:iCs/>
          <w:color w:val="000000"/>
          <w:sz w:val="22"/>
          <w:szCs w:val="22"/>
        </w:rPr>
        <w:t>, 14, 609-614.</w:t>
      </w:r>
    </w:p>
    <w:p w14:paraId="5E3533E2" w14:textId="77777777" w:rsidR="00DF57DF" w:rsidRPr="005D264F" w:rsidRDefault="00DF57DF" w:rsidP="00DF57DF">
      <w:pPr>
        <w:spacing w:line="480" w:lineRule="auto"/>
        <w:rPr>
          <w:rFonts w:ascii="Arial" w:hAnsi="Arial" w:cs="Arial"/>
          <w:i/>
          <w:iCs/>
          <w:color w:val="000000"/>
          <w:sz w:val="22"/>
          <w:szCs w:val="22"/>
        </w:rPr>
      </w:pPr>
    </w:p>
    <w:p w14:paraId="6D99E1F4" w14:textId="77777777" w:rsidR="000E4F1A" w:rsidRDefault="000E4F1A">
      <w:pPr>
        <w:rPr>
          <w:rFonts w:ascii="Arial" w:hAnsi="Arial" w:cs="Arial"/>
          <w:iCs/>
          <w:color w:val="000000"/>
          <w:sz w:val="22"/>
          <w:szCs w:val="22"/>
        </w:rPr>
      </w:pPr>
      <w:r>
        <w:rPr>
          <w:rFonts w:ascii="Arial" w:hAnsi="Arial" w:cs="Arial"/>
          <w:iCs/>
          <w:color w:val="000000"/>
          <w:sz w:val="22"/>
          <w:szCs w:val="22"/>
        </w:rPr>
        <w:br w:type="page"/>
      </w:r>
    </w:p>
    <w:p w14:paraId="3A1451AC" w14:textId="2E863487" w:rsidR="00DF57DF" w:rsidRPr="005D264F" w:rsidRDefault="00DF57DF" w:rsidP="00DF57DF">
      <w:pPr>
        <w:spacing w:line="480" w:lineRule="auto"/>
        <w:rPr>
          <w:rFonts w:ascii="Arial" w:hAnsi="Arial" w:cs="Arial"/>
          <w:iCs/>
          <w:color w:val="000000"/>
          <w:sz w:val="22"/>
          <w:szCs w:val="22"/>
        </w:rPr>
      </w:pPr>
      <w:r w:rsidRPr="005D264F">
        <w:rPr>
          <w:rFonts w:ascii="Arial" w:hAnsi="Arial" w:cs="Arial"/>
          <w:iCs/>
          <w:color w:val="000000"/>
          <w:sz w:val="22"/>
          <w:szCs w:val="22"/>
        </w:rPr>
        <w:lastRenderedPageBreak/>
        <w:t xml:space="preserve">Grant, N., Hotopf, M., Breen, G., Cleare, A., Grey, N., Hepjul, N., King, S., Moran, P., Pariante, C.m., Wingrove, J., Young, A.H. and Tyless, A. (2014).  Predicting outcome following psychological therapy in IAPT (PRMPT): a naturalistic project protocol. </w:t>
      </w:r>
      <w:r w:rsidRPr="005D264F">
        <w:rPr>
          <w:rFonts w:ascii="Arial" w:hAnsi="Arial" w:cs="Arial"/>
          <w:i/>
          <w:iCs/>
          <w:color w:val="000000"/>
          <w:sz w:val="22"/>
          <w:szCs w:val="22"/>
        </w:rPr>
        <w:t>BMC Psychiatry</w:t>
      </w:r>
      <w:r w:rsidRPr="005D264F">
        <w:rPr>
          <w:rFonts w:ascii="Arial" w:hAnsi="Arial" w:cs="Arial"/>
          <w:iCs/>
          <w:color w:val="000000"/>
          <w:sz w:val="22"/>
          <w:szCs w:val="22"/>
        </w:rPr>
        <w:t>.  Available online at:</w:t>
      </w:r>
    </w:p>
    <w:p w14:paraId="388E14E4" w14:textId="77777777" w:rsidR="00DF57DF" w:rsidRPr="005D264F" w:rsidRDefault="00DF57DF" w:rsidP="00DF57DF">
      <w:pPr>
        <w:spacing w:line="480" w:lineRule="auto"/>
        <w:rPr>
          <w:rFonts w:ascii="Arial" w:hAnsi="Arial" w:cs="Arial"/>
          <w:iCs/>
          <w:color w:val="000000"/>
          <w:sz w:val="22"/>
          <w:szCs w:val="22"/>
        </w:rPr>
      </w:pPr>
      <w:r w:rsidRPr="005D264F">
        <w:rPr>
          <w:rFonts w:ascii="Arial" w:hAnsi="Arial" w:cs="Arial"/>
          <w:iCs/>
          <w:color w:val="000000"/>
          <w:sz w:val="22"/>
          <w:szCs w:val="22"/>
        </w:rPr>
        <w:t>https://bmcpsychiatry.biomedcentral.com/articles/10.1186/1471-244X-14-170</w:t>
      </w:r>
    </w:p>
    <w:p w14:paraId="3DC44DC3" w14:textId="77777777" w:rsidR="00DF57DF" w:rsidRDefault="00DF57DF" w:rsidP="00DF57DF">
      <w:pPr>
        <w:spacing w:line="480" w:lineRule="auto"/>
        <w:rPr>
          <w:rFonts w:ascii="Arial" w:hAnsi="Arial" w:cs="Arial"/>
          <w:iCs/>
          <w:color w:val="000000"/>
          <w:sz w:val="22"/>
          <w:szCs w:val="22"/>
        </w:rPr>
      </w:pPr>
      <w:r w:rsidRPr="005D264F">
        <w:rPr>
          <w:rFonts w:ascii="Arial" w:hAnsi="Arial" w:cs="Arial"/>
          <w:iCs/>
          <w:color w:val="000000"/>
          <w:sz w:val="22"/>
          <w:szCs w:val="22"/>
        </w:rPr>
        <w:t>Accessed 15</w:t>
      </w:r>
      <w:r w:rsidRPr="005D264F">
        <w:rPr>
          <w:rFonts w:ascii="Arial" w:hAnsi="Arial" w:cs="Arial"/>
          <w:iCs/>
          <w:color w:val="000000"/>
          <w:sz w:val="22"/>
          <w:szCs w:val="22"/>
          <w:vertAlign w:val="superscript"/>
        </w:rPr>
        <w:t>th</w:t>
      </w:r>
      <w:r w:rsidRPr="005D264F">
        <w:rPr>
          <w:rFonts w:ascii="Arial" w:hAnsi="Arial" w:cs="Arial"/>
          <w:iCs/>
          <w:color w:val="000000"/>
          <w:sz w:val="22"/>
          <w:szCs w:val="22"/>
        </w:rPr>
        <w:t xml:space="preserve"> September 201</w:t>
      </w:r>
      <w:r>
        <w:rPr>
          <w:rFonts w:ascii="Arial" w:hAnsi="Arial" w:cs="Arial"/>
          <w:iCs/>
          <w:color w:val="000000"/>
          <w:sz w:val="22"/>
          <w:szCs w:val="22"/>
        </w:rPr>
        <w:t>9</w:t>
      </w:r>
    </w:p>
    <w:p w14:paraId="2EE81100" w14:textId="77777777" w:rsidR="00DF57DF" w:rsidRPr="005D264F" w:rsidRDefault="00DF57DF" w:rsidP="00DF57DF">
      <w:pPr>
        <w:spacing w:line="480" w:lineRule="auto"/>
        <w:rPr>
          <w:rFonts w:ascii="Arial" w:hAnsi="Arial" w:cs="Arial"/>
          <w:sz w:val="22"/>
          <w:szCs w:val="22"/>
        </w:rPr>
      </w:pPr>
    </w:p>
    <w:p w14:paraId="17E0FAB4"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Griest, R., Gustafson, D.H., Stauss, F.F., Rowse, G.L., Laughren, T.P., and Chiles, J.A. (1974). Suicide risk prediction: A new approach. </w:t>
      </w:r>
      <w:r w:rsidRPr="009830DA">
        <w:rPr>
          <w:rFonts w:ascii="Arial" w:hAnsi="Arial" w:cs="Arial"/>
          <w:i/>
          <w:iCs/>
          <w:sz w:val="22"/>
          <w:szCs w:val="22"/>
        </w:rPr>
        <w:t>Life Threatening Behavior</w:t>
      </w:r>
      <w:r>
        <w:rPr>
          <w:rFonts w:ascii="Arial" w:hAnsi="Arial" w:cs="Arial"/>
          <w:sz w:val="22"/>
          <w:szCs w:val="22"/>
        </w:rPr>
        <w:t>. 4, 212-223.</w:t>
      </w:r>
    </w:p>
    <w:p w14:paraId="2CFE8CBB" w14:textId="77777777" w:rsidR="00DF57DF" w:rsidRPr="005D264F" w:rsidRDefault="00DF57DF" w:rsidP="00DF57DF">
      <w:pPr>
        <w:spacing w:line="480" w:lineRule="auto"/>
        <w:rPr>
          <w:rFonts w:ascii="Arial" w:hAnsi="Arial" w:cs="Arial"/>
          <w:sz w:val="22"/>
          <w:szCs w:val="22"/>
        </w:rPr>
      </w:pPr>
    </w:p>
    <w:p w14:paraId="3C69A465"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Gri</w:t>
      </w:r>
      <w:r>
        <w:rPr>
          <w:rFonts w:ascii="Arial" w:hAnsi="Arial" w:cs="Arial"/>
          <w:sz w:val="22"/>
          <w:szCs w:val="22"/>
        </w:rPr>
        <w:t>e</w:t>
      </w:r>
      <w:r w:rsidRPr="005D264F">
        <w:rPr>
          <w:rFonts w:ascii="Arial" w:hAnsi="Arial" w:cs="Arial"/>
          <w:sz w:val="22"/>
          <w:szCs w:val="22"/>
        </w:rPr>
        <w:t xml:space="preserve">st, R. and Cavanagh, K. (2013). Computerised cognitive behavioural therapy for common mental health disorders, what works for whom, under what circumstances? A systematic Review, </w:t>
      </w:r>
      <w:r w:rsidRPr="005D264F">
        <w:rPr>
          <w:rFonts w:ascii="Arial" w:hAnsi="Arial" w:cs="Arial"/>
          <w:i/>
          <w:sz w:val="22"/>
          <w:szCs w:val="22"/>
        </w:rPr>
        <w:t>Journal of Contemporary Psychotherapy</w:t>
      </w:r>
      <w:r w:rsidRPr="005D264F">
        <w:rPr>
          <w:rFonts w:ascii="Arial" w:hAnsi="Arial" w:cs="Arial"/>
          <w:sz w:val="22"/>
          <w:szCs w:val="22"/>
        </w:rPr>
        <w:t>, 43 (4), 243-251.</w:t>
      </w:r>
    </w:p>
    <w:p w14:paraId="3BD494F4" w14:textId="77777777" w:rsidR="00DF57DF" w:rsidRDefault="00DF57DF" w:rsidP="00DF57DF">
      <w:pPr>
        <w:spacing w:line="480" w:lineRule="auto"/>
        <w:rPr>
          <w:rFonts w:ascii="Arial" w:hAnsi="Arial" w:cs="Arial"/>
          <w:sz w:val="22"/>
          <w:szCs w:val="22"/>
        </w:rPr>
      </w:pPr>
    </w:p>
    <w:p w14:paraId="65631B72"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Grove, W.M., Zald, D.H., Lebow, B.S., Snitz, B.E., and Nelson, C. (2000). Clinical versus mechanical prediction: A meta-analysis. </w:t>
      </w:r>
      <w:r w:rsidRPr="00192AB8">
        <w:rPr>
          <w:rFonts w:ascii="Arial" w:hAnsi="Arial" w:cs="Arial"/>
          <w:i/>
          <w:iCs/>
          <w:sz w:val="22"/>
          <w:szCs w:val="22"/>
        </w:rPr>
        <w:t>Psychological Assessment,</w:t>
      </w:r>
      <w:r>
        <w:rPr>
          <w:rFonts w:ascii="Arial" w:hAnsi="Arial" w:cs="Arial"/>
          <w:sz w:val="22"/>
          <w:szCs w:val="22"/>
        </w:rPr>
        <w:t xml:space="preserve"> 12, 19-30.</w:t>
      </w:r>
    </w:p>
    <w:p w14:paraId="2620D735" w14:textId="77777777" w:rsidR="00DF57DF" w:rsidRDefault="00DF57DF" w:rsidP="00DF57DF">
      <w:pPr>
        <w:spacing w:line="480" w:lineRule="auto"/>
        <w:rPr>
          <w:rFonts w:ascii="Arial" w:hAnsi="Arial" w:cs="Arial"/>
          <w:sz w:val="22"/>
          <w:szCs w:val="22"/>
        </w:rPr>
      </w:pPr>
    </w:p>
    <w:p w14:paraId="54ECCA38"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Gunturi, S.B., Narayanan, R., and Khandelwal, A. (2006). In silico ADME modelling 2: Computational models to predict human serum albumin binding affinity using ant colony systems. </w:t>
      </w:r>
      <w:r w:rsidRPr="009979D0">
        <w:rPr>
          <w:rFonts w:ascii="Arial" w:hAnsi="Arial" w:cs="Arial"/>
          <w:i/>
          <w:iCs/>
          <w:sz w:val="22"/>
          <w:szCs w:val="22"/>
        </w:rPr>
        <w:t>Bioorganic and Medicinal Chemistry</w:t>
      </w:r>
      <w:r>
        <w:rPr>
          <w:rFonts w:ascii="Arial" w:hAnsi="Arial" w:cs="Arial"/>
          <w:sz w:val="22"/>
          <w:szCs w:val="22"/>
        </w:rPr>
        <w:t>, 15, 4118-41129.</w:t>
      </w:r>
    </w:p>
    <w:p w14:paraId="1B16A881"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Guy, A., Thomas, R.T., Stephenson, S., and Loewenthal, D. (2011). NICE under scrutiny, the impact of the National Institute for Health and Clinical Excellence guidelines on the provision of psychotherapy in the UK. </w:t>
      </w:r>
      <w:r w:rsidRPr="001E3A8C">
        <w:rPr>
          <w:rFonts w:ascii="Arial" w:hAnsi="Arial" w:cs="Arial"/>
          <w:i/>
          <w:iCs/>
          <w:sz w:val="22"/>
          <w:szCs w:val="22"/>
        </w:rPr>
        <w:t>UK Council for Psychotherapy</w:t>
      </w:r>
      <w:r>
        <w:rPr>
          <w:rFonts w:ascii="Arial" w:hAnsi="Arial" w:cs="Arial"/>
          <w:sz w:val="22"/>
          <w:szCs w:val="22"/>
        </w:rPr>
        <w:t xml:space="preserve">. Available online at </w:t>
      </w:r>
      <w:r w:rsidRPr="001E3A8C">
        <w:rPr>
          <w:rFonts w:ascii="Arial" w:hAnsi="Arial" w:cs="Arial"/>
          <w:sz w:val="22"/>
          <w:szCs w:val="22"/>
        </w:rPr>
        <w:t>http://www.easewellbeing.co.uk/downloads/nice%20report%20ukcp.pdf</w:t>
      </w:r>
    </w:p>
    <w:p w14:paraId="4F4B0E64" w14:textId="77777777" w:rsidR="00DF57DF" w:rsidRDefault="00DF57DF" w:rsidP="00DF57DF">
      <w:pPr>
        <w:spacing w:line="480" w:lineRule="auto"/>
        <w:rPr>
          <w:rFonts w:ascii="Arial" w:hAnsi="Arial" w:cs="Arial"/>
          <w:sz w:val="22"/>
          <w:szCs w:val="22"/>
        </w:rPr>
      </w:pPr>
      <w:r>
        <w:rPr>
          <w:rFonts w:ascii="Arial" w:hAnsi="Arial" w:cs="Arial"/>
          <w:sz w:val="22"/>
          <w:szCs w:val="22"/>
        </w:rPr>
        <w:t>Accessed 25</w:t>
      </w:r>
      <w:r w:rsidRPr="001E3A8C">
        <w:rPr>
          <w:rFonts w:ascii="Arial" w:hAnsi="Arial" w:cs="Arial"/>
          <w:sz w:val="22"/>
          <w:szCs w:val="22"/>
          <w:vertAlign w:val="superscript"/>
        </w:rPr>
        <w:t>th</w:t>
      </w:r>
      <w:r>
        <w:rPr>
          <w:rFonts w:ascii="Arial" w:hAnsi="Arial" w:cs="Arial"/>
          <w:sz w:val="22"/>
          <w:szCs w:val="22"/>
        </w:rPr>
        <w:t xml:space="preserve"> October 2019.</w:t>
      </w:r>
    </w:p>
    <w:p w14:paraId="0D73EEA5" w14:textId="77777777" w:rsidR="00DF57DF" w:rsidRDefault="00DF57DF" w:rsidP="00DF57DF">
      <w:pPr>
        <w:spacing w:line="480" w:lineRule="auto"/>
        <w:rPr>
          <w:rFonts w:ascii="Arial" w:hAnsi="Arial" w:cs="Arial"/>
          <w:sz w:val="22"/>
          <w:szCs w:val="22"/>
        </w:rPr>
      </w:pPr>
    </w:p>
    <w:p w14:paraId="3396DB07"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Gynani, A., Shafran, R., Layard, R., and Clark, D.M. (2013). Enhancing recovery rates: Lessons from year one of IAPT. </w:t>
      </w:r>
      <w:r w:rsidRPr="00700C76">
        <w:rPr>
          <w:rFonts w:ascii="Arial" w:hAnsi="Arial" w:cs="Arial"/>
          <w:i/>
          <w:iCs/>
          <w:sz w:val="22"/>
          <w:szCs w:val="22"/>
        </w:rPr>
        <w:t>Behaviour Research and Therapy</w:t>
      </w:r>
      <w:r>
        <w:rPr>
          <w:rFonts w:ascii="Arial" w:hAnsi="Arial" w:cs="Arial"/>
          <w:sz w:val="22"/>
          <w:szCs w:val="22"/>
        </w:rPr>
        <w:t>, 51, 597-606.</w:t>
      </w:r>
    </w:p>
    <w:p w14:paraId="4239C722" w14:textId="77777777" w:rsidR="00DF57DF" w:rsidRDefault="00DF57DF" w:rsidP="00DF57DF">
      <w:pPr>
        <w:spacing w:line="480" w:lineRule="auto"/>
        <w:rPr>
          <w:rFonts w:ascii="Arial" w:hAnsi="Arial" w:cs="Arial"/>
          <w:sz w:val="22"/>
          <w:szCs w:val="22"/>
        </w:rPr>
      </w:pPr>
      <w:r>
        <w:rPr>
          <w:rFonts w:ascii="Arial" w:hAnsi="Arial" w:cs="Arial"/>
          <w:sz w:val="22"/>
          <w:szCs w:val="22"/>
        </w:rPr>
        <w:lastRenderedPageBreak/>
        <w:t>Hamilton, M. (1960). A rating scale for depression. J</w:t>
      </w:r>
      <w:r w:rsidRPr="00756C0B">
        <w:rPr>
          <w:rFonts w:ascii="Arial" w:hAnsi="Arial" w:cs="Arial"/>
          <w:i/>
          <w:iCs/>
          <w:sz w:val="22"/>
          <w:szCs w:val="22"/>
        </w:rPr>
        <w:t>ournal of Neurology, Neurosurgery and Psychiatry</w:t>
      </w:r>
      <w:r>
        <w:rPr>
          <w:rFonts w:ascii="Arial" w:hAnsi="Arial" w:cs="Arial"/>
          <w:sz w:val="22"/>
          <w:szCs w:val="22"/>
        </w:rPr>
        <w:t>, 23, 56-62.</w:t>
      </w:r>
    </w:p>
    <w:p w14:paraId="3D992DFB" w14:textId="77777777" w:rsidR="00DF57DF" w:rsidRDefault="00DF57DF" w:rsidP="00DF57DF">
      <w:pPr>
        <w:spacing w:line="480" w:lineRule="auto"/>
        <w:rPr>
          <w:rFonts w:ascii="Arial" w:hAnsi="Arial" w:cs="Arial"/>
          <w:sz w:val="22"/>
          <w:szCs w:val="22"/>
        </w:rPr>
      </w:pPr>
    </w:p>
    <w:p w14:paraId="3885CCBA"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Hans, E., and Hiller, W. (2013). Effectiveness and dropout from outpatient cognitive behavioral therapy for adult unipolar depression: A meta-analysis of nonrandomized effectiveness studies.  </w:t>
      </w:r>
      <w:r w:rsidRPr="003C70EC">
        <w:rPr>
          <w:rFonts w:ascii="Arial" w:hAnsi="Arial" w:cs="Arial"/>
          <w:i/>
          <w:iCs/>
          <w:sz w:val="22"/>
          <w:szCs w:val="22"/>
        </w:rPr>
        <w:t>Journal of Consulting and Clinical Psychology</w:t>
      </w:r>
      <w:r>
        <w:rPr>
          <w:rFonts w:ascii="Arial" w:hAnsi="Arial" w:cs="Arial"/>
          <w:sz w:val="22"/>
          <w:szCs w:val="22"/>
        </w:rPr>
        <w:t>, 81, 75-88.</w:t>
      </w:r>
    </w:p>
    <w:p w14:paraId="000BCD8C" w14:textId="77777777" w:rsidR="00DF57DF" w:rsidRDefault="00DF57DF" w:rsidP="00DF57DF">
      <w:pPr>
        <w:spacing w:line="480" w:lineRule="auto"/>
        <w:rPr>
          <w:rFonts w:ascii="Arial" w:hAnsi="Arial" w:cs="Arial"/>
          <w:sz w:val="22"/>
          <w:szCs w:val="22"/>
        </w:rPr>
      </w:pPr>
    </w:p>
    <w:p w14:paraId="5FD91C65"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Hart, C. (2001). </w:t>
      </w:r>
      <w:r w:rsidRPr="00890134">
        <w:rPr>
          <w:rFonts w:ascii="Arial" w:hAnsi="Arial" w:cs="Arial"/>
          <w:i/>
          <w:iCs/>
          <w:sz w:val="22"/>
          <w:szCs w:val="22"/>
        </w:rPr>
        <w:t>Doing a Literature Search: A Comprehensive Guide for the Social Sciences</w:t>
      </w:r>
      <w:r>
        <w:rPr>
          <w:rFonts w:ascii="Arial" w:hAnsi="Arial" w:cs="Arial"/>
          <w:sz w:val="22"/>
          <w:szCs w:val="22"/>
        </w:rPr>
        <w:t>. London, Sage.</w:t>
      </w:r>
    </w:p>
    <w:p w14:paraId="272332CD" w14:textId="77777777" w:rsidR="00DF57DF" w:rsidRDefault="00DF57DF" w:rsidP="00DF57DF">
      <w:pPr>
        <w:spacing w:line="480" w:lineRule="auto"/>
        <w:rPr>
          <w:rFonts w:ascii="Arial" w:hAnsi="Arial" w:cs="Arial"/>
          <w:sz w:val="22"/>
          <w:szCs w:val="22"/>
        </w:rPr>
      </w:pPr>
    </w:p>
    <w:p w14:paraId="0C609700"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Hatcher, R.L., and Gillaspy, J.A. (2006). Development and validation of a revised short version of the Working Alliance Inventory. </w:t>
      </w:r>
      <w:r w:rsidRPr="00210C93">
        <w:rPr>
          <w:rFonts w:ascii="Arial" w:hAnsi="Arial" w:cs="Arial"/>
          <w:i/>
          <w:iCs/>
          <w:sz w:val="22"/>
          <w:szCs w:val="22"/>
        </w:rPr>
        <w:t>Psychotherapy Research</w:t>
      </w:r>
      <w:r>
        <w:rPr>
          <w:rFonts w:ascii="Arial" w:hAnsi="Arial" w:cs="Arial"/>
          <w:sz w:val="22"/>
          <w:szCs w:val="22"/>
        </w:rPr>
        <w:t>, 16, 12-25.</w:t>
      </w:r>
    </w:p>
    <w:p w14:paraId="708D9B23" w14:textId="77777777" w:rsidR="00DF57DF" w:rsidRDefault="00DF57DF" w:rsidP="00DF57DF">
      <w:pPr>
        <w:spacing w:line="480" w:lineRule="auto"/>
        <w:rPr>
          <w:rFonts w:ascii="Arial" w:hAnsi="Arial" w:cs="Arial"/>
          <w:sz w:val="22"/>
          <w:szCs w:val="22"/>
        </w:rPr>
      </w:pPr>
    </w:p>
    <w:p w14:paraId="03857A24"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Haug, T., Nordgreen, T., Ost, L.G., Tangen, T., Kvale, G., Hovland, O.J., Heiervang, E.R, and Havik, O.E. (2016). Working alliance and competence as predictors of outcome in cognitive behavioral therapy for social anxiety and panic disorder in adults. </w:t>
      </w:r>
      <w:r w:rsidRPr="00393BF2">
        <w:rPr>
          <w:rFonts w:ascii="Arial" w:hAnsi="Arial" w:cs="Arial"/>
          <w:i/>
          <w:iCs/>
          <w:sz w:val="22"/>
          <w:szCs w:val="22"/>
        </w:rPr>
        <w:t>Behaviour Research and Therapy,</w:t>
      </w:r>
      <w:r>
        <w:rPr>
          <w:rFonts w:ascii="Arial" w:hAnsi="Arial" w:cs="Arial"/>
          <w:sz w:val="22"/>
          <w:szCs w:val="22"/>
        </w:rPr>
        <w:t xml:space="preserve"> 77, 40-51.</w:t>
      </w:r>
    </w:p>
    <w:p w14:paraId="32AB6443" w14:textId="77777777" w:rsidR="00DF57DF" w:rsidRDefault="00DF57DF" w:rsidP="00DF57DF">
      <w:pPr>
        <w:spacing w:line="480" w:lineRule="auto"/>
        <w:rPr>
          <w:rFonts w:ascii="Arial" w:hAnsi="Arial" w:cs="Arial"/>
          <w:sz w:val="22"/>
          <w:szCs w:val="22"/>
        </w:rPr>
      </w:pPr>
    </w:p>
    <w:p w14:paraId="7432261E"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t xml:space="preserve">Hayes, S.C. (2004). Acceptance and commitment therapy, relational frame theory and the third wave of behavioural and cognitive therapies. </w:t>
      </w:r>
      <w:r w:rsidRPr="003C465B">
        <w:rPr>
          <w:rFonts w:ascii="Arial" w:hAnsi="Arial" w:cs="Arial"/>
          <w:i/>
          <w:iCs/>
          <w:sz w:val="22"/>
          <w:szCs w:val="22"/>
        </w:rPr>
        <w:t>Behavior Therapy</w:t>
      </w:r>
      <w:r>
        <w:rPr>
          <w:rFonts w:ascii="Arial" w:hAnsi="Arial" w:cs="Arial"/>
          <w:sz w:val="22"/>
          <w:szCs w:val="22"/>
        </w:rPr>
        <w:t>, 35, 639-665.</w:t>
      </w:r>
    </w:p>
    <w:p w14:paraId="42ED4D8D" w14:textId="77777777" w:rsidR="00DF57DF" w:rsidRPr="005D264F" w:rsidRDefault="00DF57DF" w:rsidP="00DF57DF">
      <w:pPr>
        <w:spacing w:line="480" w:lineRule="auto"/>
        <w:rPr>
          <w:rFonts w:ascii="Arial" w:hAnsi="Arial" w:cs="Arial"/>
          <w:sz w:val="22"/>
          <w:szCs w:val="22"/>
        </w:rPr>
      </w:pPr>
    </w:p>
    <w:p w14:paraId="24C4EF6B"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Health and Social Care Act (2102), available online at,</w:t>
      </w:r>
    </w:p>
    <w:p w14:paraId="3221A381"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http://www.legislation.gov.uk/ukpga/2012/7/contents/enacted/data.htm</w:t>
      </w:r>
    </w:p>
    <w:p w14:paraId="4F8A5837"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Accessed 30</w:t>
      </w:r>
      <w:r w:rsidRPr="005D264F">
        <w:rPr>
          <w:rFonts w:ascii="Arial" w:hAnsi="Arial" w:cs="Arial"/>
          <w:sz w:val="22"/>
          <w:szCs w:val="22"/>
          <w:vertAlign w:val="superscript"/>
        </w:rPr>
        <w:t>th</w:t>
      </w:r>
      <w:r w:rsidRPr="005D264F">
        <w:rPr>
          <w:rFonts w:ascii="Arial" w:hAnsi="Arial" w:cs="Arial"/>
          <w:sz w:val="22"/>
          <w:szCs w:val="22"/>
        </w:rPr>
        <w:t xml:space="preserve"> May 201</w:t>
      </w:r>
      <w:r>
        <w:rPr>
          <w:rFonts w:ascii="Arial" w:hAnsi="Arial" w:cs="Arial"/>
          <w:sz w:val="22"/>
          <w:szCs w:val="22"/>
        </w:rPr>
        <w:t>9</w:t>
      </w:r>
      <w:r w:rsidRPr="005D264F">
        <w:rPr>
          <w:rFonts w:ascii="Arial" w:hAnsi="Arial" w:cs="Arial"/>
          <w:sz w:val="22"/>
          <w:szCs w:val="22"/>
        </w:rPr>
        <w:t>.</w:t>
      </w:r>
    </w:p>
    <w:p w14:paraId="09671358" w14:textId="77777777" w:rsidR="00DF57DF" w:rsidRPr="005D264F" w:rsidRDefault="00DF57DF" w:rsidP="00DF57DF">
      <w:pPr>
        <w:spacing w:line="480" w:lineRule="auto"/>
        <w:rPr>
          <w:rFonts w:ascii="Arial" w:hAnsi="Arial" w:cs="Arial"/>
          <w:sz w:val="22"/>
          <w:szCs w:val="22"/>
        </w:rPr>
      </w:pPr>
    </w:p>
    <w:p w14:paraId="5AEB3DC6" w14:textId="77777777" w:rsidR="000E4F1A" w:rsidRDefault="000E4F1A">
      <w:pPr>
        <w:rPr>
          <w:rFonts w:ascii="Arial" w:hAnsi="Arial" w:cs="Arial"/>
          <w:sz w:val="22"/>
          <w:szCs w:val="22"/>
        </w:rPr>
      </w:pPr>
      <w:r>
        <w:rPr>
          <w:rFonts w:ascii="Arial" w:hAnsi="Arial" w:cs="Arial"/>
          <w:sz w:val="22"/>
          <w:szCs w:val="22"/>
        </w:rPr>
        <w:br w:type="page"/>
      </w:r>
    </w:p>
    <w:p w14:paraId="525DD6E2" w14:textId="437E2F59"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lastRenderedPageBreak/>
        <w:t xml:space="preserve">Health and Social Care Information Centre (2014) </w:t>
      </w:r>
      <w:r w:rsidRPr="005D264F">
        <w:rPr>
          <w:rFonts w:ascii="Arial" w:hAnsi="Arial" w:cs="Arial"/>
          <w:i/>
          <w:sz w:val="22"/>
          <w:szCs w:val="22"/>
        </w:rPr>
        <w:t>Psychological Therapies, Annual Report on the use of IAPT services: England 2013/14 Experimental Statistics</w:t>
      </w:r>
      <w:r w:rsidRPr="005D264F">
        <w:rPr>
          <w:rFonts w:ascii="Arial" w:hAnsi="Arial" w:cs="Arial"/>
          <w:sz w:val="22"/>
          <w:szCs w:val="22"/>
        </w:rPr>
        <w:t>.  Available online at:</w:t>
      </w:r>
    </w:p>
    <w:p w14:paraId="7509739D" w14:textId="77777777" w:rsidR="00DF57DF" w:rsidRPr="005D264F" w:rsidRDefault="00DD38EE" w:rsidP="00DF57DF">
      <w:pPr>
        <w:spacing w:line="480" w:lineRule="auto"/>
        <w:rPr>
          <w:rFonts w:ascii="Arial" w:hAnsi="Arial" w:cs="Arial"/>
          <w:sz w:val="22"/>
          <w:szCs w:val="22"/>
        </w:rPr>
      </w:pPr>
      <w:hyperlink r:id="rId88" w:history="1">
        <w:r w:rsidR="00DF57DF" w:rsidRPr="005D264F">
          <w:rPr>
            <w:rStyle w:val="Hyperlink"/>
            <w:rFonts w:ascii="Arial" w:hAnsi="Arial" w:cs="Arial"/>
            <w:sz w:val="22"/>
            <w:szCs w:val="22"/>
          </w:rPr>
          <w:t>http://www.hscic.gov.uk/catalogue/PUB14899/psyc-ther-ann-rep-2013-14.pdf</w:t>
        </w:r>
      </w:hyperlink>
    </w:p>
    <w:p w14:paraId="06A5543C"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Accessed on 9</w:t>
      </w:r>
      <w:r w:rsidRPr="005D264F">
        <w:rPr>
          <w:rFonts w:ascii="Arial" w:hAnsi="Arial" w:cs="Arial"/>
          <w:sz w:val="22"/>
          <w:szCs w:val="22"/>
          <w:vertAlign w:val="superscript"/>
        </w:rPr>
        <w:t>th</w:t>
      </w:r>
      <w:r w:rsidRPr="005D264F">
        <w:rPr>
          <w:rFonts w:ascii="Arial" w:hAnsi="Arial" w:cs="Arial"/>
          <w:sz w:val="22"/>
          <w:szCs w:val="22"/>
        </w:rPr>
        <w:t xml:space="preserve"> June 201</w:t>
      </w:r>
      <w:r>
        <w:rPr>
          <w:rFonts w:ascii="Arial" w:hAnsi="Arial" w:cs="Arial"/>
          <w:sz w:val="22"/>
          <w:szCs w:val="22"/>
        </w:rPr>
        <w:t>9</w:t>
      </w:r>
    </w:p>
    <w:p w14:paraId="0F9D4190" w14:textId="77777777" w:rsidR="00DF57DF" w:rsidRDefault="00DF57DF" w:rsidP="00DF57DF">
      <w:pPr>
        <w:spacing w:line="480" w:lineRule="auto"/>
        <w:rPr>
          <w:rFonts w:ascii="Arial" w:hAnsi="Arial" w:cs="Arial"/>
          <w:sz w:val="22"/>
          <w:szCs w:val="22"/>
        </w:rPr>
      </w:pPr>
    </w:p>
    <w:p w14:paraId="1EE8FAE5"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Health Research Authority. (2019). </w:t>
      </w:r>
      <w:r w:rsidRPr="00312E21">
        <w:rPr>
          <w:rFonts w:ascii="Arial" w:hAnsi="Arial" w:cs="Arial"/>
          <w:i/>
          <w:iCs/>
          <w:sz w:val="22"/>
          <w:szCs w:val="22"/>
        </w:rPr>
        <w:t>HRA Approval, NHS Health Research Authority</w:t>
      </w:r>
      <w:r>
        <w:rPr>
          <w:rFonts w:ascii="Arial" w:hAnsi="Arial" w:cs="Arial"/>
          <w:sz w:val="22"/>
          <w:szCs w:val="22"/>
        </w:rPr>
        <w:t xml:space="preserve">. Available online at </w:t>
      </w:r>
      <w:r w:rsidRPr="00312E21">
        <w:rPr>
          <w:rFonts w:ascii="Arial" w:hAnsi="Arial" w:cs="Arial"/>
          <w:sz w:val="22"/>
          <w:szCs w:val="22"/>
        </w:rPr>
        <w:t>https://www.hra.nhs.uk/approvals-amendments/what-approvals-do-i-need/hra-approval/</w:t>
      </w:r>
    </w:p>
    <w:p w14:paraId="6AEDE4E7"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t>Accessed 7</w:t>
      </w:r>
      <w:r w:rsidRPr="00312E21">
        <w:rPr>
          <w:rFonts w:ascii="Arial" w:hAnsi="Arial" w:cs="Arial"/>
          <w:sz w:val="22"/>
          <w:szCs w:val="22"/>
          <w:vertAlign w:val="superscript"/>
        </w:rPr>
        <w:t>th</w:t>
      </w:r>
      <w:r>
        <w:rPr>
          <w:rFonts w:ascii="Arial" w:hAnsi="Arial" w:cs="Arial"/>
          <w:sz w:val="22"/>
          <w:szCs w:val="22"/>
        </w:rPr>
        <w:t xml:space="preserve"> November 2019.</w:t>
      </w:r>
    </w:p>
    <w:p w14:paraId="43735739" w14:textId="77777777" w:rsidR="00DF57DF" w:rsidRPr="005D264F" w:rsidRDefault="00DF57DF" w:rsidP="00DF57DF">
      <w:pPr>
        <w:spacing w:line="480" w:lineRule="auto"/>
        <w:rPr>
          <w:rFonts w:ascii="Arial" w:hAnsi="Arial" w:cs="Arial"/>
          <w:sz w:val="22"/>
          <w:szCs w:val="22"/>
        </w:rPr>
      </w:pPr>
    </w:p>
    <w:p w14:paraId="3AE5EF5D"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Hedman, E., Andersson, E., Ljotsson, B., Andersson, G., Ruck, C., and Lindefors, N. (2011). Cost effectiveness of internet-based cognitive behavior therapy versus cognitive behavioral group therapy for social anxiety disorder: Results from a randomised controlled trial. </w:t>
      </w:r>
      <w:r w:rsidRPr="002F1A75">
        <w:rPr>
          <w:rFonts w:ascii="Arial" w:hAnsi="Arial" w:cs="Arial"/>
          <w:i/>
          <w:iCs/>
          <w:sz w:val="22"/>
          <w:szCs w:val="22"/>
        </w:rPr>
        <w:t>Behaviour Research and Therapy</w:t>
      </w:r>
      <w:r>
        <w:rPr>
          <w:rFonts w:ascii="Arial" w:hAnsi="Arial" w:cs="Arial"/>
          <w:sz w:val="22"/>
          <w:szCs w:val="22"/>
        </w:rPr>
        <w:t>, 49, 729-736.</w:t>
      </w:r>
    </w:p>
    <w:p w14:paraId="221C8B78" w14:textId="77777777" w:rsidR="00DF57DF" w:rsidRPr="005D264F" w:rsidRDefault="00DF57DF" w:rsidP="00DF57DF">
      <w:pPr>
        <w:spacing w:line="480" w:lineRule="auto"/>
        <w:rPr>
          <w:rFonts w:ascii="Arial" w:hAnsi="Arial" w:cs="Arial"/>
          <w:sz w:val="22"/>
          <w:szCs w:val="22"/>
        </w:rPr>
      </w:pPr>
    </w:p>
    <w:p w14:paraId="3C1F356A"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Hedman, E., and Ljotsson, B. and Lindefors, N. (2012)</w:t>
      </w:r>
      <w:r>
        <w:rPr>
          <w:rFonts w:ascii="Arial" w:hAnsi="Arial" w:cs="Arial"/>
          <w:sz w:val="22"/>
          <w:szCs w:val="22"/>
        </w:rPr>
        <w:t>.</w:t>
      </w:r>
      <w:r w:rsidRPr="005D264F">
        <w:rPr>
          <w:rFonts w:ascii="Arial" w:hAnsi="Arial" w:cs="Arial"/>
          <w:sz w:val="22"/>
          <w:szCs w:val="22"/>
        </w:rPr>
        <w:t xml:space="preserve"> Cognitive behaviour therapy via the Internet: A systematic review of applications, clinical efficacy and cost effectiveness.  </w:t>
      </w:r>
      <w:r w:rsidRPr="005D264F">
        <w:rPr>
          <w:rFonts w:ascii="Arial" w:hAnsi="Arial" w:cs="Arial"/>
          <w:i/>
          <w:sz w:val="22"/>
          <w:szCs w:val="22"/>
        </w:rPr>
        <w:t>Expert Reviews, Pharmacoecon,</w:t>
      </w:r>
      <w:r w:rsidRPr="005D264F">
        <w:rPr>
          <w:rFonts w:ascii="Arial" w:hAnsi="Arial" w:cs="Arial"/>
          <w:sz w:val="22"/>
          <w:szCs w:val="22"/>
        </w:rPr>
        <w:t xml:space="preserve"> 12</w:t>
      </w:r>
      <w:r>
        <w:rPr>
          <w:rFonts w:ascii="Arial" w:hAnsi="Arial" w:cs="Arial"/>
          <w:sz w:val="22"/>
          <w:szCs w:val="22"/>
        </w:rPr>
        <w:t>,</w:t>
      </w:r>
      <w:r w:rsidRPr="005D264F">
        <w:rPr>
          <w:rFonts w:ascii="Arial" w:hAnsi="Arial" w:cs="Arial"/>
          <w:sz w:val="22"/>
          <w:szCs w:val="22"/>
        </w:rPr>
        <w:t xml:space="preserve"> 745-764.</w:t>
      </w:r>
    </w:p>
    <w:p w14:paraId="1450ED8A" w14:textId="77777777" w:rsidR="00DF57DF" w:rsidRDefault="00DF57DF" w:rsidP="00DF57DF">
      <w:pPr>
        <w:spacing w:line="480" w:lineRule="auto"/>
        <w:rPr>
          <w:rFonts w:ascii="Arial" w:hAnsi="Arial" w:cs="Arial"/>
          <w:sz w:val="22"/>
          <w:szCs w:val="22"/>
        </w:rPr>
      </w:pPr>
    </w:p>
    <w:p w14:paraId="7FB58C4A" w14:textId="77777777" w:rsidR="00DF57DF" w:rsidRPr="00DD3823" w:rsidRDefault="00DF57DF" w:rsidP="00DF57DF">
      <w:pPr>
        <w:spacing w:line="480" w:lineRule="auto"/>
        <w:rPr>
          <w:rFonts w:ascii="Arial" w:hAnsi="Arial" w:cs="Arial"/>
          <w:sz w:val="22"/>
          <w:szCs w:val="22"/>
        </w:rPr>
      </w:pPr>
      <w:r w:rsidRPr="00DD3823">
        <w:rPr>
          <w:rFonts w:ascii="Arial" w:hAnsi="Arial" w:cs="Arial"/>
          <w:sz w:val="22"/>
          <w:szCs w:val="22"/>
        </w:rPr>
        <w:t xml:space="preserve">Helmy, A., Timofeev, I., Palmer, C.R., Gore, A., Menon, D.K., and Hutchinson, P.J. (2010) Hierarchical log linear analysis of blood parameters and clinical outcome following traumatic brain injury. </w:t>
      </w:r>
      <w:r w:rsidRPr="00DD3823">
        <w:rPr>
          <w:rFonts w:ascii="Arial" w:hAnsi="Arial" w:cs="Arial"/>
          <w:i/>
          <w:iCs/>
          <w:sz w:val="22"/>
          <w:szCs w:val="22"/>
        </w:rPr>
        <w:t>Acta Neurochirurgica (Wein)</w:t>
      </w:r>
      <w:r w:rsidRPr="00DD3823">
        <w:rPr>
          <w:rFonts w:ascii="Arial" w:hAnsi="Arial" w:cs="Arial"/>
          <w:sz w:val="22"/>
          <w:szCs w:val="22"/>
        </w:rPr>
        <w:t xml:space="preserve"> 152, 953-957.</w:t>
      </w:r>
    </w:p>
    <w:p w14:paraId="72D3E5D2" w14:textId="77777777" w:rsidR="00DF57DF" w:rsidRPr="005D264F" w:rsidRDefault="00DF57DF" w:rsidP="00DF57DF">
      <w:pPr>
        <w:spacing w:line="480" w:lineRule="auto"/>
        <w:rPr>
          <w:rFonts w:ascii="Arial" w:hAnsi="Arial" w:cs="Arial"/>
          <w:sz w:val="22"/>
          <w:szCs w:val="22"/>
        </w:rPr>
      </w:pPr>
    </w:p>
    <w:p w14:paraId="5F29FE4B" w14:textId="77777777" w:rsidR="000E4F1A" w:rsidRDefault="000E4F1A">
      <w:pPr>
        <w:rPr>
          <w:rFonts w:ascii="Arial" w:hAnsi="Arial" w:cs="Arial"/>
          <w:color w:val="000000"/>
          <w:sz w:val="22"/>
          <w:szCs w:val="22"/>
        </w:rPr>
      </w:pPr>
      <w:r>
        <w:rPr>
          <w:rFonts w:ascii="Arial" w:hAnsi="Arial" w:cs="Arial"/>
          <w:color w:val="000000"/>
          <w:sz w:val="22"/>
          <w:szCs w:val="22"/>
        </w:rPr>
        <w:br w:type="page"/>
      </w:r>
    </w:p>
    <w:p w14:paraId="46249BB4" w14:textId="0DADC9F9" w:rsidR="00DF57DF" w:rsidRPr="006532F3" w:rsidRDefault="00DF57DF" w:rsidP="00DF57DF">
      <w:pPr>
        <w:spacing w:line="480" w:lineRule="auto"/>
        <w:rPr>
          <w:rFonts w:ascii="Arial" w:hAnsi="Arial" w:cs="Arial"/>
          <w:color w:val="000000"/>
          <w:sz w:val="22"/>
          <w:szCs w:val="22"/>
        </w:rPr>
      </w:pPr>
      <w:r w:rsidRPr="005D264F">
        <w:rPr>
          <w:rFonts w:ascii="Arial" w:hAnsi="Arial" w:cs="Arial"/>
          <w:color w:val="000000"/>
          <w:sz w:val="22"/>
          <w:szCs w:val="22"/>
        </w:rPr>
        <w:lastRenderedPageBreak/>
        <w:t>Hepgul, N</w:t>
      </w:r>
      <w:r>
        <w:rPr>
          <w:rFonts w:ascii="Arial" w:hAnsi="Arial" w:cs="Arial"/>
          <w:color w:val="000000"/>
          <w:sz w:val="22"/>
          <w:szCs w:val="22"/>
        </w:rPr>
        <w:t>.</w:t>
      </w:r>
      <w:r w:rsidRPr="005D264F">
        <w:rPr>
          <w:rFonts w:ascii="Arial" w:hAnsi="Arial" w:cs="Arial"/>
          <w:color w:val="000000"/>
          <w:sz w:val="22"/>
          <w:szCs w:val="22"/>
        </w:rPr>
        <w:t>, King, S</w:t>
      </w:r>
      <w:r>
        <w:rPr>
          <w:rFonts w:ascii="Arial" w:hAnsi="Arial" w:cs="Arial"/>
          <w:color w:val="000000"/>
          <w:sz w:val="22"/>
          <w:szCs w:val="22"/>
        </w:rPr>
        <w:t>.</w:t>
      </w:r>
      <w:r w:rsidRPr="005D264F">
        <w:rPr>
          <w:rFonts w:ascii="Arial" w:hAnsi="Arial" w:cs="Arial"/>
          <w:color w:val="000000"/>
          <w:sz w:val="22"/>
          <w:szCs w:val="22"/>
        </w:rPr>
        <w:t>, Amarasinghe, M</w:t>
      </w:r>
      <w:r>
        <w:rPr>
          <w:rFonts w:ascii="Arial" w:hAnsi="Arial" w:cs="Arial"/>
          <w:color w:val="000000"/>
          <w:sz w:val="22"/>
          <w:szCs w:val="22"/>
        </w:rPr>
        <w:t>.</w:t>
      </w:r>
      <w:r w:rsidRPr="005D264F">
        <w:rPr>
          <w:rFonts w:ascii="Arial" w:hAnsi="Arial" w:cs="Arial"/>
          <w:color w:val="000000"/>
          <w:sz w:val="22"/>
          <w:szCs w:val="22"/>
        </w:rPr>
        <w:t>, Breen, G</w:t>
      </w:r>
      <w:r>
        <w:rPr>
          <w:rFonts w:ascii="Arial" w:hAnsi="Arial" w:cs="Arial"/>
          <w:color w:val="000000"/>
          <w:sz w:val="22"/>
          <w:szCs w:val="22"/>
        </w:rPr>
        <w:t>.</w:t>
      </w:r>
      <w:r w:rsidRPr="005D264F">
        <w:rPr>
          <w:rFonts w:ascii="Arial" w:hAnsi="Arial" w:cs="Arial"/>
          <w:color w:val="000000"/>
          <w:sz w:val="22"/>
          <w:szCs w:val="22"/>
        </w:rPr>
        <w:t>, Grant, N</w:t>
      </w:r>
      <w:r>
        <w:rPr>
          <w:rFonts w:ascii="Arial" w:hAnsi="Arial" w:cs="Arial"/>
          <w:color w:val="000000"/>
          <w:sz w:val="22"/>
          <w:szCs w:val="22"/>
        </w:rPr>
        <w:t>.</w:t>
      </w:r>
      <w:r w:rsidRPr="005D264F">
        <w:rPr>
          <w:rFonts w:ascii="Arial" w:hAnsi="Arial" w:cs="Arial"/>
          <w:color w:val="000000"/>
          <w:sz w:val="22"/>
          <w:szCs w:val="22"/>
        </w:rPr>
        <w:t>, Grey, N</w:t>
      </w:r>
      <w:r>
        <w:rPr>
          <w:rFonts w:ascii="Arial" w:hAnsi="Arial" w:cs="Arial"/>
          <w:color w:val="000000"/>
          <w:sz w:val="22"/>
          <w:szCs w:val="22"/>
        </w:rPr>
        <w:t>.</w:t>
      </w:r>
      <w:r w:rsidRPr="005D264F">
        <w:rPr>
          <w:rFonts w:ascii="Arial" w:hAnsi="Arial" w:cs="Arial"/>
          <w:color w:val="000000"/>
          <w:sz w:val="22"/>
          <w:szCs w:val="22"/>
        </w:rPr>
        <w:t>, Hotopf, M</w:t>
      </w:r>
      <w:r>
        <w:rPr>
          <w:rFonts w:ascii="Arial" w:hAnsi="Arial" w:cs="Arial"/>
          <w:color w:val="000000"/>
          <w:sz w:val="22"/>
          <w:szCs w:val="22"/>
        </w:rPr>
        <w:t>.</w:t>
      </w:r>
      <w:r w:rsidRPr="005D264F">
        <w:rPr>
          <w:rFonts w:ascii="Arial" w:hAnsi="Arial" w:cs="Arial"/>
          <w:color w:val="000000"/>
          <w:sz w:val="22"/>
          <w:szCs w:val="22"/>
        </w:rPr>
        <w:t>, Moran, P</w:t>
      </w:r>
      <w:r>
        <w:rPr>
          <w:rFonts w:ascii="Arial" w:hAnsi="Arial" w:cs="Arial"/>
          <w:color w:val="000000"/>
          <w:sz w:val="22"/>
          <w:szCs w:val="22"/>
        </w:rPr>
        <w:t>.</w:t>
      </w:r>
      <w:r w:rsidRPr="005D264F">
        <w:rPr>
          <w:rFonts w:ascii="Arial" w:hAnsi="Arial" w:cs="Arial"/>
          <w:color w:val="000000"/>
          <w:sz w:val="22"/>
          <w:szCs w:val="22"/>
        </w:rPr>
        <w:t>, Pariante, C</w:t>
      </w:r>
      <w:r>
        <w:rPr>
          <w:rFonts w:ascii="Arial" w:hAnsi="Arial" w:cs="Arial"/>
          <w:color w:val="000000"/>
          <w:sz w:val="22"/>
          <w:szCs w:val="22"/>
        </w:rPr>
        <w:t>.</w:t>
      </w:r>
      <w:r w:rsidRPr="005D264F">
        <w:rPr>
          <w:rFonts w:ascii="Arial" w:hAnsi="Arial" w:cs="Arial"/>
          <w:color w:val="000000"/>
          <w:sz w:val="22"/>
          <w:szCs w:val="22"/>
        </w:rPr>
        <w:t>M</w:t>
      </w:r>
      <w:r>
        <w:rPr>
          <w:rFonts w:ascii="Arial" w:hAnsi="Arial" w:cs="Arial"/>
          <w:color w:val="000000"/>
          <w:sz w:val="22"/>
          <w:szCs w:val="22"/>
        </w:rPr>
        <w:t>.</w:t>
      </w:r>
      <w:r w:rsidRPr="005D264F">
        <w:rPr>
          <w:rFonts w:ascii="Arial" w:hAnsi="Arial" w:cs="Arial"/>
          <w:color w:val="000000"/>
          <w:sz w:val="22"/>
          <w:szCs w:val="22"/>
        </w:rPr>
        <w:t>, Tylee, A</w:t>
      </w:r>
      <w:r>
        <w:rPr>
          <w:rFonts w:ascii="Arial" w:hAnsi="Arial" w:cs="Arial"/>
          <w:color w:val="000000"/>
          <w:sz w:val="22"/>
          <w:szCs w:val="22"/>
        </w:rPr>
        <w:t>.</w:t>
      </w:r>
      <w:r w:rsidRPr="005D264F">
        <w:rPr>
          <w:rFonts w:ascii="Arial" w:hAnsi="Arial" w:cs="Arial"/>
          <w:color w:val="000000"/>
          <w:sz w:val="22"/>
          <w:szCs w:val="22"/>
        </w:rPr>
        <w:t>, Wingrove, J</w:t>
      </w:r>
      <w:r>
        <w:rPr>
          <w:rFonts w:ascii="Arial" w:hAnsi="Arial" w:cs="Arial"/>
          <w:color w:val="000000"/>
          <w:sz w:val="22"/>
          <w:szCs w:val="22"/>
        </w:rPr>
        <w:t>.</w:t>
      </w:r>
      <w:r w:rsidRPr="005D264F">
        <w:rPr>
          <w:rFonts w:ascii="Arial" w:hAnsi="Arial" w:cs="Arial"/>
          <w:color w:val="000000"/>
          <w:sz w:val="22"/>
          <w:szCs w:val="22"/>
        </w:rPr>
        <w:t>, Young, A</w:t>
      </w:r>
      <w:r>
        <w:rPr>
          <w:rFonts w:ascii="Arial" w:hAnsi="Arial" w:cs="Arial"/>
          <w:color w:val="000000"/>
          <w:sz w:val="22"/>
          <w:szCs w:val="22"/>
        </w:rPr>
        <w:t>.</w:t>
      </w:r>
      <w:r w:rsidRPr="005D264F">
        <w:rPr>
          <w:rFonts w:ascii="Arial" w:hAnsi="Arial" w:cs="Arial"/>
          <w:color w:val="000000"/>
          <w:sz w:val="22"/>
          <w:szCs w:val="22"/>
        </w:rPr>
        <w:t>H</w:t>
      </w:r>
      <w:r>
        <w:rPr>
          <w:rFonts w:ascii="Arial" w:hAnsi="Arial" w:cs="Arial"/>
          <w:color w:val="000000"/>
          <w:sz w:val="22"/>
          <w:szCs w:val="22"/>
        </w:rPr>
        <w:t>.,</w:t>
      </w:r>
      <w:r w:rsidRPr="005D264F">
        <w:rPr>
          <w:rFonts w:ascii="Arial" w:hAnsi="Arial" w:cs="Arial"/>
          <w:color w:val="000000"/>
          <w:sz w:val="22"/>
          <w:szCs w:val="22"/>
        </w:rPr>
        <w:t> </w:t>
      </w:r>
      <w:r>
        <w:rPr>
          <w:rFonts w:ascii="Arial" w:hAnsi="Arial" w:cs="Arial"/>
          <w:color w:val="000000"/>
          <w:sz w:val="22"/>
          <w:szCs w:val="22"/>
        </w:rPr>
        <w:t>and</w:t>
      </w:r>
      <w:r w:rsidRPr="005D264F">
        <w:rPr>
          <w:rFonts w:ascii="Arial" w:hAnsi="Arial" w:cs="Arial"/>
          <w:color w:val="000000"/>
          <w:sz w:val="22"/>
          <w:szCs w:val="22"/>
        </w:rPr>
        <w:t xml:space="preserve"> Cleare, A</w:t>
      </w:r>
      <w:r>
        <w:rPr>
          <w:rFonts w:ascii="Arial" w:hAnsi="Arial" w:cs="Arial"/>
          <w:color w:val="000000"/>
          <w:sz w:val="22"/>
          <w:szCs w:val="22"/>
        </w:rPr>
        <w:t>.</w:t>
      </w:r>
      <w:r w:rsidRPr="005D264F">
        <w:rPr>
          <w:rFonts w:ascii="Arial" w:hAnsi="Arial" w:cs="Arial"/>
          <w:color w:val="000000"/>
          <w:sz w:val="22"/>
          <w:szCs w:val="22"/>
        </w:rPr>
        <w:t>J</w:t>
      </w:r>
      <w:r>
        <w:rPr>
          <w:rFonts w:ascii="Arial" w:hAnsi="Arial" w:cs="Arial"/>
          <w:color w:val="000000"/>
          <w:sz w:val="22"/>
          <w:szCs w:val="22"/>
        </w:rPr>
        <w:t>.</w:t>
      </w:r>
      <w:r w:rsidRPr="005D264F">
        <w:rPr>
          <w:rFonts w:ascii="Arial" w:hAnsi="Arial" w:cs="Arial"/>
          <w:color w:val="000000"/>
          <w:sz w:val="22"/>
          <w:szCs w:val="22"/>
          <w:shd w:val="clear" w:color="auto" w:fill="E5E2DD"/>
        </w:rPr>
        <w:t> </w:t>
      </w:r>
      <w:r>
        <w:rPr>
          <w:rFonts w:ascii="Arial" w:hAnsi="Arial" w:cs="Arial"/>
          <w:color w:val="000000"/>
          <w:sz w:val="22"/>
          <w:szCs w:val="22"/>
          <w:shd w:val="clear" w:color="auto" w:fill="E5E2DD"/>
        </w:rPr>
        <w:t xml:space="preserve"> (</w:t>
      </w:r>
      <w:r w:rsidRPr="005D264F">
        <w:rPr>
          <w:rFonts w:ascii="Arial" w:hAnsi="Arial" w:cs="Arial"/>
          <w:color w:val="000000"/>
          <w:sz w:val="22"/>
          <w:szCs w:val="22"/>
          <w:shd w:val="clear" w:color="auto" w:fill="E5E2DD"/>
        </w:rPr>
        <w:t>2016</w:t>
      </w:r>
      <w:r>
        <w:rPr>
          <w:rFonts w:ascii="Arial" w:hAnsi="Arial" w:cs="Arial"/>
          <w:color w:val="000000"/>
          <w:sz w:val="22"/>
          <w:szCs w:val="22"/>
          <w:shd w:val="clear" w:color="auto" w:fill="E5E2DD"/>
        </w:rPr>
        <w:t xml:space="preserve">). </w:t>
      </w:r>
      <w:r w:rsidRPr="005D264F">
        <w:rPr>
          <w:rFonts w:ascii="Arial" w:hAnsi="Arial" w:cs="Arial"/>
          <w:color w:val="000000"/>
          <w:sz w:val="22"/>
          <w:szCs w:val="22"/>
        </w:rPr>
        <w:t>Clinical characteristics of patients assessed within an Improving Access to Psychological Therapies (IAPT) service: results from a naturalistic cohort study (Predicting Outcome Following Psychological Therapy; PROMPT)</w:t>
      </w:r>
      <w:r>
        <w:rPr>
          <w:rFonts w:ascii="Arial" w:hAnsi="Arial" w:cs="Arial"/>
          <w:color w:val="000000"/>
          <w:sz w:val="22"/>
          <w:szCs w:val="22"/>
          <w:shd w:val="clear" w:color="auto" w:fill="E5E2DD"/>
        </w:rPr>
        <w:t xml:space="preserve">. </w:t>
      </w:r>
      <w:r w:rsidRPr="005D264F">
        <w:rPr>
          <w:rFonts w:ascii="Arial" w:hAnsi="Arial" w:cs="Arial"/>
          <w:i/>
          <w:iCs/>
          <w:color w:val="000000"/>
          <w:sz w:val="22"/>
          <w:szCs w:val="22"/>
        </w:rPr>
        <w:t>BMC Psychiatry</w:t>
      </w:r>
      <w:r w:rsidRPr="005D264F">
        <w:rPr>
          <w:rFonts w:ascii="Arial" w:hAnsi="Arial" w:cs="Arial"/>
          <w:color w:val="000000"/>
          <w:sz w:val="22"/>
          <w:szCs w:val="22"/>
          <w:shd w:val="clear" w:color="auto" w:fill="E5E2DD"/>
        </w:rPr>
        <w:t xml:space="preserve">, </w:t>
      </w:r>
      <w:r>
        <w:rPr>
          <w:rFonts w:ascii="Arial" w:hAnsi="Arial" w:cs="Arial"/>
          <w:color w:val="000000"/>
          <w:sz w:val="22"/>
          <w:szCs w:val="22"/>
          <w:shd w:val="clear" w:color="auto" w:fill="E5E2DD"/>
        </w:rPr>
        <w:t xml:space="preserve">available online at </w:t>
      </w:r>
      <w:r w:rsidRPr="005021BB">
        <w:rPr>
          <w:rFonts w:ascii="Arial" w:hAnsi="Arial" w:cs="Arial"/>
          <w:color w:val="000000"/>
          <w:sz w:val="22"/>
          <w:szCs w:val="22"/>
          <w:shd w:val="clear" w:color="auto" w:fill="E5E2DD"/>
        </w:rPr>
        <w:t>https://bmcpsychiatry.biomedcentral.com/articles/10.1186/s12888-016-0736-6</w:t>
      </w:r>
    </w:p>
    <w:p w14:paraId="05763052" w14:textId="77777777" w:rsidR="00DF57DF" w:rsidRDefault="00DF57DF" w:rsidP="00DF57DF">
      <w:pPr>
        <w:spacing w:line="480" w:lineRule="auto"/>
        <w:rPr>
          <w:rFonts w:ascii="Arial" w:hAnsi="Arial" w:cs="Arial"/>
          <w:color w:val="000000"/>
          <w:sz w:val="22"/>
          <w:szCs w:val="22"/>
          <w:shd w:val="clear" w:color="auto" w:fill="E5E2DD"/>
        </w:rPr>
      </w:pPr>
      <w:r>
        <w:rPr>
          <w:rFonts w:ascii="Arial" w:hAnsi="Arial" w:cs="Arial"/>
          <w:color w:val="000000"/>
          <w:sz w:val="22"/>
          <w:szCs w:val="22"/>
          <w:shd w:val="clear" w:color="auto" w:fill="E5E2DD"/>
        </w:rPr>
        <w:t>Accessed 24th October 2019.</w:t>
      </w:r>
    </w:p>
    <w:p w14:paraId="22286ACB" w14:textId="77777777" w:rsidR="00DF57DF" w:rsidRDefault="00DF57DF" w:rsidP="00DF57DF">
      <w:pPr>
        <w:spacing w:line="480" w:lineRule="auto"/>
        <w:rPr>
          <w:rFonts w:ascii="Arial" w:hAnsi="Arial" w:cs="Arial"/>
          <w:color w:val="000000"/>
          <w:sz w:val="22"/>
          <w:szCs w:val="22"/>
          <w:shd w:val="clear" w:color="auto" w:fill="E5E2DD"/>
        </w:rPr>
      </w:pPr>
    </w:p>
    <w:p w14:paraId="0395BFA6" w14:textId="77777777" w:rsidR="00DF57DF" w:rsidRDefault="00DF57DF" w:rsidP="00DF57DF">
      <w:pPr>
        <w:spacing w:line="480" w:lineRule="auto"/>
        <w:rPr>
          <w:rFonts w:ascii="Arial" w:hAnsi="Arial" w:cs="Arial"/>
          <w:color w:val="000000"/>
          <w:sz w:val="22"/>
          <w:szCs w:val="22"/>
          <w:shd w:val="clear" w:color="auto" w:fill="E5E2DD"/>
        </w:rPr>
      </w:pPr>
      <w:r>
        <w:rPr>
          <w:rFonts w:ascii="Arial" w:hAnsi="Arial" w:cs="Arial"/>
          <w:color w:val="000000"/>
          <w:sz w:val="22"/>
          <w:szCs w:val="22"/>
          <w:shd w:val="clear" w:color="auto" w:fill="E5E2DD"/>
        </w:rPr>
        <w:t xml:space="preserve">Hill, C.E., and Castonguay, L.G. (2017). Therapist effects: Integration and conclusions. In Castonguay, L.G., and Hill, C.E. (Eds) </w:t>
      </w:r>
      <w:r w:rsidRPr="009057B9">
        <w:rPr>
          <w:rFonts w:ascii="Arial" w:hAnsi="Arial" w:cs="Arial"/>
          <w:i/>
          <w:iCs/>
          <w:color w:val="000000"/>
          <w:sz w:val="22"/>
          <w:szCs w:val="22"/>
          <w:shd w:val="clear" w:color="auto" w:fill="E5E2DD"/>
        </w:rPr>
        <w:t>How and Why are Some Therapists Better than Others? Understanding Therapist Effects</w:t>
      </w:r>
      <w:r>
        <w:rPr>
          <w:rFonts w:ascii="Arial" w:hAnsi="Arial" w:cs="Arial"/>
          <w:color w:val="000000"/>
          <w:sz w:val="22"/>
          <w:szCs w:val="22"/>
          <w:shd w:val="clear" w:color="auto" w:fill="E5E2DD"/>
        </w:rPr>
        <w:t>. Washington, American Psychological Association.</w:t>
      </w:r>
    </w:p>
    <w:p w14:paraId="22E5E4E0" w14:textId="77777777" w:rsidR="00DF57DF" w:rsidRDefault="00DF57DF" w:rsidP="00DF57DF">
      <w:pPr>
        <w:spacing w:line="480" w:lineRule="auto"/>
        <w:rPr>
          <w:rFonts w:ascii="Arial" w:hAnsi="Arial" w:cs="Arial"/>
          <w:color w:val="000000"/>
          <w:sz w:val="22"/>
          <w:szCs w:val="22"/>
          <w:shd w:val="clear" w:color="auto" w:fill="E5E2DD"/>
        </w:rPr>
      </w:pPr>
    </w:p>
    <w:p w14:paraId="688A273C" w14:textId="77777777" w:rsidR="00DF57DF" w:rsidRPr="005D264F" w:rsidRDefault="00DF57DF" w:rsidP="00DF57DF">
      <w:pPr>
        <w:spacing w:line="480" w:lineRule="auto"/>
        <w:rPr>
          <w:rFonts w:ascii="Arial" w:hAnsi="Arial" w:cs="Arial"/>
          <w:sz w:val="22"/>
          <w:szCs w:val="22"/>
        </w:rPr>
      </w:pPr>
      <w:r>
        <w:rPr>
          <w:rFonts w:ascii="Arial" w:hAnsi="Arial" w:cs="Arial"/>
          <w:color w:val="000000"/>
          <w:sz w:val="22"/>
          <w:szCs w:val="22"/>
          <w:shd w:val="clear" w:color="auto" w:fill="E5E2DD"/>
        </w:rPr>
        <w:t>Hilvert-Bruce, Z., Rossouw, P.J., Wong, N., Sunderland, M., Andrews, G. (2012). Adherence as a determinant of effectiveness of internet cognitive behavioural therapy for anxiety and depression disorders.</w:t>
      </w:r>
      <w:r w:rsidRPr="00605805">
        <w:rPr>
          <w:rFonts w:ascii="Arial" w:hAnsi="Arial" w:cs="Arial"/>
          <w:i/>
          <w:iCs/>
          <w:color w:val="000000"/>
          <w:sz w:val="22"/>
          <w:szCs w:val="22"/>
          <w:shd w:val="clear" w:color="auto" w:fill="E5E2DD"/>
        </w:rPr>
        <w:t xml:space="preserve"> Behaviour Research and Therapy,</w:t>
      </w:r>
      <w:r>
        <w:rPr>
          <w:rFonts w:ascii="Arial" w:hAnsi="Arial" w:cs="Arial"/>
          <w:color w:val="000000"/>
          <w:sz w:val="22"/>
          <w:szCs w:val="22"/>
          <w:shd w:val="clear" w:color="auto" w:fill="E5E2DD"/>
        </w:rPr>
        <w:t xml:space="preserve"> 50, 463-468.</w:t>
      </w:r>
    </w:p>
    <w:p w14:paraId="17101C0A" w14:textId="77777777" w:rsidR="00DF57DF" w:rsidRDefault="00DF57DF" w:rsidP="00DF57DF">
      <w:pPr>
        <w:spacing w:line="480" w:lineRule="auto"/>
        <w:rPr>
          <w:rFonts w:ascii="Arial" w:hAnsi="Arial" w:cs="Arial"/>
          <w:sz w:val="22"/>
          <w:szCs w:val="22"/>
        </w:rPr>
      </w:pPr>
    </w:p>
    <w:p w14:paraId="60106D0B"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t xml:space="preserve">Hofmann, S.G. (2013). Bridging the theory-practice gap by getting even bolder with the Boulder Model. </w:t>
      </w:r>
      <w:r w:rsidRPr="00350C5E">
        <w:rPr>
          <w:rFonts w:ascii="Arial" w:hAnsi="Arial" w:cs="Arial"/>
          <w:i/>
          <w:iCs/>
          <w:sz w:val="22"/>
          <w:szCs w:val="22"/>
        </w:rPr>
        <w:t>Behavior Therapy</w:t>
      </w:r>
      <w:r>
        <w:rPr>
          <w:rFonts w:ascii="Arial" w:hAnsi="Arial" w:cs="Arial"/>
          <w:sz w:val="22"/>
          <w:szCs w:val="22"/>
        </w:rPr>
        <w:t>, 44, 603-608.</w:t>
      </w:r>
    </w:p>
    <w:p w14:paraId="71342EC9" w14:textId="77777777" w:rsidR="00DF57DF" w:rsidRPr="005D264F" w:rsidRDefault="00DF57DF" w:rsidP="00DF57DF">
      <w:pPr>
        <w:spacing w:line="480" w:lineRule="auto"/>
        <w:rPr>
          <w:rFonts w:ascii="Arial" w:hAnsi="Arial" w:cs="Arial"/>
          <w:sz w:val="22"/>
          <w:szCs w:val="22"/>
        </w:rPr>
      </w:pPr>
    </w:p>
    <w:p w14:paraId="79F3D585"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Hofman</w:t>
      </w:r>
      <w:r>
        <w:rPr>
          <w:rFonts w:ascii="Arial" w:hAnsi="Arial" w:cs="Arial"/>
          <w:sz w:val="22"/>
          <w:szCs w:val="22"/>
        </w:rPr>
        <w:t>n</w:t>
      </w:r>
      <w:r w:rsidRPr="005D264F">
        <w:rPr>
          <w:rFonts w:ascii="Arial" w:hAnsi="Arial" w:cs="Arial"/>
          <w:sz w:val="22"/>
          <w:szCs w:val="22"/>
        </w:rPr>
        <w:t xml:space="preserve">, S.G. and Smits, J.A. (2008) </w:t>
      </w:r>
      <w:r w:rsidRPr="005D264F">
        <w:rPr>
          <w:rFonts w:ascii="Arial" w:hAnsi="Arial" w:cs="Arial"/>
          <w:bCs/>
          <w:sz w:val="22"/>
          <w:szCs w:val="22"/>
          <w:lang w:val="en-US"/>
        </w:rPr>
        <w:t xml:space="preserve">Cognitive-behavioral therapy for adult anxiety disorders: a meta-analysis of randomized placebo-controlled trials, </w:t>
      </w:r>
      <w:r w:rsidRPr="005D264F">
        <w:rPr>
          <w:rFonts w:ascii="Arial" w:hAnsi="Arial" w:cs="Arial"/>
          <w:bCs/>
          <w:i/>
          <w:sz w:val="22"/>
          <w:szCs w:val="22"/>
          <w:lang w:val="en-US"/>
        </w:rPr>
        <w:t>Journal of Clinical Psychiatry</w:t>
      </w:r>
      <w:r w:rsidRPr="005D264F">
        <w:rPr>
          <w:rFonts w:ascii="Arial" w:hAnsi="Arial" w:cs="Arial"/>
          <w:bCs/>
          <w:sz w:val="22"/>
          <w:szCs w:val="22"/>
          <w:lang w:val="en-US"/>
        </w:rPr>
        <w:t>, 69 (4), 621-632.</w:t>
      </w:r>
    </w:p>
    <w:p w14:paraId="1A533CF0" w14:textId="77777777" w:rsidR="00DF57DF" w:rsidRPr="005D264F" w:rsidRDefault="00DF57DF" w:rsidP="00DF57DF">
      <w:pPr>
        <w:spacing w:line="480" w:lineRule="auto"/>
        <w:rPr>
          <w:rFonts w:ascii="Arial" w:hAnsi="Arial" w:cs="Arial"/>
          <w:sz w:val="22"/>
          <w:szCs w:val="22"/>
        </w:rPr>
      </w:pPr>
    </w:p>
    <w:p w14:paraId="06559324"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Hollis, C., Martin, J., Armani, S., Cotton, R., Denis, M. and Lewis, S.  (2013)</w:t>
      </w:r>
      <w:r>
        <w:rPr>
          <w:rFonts w:ascii="Arial" w:hAnsi="Arial" w:cs="Arial"/>
          <w:sz w:val="22"/>
          <w:szCs w:val="22"/>
        </w:rPr>
        <w:t>.</w:t>
      </w:r>
      <w:r w:rsidRPr="005D264F">
        <w:rPr>
          <w:rFonts w:ascii="Arial" w:hAnsi="Arial" w:cs="Arial"/>
          <w:sz w:val="22"/>
          <w:szCs w:val="22"/>
        </w:rPr>
        <w:t xml:space="preserve">  Technological innovations in mental health care, in Davies, S.C. </w:t>
      </w:r>
      <w:r w:rsidRPr="005D264F">
        <w:rPr>
          <w:rFonts w:ascii="Arial" w:hAnsi="Arial" w:cs="Arial"/>
          <w:i/>
          <w:sz w:val="22"/>
          <w:szCs w:val="22"/>
        </w:rPr>
        <w:t>Annual Report of the Chief Medical Officer</w:t>
      </w:r>
      <w:r w:rsidRPr="005D264F">
        <w:rPr>
          <w:rFonts w:ascii="Arial" w:hAnsi="Arial" w:cs="Arial"/>
          <w:sz w:val="22"/>
          <w:szCs w:val="22"/>
        </w:rPr>
        <w:t>.  London, Department of Health.</w:t>
      </w:r>
    </w:p>
    <w:p w14:paraId="1BFA784A" w14:textId="77777777" w:rsidR="00DF57DF" w:rsidRDefault="00DF57DF" w:rsidP="00DF57DF">
      <w:pPr>
        <w:spacing w:line="480" w:lineRule="auto"/>
        <w:rPr>
          <w:rFonts w:ascii="Arial" w:hAnsi="Arial" w:cs="Arial"/>
          <w:sz w:val="22"/>
          <w:szCs w:val="22"/>
        </w:rPr>
      </w:pPr>
    </w:p>
    <w:p w14:paraId="72E568CD"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lastRenderedPageBreak/>
        <w:t xml:space="preserve">Holmqvist, R., Philips, B., and Barkham, M. (2015). Developing practice-based evidence: Benefits, challenges and tensions. </w:t>
      </w:r>
      <w:r w:rsidRPr="00C4424E">
        <w:rPr>
          <w:rFonts w:ascii="Arial" w:hAnsi="Arial" w:cs="Arial"/>
          <w:i/>
          <w:iCs/>
          <w:sz w:val="22"/>
          <w:szCs w:val="22"/>
        </w:rPr>
        <w:t>Psychotherapy Research</w:t>
      </w:r>
      <w:r>
        <w:rPr>
          <w:rFonts w:ascii="Arial" w:hAnsi="Arial" w:cs="Arial"/>
          <w:sz w:val="22"/>
          <w:szCs w:val="22"/>
        </w:rPr>
        <w:t>, 25, 20-31.</w:t>
      </w:r>
    </w:p>
    <w:p w14:paraId="65F269F8" w14:textId="77777777" w:rsidR="00DF57DF" w:rsidRDefault="00DF57DF" w:rsidP="00DF57DF">
      <w:pPr>
        <w:spacing w:line="480" w:lineRule="auto"/>
        <w:rPr>
          <w:rFonts w:ascii="Arial" w:hAnsi="Arial" w:cs="Arial"/>
          <w:sz w:val="22"/>
          <w:szCs w:val="22"/>
        </w:rPr>
      </w:pPr>
    </w:p>
    <w:p w14:paraId="1FD845B5"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Hool, N. (2010). BABCP Core Curriculum Reference Document. BABCP, available online at </w:t>
      </w:r>
      <w:r w:rsidRPr="003C44E7">
        <w:rPr>
          <w:rFonts w:ascii="Arial" w:hAnsi="Arial" w:cs="Arial"/>
          <w:sz w:val="22"/>
          <w:szCs w:val="22"/>
        </w:rPr>
        <w:t>http://www.babcp.com/files/About/BABCP-Core-Curriculum-V2-190913.pdf</w:t>
      </w:r>
    </w:p>
    <w:p w14:paraId="46F6F8D6"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t>Accessed 24</w:t>
      </w:r>
      <w:r w:rsidRPr="003C44E7">
        <w:rPr>
          <w:rFonts w:ascii="Arial" w:hAnsi="Arial" w:cs="Arial"/>
          <w:sz w:val="22"/>
          <w:szCs w:val="22"/>
          <w:vertAlign w:val="superscript"/>
        </w:rPr>
        <w:t>th</w:t>
      </w:r>
      <w:r>
        <w:rPr>
          <w:rFonts w:ascii="Arial" w:hAnsi="Arial" w:cs="Arial"/>
          <w:sz w:val="22"/>
          <w:szCs w:val="22"/>
        </w:rPr>
        <w:t xml:space="preserve"> October 2019.</w:t>
      </w:r>
    </w:p>
    <w:p w14:paraId="0BB4F98B" w14:textId="77777777" w:rsidR="00DF57DF" w:rsidRDefault="00DF57DF" w:rsidP="00DF57DF">
      <w:pPr>
        <w:spacing w:line="480" w:lineRule="auto"/>
        <w:rPr>
          <w:rFonts w:ascii="Arial" w:hAnsi="Arial" w:cs="Arial"/>
          <w:sz w:val="22"/>
          <w:szCs w:val="22"/>
          <w:shd w:val="clear" w:color="auto" w:fill="FFFFFF"/>
        </w:rPr>
      </w:pPr>
      <w:r w:rsidRPr="005D264F">
        <w:rPr>
          <w:rFonts w:ascii="Arial" w:hAnsi="Arial" w:cs="Arial"/>
          <w:sz w:val="22"/>
          <w:szCs w:val="22"/>
          <w:shd w:val="clear" w:color="auto" w:fill="FFFFFF"/>
        </w:rPr>
        <w:t xml:space="preserve">Hope, D.A , Heimberg, R.G, &amp; Turk, Cynthia, L. (2006) </w:t>
      </w:r>
      <w:r w:rsidRPr="005D264F">
        <w:rPr>
          <w:rFonts w:ascii="Arial" w:hAnsi="Arial" w:cs="Arial"/>
          <w:i/>
          <w:iCs/>
          <w:sz w:val="22"/>
          <w:szCs w:val="22"/>
          <w:shd w:val="clear" w:color="auto" w:fill="FFFFFF"/>
        </w:rPr>
        <w:t xml:space="preserve">Managing social anxiety: A cognitive - behavioural approach. </w:t>
      </w:r>
      <w:r w:rsidRPr="005D264F">
        <w:rPr>
          <w:rFonts w:ascii="Arial" w:hAnsi="Arial" w:cs="Arial"/>
          <w:sz w:val="22"/>
          <w:szCs w:val="22"/>
          <w:shd w:val="clear" w:color="auto" w:fill="FFFFFF"/>
        </w:rPr>
        <w:t xml:space="preserve">Oxford: Oxford University Press. </w:t>
      </w:r>
    </w:p>
    <w:p w14:paraId="38D60E22" w14:textId="77777777" w:rsidR="00DF57DF" w:rsidRDefault="00DF57DF" w:rsidP="00DF57DF">
      <w:pPr>
        <w:spacing w:line="480" w:lineRule="auto"/>
        <w:rPr>
          <w:rFonts w:ascii="Arial" w:hAnsi="Arial" w:cs="Arial"/>
          <w:sz w:val="22"/>
          <w:szCs w:val="22"/>
          <w:shd w:val="clear" w:color="auto" w:fill="FFFFFF"/>
        </w:rPr>
      </w:pPr>
    </w:p>
    <w:p w14:paraId="06E8F084" w14:textId="77777777" w:rsidR="00DF57DF" w:rsidRDefault="00DF57DF" w:rsidP="00DF57DF">
      <w:pPr>
        <w:spacing w:line="480" w:lineRule="auto"/>
        <w:rPr>
          <w:rFonts w:ascii="Arial" w:hAnsi="Arial" w:cs="Arial"/>
          <w:sz w:val="22"/>
          <w:szCs w:val="22"/>
          <w:shd w:val="clear" w:color="auto" w:fill="FFFFFF"/>
        </w:rPr>
      </w:pPr>
      <w:r>
        <w:rPr>
          <w:rFonts w:ascii="Arial" w:hAnsi="Arial" w:cs="Arial"/>
          <w:sz w:val="22"/>
          <w:szCs w:val="22"/>
          <w:shd w:val="clear" w:color="auto" w:fill="FFFFFF"/>
        </w:rPr>
        <w:t xml:space="preserve">Horvath, A.O. (2006). The alliance in context: Accomplishments, challenges and future directions. </w:t>
      </w:r>
      <w:r w:rsidRPr="00B62678">
        <w:rPr>
          <w:rFonts w:ascii="Arial" w:hAnsi="Arial" w:cs="Arial"/>
          <w:i/>
          <w:iCs/>
          <w:sz w:val="22"/>
          <w:szCs w:val="22"/>
          <w:shd w:val="clear" w:color="auto" w:fill="FFFFFF"/>
        </w:rPr>
        <w:t>Psychotherapy: Theory, Research, Practice, Training</w:t>
      </w:r>
      <w:r>
        <w:rPr>
          <w:rFonts w:ascii="Arial" w:hAnsi="Arial" w:cs="Arial"/>
          <w:sz w:val="22"/>
          <w:szCs w:val="22"/>
          <w:shd w:val="clear" w:color="auto" w:fill="FFFFFF"/>
        </w:rPr>
        <w:t>, 43, 258-263.</w:t>
      </w:r>
    </w:p>
    <w:p w14:paraId="315FBA57" w14:textId="77777777" w:rsidR="00DF57DF" w:rsidRDefault="00DF57DF" w:rsidP="00DF57DF">
      <w:pPr>
        <w:spacing w:line="480" w:lineRule="auto"/>
        <w:rPr>
          <w:rFonts w:ascii="Arial" w:hAnsi="Arial" w:cs="Arial"/>
          <w:sz w:val="22"/>
          <w:szCs w:val="22"/>
          <w:shd w:val="clear" w:color="auto" w:fill="FFFFFF"/>
        </w:rPr>
      </w:pPr>
      <w:r>
        <w:rPr>
          <w:rFonts w:ascii="Arial" w:hAnsi="Arial" w:cs="Arial"/>
          <w:sz w:val="22"/>
          <w:szCs w:val="22"/>
          <w:shd w:val="clear" w:color="auto" w:fill="FFFFFF"/>
        </w:rPr>
        <w:t xml:space="preserve">Horvath, A.O., Del Re, A.O., Fluckiger, A.C., and Symonds, D. (2011). Alliance in individual psychotherapy. </w:t>
      </w:r>
      <w:r w:rsidRPr="00080C08">
        <w:rPr>
          <w:rFonts w:ascii="Arial" w:hAnsi="Arial" w:cs="Arial"/>
          <w:i/>
          <w:iCs/>
          <w:sz w:val="22"/>
          <w:szCs w:val="22"/>
          <w:shd w:val="clear" w:color="auto" w:fill="FFFFFF"/>
        </w:rPr>
        <w:t>Psychotherapy,</w:t>
      </w:r>
      <w:r>
        <w:rPr>
          <w:rFonts w:ascii="Arial" w:hAnsi="Arial" w:cs="Arial"/>
          <w:sz w:val="22"/>
          <w:szCs w:val="22"/>
          <w:shd w:val="clear" w:color="auto" w:fill="FFFFFF"/>
        </w:rPr>
        <w:t xml:space="preserve"> 48, 9-16.</w:t>
      </w:r>
    </w:p>
    <w:p w14:paraId="407C72E6" w14:textId="77777777" w:rsidR="00DF57DF" w:rsidRDefault="00DF57DF" w:rsidP="00DF57DF">
      <w:pPr>
        <w:spacing w:line="480" w:lineRule="auto"/>
        <w:rPr>
          <w:rFonts w:ascii="Arial" w:hAnsi="Arial" w:cs="Arial"/>
          <w:sz w:val="22"/>
          <w:szCs w:val="22"/>
          <w:shd w:val="clear" w:color="auto" w:fill="FFFFFF"/>
        </w:rPr>
      </w:pPr>
    </w:p>
    <w:p w14:paraId="0150AC7D" w14:textId="77777777" w:rsidR="00DF57DF" w:rsidRDefault="00DF57DF" w:rsidP="00DF57DF">
      <w:pPr>
        <w:spacing w:line="480" w:lineRule="auto"/>
        <w:rPr>
          <w:rFonts w:ascii="Arial" w:hAnsi="Arial" w:cs="Arial"/>
          <w:sz w:val="22"/>
          <w:szCs w:val="22"/>
          <w:shd w:val="clear" w:color="auto" w:fill="FFFFFF"/>
        </w:rPr>
      </w:pPr>
      <w:r>
        <w:rPr>
          <w:rFonts w:ascii="Arial" w:hAnsi="Arial" w:cs="Arial"/>
          <w:sz w:val="22"/>
          <w:szCs w:val="22"/>
          <w:shd w:val="clear" w:color="auto" w:fill="FFFFFF"/>
        </w:rPr>
        <w:t xml:space="preserve">Horvath, A.O., and Luborsky, L. (1993). The role of the therapeutic alliance in psychotherapy, </w:t>
      </w:r>
      <w:r w:rsidRPr="00080C08">
        <w:rPr>
          <w:rFonts w:ascii="Arial" w:hAnsi="Arial" w:cs="Arial"/>
          <w:i/>
          <w:iCs/>
          <w:sz w:val="22"/>
          <w:szCs w:val="22"/>
          <w:shd w:val="clear" w:color="auto" w:fill="FFFFFF"/>
        </w:rPr>
        <w:t>Journal of Consulting and Clinical Psychology</w:t>
      </w:r>
      <w:r>
        <w:rPr>
          <w:rFonts w:ascii="Arial" w:hAnsi="Arial" w:cs="Arial"/>
          <w:sz w:val="22"/>
          <w:szCs w:val="22"/>
          <w:shd w:val="clear" w:color="auto" w:fill="FFFFFF"/>
        </w:rPr>
        <w:t>, 61, 561-573.</w:t>
      </w:r>
    </w:p>
    <w:p w14:paraId="0EF5DD1A" w14:textId="77777777" w:rsidR="00DF57DF" w:rsidRDefault="00DF57DF" w:rsidP="00DF57DF">
      <w:pPr>
        <w:spacing w:line="480" w:lineRule="auto"/>
        <w:rPr>
          <w:rFonts w:ascii="Arial" w:hAnsi="Arial" w:cs="Arial"/>
          <w:sz w:val="22"/>
          <w:szCs w:val="22"/>
          <w:shd w:val="clear" w:color="auto" w:fill="FFFFFF"/>
        </w:rPr>
      </w:pPr>
    </w:p>
    <w:p w14:paraId="092FEFF0" w14:textId="77777777" w:rsidR="00DF57D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t>Horsfall, J., Cleary, M.</w:t>
      </w:r>
      <w:r>
        <w:rPr>
          <w:rFonts w:ascii="Arial" w:hAnsi="Arial" w:cs="Arial"/>
          <w:sz w:val="22"/>
          <w:szCs w:val="22"/>
        </w:rPr>
        <w:t>,</w:t>
      </w:r>
      <w:r w:rsidRPr="005D264F">
        <w:rPr>
          <w:rFonts w:ascii="Arial" w:hAnsi="Arial" w:cs="Arial"/>
          <w:sz w:val="22"/>
          <w:szCs w:val="22"/>
        </w:rPr>
        <w:t xml:space="preserve"> </w:t>
      </w:r>
      <w:r>
        <w:rPr>
          <w:rFonts w:ascii="Arial" w:hAnsi="Arial" w:cs="Arial"/>
          <w:sz w:val="22"/>
          <w:szCs w:val="22"/>
        </w:rPr>
        <w:t xml:space="preserve">and </w:t>
      </w:r>
      <w:r w:rsidRPr="005D264F">
        <w:rPr>
          <w:rFonts w:ascii="Arial" w:hAnsi="Arial" w:cs="Arial"/>
          <w:sz w:val="22"/>
          <w:szCs w:val="22"/>
        </w:rPr>
        <w:t xml:space="preserve">Hunt, G.E. </w:t>
      </w:r>
      <w:r>
        <w:rPr>
          <w:rFonts w:ascii="Arial" w:hAnsi="Arial" w:cs="Arial"/>
          <w:sz w:val="22"/>
          <w:szCs w:val="22"/>
        </w:rPr>
        <w:t>(</w:t>
      </w:r>
      <w:r w:rsidRPr="005D264F">
        <w:rPr>
          <w:rFonts w:ascii="Arial" w:hAnsi="Arial" w:cs="Arial"/>
          <w:sz w:val="22"/>
          <w:szCs w:val="22"/>
        </w:rPr>
        <w:t>2011</w:t>
      </w:r>
      <w:r>
        <w:rPr>
          <w:rFonts w:ascii="Arial" w:hAnsi="Arial" w:cs="Arial"/>
          <w:sz w:val="22"/>
          <w:szCs w:val="22"/>
        </w:rPr>
        <w:t xml:space="preserve">). </w:t>
      </w:r>
      <w:r w:rsidRPr="005D264F">
        <w:rPr>
          <w:rFonts w:ascii="Arial" w:hAnsi="Arial" w:cs="Arial"/>
          <w:sz w:val="22"/>
          <w:szCs w:val="22"/>
        </w:rPr>
        <w:t>Developing Partnerships in Mental Health to Bridge the Research-Practitioner Gap</w:t>
      </w:r>
      <w:r>
        <w:rPr>
          <w:rFonts w:ascii="Arial" w:hAnsi="Arial" w:cs="Arial"/>
          <w:sz w:val="22"/>
          <w:szCs w:val="22"/>
        </w:rPr>
        <w:t xml:space="preserve">. </w:t>
      </w:r>
      <w:r w:rsidRPr="005D264F">
        <w:rPr>
          <w:rFonts w:ascii="Arial" w:hAnsi="Arial" w:cs="Arial"/>
          <w:i/>
          <w:iCs/>
          <w:sz w:val="22"/>
          <w:szCs w:val="22"/>
        </w:rPr>
        <w:t xml:space="preserve">Perspectives in </w:t>
      </w:r>
      <w:r>
        <w:rPr>
          <w:rFonts w:ascii="Arial" w:hAnsi="Arial" w:cs="Arial"/>
          <w:i/>
          <w:iCs/>
          <w:sz w:val="22"/>
          <w:szCs w:val="22"/>
        </w:rPr>
        <w:t>P</w:t>
      </w:r>
      <w:r w:rsidRPr="005D264F">
        <w:rPr>
          <w:rFonts w:ascii="Arial" w:hAnsi="Arial" w:cs="Arial"/>
          <w:i/>
          <w:iCs/>
          <w:sz w:val="22"/>
          <w:szCs w:val="22"/>
        </w:rPr>
        <w:t xml:space="preserve">sychiatric </w:t>
      </w:r>
      <w:r>
        <w:rPr>
          <w:rFonts w:ascii="Arial" w:hAnsi="Arial" w:cs="Arial"/>
          <w:i/>
          <w:iCs/>
          <w:sz w:val="22"/>
          <w:szCs w:val="22"/>
        </w:rPr>
        <w:t>C</w:t>
      </w:r>
      <w:r w:rsidRPr="005D264F">
        <w:rPr>
          <w:rFonts w:ascii="Arial" w:hAnsi="Arial" w:cs="Arial"/>
          <w:i/>
          <w:iCs/>
          <w:sz w:val="22"/>
          <w:szCs w:val="22"/>
        </w:rPr>
        <w:t xml:space="preserve">are, </w:t>
      </w:r>
      <w:r w:rsidRPr="005D264F">
        <w:rPr>
          <w:rFonts w:ascii="Arial" w:hAnsi="Arial" w:cs="Arial"/>
          <w:sz w:val="22"/>
          <w:szCs w:val="22"/>
        </w:rPr>
        <w:t>47, 6</w:t>
      </w:r>
      <w:r>
        <w:rPr>
          <w:rFonts w:ascii="Arial" w:hAnsi="Arial" w:cs="Arial"/>
          <w:sz w:val="22"/>
          <w:szCs w:val="22"/>
        </w:rPr>
        <w:t>-12.</w:t>
      </w:r>
    </w:p>
    <w:p w14:paraId="0F147FBA"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2074C0E0"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Hunt, M. (1997). </w:t>
      </w:r>
      <w:r w:rsidRPr="00F25184">
        <w:rPr>
          <w:rFonts w:ascii="Arial" w:hAnsi="Arial" w:cs="Arial"/>
          <w:i/>
          <w:iCs/>
          <w:sz w:val="22"/>
          <w:szCs w:val="22"/>
        </w:rPr>
        <w:t>How Science Takes Stock: The Story of Meta-Analysis</w:t>
      </w:r>
      <w:r>
        <w:rPr>
          <w:rFonts w:ascii="Arial" w:hAnsi="Arial" w:cs="Arial"/>
          <w:sz w:val="22"/>
          <w:szCs w:val="22"/>
        </w:rPr>
        <w:t>. New York, Russell Sage Foundation.</w:t>
      </w:r>
    </w:p>
    <w:p w14:paraId="3A181958"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49911D7F"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Huppert, J.D., Bufka, L.F., Barlow, D.H., Gorman, J.M., Shear, M.K., and Woods, S.W. (2001). Therapists, therapist variables, and cognitive-behavioral therapy outcome in a multicenter trial for panic disorder. </w:t>
      </w:r>
      <w:r w:rsidRPr="00792FF7">
        <w:rPr>
          <w:rFonts w:ascii="Arial" w:hAnsi="Arial" w:cs="Arial"/>
          <w:i/>
          <w:iCs/>
          <w:sz w:val="22"/>
          <w:szCs w:val="22"/>
        </w:rPr>
        <w:t>Journal of Consulting and Clinical Psychology</w:t>
      </w:r>
      <w:r>
        <w:rPr>
          <w:rFonts w:ascii="Arial" w:hAnsi="Arial" w:cs="Arial"/>
          <w:sz w:val="22"/>
          <w:szCs w:val="22"/>
        </w:rPr>
        <w:t>, 69, 747-755.</w:t>
      </w:r>
    </w:p>
    <w:p w14:paraId="5F256F18"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lastRenderedPageBreak/>
        <w:t xml:space="preserve">Huppert, J.D., Kivity, Y., Barlow, D.H., Gorman, J.M., Shear, M.K., and Woods, S.W. (2014). Therapist effects and the outcome-alliance correlation in cognitive behavioral therapy for panic disorder with agoraphobia. </w:t>
      </w:r>
      <w:r w:rsidRPr="00700C76">
        <w:rPr>
          <w:rFonts w:ascii="Arial" w:hAnsi="Arial" w:cs="Arial"/>
          <w:i/>
          <w:iCs/>
          <w:sz w:val="22"/>
          <w:szCs w:val="22"/>
        </w:rPr>
        <w:t>Behaviour Research and Therapy</w:t>
      </w:r>
      <w:r>
        <w:rPr>
          <w:rFonts w:ascii="Arial" w:hAnsi="Arial" w:cs="Arial"/>
          <w:sz w:val="22"/>
          <w:szCs w:val="22"/>
        </w:rPr>
        <w:t>, 52, 26-34.</w:t>
      </w:r>
    </w:p>
    <w:p w14:paraId="3A23E361" w14:textId="77777777" w:rsidR="00DF57DF" w:rsidRDefault="00DF57DF" w:rsidP="00DF57DF">
      <w:pPr>
        <w:pStyle w:val="NormalWeb"/>
        <w:spacing w:before="0" w:beforeAutospacing="0" w:after="0" w:afterAutospacing="0" w:line="480" w:lineRule="auto"/>
        <w:rPr>
          <w:rFonts w:ascii="Arial" w:hAnsi="Arial" w:cs="Arial"/>
          <w:sz w:val="22"/>
          <w:szCs w:val="22"/>
          <w:lang w:val="en-US"/>
        </w:rPr>
      </w:pPr>
    </w:p>
    <w:p w14:paraId="0DD6DD27" w14:textId="77777777" w:rsidR="00DF57DF" w:rsidRDefault="00DF57DF" w:rsidP="00DF57DF">
      <w:pPr>
        <w:pStyle w:val="NormalWeb"/>
        <w:spacing w:before="0" w:beforeAutospacing="0" w:after="0" w:afterAutospacing="0" w:line="480" w:lineRule="auto"/>
        <w:rPr>
          <w:rFonts w:ascii="Arial" w:hAnsi="Arial" w:cs="Arial"/>
          <w:sz w:val="22"/>
          <w:szCs w:val="22"/>
          <w:lang w:val="en-US"/>
        </w:rPr>
      </w:pPr>
      <w:r w:rsidRPr="00426518">
        <w:rPr>
          <w:rFonts w:ascii="Arial" w:hAnsi="Arial" w:cs="Arial"/>
          <w:sz w:val="22"/>
          <w:szCs w:val="22"/>
          <w:lang w:val="en-US"/>
        </w:rPr>
        <w:t>IBM</w:t>
      </w:r>
      <w:r>
        <w:rPr>
          <w:rFonts w:ascii="Arial" w:hAnsi="Arial" w:cs="Arial"/>
          <w:sz w:val="22"/>
          <w:szCs w:val="22"/>
          <w:lang w:val="en-US"/>
        </w:rPr>
        <w:t xml:space="preserve">. </w:t>
      </w:r>
      <w:r w:rsidRPr="00426518">
        <w:rPr>
          <w:rFonts w:ascii="Arial" w:hAnsi="Arial" w:cs="Arial"/>
          <w:sz w:val="22"/>
          <w:szCs w:val="22"/>
          <w:lang w:val="en-US"/>
        </w:rPr>
        <w:t xml:space="preserve">(2016).  Released 2016. </w:t>
      </w:r>
      <w:r w:rsidRPr="00426518">
        <w:rPr>
          <w:rFonts w:ascii="Arial" w:hAnsi="Arial" w:cs="Arial"/>
          <w:i/>
          <w:iCs/>
          <w:sz w:val="22"/>
          <w:szCs w:val="22"/>
          <w:lang w:val="en-US"/>
        </w:rPr>
        <w:t>IBM SPSS Statistics for Macintosh</w:t>
      </w:r>
      <w:r w:rsidRPr="00426518">
        <w:rPr>
          <w:rFonts w:ascii="Arial" w:hAnsi="Arial" w:cs="Arial"/>
          <w:sz w:val="22"/>
          <w:szCs w:val="22"/>
          <w:lang w:val="en-US"/>
        </w:rPr>
        <w:t>, Version 24.0. Armonk, N</w:t>
      </w:r>
      <w:r>
        <w:rPr>
          <w:rFonts w:ascii="Arial" w:hAnsi="Arial" w:cs="Arial"/>
          <w:sz w:val="22"/>
          <w:szCs w:val="22"/>
          <w:lang w:val="en-US"/>
        </w:rPr>
        <w:t>ew York,</w:t>
      </w:r>
      <w:r w:rsidRPr="00426518">
        <w:rPr>
          <w:rFonts w:ascii="Arial" w:hAnsi="Arial" w:cs="Arial"/>
          <w:sz w:val="22"/>
          <w:szCs w:val="22"/>
          <w:lang w:val="en-US"/>
        </w:rPr>
        <w:t xml:space="preserve"> IBM Corp</w:t>
      </w:r>
      <w:r>
        <w:rPr>
          <w:rFonts w:ascii="Arial" w:hAnsi="Arial" w:cs="Arial"/>
          <w:sz w:val="22"/>
          <w:szCs w:val="22"/>
          <w:lang w:val="en-US"/>
        </w:rPr>
        <w:t>.</w:t>
      </w:r>
    </w:p>
    <w:p w14:paraId="06EEDDA4" w14:textId="77777777" w:rsidR="00DF57DF" w:rsidRDefault="00DF57DF" w:rsidP="00DF57DF">
      <w:pPr>
        <w:pStyle w:val="NormalWeb"/>
        <w:spacing w:before="0" w:beforeAutospacing="0" w:after="0" w:afterAutospacing="0" w:line="480" w:lineRule="auto"/>
        <w:rPr>
          <w:rFonts w:ascii="Arial" w:hAnsi="Arial" w:cs="Arial"/>
          <w:sz w:val="22"/>
          <w:szCs w:val="22"/>
          <w:lang w:val="en-US"/>
        </w:rPr>
      </w:pPr>
    </w:p>
    <w:p w14:paraId="14B98019" w14:textId="77777777" w:rsidR="00DF57DF" w:rsidRPr="006419BC" w:rsidRDefault="00DF57DF" w:rsidP="00DF57DF">
      <w:pPr>
        <w:pStyle w:val="NormalWeb"/>
        <w:spacing w:before="0" w:beforeAutospacing="0" w:after="0" w:afterAutospacing="0" w:line="480" w:lineRule="auto"/>
        <w:rPr>
          <w:rFonts w:ascii="Arial" w:hAnsi="Arial" w:cs="Arial"/>
          <w:sz w:val="22"/>
          <w:szCs w:val="22"/>
          <w:lang w:val="en-US"/>
        </w:rPr>
      </w:pPr>
      <w:r>
        <w:rPr>
          <w:rFonts w:ascii="Arial" w:hAnsi="Arial" w:cs="Arial"/>
          <w:sz w:val="22"/>
          <w:szCs w:val="22"/>
          <w:lang w:val="en-US"/>
        </w:rPr>
        <w:t xml:space="preserve">Imel, Z.E., Sheng, E., Baldwin, S.A., and Atkins, D.C. (2015). Removing very low-performing therapists: A simulation of performance-based retention in psychotherapy. </w:t>
      </w:r>
      <w:r w:rsidRPr="006E237C">
        <w:rPr>
          <w:rFonts w:ascii="Arial" w:hAnsi="Arial" w:cs="Arial"/>
          <w:i/>
          <w:iCs/>
          <w:sz w:val="22"/>
          <w:szCs w:val="22"/>
          <w:lang w:val="en-US"/>
        </w:rPr>
        <w:t>Psychotherapy</w:t>
      </w:r>
      <w:r>
        <w:rPr>
          <w:rFonts w:ascii="Arial" w:hAnsi="Arial" w:cs="Arial"/>
          <w:sz w:val="22"/>
          <w:szCs w:val="22"/>
          <w:lang w:val="en-US"/>
        </w:rPr>
        <w:t>, 52, 329-336.</w:t>
      </w:r>
    </w:p>
    <w:p w14:paraId="2B73F64E"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1ABCE328" w14:textId="77777777" w:rsidR="00DF57D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t>Institute of Medicine. (2015)</w:t>
      </w:r>
      <w:r>
        <w:rPr>
          <w:rFonts w:ascii="Arial" w:hAnsi="Arial" w:cs="Arial"/>
          <w:sz w:val="22"/>
          <w:szCs w:val="22"/>
        </w:rPr>
        <w:t>.</w:t>
      </w:r>
      <w:r w:rsidRPr="005D264F">
        <w:rPr>
          <w:rFonts w:ascii="Arial" w:hAnsi="Arial" w:cs="Arial"/>
          <w:sz w:val="22"/>
          <w:szCs w:val="22"/>
        </w:rPr>
        <w:t xml:space="preserve"> </w:t>
      </w:r>
      <w:r w:rsidRPr="005D264F">
        <w:rPr>
          <w:rFonts w:ascii="Arial" w:hAnsi="Arial" w:cs="Arial"/>
          <w:i/>
          <w:iCs/>
          <w:sz w:val="22"/>
          <w:szCs w:val="22"/>
        </w:rPr>
        <w:t>Psychosocial interventions for mental and substance use disorders: A framework for establishing evidence</w:t>
      </w:r>
      <w:r>
        <w:rPr>
          <w:rFonts w:ascii="Arial" w:hAnsi="Arial" w:cs="Arial"/>
          <w:i/>
          <w:iCs/>
          <w:sz w:val="22"/>
          <w:szCs w:val="22"/>
        </w:rPr>
        <w:t>-</w:t>
      </w:r>
      <w:r w:rsidRPr="005D264F">
        <w:rPr>
          <w:rFonts w:ascii="Arial" w:hAnsi="Arial" w:cs="Arial"/>
          <w:i/>
          <w:iCs/>
          <w:sz w:val="22"/>
          <w:szCs w:val="22"/>
        </w:rPr>
        <w:t>based standards</w:t>
      </w:r>
      <w:r w:rsidRPr="005D264F">
        <w:rPr>
          <w:rFonts w:ascii="Arial" w:hAnsi="Arial" w:cs="Arial"/>
          <w:sz w:val="22"/>
          <w:szCs w:val="22"/>
        </w:rPr>
        <w:t xml:space="preserve">. Washington, DC: National Academies Press. </w:t>
      </w:r>
    </w:p>
    <w:p w14:paraId="5B6340AF"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09B55A89"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Jacobsen, N.S., Martell, C.R., and Dimidjian, S. (2001). Behavioral activation treatment for depression: Returning to contextual roots. </w:t>
      </w:r>
      <w:r w:rsidRPr="00A20168">
        <w:rPr>
          <w:rFonts w:ascii="Arial" w:hAnsi="Arial" w:cs="Arial"/>
          <w:i/>
          <w:iCs/>
          <w:sz w:val="22"/>
          <w:szCs w:val="22"/>
        </w:rPr>
        <w:t>Clinical Psychology: Science and Practice</w:t>
      </w:r>
      <w:r>
        <w:rPr>
          <w:rFonts w:ascii="Arial" w:hAnsi="Arial" w:cs="Arial"/>
          <w:sz w:val="22"/>
          <w:szCs w:val="22"/>
        </w:rPr>
        <w:t>, 8, 255-270.</w:t>
      </w:r>
    </w:p>
    <w:p w14:paraId="0D5EEEE6" w14:textId="77777777" w:rsidR="00DF57DF" w:rsidRDefault="00DF57DF" w:rsidP="00DF57DF">
      <w:pPr>
        <w:pStyle w:val="NormalWeb"/>
        <w:spacing w:before="0" w:beforeAutospacing="0" w:after="0" w:afterAutospacing="0" w:line="480" w:lineRule="auto"/>
        <w:rPr>
          <w:rFonts w:ascii="Arial" w:hAnsi="Arial" w:cs="Arial"/>
          <w:sz w:val="22"/>
          <w:szCs w:val="22"/>
          <w:lang w:val="en-US"/>
        </w:rPr>
      </w:pPr>
    </w:p>
    <w:p w14:paraId="0DFF98B7" w14:textId="77777777" w:rsidR="00DF57DF" w:rsidRDefault="00DF57DF" w:rsidP="00DF57DF">
      <w:pPr>
        <w:pStyle w:val="NormalWeb"/>
        <w:spacing w:before="0" w:beforeAutospacing="0" w:after="0" w:afterAutospacing="0" w:line="480" w:lineRule="auto"/>
        <w:rPr>
          <w:rFonts w:ascii="Arial" w:hAnsi="Arial" w:cs="Arial"/>
          <w:sz w:val="22"/>
          <w:szCs w:val="22"/>
          <w:lang w:val="en-US"/>
        </w:rPr>
      </w:pPr>
      <w:r w:rsidRPr="00426518">
        <w:rPr>
          <w:rFonts w:ascii="Arial" w:hAnsi="Arial" w:cs="Arial"/>
          <w:sz w:val="22"/>
          <w:szCs w:val="22"/>
          <w:lang w:val="en-US"/>
        </w:rPr>
        <w:t>JASP Team (2018). JASP (Version 0.10.0)[Computer software].</w:t>
      </w:r>
    </w:p>
    <w:p w14:paraId="21926FEF" w14:textId="77777777" w:rsidR="00DF57DF" w:rsidRDefault="00DF57DF" w:rsidP="00DF57DF">
      <w:pPr>
        <w:pStyle w:val="NormalWeb"/>
        <w:spacing w:before="0" w:beforeAutospacing="0" w:after="0" w:afterAutospacing="0" w:line="480" w:lineRule="auto"/>
        <w:rPr>
          <w:rFonts w:ascii="Arial" w:hAnsi="Arial" w:cs="Arial"/>
          <w:sz w:val="22"/>
          <w:szCs w:val="22"/>
          <w:lang w:val="en-US"/>
        </w:rPr>
      </w:pPr>
    </w:p>
    <w:p w14:paraId="09DCFA4C"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Johns, R.G., Barkham, M., Kellett, S., and Saxon, D. (2108). A systematic review of therapist effects: A critical narrative update and refinement to review. </w:t>
      </w:r>
      <w:r w:rsidRPr="00820D76">
        <w:rPr>
          <w:rFonts w:ascii="Arial" w:hAnsi="Arial" w:cs="Arial"/>
          <w:i/>
          <w:iCs/>
          <w:sz w:val="22"/>
          <w:szCs w:val="22"/>
        </w:rPr>
        <w:t>Clinical Psychology Review,</w:t>
      </w:r>
      <w:r>
        <w:rPr>
          <w:rFonts w:ascii="Arial" w:hAnsi="Arial" w:cs="Arial"/>
          <w:sz w:val="22"/>
          <w:szCs w:val="22"/>
        </w:rPr>
        <w:t xml:space="preserve"> 67, 78-93.</w:t>
      </w:r>
    </w:p>
    <w:p w14:paraId="7D7ADA3F"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6D139C45" w14:textId="77777777" w:rsidR="00DF57DF" w:rsidRDefault="00DF57DF" w:rsidP="00DF57DF">
      <w:pPr>
        <w:rPr>
          <w:rFonts w:ascii="Arial" w:hAnsi="Arial" w:cs="Arial"/>
          <w:sz w:val="22"/>
          <w:szCs w:val="22"/>
        </w:rPr>
      </w:pPr>
      <w:r>
        <w:rPr>
          <w:rFonts w:ascii="Arial" w:hAnsi="Arial" w:cs="Arial"/>
          <w:sz w:val="22"/>
          <w:szCs w:val="22"/>
        </w:rPr>
        <w:br w:type="page"/>
      </w:r>
    </w:p>
    <w:p w14:paraId="245EE6CC"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lastRenderedPageBreak/>
        <w:t xml:space="preserve">Joffe, M., and Mackenzie Davey, K. (2012). The problem of identity in hybrid manager: Who are medical directors? </w:t>
      </w:r>
      <w:r w:rsidRPr="006A61D0">
        <w:rPr>
          <w:rFonts w:ascii="Arial" w:hAnsi="Arial" w:cs="Arial"/>
          <w:i/>
          <w:iCs/>
          <w:sz w:val="22"/>
          <w:szCs w:val="22"/>
        </w:rPr>
        <w:t>International Journal of Leadership in Public Services</w:t>
      </w:r>
      <w:r>
        <w:rPr>
          <w:rFonts w:ascii="Arial" w:hAnsi="Arial" w:cs="Arial"/>
          <w:sz w:val="22"/>
          <w:szCs w:val="22"/>
        </w:rPr>
        <w:t>, 8, 161- 174.</w:t>
      </w:r>
    </w:p>
    <w:p w14:paraId="67C8F0F4"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22D0C078"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t xml:space="preserve">Jones, B.A., Griffiths, K.M., Christensen, H., Ellwood, D., Bennett, K. and Bennett, A. (2013) Online cognitive behaviour training for the prevention of postnatal depression in at-risk mothers: A randomised controlled trial protocol, </w:t>
      </w:r>
      <w:r w:rsidRPr="005D264F">
        <w:rPr>
          <w:rFonts w:ascii="Arial" w:hAnsi="Arial" w:cs="Arial"/>
          <w:i/>
          <w:sz w:val="22"/>
          <w:szCs w:val="22"/>
        </w:rPr>
        <w:t>BMC Psychiatry</w:t>
      </w:r>
      <w:r w:rsidRPr="005D264F">
        <w:rPr>
          <w:rFonts w:ascii="Arial" w:hAnsi="Arial" w:cs="Arial"/>
          <w:sz w:val="22"/>
          <w:szCs w:val="22"/>
        </w:rPr>
        <w:t>, available online at</w:t>
      </w:r>
      <w:r>
        <w:rPr>
          <w:rFonts w:ascii="Arial" w:hAnsi="Arial" w:cs="Arial"/>
          <w:sz w:val="22"/>
          <w:szCs w:val="22"/>
        </w:rPr>
        <w:t xml:space="preserve">  </w:t>
      </w:r>
      <w:r w:rsidRPr="005D264F">
        <w:rPr>
          <w:rFonts w:ascii="Arial" w:hAnsi="Arial" w:cs="Arial"/>
          <w:sz w:val="22"/>
          <w:szCs w:val="22"/>
        </w:rPr>
        <w:t>http://www.biomedcentral.com/1471-244X/13/265</w:t>
      </w:r>
    </w:p>
    <w:p w14:paraId="3D7490CA"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t>Accessed on 15</w:t>
      </w:r>
      <w:r w:rsidRPr="005D264F">
        <w:rPr>
          <w:rFonts w:ascii="Arial" w:hAnsi="Arial" w:cs="Arial"/>
          <w:sz w:val="22"/>
          <w:szCs w:val="22"/>
          <w:vertAlign w:val="superscript"/>
        </w:rPr>
        <w:t>th</w:t>
      </w:r>
      <w:r w:rsidRPr="005D264F">
        <w:rPr>
          <w:rFonts w:ascii="Arial" w:hAnsi="Arial" w:cs="Arial"/>
          <w:sz w:val="22"/>
          <w:szCs w:val="22"/>
        </w:rPr>
        <w:t xml:space="preserve"> March 201</w:t>
      </w:r>
      <w:r>
        <w:rPr>
          <w:rFonts w:ascii="Arial" w:hAnsi="Arial" w:cs="Arial"/>
          <w:sz w:val="22"/>
          <w:szCs w:val="22"/>
        </w:rPr>
        <w:t>9</w:t>
      </w:r>
      <w:r w:rsidRPr="005D264F">
        <w:rPr>
          <w:rFonts w:ascii="Arial" w:hAnsi="Arial" w:cs="Arial"/>
          <w:sz w:val="22"/>
          <w:szCs w:val="22"/>
        </w:rPr>
        <w:t>.</w:t>
      </w:r>
    </w:p>
    <w:p w14:paraId="3BE35D04"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1C742ECF" w14:textId="77777777" w:rsidR="00DF57D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t xml:space="preserve">Jones, R.B. and Ashurst, E.J. (2013) Online anonymous discussion between service users and health professionals to ascertain stakeholder concerns in using e-health services in mental health, </w:t>
      </w:r>
      <w:r w:rsidRPr="005D264F">
        <w:rPr>
          <w:rFonts w:ascii="Arial" w:hAnsi="Arial" w:cs="Arial"/>
          <w:i/>
          <w:sz w:val="22"/>
          <w:szCs w:val="22"/>
        </w:rPr>
        <w:t>Health Informatics Journal</w:t>
      </w:r>
      <w:r w:rsidRPr="005D264F">
        <w:rPr>
          <w:rFonts w:ascii="Arial" w:hAnsi="Arial" w:cs="Arial"/>
          <w:sz w:val="22"/>
          <w:szCs w:val="22"/>
        </w:rPr>
        <w:t>, 19 (4), 281-289.</w:t>
      </w:r>
    </w:p>
    <w:p w14:paraId="30347233"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670DCE70"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Jorm, A.F., Patten, S.B., Brugha, T.S., and Mojtabai, R. (2017). Has increased provision of treatment reduced the prevalence of common mental health disorders? Review of the evidence from four countries. </w:t>
      </w:r>
      <w:r w:rsidRPr="00140C21">
        <w:rPr>
          <w:rFonts w:ascii="Arial" w:hAnsi="Arial" w:cs="Arial"/>
          <w:i/>
          <w:iCs/>
          <w:sz w:val="22"/>
          <w:szCs w:val="22"/>
        </w:rPr>
        <w:t>World Psychiatry</w:t>
      </w:r>
      <w:r>
        <w:rPr>
          <w:rFonts w:ascii="Arial" w:hAnsi="Arial" w:cs="Arial"/>
          <w:sz w:val="22"/>
          <w:szCs w:val="22"/>
        </w:rPr>
        <w:t>, 16, 90-99.</w:t>
      </w:r>
    </w:p>
    <w:p w14:paraId="17B59C92"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2D444683"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Kazantis, N. (2003). Therapist competence in cognitive behavioural therapies: Review of the contemporary empirical evidence. </w:t>
      </w:r>
      <w:r w:rsidRPr="00B9464B">
        <w:rPr>
          <w:rFonts w:ascii="Arial" w:hAnsi="Arial" w:cs="Arial"/>
          <w:i/>
          <w:iCs/>
          <w:sz w:val="22"/>
          <w:szCs w:val="22"/>
        </w:rPr>
        <w:t>Behaviour Change</w:t>
      </w:r>
      <w:r>
        <w:rPr>
          <w:rFonts w:ascii="Arial" w:hAnsi="Arial" w:cs="Arial"/>
          <w:sz w:val="22"/>
          <w:szCs w:val="22"/>
        </w:rPr>
        <w:t>, 20, 1-12.</w:t>
      </w:r>
    </w:p>
    <w:p w14:paraId="2F51CF48"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7089BFC4"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Kazantis, N., Clayton, X., Cronin, T.J., Farchione, D., Limburg, K., and Dobson, K.S. (2018). The Cognitive Therapy Scale and Cognitive Therapy Scale-Revised as measures of therapist competence in cognitive behavior therapy for depression: relations with short and long-term outcome. </w:t>
      </w:r>
      <w:r w:rsidRPr="00B60AB5">
        <w:rPr>
          <w:rFonts w:ascii="Arial" w:hAnsi="Arial" w:cs="Arial"/>
          <w:i/>
          <w:iCs/>
          <w:sz w:val="22"/>
          <w:szCs w:val="22"/>
        </w:rPr>
        <w:t>Cognitive Therapy and Research</w:t>
      </w:r>
      <w:r>
        <w:rPr>
          <w:rFonts w:ascii="Arial" w:hAnsi="Arial" w:cs="Arial"/>
          <w:sz w:val="22"/>
          <w:szCs w:val="22"/>
        </w:rPr>
        <w:t>, 42, 385-397.</w:t>
      </w:r>
    </w:p>
    <w:p w14:paraId="6F8EAE66"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4FC563FC" w14:textId="77777777" w:rsidR="00DF57D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t>Kazdin, A.E. (2008)</w:t>
      </w:r>
      <w:r>
        <w:rPr>
          <w:rFonts w:ascii="Arial" w:hAnsi="Arial" w:cs="Arial"/>
          <w:sz w:val="22"/>
          <w:szCs w:val="22"/>
        </w:rPr>
        <w:t>.</w:t>
      </w:r>
      <w:r w:rsidRPr="005D264F">
        <w:rPr>
          <w:rFonts w:ascii="Arial" w:hAnsi="Arial" w:cs="Arial"/>
          <w:sz w:val="22"/>
          <w:szCs w:val="22"/>
        </w:rPr>
        <w:t xml:space="preserve"> Evidenced-based treatments and delivery of psychological services: Shifting our emphasis to increase impact, </w:t>
      </w:r>
      <w:r w:rsidRPr="005D264F">
        <w:rPr>
          <w:rFonts w:ascii="Arial" w:hAnsi="Arial" w:cs="Arial"/>
          <w:i/>
          <w:sz w:val="22"/>
          <w:szCs w:val="22"/>
        </w:rPr>
        <w:t>Psychological Services</w:t>
      </w:r>
      <w:r w:rsidRPr="005D264F">
        <w:rPr>
          <w:rFonts w:ascii="Arial" w:hAnsi="Arial" w:cs="Arial"/>
          <w:sz w:val="22"/>
          <w:szCs w:val="22"/>
        </w:rPr>
        <w:t>, 5 (3), 201-215.</w:t>
      </w:r>
    </w:p>
    <w:p w14:paraId="629987CC"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36FB815D"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lastRenderedPageBreak/>
        <w:t xml:space="preserve">Keen, A.J. and Freeston, M.H. (2008). Assessing competence in cognitive-behavioural therapy. </w:t>
      </w:r>
      <w:r w:rsidRPr="005D264F">
        <w:rPr>
          <w:rFonts w:ascii="Arial" w:hAnsi="Arial" w:cs="Arial"/>
          <w:i/>
          <w:iCs/>
          <w:sz w:val="22"/>
          <w:szCs w:val="22"/>
        </w:rPr>
        <w:t>The British Journal of Psychiatry</w:t>
      </w:r>
      <w:r>
        <w:rPr>
          <w:rFonts w:ascii="Arial" w:hAnsi="Arial" w:cs="Arial"/>
          <w:sz w:val="22"/>
          <w:szCs w:val="22"/>
        </w:rPr>
        <w:t>, 193, 60-64.</w:t>
      </w:r>
    </w:p>
    <w:p w14:paraId="699EA7F8"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069ED779" w14:textId="77777777" w:rsidR="00DF57DF" w:rsidRPr="005D264F" w:rsidRDefault="00DF57DF" w:rsidP="00DF57DF">
      <w:pPr>
        <w:widowControl w:val="0"/>
        <w:tabs>
          <w:tab w:val="left" w:pos="220"/>
          <w:tab w:val="left" w:pos="720"/>
        </w:tabs>
        <w:autoSpaceDE w:val="0"/>
        <w:autoSpaceDN w:val="0"/>
        <w:adjustRightInd w:val="0"/>
        <w:spacing w:line="480" w:lineRule="auto"/>
        <w:rPr>
          <w:rFonts w:ascii="Arial" w:hAnsi="Arial" w:cs="Arial"/>
          <w:sz w:val="22"/>
          <w:szCs w:val="22"/>
          <w:lang w:val="en-US"/>
        </w:rPr>
      </w:pPr>
      <w:r w:rsidRPr="005D264F">
        <w:rPr>
          <w:rFonts w:ascii="Arial" w:hAnsi="Arial" w:cs="Arial"/>
          <w:sz w:val="22"/>
          <w:szCs w:val="22"/>
          <w:lang w:val="en-US"/>
        </w:rPr>
        <w:t xml:space="preserve"> Kessler, D., Lewis, G., Kaur, S., Wiles, N., King, M., Weich, S., Sharp, D.J., R Araya, R.,  Hollinghurst, S. and Peters, T. (2009) Therapist-delivered internet psychotherapy for depression in primary care: a randomised controlled trial. </w:t>
      </w:r>
      <w:r w:rsidRPr="005D264F">
        <w:rPr>
          <w:rFonts w:ascii="Arial" w:hAnsi="Arial" w:cs="Arial"/>
          <w:i/>
          <w:sz w:val="22"/>
          <w:szCs w:val="22"/>
          <w:lang w:val="en-US"/>
        </w:rPr>
        <w:t>Lancet</w:t>
      </w:r>
      <w:r w:rsidRPr="005D264F">
        <w:rPr>
          <w:rFonts w:ascii="Arial" w:hAnsi="Arial" w:cs="Arial"/>
          <w:sz w:val="22"/>
          <w:szCs w:val="22"/>
          <w:lang w:val="en-US"/>
        </w:rPr>
        <w:t>, 374 (2), 628-634.</w:t>
      </w:r>
    </w:p>
    <w:p w14:paraId="16BCF289"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p>
    <w:p w14:paraId="69B1205F"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r w:rsidRPr="005D264F">
        <w:rPr>
          <w:rFonts w:ascii="Arial" w:hAnsi="Arial" w:cs="Arial"/>
          <w:sz w:val="22"/>
          <w:szCs w:val="22"/>
          <w:lang w:val="en-US"/>
        </w:rPr>
        <w:t xml:space="preserve">Kinchin, I.M., Cabot, L.B. and Hay, D.B. (2008) Using concept mapping to locate the tacit dimension of clinical expertise: towards a theoretical framework to support critical reflection on teaching.  </w:t>
      </w:r>
      <w:r w:rsidRPr="005D264F">
        <w:rPr>
          <w:rFonts w:ascii="Arial" w:hAnsi="Arial" w:cs="Arial"/>
          <w:i/>
          <w:sz w:val="22"/>
          <w:szCs w:val="22"/>
          <w:lang w:val="en-US"/>
        </w:rPr>
        <w:t>Learning in Health and Social Care</w:t>
      </w:r>
      <w:r w:rsidRPr="005D264F">
        <w:rPr>
          <w:rFonts w:ascii="Arial" w:hAnsi="Arial" w:cs="Arial"/>
          <w:sz w:val="22"/>
          <w:szCs w:val="22"/>
          <w:lang w:val="en-US"/>
        </w:rPr>
        <w:t>, 7 (2), 93-104.</w:t>
      </w:r>
    </w:p>
    <w:p w14:paraId="4B33DBF7"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p>
    <w:p w14:paraId="1F8A6B73"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sidRPr="005D264F">
        <w:rPr>
          <w:rFonts w:ascii="Arial" w:hAnsi="Arial" w:cs="Arial"/>
          <w:sz w:val="22"/>
          <w:szCs w:val="22"/>
          <w:lang w:val="en-US"/>
        </w:rPr>
        <w:t>King, R. and Deane, F.P. (2009)</w:t>
      </w:r>
      <w:r>
        <w:rPr>
          <w:rFonts w:ascii="Arial" w:hAnsi="Arial" w:cs="Arial"/>
          <w:sz w:val="22"/>
          <w:szCs w:val="22"/>
          <w:lang w:val="en-US"/>
        </w:rPr>
        <w:t>.</w:t>
      </w:r>
      <w:r w:rsidRPr="005D264F">
        <w:rPr>
          <w:rFonts w:ascii="Arial" w:hAnsi="Arial" w:cs="Arial"/>
          <w:sz w:val="22"/>
          <w:szCs w:val="22"/>
          <w:lang w:val="en-US"/>
        </w:rPr>
        <w:t xml:space="preserve"> Evidenced based practice in mental health services: understanding the issues and supporting and sustaining implementation, in Lloyd, C., Gournay, K. and Deane F.P. </w:t>
      </w:r>
      <w:r w:rsidRPr="005D264F">
        <w:rPr>
          <w:rFonts w:ascii="Arial" w:hAnsi="Arial" w:cs="Arial"/>
          <w:i/>
          <w:sz w:val="22"/>
          <w:szCs w:val="22"/>
          <w:lang w:val="en-US"/>
        </w:rPr>
        <w:t>Clinical Management in Mental Health Services</w:t>
      </w:r>
      <w:r w:rsidRPr="005D264F">
        <w:rPr>
          <w:rFonts w:ascii="Arial" w:hAnsi="Arial" w:cs="Arial"/>
          <w:sz w:val="22"/>
          <w:szCs w:val="22"/>
          <w:lang w:val="en-US"/>
        </w:rPr>
        <w:t>, Wiley and Blackwell</w:t>
      </w:r>
    </w:p>
    <w:p w14:paraId="1C48D0A7"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30796126"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 xml:space="preserve">King, R.J., Orr, J.A., Poulsen, B., Giacomantonio, S.G., and Haden, C. (2017). Understanding the therapist contribution to psychotherapy outcome: A meta-analytic approach. </w:t>
      </w:r>
      <w:r w:rsidRPr="003C5273">
        <w:rPr>
          <w:rFonts w:ascii="Arial" w:hAnsi="Arial" w:cs="Arial"/>
          <w:i/>
          <w:iCs/>
          <w:sz w:val="22"/>
          <w:szCs w:val="22"/>
          <w:lang w:val="en-US"/>
        </w:rPr>
        <w:t>Administration and Policy in Mental Health and Mental health Services Research</w:t>
      </w:r>
      <w:r>
        <w:rPr>
          <w:rFonts w:ascii="Arial" w:hAnsi="Arial" w:cs="Arial"/>
          <w:sz w:val="22"/>
          <w:szCs w:val="22"/>
          <w:lang w:val="en-US"/>
        </w:rPr>
        <w:t>, 44, 664-680.</w:t>
      </w:r>
    </w:p>
    <w:p w14:paraId="3B90B769"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39D9115C"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 xml:space="preserve">Kingdon, D., Tyrer, P., Seivewright, N., Ferguson, B., and Murphy, S. (1996). The Nottingham study of neurotic disorder: Influence of cognitive therapists on outcome. </w:t>
      </w:r>
      <w:r w:rsidRPr="00F05D6F">
        <w:rPr>
          <w:rFonts w:ascii="Arial" w:hAnsi="Arial" w:cs="Arial"/>
          <w:i/>
          <w:iCs/>
          <w:sz w:val="22"/>
          <w:szCs w:val="22"/>
          <w:lang w:val="en-US"/>
        </w:rPr>
        <w:t>British Journal of Psychiatry,</w:t>
      </w:r>
      <w:r>
        <w:rPr>
          <w:rFonts w:ascii="Arial" w:hAnsi="Arial" w:cs="Arial"/>
          <w:sz w:val="22"/>
          <w:szCs w:val="22"/>
          <w:lang w:val="en-US"/>
        </w:rPr>
        <w:t xml:space="preserve"> 169, 93-97.</w:t>
      </w:r>
    </w:p>
    <w:p w14:paraId="577BC492"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p>
    <w:p w14:paraId="42310030"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sidRPr="005D264F">
        <w:rPr>
          <w:rFonts w:ascii="Arial" w:hAnsi="Arial" w:cs="Arial"/>
          <w:sz w:val="22"/>
          <w:szCs w:val="22"/>
          <w:lang w:val="en-US"/>
        </w:rPr>
        <w:t xml:space="preserve">Kingdon, D. and Wykes, T. (2013) Increased funding needed for mental health research, </w:t>
      </w:r>
      <w:r w:rsidRPr="005D264F">
        <w:rPr>
          <w:rFonts w:ascii="Arial" w:hAnsi="Arial" w:cs="Arial"/>
          <w:i/>
          <w:sz w:val="22"/>
          <w:szCs w:val="22"/>
          <w:lang w:val="en-US"/>
        </w:rPr>
        <w:t>British Medical Journal</w:t>
      </w:r>
      <w:r w:rsidRPr="005D264F">
        <w:rPr>
          <w:rFonts w:ascii="Arial" w:hAnsi="Arial" w:cs="Arial"/>
          <w:sz w:val="22"/>
          <w:szCs w:val="22"/>
          <w:lang w:val="en-US"/>
        </w:rPr>
        <w:t>, 346, 423.</w:t>
      </w:r>
    </w:p>
    <w:p w14:paraId="6CE10189"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0F04C548"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lastRenderedPageBreak/>
        <w:t xml:space="preserve">Klonoff, D.C., and True, M.W. (2009). The missing element of telemedicine for diabetes: Decision support software. </w:t>
      </w:r>
      <w:r w:rsidRPr="006749FC">
        <w:rPr>
          <w:rFonts w:ascii="Arial" w:hAnsi="Arial" w:cs="Arial"/>
          <w:i/>
          <w:iCs/>
          <w:sz w:val="22"/>
          <w:szCs w:val="22"/>
          <w:lang w:val="en-US"/>
        </w:rPr>
        <w:t>Journal of Diabetes Science and Technology</w:t>
      </w:r>
      <w:r>
        <w:rPr>
          <w:rFonts w:ascii="Arial" w:hAnsi="Arial" w:cs="Arial"/>
          <w:sz w:val="22"/>
          <w:szCs w:val="22"/>
          <w:lang w:val="en-US"/>
        </w:rPr>
        <w:t>, 3, 996-1001.</w:t>
      </w:r>
    </w:p>
    <w:p w14:paraId="45110CD5"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3A2631A1"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 xml:space="preserve">Kobak, K.A., Reynolds, W.M., and Griest, J.M. (1994). Computerized and clinician assessment of depression and anxiety: Respondent evaluation and satisfaction. </w:t>
      </w:r>
      <w:r w:rsidRPr="009830DA">
        <w:rPr>
          <w:rFonts w:ascii="Arial" w:hAnsi="Arial" w:cs="Arial"/>
          <w:i/>
          <w:iCs/>
          <w:sz w:val="22"/>
          <w:szCs w:val="22"/>
          <w:lang w:val="en-US"/>
        </w:rPr>
        <w:t>Journal of Personality Assessment</w:t>
      </w:r>
      <w:r>
        <w:rPr>
          <w:rFonts w:ascii="Arial" w:hAnsi="Arial" w:cs="Arial"/>
          <w:sz w:val="22"/>
          <w:szCs w:val="22"/>
          <w:lang w:val="en-US"/>
        </w:rPr>
        <w:t>, 63, 173-180.</w:t>
      </w:r>
    </w:p>
    <w:p w14:paraId="664AB6B1"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5B4F8FE5"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 xml:space="preserve">Kobak, K.A., Wolitzky-Taylor, K., Craske, M.G., and Rose, R.D. (2017). Therapist training on cognitive behavior therapy for anxiety disorders using internet-based technologies. </w:t>
      </w:r>
      <w:r w:rsidRPr="00672A07">
        <w:rPr>
          <w:rFonts w:ascii="Arial" w:hAnsi="Arial" w:cs="Arial"/>
          <w:i/>
          <w:iCs/>
          <w:sz w:val="22"/>
          <w:szCs w:val="22"/>
          <w:lang w:val="en-US"/>
        </w:rPr>
        <w:t>Cognitive Therapy Research</w:t>
      </w:r>
      <w:r>
        <w:rPr>
          <w:rFonts w:ascii="Arial" w:hAnsi="Arial" w:cs="Arial"/>
          <w:sz w:val="22"/>
          <w:szCs w:val="22"/>
          <w:lang w:val="en-US"/>
        </w:rPr>
        <w:t>, 41, 252-265.</w:t>
      </w:r>
    </w:p>
    <w:p w14:paraId="16503E1A"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p>
    <w:p w14:paraId="1F6B333B" w14:textId="77777777" w:rsidR="00DF57DF" w:rsidRDefault="00DF57DF" w:rsidP="00DF57DF">
      <w:pPr>
        <w:spacing w:line="480" w:lineRule="auto"/>
        <w:rPr>
          <w:rFonts w:ascii="Arial" w:hAnsi="Arial" w:cs="Arial"/>
          <w:sz w:val="22"/>
          <w:szCs w:val="22"/>
          <w:shd w:val="clear" w:color="auto" w:fill="FFFFFF"/>
        </w:rPr>
      </w:pPr>
      <w:r w:rsidRPr="005D264F">
        <w:rPr>
          <w:rFonts w:ascii="Arial" w:hAnsi="Arial" w:cs="Arial"/>
          <w:sz w:val="22"/>
          <w:szCs w:val="22"/>
          <w:shd w:val="clear" w:color="auto" w:fill="FFFFFF"/>
        </w:rPr>
        <w:t>Kolb, D.A. (1984) Experiential Learning: Experience as the Source of Learning and Development</w:t>
      </w:r>
      <w:r>
        <w:rPr>
          <w:rFonts w:ascii="Arial" w:hAnsi="Arial" w:cs="Arial"/>
          <w:sz w:val="22"/>
          <w:szCs w:val="22"/>
          <w:shd w:val="clear" w:color="auto" w:fill="FFFFFF"/>
        </w:rPr>
        <w:t>.</w:t>
      </w:r>
      <w:r w:rsidRPr="005D264F">
        <w:rPr>
          <w:rFonts w:ascii="Arial" w:hAnsi="Arial" w:cs="Arial"/>
          <w:sz w:val="22"/>
          <w:szCs w:val="22"/>
          <w:shd w:val="clear" w:color="auto" w:fill="FFFFFF"/>
        </w:rPr>
        <w:t xml:space="preserve"> New Jersey</w:t>
      </w:r>
      <w:r>
        <w:rPr>
          <w:rFonts w:ascii="Arial" w:hAnsi="Arial" w:cs="Arial"/>
          <w:sz w:val="22"/>
          <w:szCs w:val="22"/>
          <w:shd w:val="clear" w:color="auto" w:fill="FFFFFF"/>
        </w:rPr>
        <w:t xml:space="preserve">, </w:t>
      </w:r>
      <w:r w:rsidRPr="005D264F">
        <w:rPr>
          <w:rFonts w:ascii="Arial" w:hAnsi="Arial" w:cs="Arial"/>
          <w:sz w:val="22"/>
          <w:szCs w:val="22"/>
          <w:shd w:val="clear" w:color="auto" w:fill="FFFFFF"/>
        </w:rPr>
        <w:t>Prentice Hall</w:t>
      </w:r>
      <w:r>
        <w:rPr>
          <w:rFonts w:ascii="Arial" w:hAnsi="Arial" w:cs="Arial"/>
          <w:sz w:val="22"/>
          <w:szCs w:val="22"/>
          <w:shd w:val="clear" w:color="auto" w:fill="FFFFFF"/>
        </w:rPr>
        <w:t>.</w:t>
      </w:r>
    </w:p>
    <w:p w14:paraId="6E99125B" w14:textId="77777777" w:rsidR="00DF57DF" w:rsidRDefault="00DF57DF" w:rsidP="00DF57DF">
      <w:pPr>
        <w:spacing w:line="480" w:lineRule="auto"/>
        <w:rPr>
          <w:rFonts w:ascii="Arial" w:hAnsi="Arial" w:cs="Arial"/>
          <w:sz w:val="22"/>
          <w:szCs w:val="22"/>
          <w:shd w:val="clear" w:color="auto" w:fill="FFFFFF"/>
        </w:rPr>
      </w:pPr>
    </w:p>
    <w:p w14:paraId="0162288B" w14:textId="77777777" w:rsidR="00DF57DF" w:rsidRPr="00E05767" w:rsidRDefault="00DF57DF" w:rsidP="00DF57DF">
      <w:pPr>
        <w:spacing w:line="480" w:lineRule="auto"/>
        <w:rPr>
          <w:rFonts w:ascii="Arial" w:hAnsi="Arial" w:cs="Arial"/>
          <w:sz w:val="22"/>
          <w:szCs w:val="22"/>
        </w:rPr>
      </w:pPr>
      <w:r>
        <w:rPr>
          <w:rFonts w:ascii="Arial" w:hAnsi="Arial" w:cs="Arial"/>
          <w:sz w:val="22"/>
          <w:szCs w:val="22"/>
          <w:shd w:val="clear" w:color="auto" w:fill="FFFFFF"/>
        </w:rPr>
        <w:t>Koo, T.K., and Mae, Y.L. (2016). A guideline of selecting and reporting intraclass correlation coefficients for reliability research. Journal of Chiropractic Medicine, 15, 155-163.</w:t>
      </w:r>
    </w:p>
    <w:p w14:paraId="2DBA1D29"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p>
    <w:p w14:paraId="57FD7E5E"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r w:rsidRPr="005D264F">
        <w:rPr>
          <w:rFonts w:ascii="Arial" w:hAnsi="Arial" w:cs="Arial"/>
          <w:sz w:val="22"/>
          <w:szCs w:val="22"/>
          <w:lang w:val="en-US"/>
        </w:rPr>
        <w:t xml:space="preserve">Kooistra, L.C., Wiersma, J.E., Ruwaard, J. Oppen, P,. Smitt, F., Lokkerbol, J., Cuijpers, P. and Riper, H. (2014) Blended vs. face-to-face cognitive behavioural treatment for major depressive in specialized mental health care: Study protocol of a randomized controlled cost effectiveness trial, </w:t>
      </w:r>
      <w:r w:rsidRPr="005D264F">
        <w:rPr>
          <w:rFonts w:ascii="Arial" w:hAnsi="Arial" w:cs="Arial"/>
          <w:i/>
          <w:sz w:val="22"/>
          <w:szCs w:val="22"/>
          <w:lang w:val="en-US"/>
        </w:rPr>
        <w:t>BMC Psychiatry</w:t>
      </w:r>
      <w:r w:rsidRPr="005D264F">
        <w:rPr>
          <w:rFonts w:ascii="Arial" w:hAnsi="Arial" w:cs="Arial"/>
          <w:sz w:val="22"/>
          <w:szCs w:val="22"/>
          <w:lang w:val="en-US"/>
        </w:rPr>
        <w:t>, available online at</w:t>
      </w:r>
    </w:p>
    <w:p w14:paraId="32E5C4A3"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r w:rsidRPr="005D264F">
        <w:rPr>
          <w:rFonts w:ascii="Arial" w:hAnsi="Arial" w:cs="Arial"/>
          <w:sz w:val="22"/>
          <w:szCs w:val="22"/>
          <w:lang w:val="en-US"/>
        </w:rPr>
        <w:t>http://www.biomedcentral.com/1471-244X/14/290</w:t>
      </w:r>
    </w:p>
    <w:p w14:paraId="33B57356"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r w:rsidRPr="005D264F">
        <w:rPr>
          <w:rFonts w:ascii="Arial" w:hAnsi="Arial" w:cs="Arial"/>
          <w:sz w:val="22"/>
          <w:szCs w:val="22"/>
          <w:lang w:val="en-US"/>
        </w:rPr>
        <w:t>Accessed 15</w:t>
      </w:r>
      <w:r w:rsidRPr="005D264F">
        <w:rPr>
          <w:rFonts w:ascii="Arial" w:hAnsi="Arial" w:cs="Arial"/>
          <w:sz w:val="22"/>
          <w:szCs w:val="22"/>
          <w:vertAlign w:val="superscript"/>
          <w:lang w:val="en-US"/>
        </w:rPr>
        <w:t>th</w:t>
      </w:r>
      <w:r w:rsidRPr="005D264F">
        <w:rPr>
          <w:rFonts w:ascii="Arial" w:hAnsi="Arial" w:cs="Arial"/>
          <w:sz w:val="22"/>
          <w:szCs w:val="22"/>
          <w:lang w:val="en-US"/>
        </w:rPr>
        <w:t xml:space="preserve"> February 201</w:t>
      </w:r>
      <w:r>
        <w:rPr>
          <w:rFonts w:ascii="Arial" w:hAnsi="Arial" w:cs="Arial"/>
          <w:sz w:val="22"/>
          <w:szCs w:val="22"/>
          <w:lang w:val="en-US"/>
        </w:rPr>
        <w:t>9</w:t>
      </w:r>
      <w:r w:rsidRPr="005D264F">
        <w:rPr>
          <w:rFonts w:ascii="Arial" w:hAnsi="Arial" w:cs="Arial"/>
          <w:sz w:val="22"/>
          <w:szCs w:val="22"/>
          <w:lang w:val="en-US"/>
        </w:rPr>
        <w:t>.</w:t>
      </w:r>
    </w:p>
    <w:p w14:paraId="53168714"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p>
    <w:p w14:paraId="2248E621" w14:textId="77777777" w:rsidR="00DF57DF" w:rsidRDefault="00DF57DF" w:rsidP="00DF57DF">
      <w:pPr>
        <w:widowControl w:val="0"/>
        <w:autoSpaceDE w:val="0"/>
        <w:autoSpaceDN w:val="0"/>
        <w:adjustRightInd w:val="0"/>
        <w:spacing w:line="480" w:lineRule="auto"/>
        <w:rPr>
          <w:rFonts w:ascii="Arial" w:hAnsi="Arial" w:cs="Arial"/>
          <w:sz w:val="22"/>
          <w:szCs w:val="22"/>
          <w:shd w:val="clear" w:color="auto" w:fill="FFFFFF"/>
        </w:rPr>
      </w:pPr>
      <w:r w:rsidRPr="005D264F">
        <w:rPr>
          <w:rFonts w:ascii="Arial" w:hAnsi="Arial" w:cs="Arial"/>
          <w:sz w:val="22"/>
          <w:szCs w:val="22"/>
          <w:shd w:val="clear" w:color="auto" w:fill="FFFFFF"/>
        </w:rPr>
        <w:t>Kozak, M.J. and Foa, E.B. (1997)</w:t>
      </w:r>
      <w:r>
        <w:rPr>
          <w:rFonts w:ascii="Arial" w:hAnsi="Arial" w:cs="Arial"/>
          <w:sz w:val="22"/>
          <w:szCs w:val="22"/>
          <w:shd w:val="clear" w:color="auto" w:fill="FFFFFF"/>
        </w:rPr>
        <w:t>.</w:t>
      </w:r>
      <w:r w:rsidRPr="005D264F">
        <w:rPr>
          <w:rFonts w:ascii="Arial" w:hAnsi="Arial" w:cs="Arial"/>
          <w:sz w:val="22"/>
          <w:szCs w:val="22"/>
          <w:shd w:val="clear" w:color="auto" w:fill="FFFFFF"/>
        </w:rPr>
        <w:t xml:space="preserve"> </w:t>
      </w:r>
      <w:r w:rsidRPr="005D264F">
        <w:rPr>
          <w:rFonts w:ascii="Arial" w:hAnsi="Arial" w:cs="Arial"/>
          <w:i/>
          <w:iCs/>
          <w:sz w:val="22"/>
          <w:szCs w:val="22"/>
          <w:shd w:val="clear" w:color="auto" w:fill="FFFFFF"/>
        </w:rPr>
        <w:t>Mastery of Obsessive Compulsive Disorder: A cognitive behavioural approach (Therapist guide)</w:t>
      </w:r>
      <w:r>
        <w:rPr>
          <w:rFonts w:ascii="Arial" w:hAnsi="Arial" w:cs="Arial"/>
          <w:i/>
          <w:iCs/>
          <w:sz w:val="22"/>
          <w:szCs w:val="22"/>
          <w:shd w:val="clear" w:color="auto" w:fill="FFFFFF"/>
        </w:rPr>
        <w:t xml:space="preserve">. </w:t>
      </w:r>
      <w:r w:rsidRPr="005D264F">
        <w:rPr>
          <w:rFonts w:ascii="Arial" w:hAnsi="Arial" w:cs="Arial"/>
          <w:i/>
          <w:iCs/>
          <w:sz w:val="22"/>
          <w:szCs w:val="22"/>
          <w:shd w:val="clear" w:color="auto" w:fill="FFFFFF"/>
        </w:rPr>
        <w:t xml:space="preserve"> </w:t>
      </w:r>
      <w:r w:rsidRPr="005D264F">
        <w:rPr>
          <w:rFonts w:ascii="Arial" w:hAnsi="Arial" w:cs="Arial"/>
          <w:sz w:val="22"/>
          <w:szCs w:val="22"/>
          <w:shd w:val="clear" w:color="auto" w:fill="FFFFFF"/>
        </w:rPr>
        <w:t>Oxford: Oxford University Press</w:t>
      </w:r>
    </w:p>
    <w:p w14:paraId="61B14DFD" w14:textId="77777777" w:rsidR="00DF57DF" w:rsidRDefault="00DF57DF" w:rsidP="00DF57DF">
      <w:pPr>
        <w:widowControl w:val="0"/>
        <w:autoSpaceDE w:val="0"/>
        <w:autoSpaceDN w:val="0"/>
        <w:adjustRightInd w:val="0"/>
        <w:spacing w:line="480" w:lineRule="auto"/>
        <w:rPr>
          <w:rFonts w:ascii="Arial" w:hAnsi="Arial" w:cs="Arial"/>
          <w:sz w:val="22"/>
          <w:szCs w:val="22"/>
          <w:shd w:val="clear" w:color="auto" w:fill="FFFFFF"/>
        </w:rPr>
      </w:pPr>
    </w:p>
    <w:p w14:paraId="6A09C01E" w14:textId="77777777" w:rsidR="00DF57DF" w:rsidRDefault="00DF57DF" w:rsidP="00DF57DF">
      <w:pPr>
        <w:rPr>
          <w:rFonts w:ascii="Arial" w:hAnsi="Arial" w:cs="Arial"/>
          <w:sz w:val="22"/>
          <w:szCs w:val="22"/>
          <w:shd w:val="clear" w:color="auto" w:fill="FFFFFF"/>
        </w:rPr>
      </w:pPr>
      <w:r>
        <w:rPr>
          <w:rFonts w:ascii="Arial" w:hAnsi="Arial" w:cs="Arial"/>
          <w:sz w:val="22"/>
          <w:szCs w:val="22"/>
          <w:shd w:val="clear" w:color="auto" w:fill="FFFFFF"/>
        </w:rPr>
        <w:br w:type="page"/>
      </w:r>
    </w:p>
    <w:p w14:paraId="131C3D9B" w14:textId="77777777" w:rsidR="00DF57DF" w:rsidRDefault="00DF57DF" w:rsidP="00DF57DF">
      <w:pPr>
        <w:widowControl w:val="0"/>
        <w:autoSpaceDE w:val="0"/>
        <w:autoSpaceDN w:val="0"/>
        <w:adjustRightInd w:val="0"/>
        <w:spacing w:line="480" w:lineRule="auto"/>
        <w:rPr>
          <w:rFonts w:ascii="Arial" w:hAnsi="Arial" w:cs="Arial"/>
          <w:sz w:val="22"/>
          <w:szCs w:val="22"/>
          <w:shd w:val="clear" w:color="auto" w:fill="FFFFFF"/>
        </w:rPr>
      </w:pPr>
      <w:r>
        <w:rPr>
          <w:rFonts w:ascii="Arial" w:hAnsi="Arial" w:cs="Arial"/>
          <w:sz w:val="22"/>
          <w:szCs w:val="22"/>
          <w:shd w:val="clear" w:color="auto" w:fill="FFFFFF"/>
        </w:rPr>
        <w:lastRenderedPageBreak/>
        <w:t xml:space="preserve">Kraus, D.R., Castonguay, L., Boswell, J.F., Nordberg, S.S., and Hayes, J.A. (2011). Therapist effectiveness: Implications for accountability and patient care.  </w:t>
      </w:r>
      <w:r w:rsidRPr="00010F55">
        <w:rPr>
          <w:rFonts w:ascii="Arial" w:hAnsi="Arial" w:cs="Arial"/>
          <w:i/>
          <w:iCs/>
          <w:sz w:val="22"/>
          <w:szCs w:val="22"/>
          <w:shd w:val="clear" w:color="auto" w:fill="FFFFFF"/>
        </w:rPr>
        <w:t>Psychotherapy Research</w:t>
      </w:r>
      <w:r>
        <w:rPr>
          <w:rFonts w:ascii="Arial" w:hAnsi="Arial" w:cs="Arial"/>
          <w:sz w:val="22"/>
          <w:szCs w:val="22"/>
          <w:shd w:val="clear" w:color="auto" w:fill="FFFFFF"/>
        </w:rPr>
        <w:t>, 21, 267-276.</w:t>
      </w:r>
    </w:p>
    <w:p w14:paraId="3D741CB4" w14:textId="77777777" w:rsidR="00DF57DF" w:rsidRDefault="00DF57DF" w:rsidP="00DF57DF">
      <w:pPr>
        <w:widowControl w:val="0"/>
        <w:autoSpaceDE w:val="0"/>
        <w:autoSpaceDN w:val="0"/>
        <w:adjustRightInd w:val="0"/>
        <w:spacing w:line="480" w:lineRule="auto"/>
        <w:rPr>
          <w:rFonts w:ascii="Arial" w:hAnsi="Arial" w:cs="Arial"/>
          <w:sz w:val="22"/>
          <w:szCs w:val="22"/>
          <w:shd w:val="clear" w:color="auto" w:fill="FFFFFF"/>
        </w:rPr>
      </w:pPr>
    </w:p>
    <w:p w14:paraId="2A7E047A" w14:textId="77777777" w:rsidR="00DF57DF" w:rsidRDefault="00DF57DF" w:rsidP="00DF57DF">
      <w:pPr>
        <w:widowControl w:val="0"/>
        <w:autoSpaceDE w:val="0"/>
        <w:autoSpaceDN w:val="0"/>
        <w:adjustRightInd w:val="0"/>
        <w:spacing w:line="480" w:lineRule="auto"/>
        <w:rPr>
          <w:rFonts w:ascii="Arial" w:hAnsi="Arial" w:cs="Arial"/>
          <w:sz w:val="22"/>
          <w:szCs w:val="22"/>
          <w:shd w:val="clear" w:color="auto" w:fill="FFFFFF"/>
        </w:rPr>
      </w:pPr>
      <w:r>
        <w:rPr>
          <w:rFonts w:ascii="Arial" w:hAnsi="Arial" w:cs="Arial"/>
          <w:sz w:val="22"/>
          <w:szCs w:val="22"/>
          <w:shd w:val="clear" w:color="auto" w:fill="FFFFFF"/>
        </w:rPr>
        <w:t xml:space="preserve">Kraus, D.R., Bentley, J.H., Boswell, J.F., Constantino, M.J., Baxter, E.E., and Castonguay, L.G. (2016). Predicting therapist effectiveness from their own practice-based evidence. </w:t>
      </w:r>
      <w:r w:rsidRPr="00D7432C">
        <w:rPr>
          <w:rFonts w:ascii="Arial" w:hAnsi="Arial" w:cs="Arial"/>
          <w:i/>
          <w:iCs/>
          <w:sz w:val="22"/>
          <w:szCs w:val="22"/>
          <w:shd w:val="clear" w:color="auto" w:fill="FFFFFF"/>
        </w:rPr>
        <w:t>Journal of consulting and clinical psychology</w:t>
      </w:r>
      <w:r>
        <w:rPr>
          <w:rFonts w:ascii="Arial" w:hAnsi="Arial" w:cs="Arial"/>
          <w:sz w:val="22"/>
          <w:szCs w:val="22"/>
          <w:shd w:val="clear" w:color="auto" w:fill="FFFFFF"/>
        </w:rPr>
        <w:t>, 84, 473-483.</w:t>
      </w:r>
    </w:p>
    <w:p w14:paraId="3F7E830E" w14:textId="77777777" w:rsidR="00DF57DF" w:rsidRDefault="00DF57DF" w:rsidP="00DF57DF">
      <w:pPr>
        <w:widowControl w:val="0"/>
        <w:autoSpaceDE w:val="0"/>
        <w:autoSpaceDN w:val="0"/>
        <w:adjustRightInd w:val="0"/>
        <w:spacing w:line="480" w:lineRule="auto"/>
        <w:rPr>
          <w:rFonts w:ascii="Arial" w:hAnsi="Arial" w:cs="Arial"/>
          <w:sz w:val="22"/>
          <w:szCs w:val="22"/>
          <w:shd w:val="clear" w:color="auto" w:fill="FFFFFF"/>
        </w:rPr>
      </w:pPr>
    </w:p>
    <w:p w14:paraId="7376758B" w14:textId="77777777" w:rsidR="00DF57DF" w:rsidRDefault="00DF57DF" w:rsidP="00DF57DF">
      <w:pPr>
        <w:widowControl w:val="0"/>
        <w:autoSpaceDE w:val="0"/>
        <w:autoSpaceDN w:val="0"/>
        <w:adjustRightInd w:val="0"/>
        <w:spacing w:line="480" w:lineRule="auto"/>
        <w:rPr>
          <w:rFonts w:ascii="Arial" w:hAnsi="Arial" w:cs="Arial"/>
          <w:sz w:val="22"/>
          <w:szCs w:val="22"/>
          <w:shd w:val="clear" w:color="auto" w:fill="FFFFFF"/>
        </w:rPr>
      </w:pPr>
      <w:r>
        <w:rPr>
          <w:rFonts w:ascii="Arial" w:hAnsi="Arial" w:cs="Arial"/>
          <w:sz w:val="22"/>
          <w:szCs w:val="22"/>
          <w:shd w:val="clear" w:color="auto" w:fill="FFFFFF"/>
        </w:rPr>
        <w:t xml:space="preserve">Krause, M., Lutz, W., and Boehnke, J.R. (2011). The role of sampling in clinical trial design. </w:t>
      </w:r>
      <w:r w:rsidRPr="00E97373">
        <w:rPr>
          <w:rFonts w:ascii="Arial" w:hAnsi="Arial" w:cs="Arial"/>
          <w:i/>
          <w:iCs/>
          <w:sz w:val="22"/>
          <w:szCs w:val="22"/>
          <w:shd w:val="clear" w:color="auto" w:fill="FFFFFF"/>
        </w:rPr>
        <w:t>Psychotherapy Research</w:t>
      </w:r>
      <w:r>
        <w:rPr>
          <w:rFonts w:ascii="Arial" w:hAnsi="Arial" w:cs="Arial"/>
          <w:sz w:val="22"/>
          <w:szCs w:val="22"/>
          <w:shd w:val="clear" w:color="auto" w:fill="FFFFFF"/>
        </w:rPr>
        <w:t>, 21, 243-251.</w:t>
      </w:r>
    </w:p>
    <w:p w14:paraId="22883DF3" w14:textId="77777777" w:rsidR="00DF57DF" w:rsidRDefault="00DF57DF" w:rsidP="00DF57DF">
      <w:pPr>
        <w:widowControl w:val="0"/>
        <w:autoSpaceDE w:val="0"/>
        <w:autoSpaceDN w:val="0"/>
        <w:adjustRightInd w:val="0"/>
        <w:spacing w:line="480" w:lineRule="auto"/>
        <w:rPr>
          <w:rFonts w:ascii="Arial" w:hAnsi="Arial" w:cs="Arial"/>
          <w:sz w:val="22"/>
          <w:szCs w:val="22"/>
          <w:shd w:val="clear" w:color="auto" w:fill="FFFFFF"/>
        </w:rPr>
      </w:pPr>
    </w:p>
    <w:p w14:paraId="5FBD4ED8"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shd w:val="clear" w:color="auto" w:fill="FFFFFF"/>
        </w:rPr>
        <w:t xml:space="preserve">Kronke, K., Spitzer, R.L. and Williams, J.B. (2001). The PHQ-9. Journal of General </w:t>
      </w:r>
      <w:r w:rsidRPr="00B60AB5">
        <w:rPr>
          <w:rFonts w:ascii="Arial" w:hAnsi="Arial" w:cs="Arial"/>
          <w:i/>
          <w:iCs/>
          <w:sz w:val="22"/>
          <w:szCs w:val="22"/>
          <w:shd w:val="clear" w:color="auto" w:fill="FFFFFF"/>
        </w:rPr>
        <w:t>Internal Medicine</w:t>
      </w:r>
      <w:r>
        <w:rPr>
          <w:rFonts w:ascii="Arial" w:hAnsi="Arial" w:cs="Arial"/>
          <w:sz w:val="22"/>
          <w:szCs w:val="22"/>
          <w:shd w:val="clear" w:color="auto" w:fill="FFFFFF"/>
        </w:rPr>
        <w:t>, 16, 606-613.</w:t>
      </w:r>
    </w:p>
    <w:p w14:paraId="7C869DD1"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5361439A"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Kuyken, W., and Tsivrikos, D. (2009). Therapist competence, comorbidity and cognitive behavioural therapy for depression. </w:t>
      </w:r>
      <w:r w:rsidRPr="005D264F">
        <w:rPr>
          <w:rFonts w:ascii="Arial" w:hAnsi="Arial" w:cs="Arial"/>
          <w:i/>
          <w:iCs/>
          <w:sz w:val="22"/>
          <w:szCs w:val="22"/>
        </w:rPr>
        <w:t>Psychotherapy and Psychosomatics</w:t>
      </w:r>
      <w:r>
        <w:rPr>
          <w:rFonts w:ascii="Arial" w:hAnsi="Arial" w:cs="Arial"/>
          <w:sz w:val="22"/>
          <w:szCs w:val="22"/>
        </w:rPr>
        <w:t>,  78, 42-48.</w:t>
      </w:r>
    </w:p>
    <w:p w14:paraId="556B3B58"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0DD074FD" w14:textId="77777777" w:rsidR="00DF57D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t>Kyratsis, Y., Ahmad, R.</w:t>
      </w:r>
      <w:r>
        <w:rPr>
          <w:rFonts w:ascii="Arial" w:hAnsi="Arial" w:cs="Arial"/>
          <w:sz w:val="22"/>
          <w:szCs w:val="22"/>
        </w:rPr>
        <w:t>,</w:t>
      </w:r>
      <w:r w:rsidRPr="005D264F">
        <w:rPr>
          <w:rFonts w:ascii="Arial" w:hAnsi="Arial" w:cs="Arial"/>
          <w:sz w:val="22"/>
          <w:szCs w:val="22"/>
        </w:rPr>
        <w:t xml:space="preserve"> </w:t>
      </w:r>
      <w:r>
        <w:rPr>
          <w:rFonts w:ascii="Arial" w:hAnsi="Arial" w:cs="Arial"/>
          <w:sz w:val="22"/>
          <w:szCs w:val="22"/>
        </w:rPr>
        <w:t>and</w:t>
      </w:r>
      <w:r w:rsidRPr="005D264F">
        <w:rPr>
          <w:rFonts w:ascii="Arial" w:hAnsi="Arial" w:cs="Arial"/>
          <w:sz w:val="22"/>
          <w:szCs w:val="22"/>
        </w:rPr>
        <w:t xml:space="preserve"> Holmes, A. </w:t>
      </w:r>
      <w:r>
        <w:rPr>
          <w:rFonts w:ascii="Arial" w:hAnsi="Arial" w:cs="Arial"/>
          <w:sz w:val="22"/>
          <w:szCs w:val="22"/>
        </w:rPr>
        <w:t>(</w:t>
      </w:r>
      <w:r w:rsidRPr="005D264F">
        <w:rPr>
          <w:rFonts w:ascii="Arial" w:hAnsi="Arial" w:cs="Arial"/>
          <w:sz w:val="22"/>
          <w:szCs w:val="22"/>
        </w:rPr>
        <w:t>2012</w:t>
      </w:r>
      <w:r>
        <w:rPr>
          <w:rFonts w:ascii="Arial" w:hAnsi="Arial" w:cs="Arial"/>
          <w:sz w:val="22"/>
          <w:szCs w:val="22"/>
        </w:rPr>
        <w:t>).</w:t>
      </w:r>
      <w:r w:rsidRPr="005D264F">
        <w:rPr>
          <w:rFonts w:ascii="Arial" w:hAnsi="Arial" w:cs="Arial"/>
          <w:sz w:val="22"/>
          <w:szCs w:val="22"/>
        </w:rPr>
        <w:t xml:space="preserve"> Technology adoption and implementation in organisations: comparative case studies of 12 English NHS Trusts</w:t>
      </w:r>
      <w:r>
        <w:rPr>
          <w:rFonts w:ascii="Arial" w:hAnsi="Arial" w:cs="Arial"/>
          <w:sz w:val="22"/>
          <w:szCs w:val="22"/>
        </w:rPr>
        <w:t>.</w:t>
      </w:r>
      <w:r w:rsidRPr="005D264F">
        <w:rPr>
          <w:rFonts w:ascii="Arial" w:hAnsi="Arial" w:cs="Arial"/>
          <w:sz w:val="22"/>
          <w:szCs w:val="22"/>
        </w:rPr>
        <w:t xml:space="preserve"> </w:t>
      </w:r>
      <w:r>
        <w:rPr>
          <w:rFonts w:ascii="Arial" w:hAnsi="Arial" w:cs="Arial"/>
          <w:i/>
          <w:iCs/>
          <w:sz w:val="22"/>
          <w:szCs w:val="22"/>
        </w:rPr>
        <w:t xml:space="preserve">British Medical Journal Open, </w:t>
      </w:r>
      <w:r w:rsidRPr="00CF1552">
        <w:rPr>
          <w:rFonts w:ascii="Arial" w:hAnsi="Arial" w:cs="Arial"/>
          <w:sz w:val="22"/>
          <w:szCs w:val="22"/>
        </w:rPr>
        <w:t>available online at https://bmjopen.bmj.com/content/2/2/e000872.long</w:t>
      </w:r>
    </w:p>
    <w:p w14:paraId="1124D578"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Accessed 24</w:t>
      </w:r>
      <w:r w:rsidRPr="00CF1552">
        <w:rPr>
          <w:rFonts w:ascii="Arial" w:hAnsi="Arial" w:cs="Arial"/>
          <w:sz w:val="22"/>
          <w:szCs w:val="22"/>
          <w:vertAlign w:val="superscript"/>
        </w:rPr>
        <w:t>th</w:t>
      </w:r>
      <w:r>
        <w:rPr>
          <w:rFonts w:ascii="Arial" w:hAnsi="Arial" w:cs="Arial"/>
          <w:sz w:val="22"/>
          <w:szCs w:val="22"/>
        </w:rPr>
        <w:t xml:space="preserve"> October 2019.</w:t>
      </w:r>
    </w:p>
    <w:p w14:paraId="4D1E21FA"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180A554E"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Kyrios, M., Nedeljkovic,, M., Moulding, R. K., B., Austin, D., Meyer, D., Ahern, C. (2014). Study protocol for a randomised controlled trial of internet-based cognitive-behavioural therapy for obsessive-compulsive disorder. </w:t>
      </w:r>
      <w:r w:rsidRPr="00F332F9">
        <w:rPr>
          <w:rFonts w:ascii="Arial" w:hAnsi="Arial" w:cs="Arial"/>
          <w:i/>
          <w:iCs/>
          <w:sz w:val="22"/>
          <w:szCs w:val="22"/>
        </w:rPr>
        <w:t>BMC Psychiatry</w:t>
      </w:r>
      <w:r>
        <w:rPr>
          <w:rFonts w:ascii="Arial" w:hAnsi="Arial" w:cs="Arial"/>
          <w:sz w:val="22"/>
          <w:szCs w:val="22"/>
        </w:rPr>
        <w:t xml:space="preserve">. Available online at </w:t>
      </w:r>
      <w:r w:rsidRPr="00F332F9">
        <w:rPr>
          <w:rFonts w:ascii="Arial" w:hAnsi="Arial" w:cs="Arial"/>
          <w:sz w:val="22"/>
          <w:szCs w:val="22"/>
        </w:rPr>
        <w:t>https://bmcpsychiatry.biomedcentral.com/articles/10.1186/1471-244X-14-209</w:t>
      </w:r>
    </w:p>
    <w:p w14:paraId="5F7750E0" w14:textId="77777777" w:rsidR="00DF57DF" w:rsidRPr="00CF1552"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Accessed 25</w:t>
      </w:r>
      <w:r w:rsidRPr="00F332F9">
        <w:rPr>
          <w:rFonts w:ascii="Arial" w:hAnsi="Arial" w:cs="Arial"/>
          <w:sz w:val="22"/>
          <w:szCs w:val="22"/>
          <w:vertAlign w:val="superscript"/>
        </w:rPr>
        <w:t>th</w:t>
      </w:r>
      <w:r>
        <w:rPr>
          <w:rFonts w:ascii="Arial" w:hAnsi="Arial" w:cs="Arial"/>
          <w:sz w:val="22"/>
          <w:szCs w:val="22"/>
        </w:rPr>
        <w:t xml:space="preserve"> October 2019.</w:t>
      </w:r>
    </w:p>
    <w:p w14:paraId="7F667C69"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19BFBC96"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lastRenderedPageBreak/>
        <w:t xml:space="preserve">Lamers, F., van Oppen, P., Comijs, H.C., Smit, J.H., Spinhoven, P., Van Balkom, A.J., Nolen, W.A., Zitman, F.G., Beekman, A.T., and Penninx, B.W. (2011). Comorbidity, patterns of anxiety and depressive disorders in a large cohort study: The Netherlands Study of Depression and Anxiety (NESDA). </w:t>
      </w:r>
      <w:r w:rsidRPr="00007A3C">
        <w:rPr>
          <w:rFonts w:ascii="Arial" w:hAnsi="Arial" w:cs="Arial"/>
          <w:i/>
          <w:iCs/>
          <w:sz w:val="22"/>
          <w:szCs w:val="22"/>
        </w:rPr>
        <w:t>Journal of Clinical Psychiatry</w:t>
      </w:r>
      <w:r>
        <w:rPr>
          <w:rFonts w:ascii="Arial" w:hAnsi="Arial" w:cs="Arial"/>
          <w:sz w:val="22"/>
          <w:szCs w:val="22"/>
        </w:rPr>
        <w:t>, 72, 341-348.</w:t>
      </w:r>
    </w:p>
    <w:p w14:paraId="6BB28475"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3A905EA9"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Laska, K.M., Smith, T.L., Wislocki, A.P., Minami, T., and Wampold, B. (2013). Uniformity of evidence-based treatments in practice? Therapist effects in the delivery of cognitive processing for therapy for PTSD. </w:t>
      </w:r>
      <w:r w:rsidRPr="003C5273">
        <w:rPr>
          <w:rFonts w:ascii="Arial" w:hAnsi="Arial" w:cs="Arial"/>
          <w:i/>
          <w:iCs/>
          <w:sz w:val="22"/>
          <w:szCs w:val="22"/>
        </w:rPr>
        <w:t>Journal of Counseling Psychology</w:t>
      </w:r>
      <w:r>
        <w:rPr>
          <w:rFonts w:ascii="Arial" w:hAnsi="Arial" w:cs="Arial"/>
          <w:sz w:val="22"/>
          <w:szCs w:val="22"/>
        </w:rPr>
        <w:t>, 60, 31-41.</w:t>
      </w:r>
    </w:p>
    <w:p w14:paraId="4F8C516F"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551CF992"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Law, M., Stewart, D., Letts, L., Pollock, N., Bosch, J., and Westmorland, M. (1998). </w:t>
      </w:r>
      <w:r w:rsidRPr="00F25F05">
        <w:rPr>
          <w:rFonts w:ascii="Arial" w:hAnsi="Arial" w:cs="Arial"/>
          <w:i/>
          <w:iCs/>
          <w:sz w:val="22"/>
          <w:szCs w:val="22"/>
        </w:rPr>
        <w:t>Critical Review Form, Quantitative Studies</w:t>
      </w:r>
      <w:r>
        <w:rPr>
          <w:rFonts w:ascii="Arial" w:hAnsi="Arial" w:cs="Arial"/>
          <w:sz w:val="22"/>
          <w:szCs w:val="22"/>
        </w:rPr>
        <w:t>. McMaster University.</w:t>
      </w:r>
    </w:p>
    <w:p w14:paraId="539F459B"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203E36E8"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Layard, R., Clark, D.M., Knapp, M., and Mayraz, G. (2007).  Cost -benefit analysis of psychological therapy. </w:t>
      </w:r>
      <w:r w:rsidRPr="00CF1552">
        <w:rPr>
          <w:rFonts w:ascii="Arial" w:hAnsi="Arial" w:cs="Arial"/>
          <w:i/>
          <w:iCs/>
          <w:sz w:val="22"/>
          <w:szCs w:val="22"/>
        </w:rPr>
        <w:t>National Institute Economic Review</w:t>
      </w:r>
      <w:r>
        <w:rPr>
          <w:rFonts w:ascii="Arial" w:hAnsi="Arial" w:cs="Arial"/>
          <w:sz w:val="22"/>
          <w:szCs w:val="22"/>
        </w:rPr>
        <w:t>, 202, 90-98.</w:t>
      </w:r>
    </w:p>
    <w:p w14:paraId="0DCD35D4"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1496CDCD"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 xml:space="preserve">Layard Report (2012) </w:t>
      </w:r>
      <w:r w:rsidRPr="005D264F">
        <w:rPr>
          <w:rFonts w:ascii="Arial" w:hAnsi="Arial" w:cs="Arial"/>
          <w:i/>
          <w:sz w:val="22"/>
          <w:szCs w:val="22"/>
        </w:rPr>
        <w:t>How Mental Health Loses Out in the NHS</w:t>
      </w:r>
      <w:r w:rsidRPr="005D264F">
        <w:rPr>
          <w:rFonts w:ascii="Arial" w:hAnsi="Arial" w:cs="Arial"/>
          <w:sz w:val="22"/>
          <w:szCs w:val="22"/>
        </w:rPr>
        <w:t>.  Available online at:</w:t>
      </w:r>
    </w:p>
    <w:p w14:paraId="7861E565" w14:textId="77777777" w:rsidR="00DF57DF" w:rsidRPr="005D264F" w:rsidRDefault="00DD38EE" w:rsidP="00DF57DF">
      <w:pPr>
        <w:spacing w:line="480" w:lineRule="auto"/>
        <w:rPr>
          <w:rFonts w:ascii="Arial" w:hAnsi="Arial" w:cs="Arial"/>
          <w:sz w:val="22"/>
          <w:szCs w:val="22"/>
        </w:rPr>
      </w:pPr>
      <w:hyperlink r:id="rId89" w:history="1">
        <w:r w:rsidR="00DF57DF" w:rsidRPr="005D264F">
          <w:rPr>
            <w:rStyle w:val="Hyperlink"/>
            <w:rFonts w:ascii="Arial" w:hAnsi="Arial" w:cs="Arial"/>
            <w:sz w:val="22"/>
            <w:szCs w:val="22"/>
          </w:rPr>
          <w:t>http://cep.lse.ac.uk/pubs/download/special/cepsp26.pdf</w:t>
        </w:r>
      </w:hyperlink>
      <w:r w:rsidR="00DF57DF" w:rsidRPr="005D264F">
        <w:rPr>
          <w:rFonts w:ascii="Arial" w:hAnsi="Arial" w:cs="Arial"/>
          <w:sz w:val="22"/>
          <w:szCs w:val="22"/>
        </w:rPr>
        <w:t xml:space="preserve">   Accessed on 2</w:t>
      </w:r>
      <w:r w:rsidR="00DF57DF" w:rsidRPr="005D264F">
        <w:rPr>
          <w:rFonts w:ascii="Arial" w:hAnsi="Arial" w:cs="Arial"/>
          <w:sz w:val="22"/>
          <w:szCs w:val="22"/>
          <w:vertAlign w:val="superscript"/>
        </w:rPr>
        <w:t>nd</w:t>
      </w:r>
      <w:r w:rsidR="00DF57DF" w:rsidRPr="005D264F">
        <w:rPr>
          <w:rFonts w:ascii="Arial" w:hAnsi="Arial" w:cs="Arial"/>
          <w:sz w:val="22"/>
          <w:szCs w:val="22"/>
        </w:rPr>
        <w:t xml:space="preserve"> January, 2018.</w:t>
      </w:r>
    </w:p>
    <w:p w14:paraId="5EAA4F2C" w14:textId="77777777" w:rsidR="00DF57DF" w:rsidRPr="005D264F" w:rsidRDefault="00DF57DF" w:rsidP="00DF57DF">
      <w:pPr>
        <w:spacing w:line="480" w:lineRule="auto"/>
        <w:rPr>
          <w:rFonts w:ascii="Arial" w:hAnsi="Arial" w:cs="Arial"/>
          <w:sz w:val="22"/>
          <w:szCs w:val="22"/>
        </w:rPr>
      </w:pPr>
    </w:p>
    <w:p w14:paraId="46AC3203"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 xml:space="preserve">Layard, R. and Clark, D. (2014) </w:t>
      </w:r>
      <w:r w:rsidRPr="005D264F">
        <w:rPr>
          <w:rFonts w:ascii="Arial" w:hAnsi="Arial" w:cs="Arial"/>
          <w:i/>
          <w:sz w:val="22"/>
          <w:szCs w:val="22"/>
        </w:rPr>
        <w:t>Thrive: The power of evidence-based psychological therapies</w:t>
      </w:r>
      <w:r w:rsidRPr="005D264F">
        <w:rPr>
          <w:rFonts w:ascii="Arial" w:hAnsi="Arial" w:cs="Arial"/>
          <w:sz w:val="22"/>
          <w:szCs w:val="22"/>
        </w:rPr>
        <w:t xml:space="preserve">, </w:t>
      </w:r>
      <w:r>
        <w:rPr>
          <w:rFonts w:ascii="Arial" w:hAnsi="Arial" w:cs="Arial"/>
          <w:sz w:val="22"/>
          <w:szCs w:val="22"/>
        </w:rPr>
        <w:t xml:space="preserve">London, </w:t>
      </w:r>
      <w:r w:rsidRPr="005D264F">
        <w:rPr>
          <w:rFonts w:ascii="Arial" w:hAnsi="Arial" w:cs="Arial"/>
          <w:sz w:val="22"/>
          <w:szCs w:val="22"/>
        </w:rPr>
        <w:t>Penguin Group</w:t>
      </w:r>
      <w:r>
        <w:rPr>
          <w:rFonts w:ascii="Arial" w:hAnsi="Arial" w:cs="Arial"/>
          <w:sz w:val="22"/>
          <w:szCs w:val="22"/>
        </w:rPr>
        <w:t>.</w:t>
      </w:r>
    </w:p>
    <w:p w14:paraId="57076D90" w14:textId="77777777" w:rsidR="00DF57DF" w:rsidRPr="005D264F" w:rsidRDefault="00DF57DF" w:rsidP="00DF57DF">
      <w:pPr>
        <w:spacing w:line="480" w:lineRule="auto"/>
        <w:rPr>
          <w:rFonts w:ascii="Arial" w:hAnsi="Arial" w:cs="Arial"/>
          <w:sz w:val="22"/>
          <w:szCs w:val="22"/>
        </w:rPr>
      </w:pPr>
    </w:p>
    <w:p w14:paraId="53030A4C"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Layard, R. (2017) The Economics of Mental Health, IZA World of Labour, available online at:</w:t>
      </w:r>
    </w:p>
    <w:p w14:paraId="36AEEF69"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https://wol.iza.org/articles/economics-of-mental-health/long</w:t>
      </w:r>
    </w:p>
    <w:p w14:paraId="702354E6"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Accessed 4</w:t>
      </w:r>
      <w:r w:rsidRPr="005D264F">
        <w:rPr>
          <w:rFonts w:ascii="Arial" w:hAnsi="Arial" w:cs="Arial"/>
          <w:sz w:val="22"/>
          <w:szCs w:val="22"/>
          <w:vertAlign w:val="superscript"/>
        </w:rPr>
        <w:t>th</w:t>
      </w:r>
      <w:r w:rsidRPr="005D264F">
        <w:rPr>
          <w:rFonts w:ascii="Arial" w:hAnsi="Arial" w:cs="Arial"/>
          <w:sz w:val="22"/>
          <w:szCs w:val="22"/>
        </w:rPr>
        <w:t xml:space="preserve"> January 2018</w:t>
      </w:r>
    </w:p>
    <w:p w14:paraId="167CFFE2" w14:textId="77777777" w:rsidR="00DF57DF" w:rsidRPr="005D264F" w:rsidRDefault="00DF57DF" w:rsidP="00DF57DF">
      <w:pPr>
        <w:spacing w:line="480" w:lineRule="auto"/>
        <w:rPr>
          <w:rFonts w:ascii="Arial" w:hAnsi="Arial" w:cs="Arial"/>
          <w:sz w:val="22"/>
          <w:szCs w:val="22"/>
        </w:rPr>
      </w:pPr>
    </w:p>
    <w:p w14:paraId="54712C2F"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 xml:space="preserve">Lewin, K. (1951). Problems of research in social psychology. In  Cartwright, D. (Ed.s), </w:t>
      </w:r>
      <w:r w:rsidRPr="0067245A">
        <w:rPr>
          <w:rFonts w:ascii="Arial" w:hAnsi="Arial" w:cs="Arial"/>
          <w:i/>
          <w:iCs/>
          <w:sz w:val="22"/>
          <w:szCs w:val="22"/>
        </w:rPr>
        <w:t>Field theory in social science: Selected theoretical papers</w:t>
      </w:r>
      <w:r w:rsidRPr="005D264F">
        <w:rPr>
          <w:rFonts w:ascii="Arial" w:hAnsi="Arial" w:cs="Arial"/>
          <w:sz w:val="22"/>
          <w:szCs w:val="22"/>
        </w:rPr>
        <w:t xml:space="preserve"> (pp. 155–169). New York, NY: Harper &amp; Row. </w:t>
      </w:r>
    </w:p>
    <w:p w14:paraId="14B8F1ED" w14:textId="77777777" w:rsidR="00DF57DF" w:rsidRDefault="00DF57DF" w:rsidP="00DF57DF">
      <w:pPr>
        <w:spacing w:line="480" w:lineRule="auto"/>
        <w:rPr>
          <w:rFonts w:ascii="Arial" w:hAnsi="Arial" w:cs="Arial"/>
          <w:sz w:val="22"/>
          <w:szCs w:val="22"/>
        </w:rPr>
      </w:pPr>
      <w:r>
        <w:rPr>
          <w:rFonts w:ascii="Arial" w:hAnsi="Arial" w:cs="Arial"/>
          <w:sz w:val="22"/>
          <w:szCs w:val="22"/>
        </w:rPr>
        <w:lastRenderedPageBreak/>
        <w:t xml:space="preserve">Liberati, A., Altman, D.G., Tetzlaff, J., Mulrow, C., Gotzsche, P.C., Loannidis, J.P., Clarke, M., Devereaux, P.J., Kleijnen, J., and Moher, D. (2009). The PRISMA statement for reporting systematic reviews and meta-analyses of studies that evaluate health care interventions: Explanation and elaboration. </w:t>
      </w:r>
      <w:r w:rsidRPr="00BD480C">
        <w:rPr>
          <w:rFonts w:ascii="Arial" w:hAnsi="Arial" w:cs="Arial"/>
          <w:i/>
          <w:iCs/>
          <w:sz w:val="22"/>
          <w:szCs w:val="22"/>
        </w:rPr>
        <w:t>Plos Medicine</w:t>
      </w:r>
      <w:r>
        <w:rPr>
          <w:rFonts w:ascii="Arial" w:hAnsi="Arial" w:cs="Arial"/>
          <w:sz w:val="22"/>
          <w:szCs w:val="22"/>
        </w:rPr>
        <w:t xml:space="preserve">, available online at </w:t>
      </w:r>
      <w:r w:rsidRPr="00BD480C">
        <w:rPr>
          <w:rFonts w:ascii="Arial" w:hAnsi="Arial" w:cs="Arial"/>
          <w:sz w:val="22"/>
          <w:szCs w:val="22"/>
        </w:rPr>
        <w:t>https://journals.plos.org/plosmedicine/article?id=10.1371/journal.pmed.1000100</w:t>
      </w:r>
    </w:p>
    <w:p w14:paraId="1625C553" w14:textId="77777777" w:rsidR="00DF57DF" w:rsidRDefault="00DF57DF" w:rsidP="00DF57DF">
      <w:pPr>
        <w:spacing w:line="480" w:lineRule="auto"/>
        <w:rPr>
          <w:rFonts w:ascii="Arial" w:hAnsi="Arial" w:cs="Arial"/>
          <w:sz w:val="22"/>
          <w:szCs w:val="22"/>
        </w:rPr>
      </w:pPr>
      <w:r>
        <w:rPr>
          <w:rFonts w:ascii="Arial" w:hAnsi="Arial" w:cs="Arial"/>
          <w:sz w:val="22"/>
          <w:szCs w:val="22"/>
        </w:rPr>
        <w:t>Accessed 1</w:t>
      </w:r>
      <w:r w:rsidRPr="00BD480C">
        <w:rPr>
          <w:rFonts w:ascii="Arial" w:hAnsi="Arial" w:cs="Arial"/>
          <w:sz w:val="22"/>
          <w:szCs w:val="22"/>
          <w:vertAlign w:val="superscript"/>
        </w:rPr>
        <w:t>st</w:t>
      </w:r>
      <w:r>
        <w:rPr>
          <w:rFonts w:ascii="Arial" w:hAnsi="Arial" w:cs="Arial"/>
          <w:sz w:val="22"/>
          <w:szCs w:val="22"/>
        </w:rPr>
        <w:t xml:space="preserve"> November 2019.</w:t>
      </w:r>
    </w:p>
    <w:p w14:paraId="420FCBC8" w14:textId="77777777" w:rsidR="00DF57DF" w:rsidRDefault="00DF57DF" w:rsidP="00DF57DF">
      <w:pPr>
        <w:spacing w:line="480" w:lineRule="auto"/>
        <w:rPr>
          <w:rFonts w:ascii="Arial" w:hAnsi="Arial" w:cs="Arial"/>
          <w:sz w:val="22"/>
          <w:szCs w:val="22"/>
        </w:rPr>
      </w:pPr>
    </w:p>
    <w:p w14:paraId="73098E32"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Liness, S., Lea, S., Nestler, S., Parker, H., and Clark, D.M. (2017). What IAPT CBT therapists do after training. </w:t>
      </w:r>
      <w:r w:rsidRPr="00112C72">
        <w:rPr>
          <w:rFonts w:ascii="Arial" w:hAnsi="Arial" w:cs="Arial"/>
          <w:i/>
          <w:iCs/>
          <w:sz w:val="22"/>
          <w:szCs w:val="22"/>
        </w:rPr>
        <w:t>Behavioural and Cognitive Psychotherapy</w:t>
      </w:r>
      <w:r>
        <w:rPr>
          <w:rFonts w:ascii="Arial" w:hAnsi="Arial" w:cs="Arial"/>
          <w:sz w:val="22"/>
          <w:szCs w:val="22"/>
        </w:rPr>
        <w:t>, 45, 16-30.</w:t>
      </w:r>
    </w:p>
    <w:p w14:paraId="50A10C80" w14:textId="77777777" w:rsidR="00DF57DF" w:rsidRDefault="00DF57DF" w:rsidP="00DF57DF">
      <w:pPr>
        <w:spacing w:line="480" w:lineRule="auto"/>
        <w:rPr>
          <w:rFonts w:ascii="Arial" w:hAnsi="Arial" w:cs="Arial"/>
          <w:sz w:val="22"/>
          <w:szCs w:val="22"/>
        </w:rPr>
      </w:pPr>
    </w:p>
    <w:p w14:paraId="4D69598D"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Liness, S., Beale, S., Lea, S., Byrne, S., Hirsch, C.R., and Clark, D.M. (2019). The sustained effects of CBT training on therapist competence and patient outcomes. </w:t>
      </w:r>
      <w:r w:rsidRPr="0067245A">
        <w:rPr>
          <w:rFonts w:ascii="Arial" w:hAnsi="Arial" w:cs="Arial"/>
          <w:i/>
          <w:iCs/>
          <w:sz w:val="22"/>
          <w:szCs w:val="22"/>
        </w:rPr>
        <w:t>Cognitive Therapy and Research</w:t>
      </w:r>
      <w:r>
        <w:rPr>
          <w:rFonts w:ascii="Arial" w:hAnsi="Arial" w:cs="Arial"/>
          <w:sz w:val="22"/>
          <w:szCs w:val="22"/>
        </w:rPr>
        <w:t xml:space="preserve">, 43, 631-641. </w:t>
      </w:r>
    </w:p>
    <w:p w14:paraId="5D9D41E6" w14:textId="77777777" w:rsidR="00DF57DF" w:rsidRPr="005D264F" w:rsidRDefault="00DF57DF" w:rsidP="00DF57DF">
      <w:pPr>
        <w:spacing w:line="480" w:lineRule="auto"/>
        <w:rPr>
          <w:rFonts w:ascii="Arial" w:hAnsi="Arial" w:cs="Arial"/>
          <w:sz w:val="22"/>
          <w:szCs w:val="22"/>
        </w:rPr>
      </w:pPr>
    </w:p>
    <w:p w14:paraId="74F5FFED"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Llewelyn, S., and Hardy, G. (2010). Process research in understanding and applying psychological therapies. </w:t>
      </w:r>
      <w:r w:rsidRPr="000B0BEB">
        <w:rPr>
          <w:rFonts w:ascii="Arial" w:hAnsi="Arial" w:cs="Arial"/>
          <w:i/>
          <w:iCs/>
          <w:sz w:val="22"/>
          <w:szCs w:val="22"/>
        </w:rPr>
        <w:t>British Journal of Clinical Psychology,</w:t>
      </w:r>
      <w:r>
        <w:rPr>
          <w:rFonts w:ascii="Arial" w:hAnsi="Arial" w:cs="Arial"/>
          <w:sz w:val="22"/>
          <w:szCs w:val="22"/>
        </w:rPr>
        <w:t xml:space="preserve"> 40, 1-21.</w:t>
      </w:r>
    </w:p>
    <w:p w14:paraId="1C680C1A"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5EA51597" w14:textId="77777777" w:rsidR="00DF57D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t>Lloyd, C. 2009</w:t>
      </w:r>
      <w:r>
        <w:rPr>
          <w:rFonts w:ascii="Arial" w:hAnsi="Arial" w:cs="Arial"/>
          <w:sz w:val="22"/>
          <w:szCs w:val="22"/>
        </w:rPr>
        <w:t>.</w:t>
      </w:r>
      <w:r w:rsidRPr="005D264F">
        <w:rPr>
          <w:rFonts w:ascii="Arial" w:hAnsi="Arial" w:cs="Arial"/>
          <w:sz w:val="22"/>
          <w:szCs w:val="22"/>
        </w:rPr>
        <w:t xml:space="preserve"> </w:t>
      </w:r>
      <w:r w:rsidRPr="005D264F">
        <w:rPr>
          <w:rFonts w:ascii="Arial" w:hAnsi="Arial" w:cs="Arial"/>
          <w:i/>
          <w:iCs/>
          <w:sz w:val="22"/>
          <w:szCs w:val="22"/>
        </w:rPr>
        <w:t>Clinical Management in Mental Health Services</w:t>
      </w:r>
      <w:r>
        <w:rPr>
          <w:rFonts w:ascii="Arial" w:hAnsi="Arial" w:cs="Arial"/>
          <w:i/>
          <w:iCs/>
          <w:sz w:val="22"/>
          <w:szCs w:val="22"/>
        </w:rPr>
        <w:t>.</w:t>
      </w:r>
      <w:r w:rsidRPr="005D264F">
        <w:rPr>
          <w:rFonts w:ascii="Arial" w:hAnsi="Arial" w:cs="Arial"/>
          <w:i/>
          <w:iCs/>
          <w:sz w:val="22"/>
          <w:szCs w:val="22"/>
        </w:rPr>
        <w:t xml:space="preserve"> </w:t>
      </w:r>
      <w:r w:rsidRPr="005D264F">
        <w:rPr>
          <w:rFonts w:ascii="Arial" w:hAnsi="Arial" w:cs="Arial"/>
          <w:sz w:val="22"/>
          <w:szCs w:val="22"/>
        </w:rPr>
        <w:t>Hoboken</w:t>
      </w:r>
      <w:r>
        <w:rPr>
          <w:rFonts w:ascii="Arial" w:hAnsi="Arial" w:cs="Arial"/>
          <w:sz w:val="22"/>
          <w:szCs w:val="22"/>
        </w:rPr>
        <w:t xml:space="preserve">, </w:t>
      </w:r>
      <w:r w:rsidRPr="005D264F">
        <w:rPr>
          <w:rFonts w:ascii="Arial" w:hAnsi="Arial" w:cs="Arial"/>
          <w:sz w:val="22"/>
          <w:szCs w:val="22"/>
        </w:rPr>
        <w:t>Wiley</w:t>
      </w:r>
      <w:r>
        <w:rPr>
          <w:rFonts w:ascii="Arial" w:hAnsi="Arial" w:cs="Arial"/>
          <w:sz w:val="22"/>
          <w:szCs w:val="22"/>
        </w:rPr>
        <w:t>.</w:t>
      </w:r>
    </w:p>
    <w:p w14:paraId="7E3A1B04"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162B6E81"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Loewenthal, D., and Proctor, G. (2018).  </w:t>
      </w:r>
      <w:r w:rsidRPr="00B12936">
        <w:rPr>
          <w:rFonts w:ascii="Arial" w:hAnsi="Arial" w:cs="Arial"/>
          <w:i/>
          <w:iCs/>
          <w:sz w:val="22"/>
          <w:szCs w:val="22"/>
        </w:rPr>
        <w:t>Why Not CBT? Against and for CBT Revisited</w:t>
      </w:r>
      <w:r>
        <w:rPr>
          <w:rFonts w:ascii="Arial" w:hAnsi="Arial" w:cs="Arial"/>
          <w:sz w:val="22"/>
          <w:szCs w:val="22"/>
        </w:rPr>
        <w:t>. Monmouth, PCCS Books.</w:t>
      </w:r>
    </w:p>
    <w:p w14:paraId="1B3AFCB1"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40FCE41F"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Lomax, J.W., Andrews, L.B., Burruss, J.W., and Moorey, S. (2005). Psychotherapy supervision. In  Beck, J.S., Gabbard, G., and Holmes, J. (Eds) </w:t>
      </w:r>
      <w:r w:rsidRPr="00746C30">
        <w:rPr>
          <w:rFonts w:ascii="Arial" w:hAnsi="Arial" w:cs="Arial"/>
          <w:i/>
          <w:iCs/>
          <w:sz w:val="22"/>
          <w:szCs w:val="22"/>
        </w:rPr>
        <w:t>Oxford Textbook of Psychotherapy</w:t>
      </w:r>
      <w:r>
        <w:rPr>
          <w:rFonts w:ascii="Arial" w:hAnsi="Arial" w:cs="Arial"/>
          <w:sz w:val="22"/>
          <w:szCs w:val="22"/>
        </w:rPr>
        <w:t>, pp. 495- 503. Oxford, Oxford University Press.</w:t>
      </w:r>
    </w:p>
    <w:p w14:paraId="40C86097"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622E46D6" w14:textId="77777777" w:rsidR="00DF57DF" w:rsidRDefault="00DF57DF" w:rsidP="00DF57DF">
      <w:pPr>
        <w:rPr>
          <w:rFonts w:ascii="Arial" w:hAnsi="Arial" w:cs="Arial"/>
          <w:sz w:val="22"/>
          <w:szCs w:val="22"/>
        </w:rPr>
      </w:pPr>
      <w:r>
        <w:rPr>
          <w:rFonts w:ascii="Arial" w:hAnsi="Arial" w:cs="Arial"/>
          <w:sz w:val="22"/>
          <w:szCs w:val="22"/>
        </w:rPr>
        <w:br w:type="page"/>
      </w:r>
    </w:p>
    <w:p w14:paraId="2460729C" w14:textId="77777777" w:rsidR="00DF57D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lastRenderedPageBreak/>
        <w:t>London School of Economics (2012)</w:t>
      </w:r>
      <w:r>
        <w:rPr>
          <w:rFonts w:ascii="Arial" w:hAnsi="Arial" w:cs="Arial"/>
          <w:sz w:val="22"/>
          <w:szCs w:val="22"/>
        </w:rPr>
        <w:t>.</w:t>
      </w:r>
      <w:r w:rsidRPr="005D264F">
        <w:rPr>
          <w:rFonts w:ascii="Arial" w:hAnsi="Arial" w:cs="Arial"/>
          <w:sz w:val="22"/>
          <w:szCs w:val="22"/>
        </w:rPr>
        <w:t xml:space="preserve">  </w:t>
      </w:r>
      <w:r w:rsidRPr="005D264F">
        <w:rPr>
          <w:rFonts w:ascii="Arial" w:hAnsi="Arial" w:cs="Arial"/>
          <w:i/>
          <w:sz w:val="22"/>
          <w:szCs w:val="22"/>
        </w:rPr>
        <w:t>How mental illness loses out in the NHS</w:t>
      </w:r>
      <w:r w:rsidRPr="005D264F">
        <w:rPr>
          <w:rFonts w:ascii="Arial" w:hAnsi="Arial" w:cs="Arial"/>
          <w:sz w:val="22"/>
          <w:szCs w:val="22"/>
        </w:rPr>
        <w:t>, available online at:</w:t>
      </w:r>
      <w:r>
        <w:rPr>
          <w:rFonts w:ascii="Arial" w:hAnsi="Arial" w:cs="Arial"/>
          <w:sz w:val="22"/>
          <w:szCs w:val="22"/>
        </w:rPr>
        <w:t xml:space="preserve">  </w:t>
      </w:r>
      <w:r w:rsidRPr="005D264F">
        <w:rPr>
          <w:rFonts w:ascii="Arial" w:hAnsi="Arial" w:cs="Arial"/>
          <w:sz w:val="22"/>
          <w:szCs w:val="22"/>
        </w:rPr>
        <w:t>http://cep.lse.ac.uk/pubs/download/special/cepsp26.pdf</w:t>
      </w:r>
    </w:p>
    <w:p w14:paraId="23198F9C" w14:textId="77777777" w:rsidR="00DF57D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t>Accessed 30</w:t>
      </w:r>
      <w:r w:rsidRPr="005D264F">
        <w:rPr>
          <w:rFonts w:ascii="Arial" w:hAnsi="Arial" w:cs="Arial"/>
          <w:sz w:val="22"/>
          <w:szCs w:val="22"/>
          <w:vertAlign w:val="superscript"/>
        </w:rPr>
        <w:t>th</w:t>
      </w:r>
      <w:r w:rsidRPr="005D264F">
        <w:rPr>
          <w:rFonts w:ascii="Arial" w:hAnsi="Arial" w:cs="Arial"/>
          <w:sz w:val="22"/>
          <w:szCs w:val="22"/>
        </w:rPr>
        <w:t xml:space="preserve"> May 201</w:t>
      </w:r>
      <w:r>
        <w:rPr>
          <w:rFonts w:ascii="Arial" w:hAnsi="Arial" w:cs="Arial"/>
          <w:sz w:val="22"/>
          <w:szCs w:val="22"/>
        </w:rPr>
        <w:t>9</w:t>
      </w:r>
    </w:p>
    <w:p w14:paraId="26A70B58"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716B073B"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Long, C., and Hollin, C., (1997). The scientist-practitioner model in clinical psychology: A critique. </w:t>
      </w:r>
      <w:r w:rsidRPr="00404257">
        <w:rPr>
          <w:rFonts w:ascii="Arial" w:hAnsi="Arial" w:cs="Arial"/>
          <w:i/>
          <w:iCs/>
          <w:sz w:val="22"/>
          <w:szCs w:val="22"/>
        </w:rPr>
        <w:t>Clinical Psychology and Psychotherapy</w:t>
      </w:r>
      <w:r>
        <w:rPr>
          <w:rFonts w:ascii="Arial" w:hAnsi="Arial" w:cs="Arial"/>
          <w:sz w:val="22"/>
          <w:szCs w:val="22"/>
        </w:rPr>
        <w:t>, 4, 75-83.</w:t>
      </w:r>
    </w:p>
    <w:p w14:paraId="32016197"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7A099AC5"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Lowe, M.R., Bunnell, D.W., Neeren, A.M., Chernyak, Y., and Greberman, L. (2011). Evaluating the real-world effectiveness of cognitive-behavior therapy efficacy research on eating disorders: A case study from a community-based clinical setting. </w:t>
      </w:r>
      <w:r w:rsidRPr="000307A3">
        <w:rPr>
          <w:rFonts w:ascii="Arial" w:hAnsi="Arial" w:cs="Arial"/>
          <w:i/>
          <w:iCs/>
          <w:sz w:val="22"/>
          <w:szCs w:val="22"/>
        </w:rPr>
        <w:t>International Journal of Eating Disorders</w:t>
      </w:r>
      <w:r>
        <w:rPr>
          <w:rFonts w:ascii="Arial" w:hAnsi="Arial" w:cs="Arial"/>
          <w:sz w:val="22"/>
          <w:szCs w:val="22"/>
        </w:rPr>
        <w:t>, 44, 9-18.</w:t>
      </w:r>
    </w:p>
    <w:p w14:paraId="5D836B41"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15B687D7"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Lutz, W., and Barkham, M. (2015). Therapist effects. In Cautin, R., and Lilienfield, S. (Eds.), </w:t>
      </w:r>
      <w:r w:rsidRPr="00680669">
        <w:rPr>
          <w:rFonts w:ascii="Arial" w:hAnsi="Arial" w:cs="Arial"/>
          <w:i/>
          <w:iCs/>
          <w:sz w:val="22"/>
          <w:szCs w:val="22"/>
        </w:rPr>
        <w:t>Encyclopedia of Clinical Psychology.</w:t>
      </w:r>
      <w:r>
        <w:rPr>
          <w:rFonts w:ascii="Arial" w:hAnsi="Arial" w:cs="Arial"/>
          <w:sz w:val="22"/>
          <w:szCs w:val="22"/>
        </w:rPr>
        <w:t xml:space="preserve"> New Jersey, Wiley Blackwell.</w:t>
      </w:r>
    </w:p>
    <w:p w14:paraId="1685F3D0"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2BE72896"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Lutz. W., Bohnke, J.R., and Kock, K. (2011). Lending an ear to feedback systems: Evaluation of recovery and non-response in psychotherapy in a German outpatient setting. </w:t>
      </w:r>
      <w:r w:rsidRPr="001C4AC8">
        <w:rPr>
          <w:rFonts w:ascii="Arial" w:hAnsi="Arial" w:cs="Arial"/>
          <w:i/>
          <w:iCs/>
          <w:sz w:val="22"/>
          <w:szCs w:val="22"/>
        </w:rPr>
        <w:t>Community Mental Health Journal</w:t>
      </w:r>
      <w:r>
        <w:rPr>
          <w:rFonts w:ascii="Arial" w:hAnsi="Arial" w:cs="Arial"/>
          <w:sz w:val="22"/>
          <w:szCs w:val="22"/>
        </w:rPr>
        <w:t>, 47, 311-317.</w:t>
      </w:r>
    </w:p>
    <w:p w14:paraId="5E0CDAE8"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2E36DD02"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Lutz, W., Lambert, M.J., Harmon, S.C., Tschitsaz, A., Schurch, E., and Stulz, N. (2016). The probability of treatment success, failure and duration-what can be learned from empirical data to support decision making in clinical practice? </w:t>
      </w:r>
      <w:r w:rsidRPr="001C4AC8">
        <w:rPr>
          <w:rFonts w:ascii="Arial" w:hAnsi="Arial" w:cs="Arial"/>
          <w:i/>
          <w:iCs/>
          <w:sz w:val="22"/>
          <w:szCs w:val="22"/>
        </w:rPr>
        <w:t>Clinical Psychology and Psychotherapy</w:t>
      </w:r>
      <w:r>
        <w:rPr>
          <w:rFonts w:ascii="Arial" w:hAnsi="Arial" w:cs="Arial"/>
          <w:sz w:val="22"/>
          <w:szCs w:val="22"/>
        </w:rPr>
        <w:t>, 13, 223-232.</w:t>
      </w:r>
    </w:p>
    <w:p w14:paraId="09C970B1"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0FF4FD69"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Lutz, W., Rubel, J., Schiefele, A.K., Zimmermann, D., Bohnke, J.R., and Wittmann, W.W. (2015). Feedback and therapist effects in the context of treatment outcome and treatment length.</w:t>
      </w:r>
      <w:r w:rsidRPr="006E237C">
        <w:rPr>
          <w:rFonts w:ascii="Arial" w:hAnsi="Arial" w:cs="Arial"/>
          <w:i/>
          <w:iCs/>
          <w:sz w:val="22"/>
          <w:szCs w:val="22"/>
        </w:rPr>
        <w:t xml:space="preserve"> Psychotherapy Research</w:t>
      </w:r>
      <w:r>
        <w:rPr>
          <w:rFonts w:ascii="Arial" w:hAnsi="Arial" w:cs="Arial"/>
          <w:sz w:val="22"/>
          <w:szCs w:val="22"/>
        </w:rPr>
        <w:t>, 25, 647-660.</w:t>
      </w:r>
    </w:p>
    <w:p w14:paraId="44AA6715"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lastRenderedPageBreak/>
        <w:t xml:space="preserve">Lutz, W. Saunders, S.M., Leon, S.C., Martinovich, Z., Kosfelder, J., Schulte. D, Grawe, K., and Tholen, S. (2006). Empirically and clinically useful decision making in psychotherapy: Differential predictions with treatment response models. </w:t>
      </w:r>
      <w:r w:rsidRPr="00381861">
        <w:rPr>
          <w:rFonts w:ascii="Arial" w:hAnsi="Arial" w:cs="Arial"/>
          <w:i/>
          <w:iCs/>
          <w:sz w:val="22"/>
          <w:szCs w:val="22"/>
        </w:rPr>
        <w:t>Psychological Assessment,</w:t>
      </w:r>
      <w:r>
        <w:rPr>
          <w:rFonts w:ascii="Arial" w:hAnsi="Arial" w:cs="Arial"/>
          <w:sz w:val="22"/>
          <w:szCs w:val="22"/>
        </w:rPr>
        <w:t xml:space="preserve"> 18,133-141.</w:t>
      </w:r>
    </w:p>
    <w:p w14:paraId="58416479"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5FB8599C"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Lutz, W., Rubel, J., Schiefele, A.K., Zimmermann, D., Bohnke, J.R., and Wittmann, W.W. (2015). Feedback and therapist effects in the context of treatment outcome and treatment length. </w:t>
      </w:r>
      <w:r w:rsidRPr="00C953C4">
        <w:rPr>
          <w:rFonts w:ascii="Arial" w:hAnsi="Arial" w:cs="Arial"/>
          <w:i/>
          <w:iCs/>
          <w:sz w:val="22"/>
          <w:szCs w:val="22"/>
        </w:rPr>
        <w:t>Psychotherapy Research</w:t>
      </w:r>
      <w:r>
        <w:rPr>
          <w:rFonts w:ascii="Arial" w:hAnsi="Arial" w:cs="Arial"/>
          <w:sz w:val="22"/>
          <w:szCs w:val="22"/>
        </w:rPr>
        <w:t>, 25, 647-660.</w:t>
      </w:r>
    </w:p>
    <w:p w14:paraId="3E52A5D7"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03B0FFBA" w14:textId="77777777" w:rsidR="00DF57DF" w:rsidRPr="009D2591" w:rsidRDefault="00DF57DF" w:rsidP="00DF57DF">
      <w:pPr>
        <w:spacing w:line="480" w:lineRule="auto"/>
        <w:rPr>
          <w:rFonts w:ascii="Arial" w:hAnsi="Arial" w:cs="Arial"/>
          <w:color w:val="000000" w:themeColor="text1"/>
        </w:rPr>
      </w:pPr>
      <w:r w:rsidRPr="009D2591">
        <w:rPr>
          <w:rStyle w:val="Hyperlink"/>
          <w:rFonts w:ascii="Arial" w:hAnsi="Arial" w:cs="Arial"/>
          <w:color w:val="000000" w:themeColor="text1"/>
          <w:u w:val="none"/>
        </w:rPr>
        <w:t xml:space="preserve">Maimaris, C., Summers, C.L., Browning, C. and </w:t>
      </w:r>
      <w:r w:rsidRPr="00F91628">
        <w:rPr>
          <w:rStyle w:val="Hyperlink"/>
          <w:rFonts w:ascii="Arial" w:hAnsi="Arial" w:cs="Arial"/>
          <w:color w:val="000000" w:themeColor="text1"/>
          <w:u w:val="none"/>
        </w:rPr>
        <w:t>Palmer, C.R</w:t>
      </w:r>
      <w:r w:rsidRPr="009D2591">
        <w:rPr>
          <w:rStyle w:val="Hyperlink"/>
          <w:rFonts w:ascii="Arial" w:hAnsi="Arial" w:cs="Arial"/>
          <w:b/>
          <w:bCs/>
          <w:color w:val="000000" w:themeColor="text1"/>
          <w:u w:val="none"/>
        </w:rPr>
        <w:t>.</w:t>
      </w:r>
      <w:r w:rsidRPr="009D2591">
        <w:rPr>
          <w:rStyle w:val="Hyperlink"/>
          <w:rFonts w:ascii="Arial" w:hAnsi="Arial" w:cs="Arial"/>
          <w:color w:val="000000" w:themeColor="text1"/>
          <w:u w:val="none"/>
        </w:rPr>
        <w:t xml:space="preserve"> (1994) Injury patterns in cyclists attending an accident and emergency department: a comparison of helmet wearers and non-wearers. </w:t>
      </w:r>
      <w:r w:rsidRPr="009D2591">
        <w:rPr>
          <w:rStyle w:val="Hyperlink"/>
          <w:rFonts w:ascii="Arial" w:hAnsi="Arial" w:cs="Arial"/>
          <w:i/>
          <w:iCs/>
          <w:color w:val="000000" w:themeColor="text1"/>
          <w:u w:val="none"/>
        </w:rPr>
        <w:t>British Medical Journal</w:t>
      </w:r>
      <w:r w:rsidRPr="009D2591">
        <w:rPr>
          <w:rStyle w:val="Hyperlink"/>
          <w:rFonts w:ascii="Arial" w:hAnsi="Arial" w:cs="Arial"/>
          <w:color w:val="000000" w:themeColor="text1"/>
          <w:u w:val="none"/>
        </w:rPr>
        <w:t>, 308, 1537-1540.</w:t>
      </w:r>
    </w:p>
    <w:p w14:paraId="384F3526" w14:textId="77777777" w:rsidR="00DF57DF" w:rsidRPr="009D2591" w:rsidRDefault="00DF57DF" w:rsidP="00DF57DF">
      <w:pPr>
        <w:pStyle w:val="NormalWeb"/>
        <w:spacing w:before="0" w:beforeAutospacing="0" w:after="0" w:afterAutospacing="0" w:line="480" w:lineRule="auto"/>
        <w:rPr>
          <w:rFonts w:ascii="Arial" w:hAnsi="Arial" w:cs="Arial"/>
          <w:sz w:val="22"/>
          <w:szCs w:val="22"/>
        </w:rPr>
      </w:pPr>
    </w:p>
    <w:p w14:paraId="51B6BD95"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6A93E19B"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Mann, C.C. (1994). Can meta-analysis make policy? </w:t>
      </w:r>
      <w:r w:rsidRPr="00F25184">
        <w:rPr>
          <w:rFonts w:ascii="Arial" w:hAnsi="Arial" w:cs="Arial"/>
          <w:i/>
          <w:iCs/>
          <w:sz w:val="22"/>
          <w:szCs w:val="22"/>
        </w:rPr>
        <w:t>Science</w:t>
      </w:r>
      <w:r>
        <w:rPr>
          <w:rFonts w:ascii="Arial" w:hAnsi="Arial" w:cs="Arial"/>
          <w:sz w:val="22"/>
          <w:szCs w:val="22"/>
        </w:rPr>
        <w:t>, 266, 960-962.</w:t>
      </w:r>
    </w:p>
    <w:p w14:paraId="4642E767"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Lykkeslet-Molde, E., Gjengedal, E., (2007). Methodological problems associated with practice-close research. </w:t>
      </w:r>
      <w:r w:rsidRPr="00FB74F4">
        <w:rPr>
          <w:rFonts w:ascii="Arial" w:hAnsi="Arial" w:cs="Arial"/>
          <w:i/>
          <w:iCs/>
          <w:sz w:val="22"/>
          <w:szCs w:val="22"/>
        </w:rPr>
        <w:t>Qualitative Health Research</w:t>
      </w:r>
      <w:r>
        <w:rPr>
          <w:rFonts w:ascii="Arial" w:hAnsi="Arial" w:cs="Arial"/>
          <w:sz w:val="22"/>
          <w:szCs w:val="22"/>
        </w:rPr>
        <w:t>, 15, 699-704.</w:t>
      </w:r>
    </w:p>
    <w:p w14:paraId="0FB42A12"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0DBEAB3D"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Manning, T., Sleator, R.D., and Walsh, P. (2012). Naturally selecting solutions: The use of genetic algorithms in bioinformatics. </w:t>
      </w:r>
      <w:r w:rsidRPr="00796C3C">
        <w:rPr>
          <w:rFonts w:ascii="Arial" w:hAnsi="Arial" w:cs="Arial"/>
          <w:i/>
          <w:iCs/>
          <w:sz w:val="22"/>
          <w:szCs w:val="22"/>
        </w:rPr>
        <w:t>Bioengineered</w:t>
      </w:r>
      <w:r>
        <w:rPr>
          <w:rFonts w:ascii="Arial" w:hAnsi="Arial" w:cs="Arial"/>
          <w:sz w:val="22"/>
          <w:szCs w:val="22"/>
        </w:rPr>
        <w:t>, 4, 266-278.</w:t>
      </w:r>
    </w:p>
    <w:p w14:paraId="66BC0D90"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57613550"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Mansell, W. (2008). The seven C's pf CBT: A consideration of the future challenges for cognitive behaviour therapy. </w:t>
      </w:r>
      <w:r w:rsidRPr="00B9464B">
        <w:rPr>
          <w:rFonts w:ascii="Arial" w:hAnsi="Arial" w:cs="Arial"/>
          <w:i/>
          <w:iCs/>
          <w:sz w:val="22"/>
          <w:szCs w:val="22"/>
        </w:rPr>
        <w:t>Behavioural and Cognitive Psychotherapy</w:t>
      </w:r>
      <w:r>
        <w:rPr>
          <w:rFonts w:ascii="Arial" w:hAnsi="Arial" w:cs="Arial"/>
          <w:sz w:val="22"/>
          <w:szCs w:val="22"/>
        </w:rPr>
        <w:t>,36, 641-649.</w:t>
      </w:r>
    </w:p>
    <w:p w14:paraId="47471C66"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0E1942D5"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Marks, I.M. (2013). </w:t>
      </w:r>
      <w:r w:rsidRPr="002726E4">
        <w:rPr>
          <w:rFonts w:ascii="Arial" w:hAnsi="Arial" w:cs="Arial"/>
          <w:i/>
          <w:iCs/>
          <w:sz w:val="22"/>
          <w:szCs w:val="22"/>
        </w:rPr>
        <w:t>Professor Isaac Marks talks about online CBT.</w:t>
      </w:r>
      <w:r>
        <w:rPr>
          <w:rFonts w:ascii="Arial" w:hAnsi="Arial" w:cs="Arial"/>
          <w:sz w:val="22"/>
          <w:szCs w:val="22"/>
        </w:rPr>
        <w:t xml:space="preserve"> Interview Series CCBT Limited. Available online at </w:t>
      </w:r>
      <w:r w:rsidRPr="002726E4">
        <w:rPr>
          <w:rFonts w:ascii="Arial" w:hAnsi="Arial" w:cs="Arial"/>
          <w:sz w:val="22"/>
          <w:szCs w:val="22"/>
        </w:rPr>
        <w:t>https://www.youtube.com/watch?v=GvCHFmwwwAY</w:t>
      </w:r>
    </w:p>
    <w:p w14:paraId="7A25ADAE"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Accessed 25</w:t>
      </w:r>
      <w:r w:rsidRPr="002726E4">
        <w:rPr>
          <w:rFonts w:ascii="Arial" w:hAnsi="Arial" w:cs="Arial"/>
          <w:sz w:val="22"/>
          <w:szCs w:val="22"/>
          <w:vertAlign w:val="superscript"/>
        </w:rPr>
        <w:t>th</w:t>
      </w:r>
      <w:r>
        <w:rPr>
          <w:rFonts w:ascii="Arial" w:hAnsi="Arial" w:cs="Arial"/>
          <w:sz w:val="22"/>
          <w:szCs w:val="22"/>
        </w:rPr>
        <w:t xml:space="preserve"> October 2019</w:t>
      </w:r>
    </w:p>
    <w:p w14:paraId="120F3D6E"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lastRenderedPageBreak/>
        <w:t xml:space="preserve">Marks, I.M., Shaw, S., and Parkin, R. (1998). Computer-aided treatments of mental  health problems. </w:t>
      </w:r>
      <w:r w:rsidRPr="002D5313">
        <w:rPr>
          <w:rFonts w:ascii="Arial" w:hAnsi="Arial" w:cs="Arial"/>
          <w:i/>
          <w:iCs/>
          <w:sz w:val="22"/>
          <w:szCs w:val="22"/>
        </w:rPr>
        <w:t>Clinical Psychology: Science and Practice</w:t>
      </w:r>
      <w:r>
        <w:rPr>
          <w:rFonts w:ascii="Arial" w:hAnsi="Arial" w:cs="Arial"/>
          <w:sz w:val="22"/>
          <w:szCs w:val="22"/>
        </w:rPr>
        <w:t>, 5, 151-170.</w:t>
      </w:r>
    </w:p>
    <w:p w14:paraId="6DB4683E"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3D101712"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Marks, I.M., Kenwright, M., McDonough, M. Whitaker, M., and Mataix-Cols, D., (2004). Saving clinicians time by delegating routine aspects of therapy to a computer: A randomised controlled trial in phobia/panic disorder. </w:t>
      </w:r>
      <w:r w:rsidRPr="009112A8">
        <w:rPr>
          <w:rFonts w:ascii="Arial" w:hAnsi="Arial" w:cs="Arial"/>
          <w:i/>
          <w:iCs/>
          <w:sz w:val="22"/>
          <w:szCs w:val="22"/>
        </w:rPr>
        <w:t>Psychological Medicine</w:t>
      </w:r>
      <w:r>
        <w:rPr>
          <w:rFonts w:ascii="Arial" w:hAnsi="Arial" w:cs="Arial"/>
          <w:sz w:val="22"/>
          <w:szCs w:val="22"/>
        </w:rPr>
        <w:t xml:space="preserve">, 34, 9-18. </w:t>
      </w:r>
    </w:p>
    <w:p w14:paraId="2D51F3D1"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3C037071" w14:textId="77777777" w:rsidR="00DF57DF" w:rsidRDefault="00DF57DF" w:rsidP="00DF57DF">
      <w:pPr>
        <w:spacing w:line="480" w:lineRule="auto"/>
        <w:rPr>
          <w:rFonts w:ascii="Arial" w:hAnsi="Arial" w:cs="Arial"/>
          <w:sz w:val="22"/>
          <w:szCs w:val="22"/>
          <w:shd w:val="clear" w:color="auto" w:fill="FFFFFF"/>
        </w:rPr>
      </w:pPr>
      <w:r w:rsidRPr="005D264F">
        <w:rPr>
          <w:rFonts w:ascii="Arial" w:hAnsi="Arial" w:cs="Arial"/>
          <w:sz w:val="22"/>
          <w:szCs w:val="22"/>
          <w:shd w:val="clear" w:color="auto" w:fill="FFFFFF"/>
        </w:rPr>
        <w:t>Martel, C.R., Addis, M.E., and Jacobson N.S. (2001)</w:t>
      </w:r>
      <w:r>
        <w:rPr>
          <w:rFonts w:ascii="Arial" w:hAnsi="Arial" w:cs="Arial"/>
          <w:sz w:val="22"/>
          <w:szCs w:val="22"/>
          <w:shd w:val="clear" w:color="auto" w:fill="FFFFFF"/>
        </w:rPr>
        <w:t>.</w:t>
      </w:r>
      <w:r w:rsidRPr="005D264F">
        <w:rPr>
          <w:rFonts w:ascii="Arial" w:hAnsi="Arial" w:cs="Arial"/>
          <w:sz w:val="22"/>
          <w:szCs w:val="22"/>
          <w:shd w:val="clear" w:color="auto" w:fill="FFFFFF"/>
        </w:rPr>
        <w:t xml:space="preserve"> </w:t>
      </w:r>
      <w:r w:rsidRPr="005D264F">
        <w:rPr>
          <w:rFonts w:ascii="Arial" w:hAnsi="Arial" w:cs="Arial"/>
          <w:i/>
          <w:iCs/>
          <w:sz w:val="22"/>
          <w:szCs w:val="22"/>
          <w:shd w:val="clear" w:color="auto" w:fill="FFFFFF"/>
        </w:rPr>
        <w:t xml:space="preserve">Depression in Context; Strategies for Guided Action.  </w:t>
      </w:r>
      <w:r w:rsidRPr="005D264F">
        <w:rPr>
          <w:rFonts w:ascii="Arial" w:hAnsi="Arial" w:cs="Arial"/>
          <w:sz w:val="22"/>
          <w:szCs w:val="22"/>
          <w:shd w:val="clear" w:color="auto" w:fill="FFFFFF"/>
        </w:rPr>
        <w:t xml:space="preserve">New York: WW Norton </w:t>
      </w:r>
    </w:p>
    <w:p w14:paraId="6AFD7EE2" w14:textId="77777777" w:rsidR="00DF57DF" w:rsidRDefault="00DF57DF" w:rsidP="00DF57DF">
      <w:pPr>
        <w:spacing w:line="480" w:lineRule="auto"/>
        <w:rPr>
          <w:rFonts w:ascii="Arial" w:hAnsi="Arial" w:cs="Arial"/>
          <w:sz w:val="22"/>
          <w:szCs w:val="22"/>
          <w:shd w:val="clear" w:color="auto" w:fill="FFFFFF"/>
        </w:rPr>
      </w:pPr>
    </w:p>
    <w:p w14:paraId="19F98A28" w14:textId="77777777" w:rsidR="00DF57DF" w:rsidRPr="003C44E7" w:rsidRDefault="00DF57DF" w:rsidP="00DF57DF">
      <w:pPr>
        <w:autoSpaceDE w:val="0"/>
        <w:autoSpaceDN w:val="0"/>
        <w:adjustRightInd w:val="0"/>
        <w:spacing w:line="480" w:lineRule="auto"/>
        <w:rPr>
          <w:rFonts w:ascii="Arial" w:hAnsi="Arial" w:cs="Arial"/>
          <w:sz w:val="22"/>
          <w:szCs w:val="22"/>
          <w:lang w:val="en-US"/>
        </w:rPr>
      </w:pPr>
      <w:r w:rsidRPr="003C44E7">
        <w:rPr>
          <w:rFonts w:ascii="Arial" w:hAnsi="Arial" w:cs="Arial"/>
          <w:sz w:val="22"/>
          <w:szCs w:val="22"/>
          <w:lang w:val="en-US"/>
        </w:rPr>
        <w:t xml:space="preserve">Martindale, C. (1978). The therapist-as-fixed-effect fallacy in psychotherapy research. </w:t>
      </w:r>
      <w:r w:rsidRPr="003C44E7">
        <w:rPr>
          <w:rFonts w:ascii="Arial" w:hAnsi="Arial" w:cs="Arial"/>
          <w:i/>
          <w:iCs/>
          <w:sz w:val="22"/>
          <w:szCs w:val="22"/>
          <w:lang w:val="en-US"/>
        </w:rPr>
        <w:t>Journal of Consulting and Clinical Psychology, 46</w:t>
      </w:r>
      <w:r>
        <w:rPr>
          <w:rFonts w:ascii="Arial" w:hAnsi="Arial" w:cs="Arial"/>
          <w:sz w:val="22"/>
          <w:szCs w:val="22"/>
          <w:lang w:val="en-US"/>
        </w:rPr>
        <w:t>,</w:t>
      </w:r>
      <w:r w:rsidRPr="003C44E7">
        <w:rPr>
          <w:rFonts w:ascii="Arial" w:hAnsi="Arial" w:cs="Arial"/>
          <w:sz w:val="22"/>
          <w:szCs w:val="22"/>
          <w:lang w:val="en-US"/>
        </w:rPr>
        <w:t xml:space="preserve"> 1526-1530.</w:t>
      </w:r>
    </w:p>
    <w:p w14:paraId="1535E34C" w14:textId="77777777" w:rsidR="00DF57DF" w:rsidRDefault="00DF57DF" w:rsidP="00DF57DF">
      <w:pPr>
        <w:spacing w:line="480" w:lineRule="auto"/>
        <w:rPr>
          <w:rFonts w:ascii="Arial" w:hAnsi="Arial" w:cs="Arial"/>
          <w:sz w:val="22"/>
          <w:szCs w:val="22"/>
          <w:shd w:val="clear" w:color="auto" w:fill="FFFFFF"/>
        </w:rPr>
      </w:pPr>
    </w:p>
    <w:p w14:paraId="4F5D8804" w14:textId="77777777" w:rsidR="00DF57DF" w:rsidRDefault="00DF57DF" w:rsidP="00DF57DF">
      <w:pPr>
        <w:spacing w:line="480" w:lineRule="auto"/>
        <w:rPr>
          <w:rFonts w:ascii="Arial" w:hAnsi="Arial" w:cs="Arial"/>
          <w:sz w:val="22"/>
          <w:szCs w:val="22"/>
          <w:shd w:val="clear" w:color="auto" w:fill="FFFFFF"/>
        </w:rPr>
      </w:pPr>
      <w:r>
        <w:rPr>
          <w:rFonts w:ascii="Arial" w:hAnsi="Arial" w:cs="Arial"/>
          <w:sz w:val="22"/>
          <w:szCs w:val="22"/>
          <w:shd w:val="clear" w:color="auto" w:fill="FFFFFF"/>
        </w:rPr>
        <w:t xml:space="preserve">Martinez-Mesa, J., Gonzalez-Chica, D.A., Bastos, J.L. Bonamigo, R.R., and Duquia, R.P. (2014). Sample size: How many research participants do I need in my research? </w:t>
      </w:r>
      <w:r>
        <w:rPr>
          <w:rFonts w:ascii="Arial" w:hAnsi="Arial" w:cs="Arial"/>
          <w:i/>
          <w:iCs/>
          <w:sz w:val="22"/>
          <w:szCs w:val="22"/>
          <w:shd w:val="clear" w:color="auto" w:fill="FFFFFF"/>
        </w:rPr>
        <w:t>Anais Brasileiiros De Dermatologia</w:t>
      </w:r>
      <w:r>
        <w:rPr>
          <w:rFonts w:ascii="Arial" w:hAnsi="Arial" w:cs="Arial"/>
          <w:sz w:val="22"/>
          <w:szCs w:val="22"/>
          <w:shd w:val="clear" w:color="auto" w:fill="FFFFFF"/>
        </w:rPr>
        <w:t>, 89, 609- 615.</w:t>
      </w:r>
    </w:p>
    <w:p w14:paraId="5237DE23" w14:textId="77777777" w:rsidR="00DF57DF" w:rsidRDefault="00DF57DF" w:rsidP="00DF57DF">
      <w:pPr>
        <w:spacing w:line="480" w:lineRule="auto"/>
        <w:rPr>
          <w:rFonts w:ascii="Arial" w:hAnsi="Arial" w:cs="Arial"/>
          <w:sz w:val="22"/>
          <w:szCs w:val="22"/>
          <w:shd w:val="clear" w:color="auto" w:fill="FFFFFF"/>
        </w:rPr>
      </w:pPr>
    </w:p>
    <w:p w14:paraId="4451D901" w14:textId="77777777" w:rsidR="00DF57DF" w:rsidRDefault="00DF57DF" w:rsidP="00DF57DF">
      <w:pPr>
        <w:spacing w:line="480" w:lineRule="auto"/>
        <w:rPr>
          <w:rFonts w:ascii="Arial" w:hAnsi="Arial" w:cs="Arial"/>
          <w:sz w:val="22"/>
          <w:szCs w:val="22"/>
          <w:shd w:val="clear" w:color="auto" w:fill="FFFFFF"/>
        </w:rPr>
      </w:pPr>
      <w:r>
        <w:rPr>
          <w:rFonts w:ascii="Arial" w:hAnsi="Arial" w:cs="Arial"/>
          <w:sz w:val="22"/>
          <w:szCs w:val="22"/>
          <w:shd w:val="clear" w:color="auto" w:fill="FFFFFF"/>
        </w:rPr>
        <w:t xml:space="preserve">Maas, C.J., and Hox, J.J. (2004). Sufficient sample sizes for multilevel modeling. </w:t>
      </w:r>
      <w:r w:rsidRPr="000656E2">
        <w:rPr>
          <w:rFonts w:ascii="Arial" w:hAnsi="Arial" w:cs="Arial"/>
          <w:i/>
          <w:iCs/>
          <w:sz w:val="22"/>
          <w:szCs w:val="22"/>
          <w:shd w:val="clear" w:color="auto" w:fill="FFFFFF"/>
        </w:rPr>
        <w:t>Methodology,</w:t>
      </w:r>
      <w:r>
        <w:rPr>
          <w:rFonts w:ascii="Arial" w:hAnsi="Arial" w:cs="Arial"/>
          <w:sz w:val="22"/>
          <w:szCs w:val="22"/>
          <w:shd w:val="clear" w:color="auto" w:fill="FFFFFF"/>
        </w:rPr>
        <w:t xml:space="preserve"> 1, 86-92.</w:t>
      </w:r>
    </w:p>
    <w:p w14:paraId="12FED19C" w14:textId="77777777" w:rsidR="00DF57DF" w:rsidRDefault="00DF57DF" w:rsidP="00DF57DF">
      <w:pPr>
        <w:spacing w:line="480" w:lineRule="auto"/>
        <w:rPr>
          <w:rFonts w:ascii="Arial" w:hAnsi="Arial" w:cs="Arial"/>
          <w:sz w:val="22"/>
          <w:szCs w:val="22"/>
          <w:shd w:val="clear" w:color="auto" w:fill="FFFFFF"/>
        </w:rPr>
      </w:pPr>
    </w:p>
    <w:p w14:paraId="54BC03C5" w14:textId="77777777" w:rsidR="00DF57DF" w:rsidRPr="005D264F" w:rsidRDefault="00DF57DF" w:rsidP="00DF57DF">
      <w:pPr>
        <w:spacing w:line="480" w:lineRule="auto"/>
        <w:rPr>
          <w:rFonts w:ascii="Arial" w:hAnsi="Arial" w:cs="Arial"/>
          <w:sz w:val="22"/>
          <w:szCs w:val="22"/>
        </w:rPr>
      </w:pPr>
      <w:r>
        <w:rPr>
          <w:rFonts w:ascii="Arial" w:hAnsi="Arial" w:cs="Arial"/>
          <w:sz w:val="22"/>
          <w:szCs w:val="22"/>
          <w:shd w:val="clear" w:color="auto" w:fill="FFFFFF"/>
        </w:rPr>
        <w:t xml:space="preserve">Mathieson, F.M., Barnfield, T., and Beaumont, G. (2009). Are we as good as we think we are? Self-assessment versus other forms of assessment of competence in psychotherapy. </w:t>
      </w:r>
      <w:r w:rsidRPr="00EE2A07">
        <w:rPr>
          <w:rFonts w:ascii="Arial" w:hAnsi="Arial" w:cs="Arial"/>
          <w:i/>
          <w:iCs/>
          <w:sz w:val="22"/>
          <w:szCs w:val="22"/>
          <w:shd w:val="clear" w:color="auto" w:fill="FFFFFF"/>
        </w:rPr>
        <w:t>The Cognitive Behavioural Therapist</w:t>
      </w:r>
      <w:r>
        <w:rPr>
          <w:rFonts w:ascii="Arial" w:hAnsi="Arial" w:cs="Arial"/>
          <w:sz w:val="22"/>
          <w:szCs w:val="22"/>
          <w:shd w:val="clear" w:color="auto" w:fill="FFFFFF"/>
        </w:rPr>
        <w:t>, 2, 43-50.</w:t>
      </w:r>
    </w:p>
    <w:p w14:paraId="4BE97BF3" w14:textId="77777777" w:rsidR="00DF57DF" w:rsidRDefault="00DF57DF" w:rsidP="00DF57DF">
      <w:pPr>
        <w:autoSpaceDE w:val="0"/>
        <w:autoSpaceDN w:val="0"/>
        <w:adjustRightInd w:val="0"/>
        <w:spacing w:line="480" w:lineRule="auto"/>
        <w:rPr>
          <w:rFonts w:ascii="Arial" w:hAnsi="Arial" w:cs="Arial"/>
          <w:sz w:val="22"/>
          <w:szCs w:val="22"/>
          <w:lang w:val="en-US"/>
        </w:rPr>
      </w:pPr>
    </w:p>
    <w:p w14:paraId="5744FBE2" w14:textId="77777777" w:rsidR="00DF57DF" w:rsidRDefault="00DF57DF" w:rsidP="00DF57DF">
      <w:pPr>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 xml:space="preserve">McAleavey, A.A., Castonguay, L.G., and Goldfried, M.R. (2014). Clinical experiences in conducting cognitive-behavioral therapy for social phobia. </w:t>
      </w:r>
      <w:r w:rsidRPr="00BC05F2">
        <w:rPr>
          <w:rFonts w:ascii="Arial" w:hAnsi="Arial" w:cs="Arial"/>
          <w:i/>
          <w:iCs/>
          <w:sz w:val="22"/>
          <w:szCs w:val="22"/>
          <w:lang w:val="en-US"/>
        </w:rPr>
        <w:t>Behavior Therapy</w:t>
      </w:r>
      <w:r>
        <w:rPr>
          <w:rFonts w:ascii="Arial" w:hAnsi="Arial" w:cs="Arial"/>
          <w:sz w:val="22"/>
          <w:szCs w:val="22"/>
          <w:lang w:val="en-US"/>
        </w:rPr>
        <w:t>, 45, 21-35.</w:t>
      </w:r>
    </w:p>
    <w:p w14:paraId="0C7FE871" w14:textId="77777777" w:rsidR="00DF57DF" w:rsidRDefault="00DF57DF" w:rsidP="00DF57DF">
      <w:pPr>
        <w:autoSpaceDE w:val="0"/>
        <w:autoSpaceDN w:val="0"/>
        <w:adjustRightInd w:val="0"/>
        <w:spacing w:line="480" w:lineRule="auto"/>
        <w:rPr>
          <w:rFonts w:ascii="Arial" w:hAnsi="Arial" w:cs="Arial"/>
          <w:sz w:val="22"/>
          <w:szCs w:val="22"/>
          <w:lang w:val="en-US"/>
        </w:rPr>
      </w:pPr>
    </w:p>
    <w:p w14:paraId="2204FAA3" w14:textId="77777777" w:rsidR="00DF57DF" w:rsidRDefault="00DF57DF" w:rsidP="00DF57DF">
      <w:pPr>
        <w:autoSpaceDE w:val="0"/>
        <w:autoSpaceDN w:val="0"/>
        <w:adjustRightInd w:val="0"/>
        <w:spacing w:line="480" w:lineRule="auto"/>
        <w:rPr>
          <w:rFonts w:ascii="Arial" w:hAnsi="Arial" w:cs="Arial"/>
          <w:sz w:val="22"/>
          <w:szCs w:val="22"/>
          <w:lang w:val="en-US"/>
        </w:rPr>
      </w:pPr>
      <w:r w:rsidRPr="00426518">
        <w:rPr>
          <w:rFonts w:ascii="Arial" w:hAnsi="Arial" w:cs="Arial"/>
          <w:sz w:val="22"/>
          <w:szCs w:val="22"/>
          <w:lang w:val="en-US"/>
        </w:rPr>
        <w:lastRenderedPageBreak/>
        <w:t>McCormack, B. (2003)</w:t>
      </w:r>
      <w:r>
        <w:rPr>
          <w:rFonts w:ascii="Arial" w:hAnsi="Arial" w:cs="Arial"/>
          <w:sz w:val="22"/>
          <w:szCs w:val="22"/>
          <w:lang w:val="en-US"/>
        </w:rPr>
        <w:t>.</w:t>
      </w:r>
      <w:r w:rsidRPr="00426518">
        <w:rPr>
          <w:rFonts w:ascii="Arial" w:hAnsi="Arial" w:cs="Arial"/>
          <w:sz w:val="22"/>
          <w:szCs w:val="22"/>
          <w:lang w:val="en-US"/>
        </w:rPr>
        <w:t xml:space="preserve"> Knowing and auctioning- a strategic practitioner focussed approach to nursing research and practice development. </w:t>
      </w:r>
      <w:r w:rsidRPr="00426518">
        <w:rPr>
          <w:rFonts w:ascii="Arial" w:hAnsi="Arial" w:cs="Arial"/>
          <w:i/>
          <w:iCs/>
          <w:sz w:val="22"/>
          <w:szCs w:val="22"/>
          <w:lang w:val="en-US"/>
        </w:rPr>
        <w:t xml:space="preserve">Nursing Times Research </w:t>
      </w:r>
      <w:r w:rsidRPr="00426518">
        <w:rPr>
          <w:rFonts w:ascii="Arial" w:hAnsi="Arial" w:cs="Arial"/>
          <w:sz w:val="22"/>
          <w:szCs w:val="22"/>
          <w:lang w:val="en-US"/>
        </w:rPr>
        <w:t>18, 301-310.</w:t>
      </w:r>
    </w:p>
    <w:p w14:paraId="341012E9" w14:textId="77777777" w:rsidR="00DF57DF" w:rsidRPr="00426518" w:rsidRDefault="00DF57DF" w:rsidP="00DF57DF">
      <w:pPr>
        <w:autoSpaceDE w:val="0"/>
        <w:autoSpaceDN w:val="0"/>
        <w:adjustRightInd w:val="0"/>
        <w:spacing w:line="480" w:lineRule="auto"/>
        <w:rPr>
          <w:rFonts w:ascii="Arial" w:hAnsi="Arial" w:cs="Arial"/>
          <w:sz w:val="22"/>
          <w:szCs w:val="22"/>
          <w:lang w:val="en-US"/>
        </w:rPr>
      </w:pPr>
    </w:p>
    <w:p w14:paraId="67B24A5C" w14:textId="77777777" w:rsidR="00DF57DF" w:rsidRPr="00426518"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McGraw, K.O., and Wong, S.P. (1996). Forming inferences about some intraclass correlation coefficients. </w:t>
      </w:r>
      <w:r w:rsidRPr="00B2558E">
        <w:rPr>
          <w:rFonts w:ascii="Arial" w:hAnsi="Arial" w:cs="Arial"/>
          <w:i/>
          <w:iCs/>
          <w:sz w:val="22"/>
          <w:szCs w:val="22"/>
        </w:rPr>
        <w:t>Psychological Methods</w:t>
      </w:r>
      <w:r>
        <w:rPr>
          <w:rFonts w:ascii="Arial" w:hAnsi="Arial" w:cs="Arial"/>
          <w:sz w:val="22"/>
          <w:szCs w:val="22"/>
        </w:rPr>
        <w:t>, 1, 30-46.</w:t>
      </w:r>
    </w:p>
    <w:p w14:paraId="3DDBA3D5"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2E28F840" w14:textId="77777777" w:rsidR="00DF57D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t>McHugh, K.R. and Barlow, D.H. (2012)</w:t>
      </w:r>
      <w:r>
        <w:rPr>
          <w:rFonts w:ascii="Arial" w:hAnsi="Arial" w:cs="Arial"/>
          <w:sz w:val="22"/>
          <w:szCs w:val="22"/>
        </w:rPr>
        <w:t>.</w:t>
      </w:r>
      <w:r w:rsidRPr="005D264F">
        <w:rPr>
          <w:rFonts w:ascii="Arial" w:hAnsi="Arial" w:cs="Arial"/>
          <w:sz w:val="22"/>
          <w:szCs w:val="22"/>
        </w:rPr>
        <w:t xml:space="preserve"> Dissemination and Implementation of Evidenced-Based Psychological Interventions</w:t>
      </w:r>
      <w:r>
        <w:rPr>
          <w:rFonts w:ascii="Arial" w:hAnsi="Arial" w:cs="Arial"/>
          <w:sz w:val="22"/>
          <w:szCs w:val="22"/>
        </w:rPr>
        <w:t>.</w:t>
      </w:r>
      <w:r w:rsidRPr="005D264F">
        <w:rPr>
          <w:rFonts w:ascii="Arial" w:hAnsi="Arial" w:cs="Arial"/>
          <w:sz w:val="22"/>
          <w:szCs w:val="22"/>
        </w:rPr>
        <w:t xml:space="preserve"> </w:t>
      </w:r>
      <w:r w:rsidRPr="005D264F">
        <w:rPr>
          <w:rFonts w:ascii="Arial" w:hAnsi="Arial" w:cs="Arial"/>
          <w:i/>
          <w:sz w:val="22"/>
          <w:szCs w:val="22"/>
        </w:rPr>
        <w:t>Oxford University Press</w:t>
      </w:r>
      <w:r w:rsidRPr="005D264F">
        <w:rPr>
          <w:rFonts w:ascii="Arial" w:hAnsi="Arial" w:cs="Arial"/>
          <w:sz w:val="22"/>
          <w:szCs w:val="22"/>
        </w:rPr>
        <w:t>, Oxford.</w:t>
      </w:r>
    </w:p>
    <w:p w14:paraId="74C868DE"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476C00A3"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McHugh, M.L. (2012). Interrater reliability: The kappa statistic. </w:t>
      </w:r>
      <w:r w:rsidRPr="00112C72">
        <w:rPr>
          <w:rFonts w:ascii="Arial" w:hAnsi="Arial" w:cs="Arial"/>
          <w:i/>
          <w:iCs/>
          <w:sz w:val="22"/>
          <w:szCs w:val="22"/>
        </w:rPr>
        <w:t>Biochemica Medica</w:t>
      </w:r>
      <w:r>
        <w:rPr>
          <w:rFonts w:ascii="Arial" w:hAnsi="Arial" w:cs="Arial"/>
          <w:sz w:val="22"/>
          <w:szCs w:val="22"/>
        </w:rPr>
        <w:t>, 22, 276-282.</w:t>
      </w:r>
    </w:p>
    <w:p w14:paraId="15614DF3"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50F829DC"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McManus, F., Rakovshik, S., Kennerley, H., Fennell, M., and Westbrook, D. (2012). An investigation of the accuracy of therapists' self-assessment of cognitive behavioural therapy skills. </w:t>
      </w:r>
      <w:r w:rsidRPr="00110CFB">
        <w:rPr>
          <w:rFonts w:ascii="Arial" w:hAnsi="Arial" w:cs="Arial"/>
          <w:i/>
          <w:iCs/>
          <w:sz w:val="22"/>
          <w:szCs w:val="22"/>
        </w:rPr>
        <w:t>British Journal of Clinical Psychology</w:t>
      </w:r>
      <w:r>
        <w:rPr>
          <w:rFonts w:ascii="Arial" w:hAnsi="Arial" w:cs="Arial"/>
          <w:sz w:val="22"/>
          <w:szCs w:val="22"/>
        </w:rPr>
        <w:t>, 51, 292-306.</w:t>
      </w:r>
    </w:p>
    <w:p w14:paraId="5B6ABACE"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288D6188"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McManus, F., Westbrook, D., Vazquez-Montes, M., Fennel, M., and Kennerley, H. (2010). An evaluation of the effectiveness of diploma-level training in cognitive behaviour therapy. </w:t>
      </w:r>
      <w:r w:rsidRPr="005F2082">
        <w:rPr>
          <w:rFonts w:ascii="Arial" w:hAnsi="Arial" w:cs="Arial"/>
          <w:i/>
          <w:iCs/>
          <w:sz w:val="22"/>
          <w:szCs w:val="22"/>
        </w:rPr>
        <w:t>Behaviour Research and Therapy</w:t>
      </w:r>
      <w:r>
        <w:rPr>
          <w:rFonts w:ascii="Arial" w:hAnsi="Arial" w:cs="Arial"/>
          <w:sz w:val="22"/>
          <w:szCs w:val="22"/>
        </w:rPr>
        <w:t>, 48, 1123-1132.</w:t>
      </w:r>
    </w:p>
    <w:p w14:paraId="52E35913"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76DD105B"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McPherson, S., Evans, C.H., and Richardson, P.H. (2009). The NICE guidelines and the recovery model: Is there an evidence base for IAPT? </w:t>
      </w:r>
      <w:r w:rsidRPr="00EB024C">
        <w:rPr>
          <w:rFonts w:ascii="Arial" w:hAnsi="Arial" w:cs="Arial"/>
          <w:i/>
          <w:iCs/>
          <w:sz w:val="22"/>
          <w:szCs w:val="22"/>
        </w:rPr>
        <w:t>Journal of Mental Health,</w:t>
      </w:r>
      <w:r>
        <w:rPr>
          <w:rFonts w:ascii="Arial" w:hAnsi="Arial" w:cs="Arial"/>
          <w:sz w:val="22"/>
          <w:szCs w:val="22"/>
        </w:rPr>
        <w:t xml:space="preserve"> 18, 405-414.</w:t>
      </w:r>
    </w:p>
    <w:p w14:paraId="19C966D3"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5E7A788E"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Miller, G.E. (1990). The assessment of clinical skills/competence/performance. </w:t>
      </w:r>
      <w:r w:rsidRPr="00F55C15">
        <w:rPr>
          <w:rFonts w:ascii="Arial" w:hAnsi="Arial" w:cs="Arial"/>
          <w:i/>
          <w:iCs/>
          <w:sz w:val="22"/>
          <w:szCs w:val="22"/>
        </w:rPr>
        <w:t>Academic Medicine</w:t>
      </w:r>
      <w:r>
        <w:rPr>
          <w:rFonts w:ascii="Arial" w:hAnsi="Arial" w:cs="Arial"/>
          <w:sz w:val="22"/>
          <w:szCs w:val="22"/>
        </w:rPr>
        <w:t>, 65, 63-67.</w:t>
      </w:r>
    </w:p>
    <w:p w14:paraId="1B6FB981"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282C3C24"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Miller, S.D., Duncan, B.L., Sorrell, R., Brown, G.S., and Chalk, M.B. (2006). Using outcome to inform therapy practice. </w:t>
      </w:r>
      <w:r w:rsidRPr="00EE2A07">
        <w:rPr>
          <w:rFonts w:ascii="Arial" w:hAnsi="Arial" w:cs="Arial"/>
          <w:i/>
          <w:iCs/>
          <w:sz w:val="22"/>
          <w:szCs w:val="22"/>
        </w:rPr>
        <w:t>Journal of Brief Therapy</w:t>
      </w:r>
      <w:r>
        <w:rPr>
          <w:rFonts w:ascii="Arial" w:hAnsi="Arial" w:cs="Arial"/>
          <w:sz w:val="22"/>
          <w:szCs w:val="22"/>
        </w:rPr>
        <w:t>, 5, 5-22.</w:t>
      </w:r>
    </w:p>
    <w:p w14:paraId="1C5C52EF"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lastRenderedPageBreak/>
        <w:t xml:space="preserve">Milne, D.L. (2008). CBT supervision: From reflexivity to specialism. </w:t>
      </w:r>
      <w:r w:rsidRPr="00746C30">
        <w:rPr>
          <w:rFonts w:ascii="Arial" w:hAnsi="Arial" w:cs="Arial"/>
          <w:i/>
          <w:iCs/>
          <w:sz w:val="22"/>
          <w:szCs w:val="22"/>
        </w:rPr>
        <w:t>Behavioural and Cognitive Psychotherapy</w:t>
      </w:r>
      <w:r>
        <w:rPr>
          <w:rFonts w:ascii="Arial" w:hAnsi="Arial" w:cs="Arial"/>
          <w:sz w:val="22"/>
          <w:szCs w:val="22"/>
        </w:rPr>
        <w:t>, 36, 779-786.</w:t>
      </w:r>
    </w:p>
    <w:p w14:paraId="1CE6630F"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Milne, D., and Paxton, R. (1998). A psychological re-analysis of the scientist-practitioner model. </w:t>
      </w:r>
      <w:r w:rsidRPr="00A67234">
        <w:rPr>
          <w:rFonts w:ascii="Arial" w:hAnsi="Arial" w:cs="Arial"/>
          <w:i/>
          <w:iCs/>
          <w:sz w:val="22"/>
          <w:szCs w:val="22"/>
        </w:rPr>
        <w:t>Clinical Psychology and Psychotherapy</w:t>
      </w:r>
      <w:r>
        <w:rPr>
          <w:rFonts w:ascii="Arial" w:hAnsi="Arial" w:cs="Arial"/>
          <w:sz w:val="22"/>
          <w:szCs w:val="22"/>
        </w:rPr>
        <w:t>, 5, 216-230.</w:t>
      </w:r>
    </w:p>
    <w:p w14:paraId="4D72EDD2"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4D1A740B"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Milne, D.L., and James, I. (2000). A systematic review of effective cognitive behavioural supervision. </w:t>
      </w:r>
      <w:r w:rsidRPr="001D3999">
        <w:rPr>
          <w:rFonts w:ascii="Arial" w:hAnsi="Arial" w:cs="Arial"/>
          <w:i/>
          <w:iCs/>
          <w:sz w:val="22"/>
          <w:szCs w:val="22"/>
        </w:rPr>
        <w:t>British Journal of Clinical Psychology</w:t>
      </w:r>
      <w:r>
        <w:rPr>
          <w:rFonts w:ascii="Arial" w:hAnsi="Arial" w:cs="Arial"/>
          <w:sz w:val="22"/>
          <w:szCs w:val="22"/>
        </w:rPr>
        <w:t>, 46, 437-447.</w:t>
      </w:r>
    </w:p>
    <w:p w14:paraId="0AE2B346"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36043FC6"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Minonne, G.A. (2008). Therapist Adherence, Patient Alliance and Depression Change in the NIMH Treatment for Depression Collaborative Research Program (Doctoral dissertation. Available from ProQuest Dissertations and Theses database.</w:t>
      </w:r>
    </w:p>
    <w:p w14:paraId="5C0F635F"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5564288C"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Mollon, P., (2009). The NICE guidelines are misleading, unscientific, and potentially impede good psychological care and help. </w:t>
      </w:r>
      <w:r w:rsidRPr="00AD7509">
        <w:rPr>
          <w:rFonts w:ascii="Arial" w:hAnsi="Arial" w:cs="Arial"/>
          <w:i/>
          <w:iCs/>
          <w:sz w:val="22"/>
          <w:szCs w:val="22"/>
        </w:rPr>
        <w:t>Psychodynamic Practice,</w:t>
      </w:r>
      <w:r>
        <w:rPr>
          <w:rFonts w:ascii="Arial" w:hAnsi="Arial" w:cs="Arial"/>
          <w:sz w:val="22"/>
          <w:szCs w:val="22"/>
        </w:rPr>
        <w:t xml:space="preserve"> 15, 9-24.</w:t>
      </w:r>
    </w:p>
    <w:p w14:paraId="7E74786B"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553CA0D9"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Mollon, P. (2010). Our rich heritage-are we building upon it or destroying it? Some malign influences of clinical psychology upon psychotherapy in the UK. </w:t>
      </w:r>
      <w:r w:rsidRPr="001E3A8C">
        <w:rPr>
          <w:rFonts w:ascii="Arial" w:hAnsi="Arial" w:cs="Arial"/>
          <w:i/>
          <w:iCs/>
          <w:sz w:val="22"/>
          <w:szCs w:val="22"/>
        </w:rPr>
        <w:t>Psychodynamic Practice,</w:t>
      </w:r>
      <w:r>
        <w:rPr>
          <w:rFonts w:ascii="Arial" w:hAnsi="Arial" w:cs="Arial"/>
          <w:sz w:val="22"/>
          <w:szCs w:val="22"/>
        </w:rPr>
        <w:t xml:space="preserve"> 16, 7-24.</w:t>
      </w:r>
    </w:p>
    <w:p w14:paraId="11F387F7"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46B3CE1F"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Monaghan, T. (2015). A critical analysis of the literature and theoretical perspectives on theory-practice gap amongst newly qualified nurses with the United Kingdom. </w:t>
      </w:r>
      <w:r w:rsidRPr="00A85327">
        <w:rPr>
          <w:rFonts w:ascii="Arial" w:hAnsi="Arial" w:cs="Arial"/>
          <w:i/>
          <w:iCs/>
          <w:sz w:val="22"/>
          <w:szCs w:val="22"/>
        </w:rPr>
        <w:t>Nurse Education Today</w:t>
      </w:r>
      <w:r>
        <w:rPr>
          <w:rFonts w:ascii="Arial" w:hAnsi="Arial" w:cs="Arial"/>
          <w:sz w:val="22"/>
          <w:szCs w:val="22"/>
        </w:rPr>
        <w:t>, 35, 1-7.</w:t>
      </w:r>
    </w:p>
    <w:p w14:paraId="7AF7485C"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7B9FEE19" w14:textId="77777777" w:rsidR="00DF57DF" w:rsidRPr="00F6477A" w:rsidRDefault="00DF57DF" w:rsidP="00DF57DF">
      <w:pPr>
        <w:spacing w:line="480" w:lineRule="auto"/>
        <w:rPr>
          <w:rFonts w:ascii="Arial" w:hAnsi="Arial" w:cs="Arial"/>
          <w:sz w:val="22"/>
          <w:szCs w:val="22"/>
          <w:lang w:val="en-US"/>
        </w:rPr>
      </w:pPr>
      <w:r w:rsidRPr="00F6477A">
        <w:rPr>
          <w:rFonts w:ascii="Arial" w:hAnsi="Arial" w:cs="Arial"/>
          <w:sz w:val="22"/>
          <w:szCs w:val="22"/>
          <w:lang w:val="en-US"/>
        </w:rPr>
        <w:t>Morina, N., Ijntema, H., Meyerbroker, K., and Emmelkamp, P. (2015)</w:t>
      </w:r>
      <w:r>
        <w:rPr>
          <w:rFonts w:ascii="Arial" w:hAnsi="Arial" w:cs="Arial"/>
          <w:sz w:val="22"/>
          <w:szCs w:val="22"/>
          <w:lang w:val="en-US"/>
        </w:rPr>
        <w:t>.</w:t>
      </w:r>
      <w:r w:rsidRPr="00F6477A">
        <w:rPr>
          <w:rFonts w:ascii="Arial" w:hAnsi="Arial" w:cs="Arial"/>
          <w:sz w:val="22"/>
          <w:szCs w:val="22"/>
          <w:lang w:val="en-US"/>
        </w:rPr>
        <w:t xml:space="preserve"> Can virtual reality exposure therapy gains be generalized to real-life? A meta-analysis of studies applying behavioural assessments.  </w:t>
      </w:r>
      <w:r w:rsidRPr="00F6477A">
        <w:rPr>
          <w:rFonts w:ascii="Arial" w:hAnsi="Arial" w:cs="Arial"/>
          <w:i/>
          <w:sz w:val="22"/>
          <w:szCs w:val="22"/>
          <w:lang w:val="en-US"/>
        </w:rPr>
        <w:t>Behaviour Research and Therapy</w:t>
      </w:r>
      <w:r w:rsidRPr="00F6477A">
        <w:rPr>
          <w:rFonts w:ascii="Arial" w:hAnsi="Arial" w:cs="Arial"/>
          <w:sz w:val="22"/>
          <w:szCs w:val="22"/>
          <w:lang w:val="en-US"/>
        </w:rPr>
        <w:t>, 74, 18-24.</w:t>
      </w:r>
    </w:p>
    <w:p w14:paraId="417E3EE0"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233EF2B7"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lastRenderedPageBreak/>
        <w:t xml:space="preserve">Moritz, S., Schilling, L., Hauschildt, M., Schroder, J., and Treszl, A. (2012). A randomised controlled trial of internet-based therapy in depression.  </w:t>
      </w:r>
      <w:r w:rsidRPr="00F45164">
        <w:rPr>
          <w:rFonts w:ascii="Arial" w:hAnsi="Arial" w:cs="Arial"/>
          <w:i/>
          <w:iCs/>
          <w:sz w:val="22"/>
          <w:szCs w:val="22"/>
        </w:rPr>
        <w:t>Behaviour Research and Therapy</w:t>
      </w:r>
      <w:r>
        <w:rPr>
          <w:rFonts w:ascii="Arial" w:hAnsi="Arial" w:cs="Arial"/>
          <w:sz w:val="22"/>
          <w:szCs w:val="22"/>
        </w:rPr>
        <w:t>, 50, 513-521.</w:t>
      </w:r>
    </w:p>
    <w:p w14:paraId="40F21A11" w14:textId="77777777" w:rsidR="00DF57DF" w:rsidRPr="00B65984" w:rsidRDefault="00DF57DF" w:rsidP="00DF57DF">
      <w:pPr>
        <w:pStyle w:val="NormalWeb"/>
        <w:spacing w:before="0" w:beforeAutospacing="0" w:after="0" w:afterAutospacing="0" w:line="480" w:lineRule="auto"/>
        <w:rPr>
          <w:rStyle w:val="HTMLCite"/>
          <w:rFonts w:ascii="Arial" w:hAnsi="Arial" w:cs="Arial"/>
          <w:i w:val="0"/>
          <w:iCs w:val="0"/>
          <w:sz w:val="22"/>
          <w:szCs w:val="22"/>
        </w:rPr>
      </w:pPr>
      <w:r w:rsidRPr="005D264F">
        <w:rPr>
          <w:rFonts w:ascii="Arial" w:hAnsi="Arial" w:cs="Arial"/>
          <w:sz w:val="22"/>
          <w:szCs w:val="22"/>
        </w:rPr>
        <w:t>Mullins, K. (2015)</w:t>
      </w:r>
      <w:r>
        <w:rPr>
          <w:rFonts w:ascii="Arial" w:hAnsi="Arial" w:cs="Arial"/>
          <w:sz w:val="22"/>
          <w:szCs w:val="22"/>
        </w:rPr>
        <w:t>.</w:t>
      </w:r>
      <w:r w:rsidRPr="005D264F">
        <w:rPr>
          <w:rFonts w:ascii="Arial" w:hAnsi="Arial" w:cs="Arial"/>
          <w:sz w:val="22"/>
          <w:szCs w:val="22"/>
        </w:rPr>
        <w:t xml:space="preserve"> Opportunities to work in a range of IAPT accredited therapies.  Available </w:t>
      </w:r>
      <w:r w:rsidRPr="00B65984">
        <w:rPr>
          <w:rFonts w:ascii="Arial" w:hAnsi="Arial" w:cs="Arial"/>
          <w:sz w:val="22"/>
          <w:szCs w:val="22"/>
        </w:rPr>
        <w:t xml:space="preserve">online at </w:t>
      </w:r>
      <w:r w:rsidRPr="00B65984">
        <w:rPr>
          <w:rStyle w:val="HTMLCite"/>
          <w:rFonts w:ascii="Arial" w:hAnsi="Arial" w:cs="Arial"/>
          <w:sz w:val="22"/>
          <w:szCs w:val="22"/>
        </w:rPr>
        <w:t>https://www.healthcareconferencesuk.co.uk/.../13.2.2015_Opportunities_to_work_in_...</w:t>
      </w:r>
    </w:p>
    <w:p w14:paraId="22DED1DF" w14:textId="77777777" w:rsidR="00DF57DF" w:rsidRPr="00B65984" w:rsidRDefault="00DF57DF" w:rsidP="00DF57DF">
      <w:pPr>
        <w:spacing w:line="480" w:lineRule="auto"/>
        <w:rPr>
          <w:rFonts w:ascii="Arial" w:hAnsi="Arial" w:cs="Arial"/>
          <w:sz w:val="22"/>
          <w:szCs w:val="22"/>
        </w:rPr>
      </w:pPr>
      <w:r w:rsidRPr="00B65984">
        <w:rPr>
          <w:rStyle w:val="HTMLCite"/>
          <w:rFonts w:ascii="Arial" w:hAnsi="Arial" w:cs="Arial"/>
          <w:sz w:val="22"/>
          <w:szCs w:val="22"/>
        </w:rPr>
        <w:t>Accessed on 25</w:t>
      </w:r>
      <w:r w:rsidRPr="00B65984">
        <w:rPr>
          <w:rStyle w:val="HTMLCite"/>
          <w:rFonts w:ascii="Arial" w:hAnsi="Arial" w:cs="Arial"/>
          <w:sz w:val="22"/>
          <w:szCs w:val="22"/>
          <w:vertAlign w:val="superscript"/>
        </w:rPr>
        <w:t>th</w:t>
      </w:r>
      <w:r w:rsidRPr="00B65984">
        <w:rPr>
          <w:rStyle w:val="HTMLCite"/>
          <w:rFonts w:ascii="Arial" w:hAnsi="Arial" w:cs="Arial"/>
          <w:sz w:val="22"/>
          <w:szCs w:val="22"/>
        </w:rPr>
        <w:t xml:space="preserve"> January 2019</w:t>
      </w:r>
    </w:p>
    <w:p w14:paraId="59262DBA" w14:textId="77777777" w:rsidR="00DF57DF" w:rsidRPr="005D264F" w:rsidRDefault="00DF57DF" w:rsidP="00DF57DF">
      <w:pPr>
        <w:spacing w:line="480" w:lineRule="auto"/>
        <w:rPr>
          <w:rFonts w:ascii="Arial" w:hAnsi="Arial" w:cs="Arial"/>
          <w:sz w:val="22"/>
          <w:szCs w:val="22"/>
        </w:rPr>
      </w:pPr>
      <w:r w:rsidRPr="005D264F">
        <w:rPr>
          <w:rFonts w:ascii="Arial" w:hAnsi="Arial" w:cs="Arial"/>
          <w:color w:val="545454"/>
          <w:sz w:val="22"/>
          <w:szCs w:val="22"/>
        </w:rPr>
        <w:br/>
      </w:r>
      <w:r>
        <w:rPr>
          <w:rFonts w:ascii="Arial" w:hAnsi="Arial" w:cs="Arial"/>
          <w:sz w:val="22"/>
          <w:szCs w:val="22"/>
        </w:rPr>
        <w:t xml:space="preserve">Mundt, J.C., Marks, I.M., Shear, M.K., and Greist, J.H. (2012). The work and social adjustment scale: A simple measure of impairment in functioning. </w:t>
      </w:r>
      <w:r w:rsidRPr="00C870D3">
        <w:rPr>
          <w:rFonts w:ascii="Arial" w:hAnsi="Arial" w:cs="Arial"/>
          <w:i/>
          <w:iCs/>
          <w:sz w:val="22"/>
          <w:szCs w:val="22"/>
        </w:rPr>
        <w:t>British Journal of Psychiatry</w:t>
      </w:r>
      <w:r>
        <w:rPr>
          <w:rFonts w:ascii="Arial" w:hAnsi="Arial" w:cs="Arial"/>
          <w:sz w:val="22"/>
          <w:szCs w:val="22"/>
        </w:rPr>
        <w:t>, 180, 461-464.</w:t>
      </w:r>
    </w:p>
    <w:p w14:paraId="28B530FB"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4A24E30D" w14:textId="77777777" w:rsidR="00DF57DF" w:rsidRDefault="00DF57DF" w:rsidP="00DF57DF">
      <w:pPr>
        <w:widowControl w:val="0"/>
        <w:autoSpaceDE w:val="0"/>
        <w:autoSpaceDN w:val="0"/>
        <w:adjustRightInd w:val="0"/>
        <w:spacing w:line="480" w:lineRule="auto"/>
        <w:rPr>
          <w:rFonts w:ascii="Arial" w:hAnsi="Arial" w:cs="Arial"/>
          <w:i/>
          <w:sz w:val="22"/>
          <w:szCs w:val="22"/>
          <w:lang w:val="en-US"/>
        </w:rPr>
      </w:pPr>
      <w:r w:rsidRPr="005D264F">
        <w:rPr>
          <w:rFonts w:ascii="Arial" w:hAnsi="Arial" w:cs="Arial"/>
          <w:sz w:val="22"/>
          <w:szCs w:val="22"/>
          <w:lang w:val="en-US"/>
        </w:rPr>
        <w:t>Muse, K., and McManus, F. (2013)</w:t>
      </w:r>
      <w:r>
        <w:rPr>
          <w:rFonts w:ascii="Arial" w:hAnsi="Arial" w:cs="Arial"/>
          <w:sz w:val="22"/>
          <w:szCs w:val="22"/>
          <w:lang w:val="en-US"/>
        </w:rPr>
        <w:t>.</w:t>
      </w:r>
      <w:r w:rsidRPr="005D264F">
        <w:rPr>
          <w:rFonts w:ascii="Arial" w:hAnsi="Arial" w:cs="Arial"/>
          <w:sz w:val="22"/>
          <w:szCs w:val="22"/>
          <w:lang w:val="en-US"/>
        </w:rPr>
        <w:t xml:space="preserve"> A systematic Review of Methods for Assessing Competence in Cognitive Behavioural Therapy</w:t>
      </w:r>
      <w:r>
        <w:rPr>
          <w:rFonts w:ascii="Arial" w:hAnsi="Arial" w:cs="Arial"/>
          <w:sz w:val="22"/>
          <w:szCs w:val="22"/>
          <w:lang w:val="en-US"/>
        </w:rPr>
        <w:t>.</w:t>
      </w:r>
      <w:r w:rsidRPr="005D264F">
        <w:rPr>
          <w:rFonts w:ascii="Arial" w:hAnsi="Arial" w:cs="Arial"/>
          <w:sz w:val="22"/>
          <w:szCs w:val="22"/>
          <w:lang w:val="en-US"/>
        </w:rPr>
        <w:t xml:space="preserve"> Behavioural</w:t>
      </w:r>
      <w:r w:rsidRPr="005D264F">
        <w:rPr>
          <w:rFonts w:ascii="Arial" w:hAnsi="Arial" w:cs="Arial"/>
          <w:i/>
          <w:sz w:val="22"/>
          <w:szCs w:val="22"/>
          <w:lang w:val="en-US"/>
        </w:rPr>
        <w:t xml:space="preserve"> and Cognitive Psychotherapy, 41, (1) 4-44.</w:t>
      </w:r>
    </w:p>
    <w:p w14:paraId="042749B6" w14:textId="77777777" w:rsidR="00DF57DF" w:rsidRDefault="00DF57DF" w:rsidP="00DF57DF">
      <w:pPr>
        <w:widowControl w:val="0"/>
        <w:autoSpaceDE w:val="0"/>
        <w:autoSpaceDN w:val="0"/>
        <w:adjustRightInd w:val="0"/>
        <w:spacing w:line="480" w:lineRule="auto"/>
        <w:rPr>
          <w:rFonts w:ascii="Arial" w:hAnsi="Arial" w:cs="Arial"/>
          <w:i/>
          <w:sz w:val="22"/>
          <w:szCs w:val="22"/>
          <w:lang w:val="en-US"/>
        </w:rPr>
      </w:pPr>
    </w:p>
    <w:p w14:paraId="72437260" w14:textId="77777777" w:rsidR="00DF57DF" w:rsidRDefault="00DF57DF" w:rsidP="00DF57DF">
      <w:pPr>
        <w:widowControl w:val="0"/>
        <w:autoSpaceDE w:val="0"/>
        <w:autoSpaceDN w:val="0"/>
        <w:adjustRightInd w:val="0"/>
        <w:spacing w:line="480" w:lineRule="auto"/>
        <w:rPr>
          <w:rFonts w:ascii="Arial" w:hAnsi="Arial" w:cs="Arial"/>
          <w:iCs/>
          <w:sz w:val="22"/>
          <w:szCs w:val="22"/>
          <w:lang w:val="en-US"/>
        </w:rPr>
      </w:pPr>
      <w:r w:rsidRPr="00CA0998">
        <w:rPr>
          <w:rFonts w:ascii="Arial" w:hAnsi="Arial" w:cs="Arial"/>
          <w:iCs/>
          <w:sz w:val="22"/>
          <w:szCs w:val="22"/>
          <w:lang w:val="en-US"/>
        </w:rPr>
        <w:t>Muse, K., McManus, F.</w:t>
      </w:r>
      <w:r>
        <w:rPr>
          <w:rFonts w:ascii="Arial" w:hAnsi="Arial" w:cs="Arial"/>
          <w:iCs/>
          <w:sz w:val="22"/>
          <w:szCs w:val="22"/>
          <w:lang w:val="en-US"/>
        </w:rPr>
        <w:t xml:space="preserve">, Rakovishik, S., and Kennerley, H. (2014). </w:t>
      </w:r>
      <w:r w:rsidRPr="00CA0998">
        <w:rPr>
          <w:rFonts w:ascii="Arial" w:hAnsi="Arial" w:cs="Arial"/>
          <w:i/>
          <w:sz w:val="22"/>
          <w:szCs w:val="22"/>
          <w:lang w:val="en-US"/>
        </w:rPr>
        <w:t>Assessment of Core CBT Skills (ACCS): User Manual</w:t>
      </w:r>
      <w:r>
        <w:rPr>
          <w:rFonts w:ascii="Arial" w:hAnsi="Arial" w:cs="Arial"/>
          <w:iCs/>
          <w:sz w:val="22"/>
          <w:szCs w:val="22"/>
          <w:lang w:val="en-US"/>
        </w:rPr>
        <w:t xml:space="preserve">. Available online at </w:t>
      </w:r>
      <w:r w:rsidRPr="00CA0998">
        <w:rPr>
          <w:rFonts w:ascii="Arial" w:hAnsi="Arial" w:cs="Arial"/>
          <w:iCs/>
          <w:sz w:val="22"/>
          <w:szCs w:val="22"/>
          <w:lang w:val="en-US"/>
        </w:rPr>
        <w:t>https://www.accs-scale.co.uk/ACCS%20User%20Manual%20V3%20Final.pdf</w:t>
      </w:r>
    </w:p>
    <w:p w14:paraId="2087D3F9" w14:textId="77777777" w:rsidR="00DF57DF" w:rsidRDefault="00DF57DF" w:rsidP="00DF57DF">
      <w:pPr>
        <w:widowControl w:val="0"/>
        <w:autoSpaceDE w:val="0"/>
        <w:autoSpaceDN w:val="0"/>
        <w:adjustRightInd w:val="0"/>
        <w:spacing w:line="480" w:lineRule="auto"/>
        <w:rPr>
          <w:rFonts w:ascii="Arial" w:hAnsi="Arial" w:cs="Arial"/>
          <w:iCs/>
          <w:sz w:val="22"/>
          <w:szCs w:val="22"/>
          <w:lang w:val="en-US"/>
        </w:rPr>
      </w:pPr>
      <w:r>
        <w:rPr>
          <w:rFonts w:ascii="Arial" w:hAnsi="Arial" w:cs="Arial"/>
          <w:iCs/>
          <w:sz w:val="22"/>
          <w:szCs w:val="22"/>
          <w:lang w:val="en-US"/>
        </w:rPr>
        <w:t>Accessed 7</w:t>
      </w:r>
      <w:r w:rsidRPr="00CA0998">
        <w:rPr>
          <w:rFonts w:ascii="Arial" w:hAnsi="Arial" w:cs="Arial"/>
          <w:iCs/>
          <w:sz w:val="22"/>
          <w:szCs w:val="22"/>
          <w:vertAlign w:val="superscript"/>
          <w:lang w:val="en-US"/>
        </w:rPr>
        <w:t>th</w:t>
      </w:r>
      <w:r>
        <w:rPr>
          <w:rFonts w:ascii="Arial" w:hAnsi="Arial" w:cs="Arial"/>
          <w:iCs/>
          <w:sz w:val="22"/>
          <w:szCs w:val="22"/>
          <w:lang w:val="en-US"/>
        </w:rPr>
        <w:t xml:space="preserve"> November 2019.</w:t>
      </w:r>
    </w:p>
    <w:p w14:paraId="15DBBE1E" w14:textId="77777777" w:rsidR="00DF57DF" w:rsidRDefault="00DF57DF" w:rsidP="00DF57DF">
      <w:pPr>
        <w:widowControl w:val="0"/>
        <w:autoSpaceDE w:val="0"/>
        <w:autoSpaceDN w:val="0"/>
        <w:adjustRightInd w:val="0"/>
        <w:spacing w:line="480" w:lineRule="auto"/>
        <w:rPr>
          <w:rFonts w:ascii="Arial" w:hAnsi="Arial" w:cs="Arial"/>
          <w:iCs/>
          <w:sz w:val="22"/>
          <w:szCs w:val="22"/>
          <w:lang w:val="en-US"/>
        </w:rPr>
      </w:pPr>
    </w:p>
    <w:p w14:paraId="2A194364" w14:textId="77777777" w:rsidR="00DF57DF" w:rsidRPr="00CA0998" w:rsidRDefault="00DF57DF" w:rsidP="00DF57DF">
      <w:pPr>
        <w:widowControl w:val="0"/>
        <w:autoSpaceDE w:val="0"/>
        <w:autoSpaceDN w:val="0"/>
        <w:adjustRightInd w:val="0"/>
        <w:spacing w:line="480" w:lineRule="auto"/>
        <w:rPr>
          <w:rFonts w:ascii="Arial" w:hAnsi="Arial" w:cs="Arial"/>
          <w:iCs/>
          <w:sz w:val="22"/>
          <w:szCs w:val="22"/>
          <w:lang w:val="en-US"/>
        </w:rPr>
      </w:pPr>
      <w:r>
        <w:rPr>
          <w:rFonts w:ascii="Arial" w:hAnsi="Arial" w:cs="Arial"/>
          <w:iCs/>
          <w:sz w:val="22"/>
          <w:szCs w:val="22"/>
          <w:lang w:val="en-US"/>
        </w:rPr>
        <w:t xml:space="preserve">Muse, K., McManus, F., Rakovishik, S., and Thwaites, R. (2017). Development and psychometric evaluation of the Assessment of Core CBT Skills (ACCS): An observation-based tool for assessing cognitive behavioural competence. </w:t>
      </w:r>
      <w:r w:rsidRPr="00D13B0F">
        <w:rPr>
          <w:rFonts w:ascii="Arial" w:hAnsi="Arial" w:cs="Arial"/>
          <w:i/>
          <w:sz w:val="22"/>
          <w:szCs w:val="22"/>
          <w:lang w:val="en-US"/>
        </w:rPr>
        <w:t>Psychological Assessment</w:t>
      </w:r>
      <w:r>
        <w:rPr>
          <w:rFonts w:ascii="Arial" w:hAnsi="Arial" w:cs="Arial"/>
          <w:iCs/>
          <w:sz w:val="22"/>
          <w:szCs w:val="22"/>
          <w:lang w:val="en-US"/>
        </w:rPr>
        <w:t>, 29, 542-555.</w:t>
      </w:r>
    </w:p>
    <w:p w14:paraId="263B198A"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p>
    <w:p w14:paraId="444F7E2D"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sidRPr="005D264F">
        <w:rPr>
          <w:rFonts w:ascii="Arial" w:hAnsi="Arial" w:cs="Arial"/>
          <w:sz w:val="22"/>
          <w:szCs w:val="22"/>
          <w:lang w:val="en-US"/>
        </w:rPr>
        <w:t xml:space="preserve">Nathan, P.E. and Gorman, J.M. (2007) </w:t>
      </w:r>
      <w:r w:rsidRPr="005D264F">
        <w:rPr>
          <w:rFonts w:ascii="Arial" w:hAnsi="Arial" w:cs="Arial"/>
          <w:i/>
          <w:sz w:val="22"/>
          <w:szCs w:val="22"/>
          <w:lang w:val="en-US"/>
        </w:rPr>
        <w:t>A Guide to Treatments that Work</w:t>
      </w:r>
      <w:r w:rsidRPr="005D264F">
        <w:rPr>
          <w:rFonts w:ascii="Arial" w:hAnsi="Arial" w:cs="Arial"/>
          <w:sz w:val="22"/>
          <w:szCs w:val="22"/>
          <w:lang w:val="en-US"/>
        </w:rPr>
        <w:t xml:space="preserve">, Oxford University Press, New York. </w:t>
      </w:r>
    </w:p>
    <w:p w14:paraId="38A86348"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p>
    <w:p w14:paraId="2EF5A051"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 xml:space="preserve">National Collaborating Centre for Mental Health. (2019). </w:t>
      </w:r>
      <w:r w:rsidRPr="00E44FEF">
        <w:rPr>
          <w:rFonts w:ascii="Arial" w:hAnsi="Arial" w:cs="Arial"/>
          <w:i/>
          <w:iCs/>
          <w:sz w:val="22"/>
          <w:szCs w:val="22"/>
          <w:lang w:val="en-US"/>
        </w:rPr>
        <w:t>Advancing Mental Health Equality</w:t>
      </w:r>
      <w:r>
        <w:rPr>
          <w:rFonts w:ascii="Arial" w:hAnsi="Arial" w:cs="Arial"/>
          <w:sz w:val="22"/>
          <w:szCs w:val="22"/>
          <w:lang w:val="en-US"/>
        </w:rPr>
        <w:t xml:space="preserve">. National Collaborating Centre for Mental Health. Available online at </w:t>
      </w:r>
      <w:r w:rsidRPr="00E44FEF">
        <w:rPr>
          <w:rFonts w:ascii="Arial" w:hAnsi="Arial" w:cs="Arial"/>
          <w:sz w:val="22"/>
          <w:szCs w:val="22"/>
          <w:lang w:val="en-US"/>
        </w:rPr>
        <w:t>https://www.rcpsych.ac.uk/docs/default-source/improving-care/nccmh/amhe/amhe-resource.pdf</w:t>
      </w:r>
    </w:p>
    <w:p w14:paraId="20141121"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Accessed 9</w:t>
      </w:r>
      <w:r w:rsidRPr="00E44FEF">
        <w:rPr>
          <w:rFonts w:ascii="Arial" w:hAnsi="Arial" w:cs="Arial"/>
          <w:sz w:val="22"/>
          <w:szCs w:val="22"/>
          <w:vertAlign w:val="superscript"/>
          <w:lang w:val="en-US"/>
        </w:rPr>
        <w:t>th</w:t>
      </w:r>
      <w:r>
        <w:rPr>
          <w:rFonts w:ascii="Arial" w:hAnsi="Arial" w:cs="Arial"/>
          <w:sz w:val="22"/>
          <w:szCs w:val="22"/>
          <w:lang w:val="en-US"/>
        </w:rPr>
        <w:t xml:space="preserve"> November 2019.</w:t>
      </w:r>
    </w:p>
    <w:p w14:paraId="3CE1E054"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p>
    <w:p w14:paraId="4067B8FA" w14:textId="690D5CDC" w:rsidR="00DF57DF" w:rsidRDefault="00DF57DF" w:rsidP="00DF57DF">
      <w:pPr>
        <w:rPr>
          <w:rFonts w:ascii="Arial" w:hAnsi="Arial" w:cs="Arial"/>
          <w:sz w:val="22"/>
          <w:szCs w:val="22"/>
          <w:lang w:val="en-US"/>
        </w:rPr>
      </w:pPr>
    </w:p>
    <w:p w14:paraId="66302D14"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r w:rsidRPr="005D264F">
        <w:rPr>
          <w:rFonts w:ascii="Arial" w:hAnsi="Arial" w:cs="Arial"/>
          <w:sz w:val="22"/>
          <w:szCs w:val="22"/>
          <w:lang w:val="en-US"/>
        </w:rPr>
        <w:t xml:space="preserve">Nardini, C. (2014) The ethics of clinical trials, </w:t>
      </w:r>
      <w:r w:rsidRPr="005D264F">
        <w:rPr>
          <w:rFonts w:ascii="Arial" w:hAnsi="Arial" w:cs="Arial"/>
          <w:i/>
          <w:sz w:val="22"/>
          <w:szCs w:val="22"/>
          <w:lang w:val="en-US"/>
        </w:rPr>
        <w:t>ecancermedicalscience</w:t>
      </w:r>
      <w:r w:rsidRPr="005D264F">
        <w:rPr>
          <w:rFonts w:ascii="Arial" w:hAnsi="Arial" w:cs="Arial"/>
          <w:sz w:val="22"/>
          <w:szCs w:val="22"/>
          <w:lang w:val="en-US"/>
        </w:rPr>
        <w:t>,  available online at</w:t>
      </w:r>
    </w:p>
    <w:p w14:paraId="613E456F"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r w:rsidRPr="005D264F">
        <w:rPr>
          <w:rFonts w:ascii="Arial" w:hAnsi="Arial" w:cs="Arial"/>
          <w:sz w:val="22"/>
          <w:szCs w:val="22"/>
          <w:lang w:val="en-US"/>
        </w:rPr>
        <w:t>http://www.ncbi.nlm.nih.gov/pmc/articles/PMC3894239/</w:t>
      </w:r>
    </w:p>
    <w:p w14:paraId="2CFAA61E"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r w:rsidRPr="005D264F">
        <w:rPr>
          <w:rFonts w:ascii="Arial" w:hAnsi="Arial" w:cs="Arial"/>
          <w:sz w:val="22"/>
          <w:szCs w:val="22"/>
          <w:lang w:val="en-US"/>
        </w:rPr>
        <w:t>Accessed on 15</w:t>
      </w:r>
      <w:r w:rsidRPr="005D264F">
        <w:rPr>
          <w:rFonts w:ascii="Arial" w:hAnsi="Arial" w:cs="Arial"/>
          <w:sz w:val="22"/>
          <w:szCs w:val="22"/>
          <w:vertAlign w:val="superscript"/>
          <w:lang w:val="en-US"/>
        </w:rPr>
        <w:t>th</w:t>
      </w:r>
      <w:r w:rsidRPr="005D264F">
        <w:rPr>
          <w:rFonts w:ascii="Arial" w:hAnsi="Arial" w:cs="Arial"/>
          <w:sz w:val="22"/>
          <w:szCs w:val="22"/>
          <w:lang w:val="en-US"/>
        </w:rPr>
        <w:t xml:space="preserve"> May 2015.</w:t>
      </w:r>
    </w:p>
    <w:p w14:paraId="26C38ADE"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36B32271"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 xml:space="preserve">Naylor, C., Curry, N., Holder, H., Ross, S., Marshall, L. and Tait, E.  (2013)  </w:t>
      </w:r>
      <w:r w:rsidRPr="005D264F">
        <w:rPr>
          <w:rFonts w:ascii="Arial" w:hAnsi="Arial" w:cs="Arial"/>
          <w:i/>
          <w:sz w:val="22"/>
          <w:szCs w:val="22"/>
        </w:rPr>
        <w:t>Clinical Commissioning Groups: Supporting Improvement in General Practice</w:t>
      </w:r>
      <w:r w:rsidRPr="005D264F">
        <w:rPr>
          <w:rFonts w:ascii="Arial" w:hAnsi="Arial" w:cs="Arial"/>
          <w:sz w:val="22"/>
          <w:szCs w:val="22"/>
        </w:rPr>
        <w:t>. The Kingsfund.  Available online at</w:t>
      </w:r>
    </w:p>
    <w:p w14:paraId="113D20F2" w14:textId="77777777" w:rsidR="00DF57DF" w:rsidRPr="005D264F" w:rsidRDefault="00DD38EE" w:rsidP="00DF57DF">
      <w:pPr>
        <w:spacing w:line="480" w:lineRule="auto"/>
        <w:rPr>
          <w:rFonts w:ascii="Arial" w:hAnsi="Arial" w:cs="Arial"/>
          <w:sz w:val="22"/>
          <w:szCs w:val="22"/>
        </w:rPr>
      </w:pPr>
      <w:hyperlink r:id="rId90" w:history="1">
        <w:r w:rsidR="00DF57DF" w:rsidRPr="005D264F">
          <w:rPr>
            <w:rStyle w:val="Hyperlink"/>
            <w:rFonts w:ascii="Arial" w:hAnsi="Arial" w:cs="Arial"/>
            <w:sz w:val="22"/>
            <w:szCs w:val="22"/>
          </w:rPr>
          <w:t>http://www.kingsfund.org.uk/sites/files/kf/field/field_publication_file/clinical-commissioning-groups-report-ings-fund-nuffield-jul13.pdf</w:t>
        </w:r>
      </w:hyperlink>
    </w:p>
    <w:p w14:paraId="712599DC"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Accessed on 9</w:t>
      </w:r>
      <w:r w:rsidRPr="005D264F">
        <w:rPr>
          <w:rFonts w:ascii="Arial" w:hAnsi="Arial" w:cs="Arial"/>
          <w:sz w:val="22"/>
          <w:szCs w:val="22"/>
          <w:vertAlign w:val="superscript"/>
        </w:rPr>
        <w:t>th</w:t>
      </w:r>
      <w:r w:rsidRPr="005D264F">
        <w:rPr>
          <w:rFonts w:ascii="Arial" w:hAnsi="Arial" w:cs="Arial"/>
          <w:sz w:val="22"/>
          <w:szCs w:val="22"/>
        </w:rPr>
        <w:t xml:space="preserve"> June 2015</w:t>
      </w:r>
    </w:p>
    <w:p w14:paraId="4A8C84BB"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0BCCE4DC"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r w:rsidRPr="005D264F">
        <w:rPr>
          <w:rFonts w:ascii="Arial" w:hAnsi="Arial" w:cs="Arial"/>
          <w:sz w:val="22"/>
          <w:szCs w:val="22"/>
        </w:rPr>
        <w:t xml:space="preserve">Newnham, E.A. &amp; Page, A.C. 2010, "Bridging the gap between best evidence and best practice in mental health", </w:t>
      </w:r>
      <w:r w:rsidRPr="005D264F">
        <w:rPr>
          <w:rFonts w:ascii="Arial" w:hAnsi="Arial" w:cs="Arial"/>
          <w:i/>
          <w:iCs/>
          <w:sz w:val="22"/>
          <w:szCs w:val="22"/>
        </w:rPr>
        <w:t xml:space="preserve">Clinical psychology review, </w:t>
      </w:r>
      <w:r w:rsidRPr="005D264F">
        <w:rPr>
          <w:rFonts w:ascii="Arial" w:hAnsi="Arial" w:cs="Arial"/>
          <w:sz w:val="22"/>
          <w:szCs w:val="22"/>
        </w:rPr>
        <w:t>vol. 30, no. 1, pp. 127-142.</w:t>
      </w:r>
    </w:p>
    <w:p w14:paraId="4E74871D"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45A2A37A" w14:textId="77777777" w:rsidR="000E4F1A" w:rsidRDefault="000E4F1A">
      <w:pPr>
        <w:rPr>
          <w:rFonts w:ascii="Arial" w:hAnsi="Arial" w:cs="Arial"/>
          <w:sz w:val="22"/>
          <w:szCs w:val="22"/>
        </w:rPr>
      </w:pPr>
      <w:r>
        <w:rPr>
          <w:rFonts w:ascii="Arial" w:hAnsi="Arial" w:cs="Arial"/>
          <w:sz w:val="22"/>
          <w:szCs w:val="22"/>
        </w:rPr>
        <w:br w:type="page"/>
      </w:r>
    </w:p>
    <w:p w14:paraId="67705067" w14:textId="40B0470D"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lastRenderedPageBreak/>
        <w:t>NHS Confederation (2011)</w:t>
      </w:r>
      <w:r>
        <w:rPr>
          <w:rFonts w:ascii="Arial" w:hAnsi="Arial" w:cs="Arial"/>
          <w:sz w:val="22"/>
          <w:szCs w:val="22"/>
        </w:rPr>
        <w:t>.</w:t>
      </w:r>
      <w:r w:rsidRPr="005D264F">
        <w:rPr>
          <w:rFonts w:ascii="Arial" w:hAnsi="Arial" w:cs="Arial"/>
          <w:sz w:val="22"/>
          <w:szCs w:val="22"/>
        </w:rPr>
        <w:t xml:space="preserve"> </w:t>
      </w:r>
      <w:r w:rsidRPr="005D264F">
        <w:rPr>
          <w:rFonts w:ascii="Arial" w:hAnsi="Arial" w:cs="Arial"/>
          <w:i/>
          <w:sz w:val="22"/>
          <w:szCs w:val="22"/>
        </w:rPr>
        <w:t>Any Qualified Provider: A Discussion Paper</w:t>
      </w:r>
      <w:r w:rsidRPr="005D264F">
        <w:rPr>
          <w:rFonts w:ascii="Arial" w:hAnsi="Arial" w:cs="Arial"/>
          <w:sz w:val="22"/>
          <w:szCs w:val="22"/>
        </w:rPr>
        <w:t>,</w:t>
      </w:r>
    </w:p>
    <w:p w14:paraId="5AC97CB2"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Available online at:</w:t>
      </w:r>
    </w:p>
    <w:p w14:paraId="7EC1AD79" w14:textId="77777777" w:rsidR="00DF57DF" w:rsidRPr="005D264F" w:rsidRDefault="00DD38EE" w:rsidP="00DF57DF">
      <w:pPr>
        <w:spacing w:line="480" w:lineRule="auto"/>
        <w:rPr>
          <w:rStyle w:val="Hyperlink"/>
          <w:rFonts w:ascii="Arial" w:hAnsi="Arial" w:cs="Arial"/>
          <w:sz w:val="22"/>
          <w:szCs w:val="22"/>
        </w:rPr>
      </w:pPr>
      <w:hyperlink r:id="rId91" w:history="1">
        <w:r w:rsidR="00DF57DF" w:rsidRPr="005D264F">
          <w:rPr>
            <w:rStyle w:val="Hyperlink"/>
            <w:rFonts w:ascii="Arial" w:hAnsi="Arial" w:cs="Arial"/>
            <w:sz w:val="22"/>
            <w:szCs w:val="22"/>
          </w:rPr>
          <w:t>http://www.nhsconfed.org/~/media/Confederation/Files/Publications/Documents/Any_qualified_provider.pdf</w:t>
        </w:r>
      </w:hyperlink>
    </w:p>
    <w:p w14:paraId="672901FA" w14:textId="77777777" w:rsidR="00DF57DF" w:rsidRPr="005D264F" w:rsidRDefault="00DF57DF" w:rsidP="00DF57DF">
      <w:pPr>
        <w:spacing w:line="480" w:lineRule="auto"/>
        <w:rPr>
          <w:rStyle w:val="Hyperlink"/>
          <w:rFonts w:ascii="Arial" w:hAnsi="Arial" w:cs="Arial"/>
          <w:sz w:val="22"/>
          <w:szCs w:val="22"/>
        </w:rPr>
      </w:pPr>
      <w:r w:rsidRPr="005D264F">
        <w:rPr>
          <w:rStyle w:val="Hyperlink"/>
          <w:rFonts w:ascii="Arial" w:hAnsi="Arial" w:cs="Arial"/>
          <w:sz w:val="22"/>
          <w:szCs w:val="22"/>
        </w:rPr>
        <w:t>NHS England (2015) Adult IAPT Workforce Census Report available online at</w:t>
      </w:r>
    </w:p>
    <w:p w14:paraId="2B3DB9F3" w14:textId="77777777" w:rsidR="00DF57DF" w:rsidRPr="005D264F" w:rsidRDefault="00DF57DF" w:rsidP="00DF57DF">
      <w:pPr>
        <w:spacing w:line="480" w:lineRule="auto"/>
        <w:rPr>
          <w:rStyle w:val="Hyperlink"/>
          <w:rFonts w:ascii="Arial" w:hAnsi="Arial" w:cs="Arial"/>
          <w:sz w:val="22"/>
          <w:szCs w:val="22"/>
        </w:rPr>
      </w:pPr>
      <w:r w:rsidRPr="005D264F">
        <w:rPr>
          <w:rStyle w:val="Hyperlink"/>
          <w:rFonts w:ascii="Arial" w:hAnsi="Arial" w:cs="Arial"/>
          <w:sz w:val="22"/>
          <w:szCs w:val="22"/>
        </w:rPr>
        <w:t>https://www.england.nhs.uk/mentalhealth/wp-content/uploads/sites/29/2016/09/adult-iapt-workforce-census-report-15.pdf</w:t>
      </w:r>
    </w:p>
    <w:p w14:paraId="7A1368DB" w14:textId="77777777" w:rsidR="00DF57DF" w:rsidRPr="005D264F" w:rsidRDefault="00DF57DF" w:rsidP="00DF57DF">
      <w:pPr>
        <w:spacing w:line="480" w:lineRule="auto"/>
        <w:rPr>
          <w:rStyle w:val="Hyperlink"/>
          <w:rFonts w:ascii="Arial" w:hAnsi="Arial" w:cs="Arial"/>
          <w:color w:val="000000" w:themeColor="text1"/>
          <w:sz w:val="22"/>
          <w:szCs w:val="22"/>
          <w:u w:val="none"/>
        </w:rPr>
      </w:pPr>
      <w:r w:rsidRPr="005D264F">
        <w:rPr>
          <w:rStyle w:val="Hyperlink"/>
          <w:rFonts w:ascii="Arial" w:hAnsi="Arial" w:cs="Arial"/>
          <w:color w:val="000000" w:themeColor="text1"/>
          <w:sz w:val="22"/>
          <w:szCs w:val="22"/>
          <w:u w:val="none"/>
        </w:rPr>
        <w:t>Accessed 5</w:t>
      </w:r>
      <w:r w:rsidRPr="005D264F">
        <w:rPr>
          <w:rStyle w:val="Hyperlink"/>
          <w:rFonts w:ascii="Arial" w:hAnsi="Arial" w:cs="Arial"/>
          <w:color w:val="000000" w:themeColor="text1"/>
          <w:sz w:val="22"/>
          <w:szCs w:val="22"/>
          <w:u w:val="none"/>
          <w:vertAlign w:val="superscript"/>
        </w:rPr>
        <w:t>th</w:t>
      </w:r>
      <w:r w:rsidRPr="005D264F">
        <w:rPr>
          <w:rStyle w:val="Hyperlink"/>
          <w:rFonts w:ascii="Arial" w:hAnsi="Arial" w:cs="Arial"/>
          <w:color w:val="000000" w:themeColor="text1"/>
          <w:sz w:val="22"/>
          <w:szCs w:val="22"/>
          <w:u w:val="none"/>
        </w:rPr>
        <w:t xml:space="preserve"> January 201</w:t>
      </w:r>
      <w:r>
        <w:rPr>
          <w:rStyle w:val="Hyperlink"/>
          <w:rFonts w:ascii="Arial" w:hAnsi="Arial" w:cs="Arial"/>
          <w:color w:val="000000" w:themeColor="text1"/>
          <w:sz w:val="22"/>
          <w:szCs w:val="22"/>
          <w:u w:val="none"/>
        </w:rPr>
        <w:t>9</w:t>
      </w:r>
    </w:p>
    <w:p w14:paraId="55AA81A2" w14:textId="77777777" w:rsidR="00DF57DF" w:rsidRPr="005D264F" w:rsidRDefault="00DF57DF" w:rsidP="00DF57DF">
      <w:pPr>
        <w:spacing w:line="480" w:lineRule="auto"/>
        <w:rPr>
          <w:rStyle w:val="Hyperlink"/>
          <w:rFonts w:ascii="Arial" w:hAnsi="Arial" w:cs="Arial"/>
          <w:sz w:val="22"/>
          <w:szCs w:val="22"/>
        </w:rPr>
      </w:pPr>
    </w:p>
    <w:p w14:paraId="093C093C" w14:textId="77777777" w:rsidR="00DF57DF" w:rsidRDefault="00DF57DF" w:rsidP="00DF57DF">
      <w:pPr>
        <w:spacing w:line="480" w:lineRule="auto"/>
        <w:rPr>
          <w:rStyle w:val="Hyperlink"/>
          <w:rFonts w:ascii="Arial" w:hAnsi="Arial" w:cs="Arial"/>
          <w:color w:val="000000" w:themeColor="text1"/>
          <w:sz w:val="22"/>
          <w:szCs w:val="22"/>
          <w:u w:val="none"/>
        </w:rPr>
      </w:pPr>
      <w:r w:rsidRPr="005D264F">
        <w:rPr>
          <w:rStyle w:val="Hyperlink"/>
          <w:rFonts w:ascii="Arial" w:hAnsi="Arial" w:cs="Arial"/>
          <w:color w:val="000000" w:themeColor="text1"/>
          <w:sz w:val="22"/>
          <w:szCs w:val="22"/>
          <w:u w:val="none"/>
        </w:rPr>
        <w:t>NHS Digital (2016)</w:t>
      </w:r>
      <w:r>
        <w:rPr>
          <w:rStyle w:val="Hyperlink"/>
          <w:rFonts w:ascii="Arial" w:hAnsi="Arial" w:cs="Arial"/>
          <w:color w:val="000000" w:themeColor="text1"/>
          <w:sz w:val="22"/>
          <w:szCs w:val="22"/>
          <w:u w:val="none"/>
        </w:rPr>
        <w:t xml:space="preserve">. Psychological Therapies: Annual Report on the use of IAPT services-England, 2015-2016. Available online at </w:t>
      </w:r>
      <w:r w:rsidRPr="00A066D1">
        <w:rPr>
          <w:rStyle w:val="Hyperlink"/>
          <w:rFonts w:ascii="Arial" w:hAnsi="Arial" w:cs="Arial"/>
          <w:color w:val="000000" w:themeColor="text1"/>
          <w:sz w:val="22"/>
          <w:szCs w:val="22"/>
          <w:u w:val="none"/>
        </w:rPr>
        <w:t>https://digital.nhs.uk/data-and-information/publications/statistical/psychological-therapies-annual-reports-on-the-use-of-iapt-services/annual-report-2015-16</w:t>
      </w:r>
    </w:p>
    <w:p w14:paraId="5F3AED0E" w14:textId="77777777" w:rsidR="00DF57DF" w:rsidRDefault="00DF57DF" w:rsidP="00DF57DF">
      <w:pPr>
        <w:spacing w:line="480" w:lineRule="auto"/>
        <w:rPr>
          <w:rStyle w:val="Hyperlink"/>
          <w:rFonts w:ascii="Arial" w:hAnsi="Arial" w:cs="Arial"/>
          <w:color w:val="000000" w:themeColor="text1"/>
          <w:sz w:val="22"/>
          <w:szCs w:val="22"/>
          <w:u w:val="none"/>
        </w:rPr>
      </w:pPr>
      <w:r>
        <w:rPr>
          <w:rStyle w:val="Hyperlink"/>
          <w:rFonts w:ascii="Arial" w:hAnsi="Arial" w:cs="Arial"/>
          <w:color w:val="000000" w:themeColor="text1"/>
          <w:sz w:val="22"/>
          <w:szCs w:val="22"/>
          <w:u w:val="none"/>
        </w:rPr>
        <w:t>Accessed 26</w:t>
      </w:r>
      <w:r w:rsidRPr="00A066D1">
        <w:rPr>
          <w:rStyle w:val="Hyperlink"/>
          <w:rFonts w:ascii="Arial" w:hAnsi="Arial" w:cs="Arial"/>
          <w:color w:val="000000" w:themeColor="text1"/>
          <w:sz w:val="22"/>
          <w:szCs w:val="22"/>
          <w:u w:val="none"/>
          <w:vertAlign w:val="superscript"/>
        </w:rPr>
        <w:t>th</w:t>
      </w:r>
      <w:r>
        <w:rPr>
          <w:rStyle w:val="Hyperlink"/>
          <w:rFonts w:ascii="Arial" w:hAnsi="Arial" w:cs="Arial"/>
          <w:color w:val="000000" w:themeColor="text1"/>
          <w:sz w:val="22"/>
          <w:szCs w:val="22"/>
          <w:u w:val="none"/>
        </w:rPr>
        <w:t xml:space="preserve"> October 2019.</w:t>
      </w:r>
    </w:p>
    <w:p w14:paraId="72A51D01" w14:textId="77777777" w:rsidR="00DF57DF" w:rsidRPr="005D264F" w:rsidRDefault="00DF57DF" w:rsidP="00DF57DF">
      <w:pPr>
        <w:spacing w:line="480" w:lineRule="auto"/>
        <w:rPr>
          <w:rStyle w:val="Hyperlink"/>
          <w:rFonts w:ascii="Arial" w:hAnsi="Arial" w:cs="Arial"/>
          <w:color w:val="000000" w:themeColor="text1"/>
          <w:sz w:val="22"/>
          <w:szCs w:val="22"/>
          <w:u w:val="none"/>
        </w:rPr>
      </w:pPr>
      <w:r w:rsidRPr="005D264F">
        <w:rPr>
          <w:rStyle w:val="Hyperlink"/>
          <w:rFonts w:ascii="Arial" w:hAnsi="Arial" w:cs="Arial"/>
          <w:color w:val="000000" w:themeColor="text1"/>
          <w:sz w:val="22"/>
          <w:szCs w:val="22"/>
          <w:u w:val="none"/>
        </w:rPr>
        <w:t>NHS Digital (2018 a)</w:t>
      </w:r>
      <w:r>
        <w:rPr>
          <w:rStyle w:val="Hyperlink"/>
          <w:rFonts w:ascii="Arial" w:hAnsi="Arial" w:cs="Arial"/>
          <w:color w:val="000000" w:themeColor="text1"/>
          <w:sz w:val="22"/>
          <w:szCs w:val="22"/>
          <w:u w:val="none"/>
        </w:rPr>
        <w:t>.</w:t>
      </w:r>
      <w:r w:rsidRPr="005D264F">
        <w:rPr>
          <w:rStyle w:val="Hyperlink"/>
          <w:rFonts w:ascii="Arial" w:hAnsi="Arial" w:cs="Arial"/>
          <w:color w:val="000000" w:themeColor="text1"/>
          <w:sz w:val="22"/>
          <w:szCs w:val="22"/>
          <w:u w:val="none"/>
        </w:rPr>
        <w:t xml:space="preserve"> Psychological Therapies: Annual report on the use of IAPT services England, further analysis on 2016-2017. Available online at:</w:t>
      </w:r>
    </w:p>
    <w:p w14:paraId="4356B749" w14:textId="77777777" w:rsidR="00DF57DF" w:rsidRPr="005D264F" w:rsidRDefault="00DF57DF" w:rsidP="00DF57DF">
      <w:pPr>
        <w:spacing w:line="480" w:lineRule="auto"/>
        <w:rPr>
          <w:rStyle w:val="Hyperlink"/>
          <w:rFonts w:ascii="Arial" w:hAnsi="Arial" w:cs="Arial"/>
          <w:color w:val="000000" w:themeColor="text1"/>
          <w:sz w:val="22"/>
          <w:szCs w:val="22"/>
          <w:u w:val="none"/>
        </w:rPr>
      </w:pPr>
      <w:r w:rsidRPr="005D264F">
        <w:rPr>
          <w:rStyle w:val="Hyperlink"/>
          <w:rFonts w:ascii="Arial" w:hAnsi="Arial" w:cs="Arial"/>
          <w:color w:val="000000" w:themeColor="text1"/>
          <w:sz w:val="22"/>
          <w:szCs w:val="22"/>
          <w:u w:val="none"/>
        </w:rPr>
        <w:t>https://digital.nhs.uk/data-and-information/publications/statistical/psychological-therapies-annual-reports-on-the-use-of-iapt-services/annual-report-2016-17-further-analyses</w:t>
      </w:r>
    </w:p>
    <w:p w14:paraId="70C2322D" w14:textId="77777777" w:rsidR="00DF57DF" w:rsidRPr="005D264F" w:rsidRDefault="00DF57DF" w:rsidP="00DF57DF">
      <w:pPr>
        <w:spacing w:line="480" w:lineRule="auto"/>
        <w:rPr>
          <w:rStyle w:val="Hyperlink"/>
          <w:rFonts w:ascii="Arial" w:hAnsi="Arial" w:cs="Arial"/>
          <w:color w:val="000000" w:themeColor="text1"/>
          <w:sz w:val="22"/>
          <w:szCs w:val="22"/>
          <w:u w:val="none"/>
        </w:rPr>
      </w:pPr>
      <w:r w:rsidRPr="005D264F">
        <w:rPr>
          <w:rStyle w:val="Hyperlink"/>
          <w:rFonts w:ascii="Arial" w:hAnsi="Arial" w:cs="Arial"/>
          <w:color w:val="000000" w:themeColor="text1"/>
          <w:sz w:val="22"/>
          <w:szCs w:val="22"/>
          <w:u w:val="none"/>
        </w:rPr>
        <w:t>Accessed 16th September 201</w:t>
      </w:r>
      <w:r>
        <w:rPr>
          <w:rStyle w:val="Hyperlink"/>
          <w:rFonts w:ascii="Arial" w:hAnsi="Arial" w:cs="Arial"/>
          <w:color w:val="000000" w:themeColor="text1"/>
          <w:sz w:val="22"/>
          <w:szCs w:val="22"/>
          <w:u w:val="none"/>
        </w:rPr>
        <w:t>9</w:t>
      </w:r>
    </w:p>
    <w:p w14:paraId="650BCD33" w14:textId="77777777" w:rsidR="00DF57DF" w:rsidRPr="005D264F" w:rsidRDefault="00DF57DF" w:rsidP="00DF57DF">
      <w:pPr>
        <w:spacing w:line="480" w:lineRule="auto"/>
        <w:rPr>
          <w:rStyle w:val="Hyperlink"/>
          <w:rFonts w:ascii="Arial" w:hAnsi="Arial" w:cs="Arial"/>
          <w:color w:val="000000" w:themeColor="text1"/>
          <w:sz w:val="22"/>
          <w:szCs w:val="22"/>
          <w:u w:val="none"/>
        </w:rPr>
      </w:pPr>
    </w:p>
    <w:p w14:paraId="10CC0A40" w14:textId="77777777" w:rsidR="00DF57DF" w:rsidRPr="005D264F" w:rsidRDefault="00DF57DF" w:rsidP="00DF57DF">
      <w:pPr>
        <w:spacing w:line="480" w:lineRule="auto"/>
        <w:rPr>
          <w:rStyle w:val="Hyperlink"/>
          <w:rFonts w:ascii="Arial" w:hAnsi="Arial" w:cs="Arial"/>
          <w:color w:val="000000" w:themeColor="text1"/>
          <w:sz w:val="22"/>
          <w:szCs w:val="22"/>
          <w:u w:val="none"/>
        </w:rPr>
      </w:pPr>
      <w:r w:rsidRPr="005D264F">
        <w:rPr>
          <w:rStyle w:val="Hyperlink"/>
          <w:rFonts w:ascii="Arial" w:hAnsi="Arial" w:cs="Arial"/>
          <w:color w:val="000000" w:themeColor="text1"/>
          <w:sz w:val="22"/>
          <w:szCs w:val="22"/>
          <w:u w:val="none"/>
        </w:rPr>
        <w:t>NHS Digital (2018b)</w:t>
      </w:r>
      <w:r>
        <w:rPr>
          <w:rStyle w:val="Hyperlink"/>
          <w:rFonts w:ascii="Arial" w:hAnsi="Arial" w:cs="Arial"/>
          <w:color w:val="000000" w:themeColor="text1"/>
          <w:sz w:val="22"/>
          <w:szCs w:val="22"/>
          <w:u w:val="none"/>
        </w:rPr>
        <w:t>.</w:t>
      </w:r>
      <w:r w:rsidRPr="005D264F">
        <w:rPr>
          <w:rStyle w:val="Hyperlink"/>
          <w:rFonts w:ascii="Arial" w:hAnsi="Arial" w:cs="Arial"/>
          <w:color w:val="000000" w:themeColor="text1"/>
          <w:sz w:val="22"/>
          <w:szCs w:val="22"/>
          <w:u w:val="none"/>
        </w:rPr>
        <w:t xml:space="preserve"> Improving Access to Psychological Therapies (IAPT) Executive Summary (October 2017)</w:t>
      </w:r>
      <w:r>
        <w:rPr>
          <w:rStyle w:val="Hyperlink"/>
          <w:rFonts w:ascii="Arial" w:hAnsi="Arial" w:cs="Arial"/>
          <w:color w:val="000000" w:themeColor="text1"/>
          <w:sz w:val="22"/>
          <w:szCs w:val="22"/>
          <w:u w:val="none"/>
        </w:rPr>
        <w:t>.</w:t>
      </w:r>
      <w:r w:rsidRPr="005D264F">
        <w:rPr>
          <w:rStyle w:val="Hyperlink"/>
          <w:rFonts w:ascii="Arial" w:hAnsi="Arial" w:cs="Arial"/>
          <w:color w:val="000000" w:themeColor="text1"/>
          <w:sz w:val="22"/>
          <w:szCs w:val="22"/>
          <w:u w:val="none"/>
        </w:rPr>
        <w:t xml:space="preserve"> Published January 2018. Available online at: </w:t>
      </w:r>
    </w:p>
    <w:p w14:paraId="7EB2023A" w14:textId="77777777" w:rsidR="00DF57DF" w:rsidRPr="005D264F" w:rsidRDefault="00DF57DF" w:rsidP="00DF57DF">
      <w:pPr>
        <w:spacing w:line="480" w:lineRule="auto"/>
        <w:rPr>
          <w:rStyle w:val="Hyperlink"/>
          <w:rFonts w:ascii="Arial" w:hAnsi="Arial" w:cs="Arial"/>
          <w:color w:val="000000" w:themeColor="text1"/>
          <w:sz w:val="22"/>
          <w:szCs w:val="22"/>
          <w:u w:val="none"/>
        </w:rPr>
      </w:pPr>
      <w:r w:rsidRPr="005D264F">
        <w:rPr>
          <w:rStyle w:val="Hyperlink"/>
          <w:rFonts w:ascii="Arial" w:hAnsi="Arial" w:cs="Arial"/>
          <w:color w:val="000000" w:themeColor="text1"/>
          <w:sz w:val="22"/>
          <w:szCs w:val="22"/>
          <w:u w:val="none"/>
        </w:rPr>
        <w:t>https://digital.nhs.uk/data-and-information/publications/statistical/psychological-therapies-report-on-the-use-of-iapt-services/psychological-therapies-reports-on-the-use-of-iapt-services-england-october-2017-final-including-reports-on-the-integrated-services-pilot-and-quarter-2-2017-18-data</w:t>
      </w:r>
    </w:p>
    <w:p w14:paraId="0E0C6821" w14:textId="77777777" w:rsidR="00DF57DF" w:rsidRDefault="00DF57DF" w:rsidP="00DF57DF">
      <w:pPr>
        <w:spacing w:line="480" w:lineRule="auto"/>
        <w:rPr>
          <w:rStyle w:val="Hyperlink"/>
          <w:rFonts w:ascii="Arial" w:hAnsi="Arial" w:cs="Arial"/>
          <w:color w:val="000000" w:themeColor="text1"/>
          <w:sz w:val="22"/>
          <w:szCs w:val="22"/>
          <w:u w:val="none"/>
        </w:rPr>
      </w:pPr>
      <w:r w:rsidRPr="005D264F">
        <w:rPr>
          <w:rStyle w:val="Hyperlink"/>
          <w:rFonts w:ascii="Arial" w:hAnsi="Arial" w:cs="Arial"/>
          <w:color w:val="000000" w:themeColor="text1"/>
          <w:sz w:val="22"/>
          <w:szCs w:val="22"/>
          <w:u w:val="none"/>
        </w:rPr>
        <w:t>Accessed 16</w:t>
      </w:r>
      <w:r w:rsidRPr="005D264F">
        <w:rPr>
          <w:rStyle w:val="Hyperlink"/>
          <w:rFonts w:ascii="Arial" w:hAnsi="Arial" w:cs="Arial"/>
          <w:color w:val="000000" w:themeColor="text1"/>
          <w:sz w:val="22"/>
          <w:szCs w:val="22"/>
          <w:u w:val="none"/>
          <w:vertAlign w:val="superscript"/>
        </w:rPr>
        <w:t>th</w:t>
      </w:r>
      <w:r w:rsidRPr="005D264F">
        <w:rPr>
          <w:rStyle w:val="Hyperlink"/>
          <w:rFonts w:ascii="Arial" w:hAnsi="Arial" w:cs="Arial"/>
          <w:color w:val="000000" w:themeColor="text1"/>
          <w:sz w:val="22"/>
          <w:szCs w:val="22"/>
          <w:u w:val="none"/>
        </w:rPr>
        <w:t xml:space="preserve"> September 201</w:t>
      </w:r>
      <w:r>
        <w:rPr>
          <w:rStyle w:val="Hyperlink"/>
          <w:rFonts w:ascii="Arial" w:hAnsi="Arial" w:cs="Arial"/>
          <w:color w:val="000000" w:themeColor="text1"/>
          <w:sz w:val="22"/>
          <w:szCs w:val="22"/>
          <w:u w:val="none"/>
        </w:rPr>
        <w:t>9</w:t>
      </w:r>
    </w:p>
    <w:p w14:paraId="0D03739D" w14:textId="77777777" w:rsidR="00DF57DF" w:rsidRDefault="00DF57DF" w:rsidP="00DF57DF">
      <w:pPr>
        <w:spacing w:line="480" w:lineRule="auto"/>
        <w:rPr>
          <w:rStyle w:val="Hyperlink"/>
          <w:rFonts w:ascii="Arial" w:hAnsi="Arial" w:cs="Arial"/>
          <w:color w:val="000000" w:themeColor="text1"/>
          <w:sz w:val="22"/>
          <w:szCs w:val="22"/>
          <w:u w:val="none"/>
        </w:rPr>
      </w:pPr>
    </w:p>
    <w:p w14:paraId="5876F54C" w14:textId="77777777" w:rsidR="00DF57DF" w:rsidRPr="007126DB" w:rsidRDefault="00DF57DF" w:rsidP="00DF57DF">
      <w:pPr>
        <w:spacing w:line="480" w:lineRule="auto"/>
        <w:rPr>
          <w:rFonts w:ascii="Arial" w:hAnsi="Arial" w:cs="Arial"/>
          <w:sz w:val="22"/>
          <w:szCs w:val="22"/>
        </w:rPr>
      </w:pPr>
      <w:r w:rsidRPr="007126DB">
        <w:rPr>
          <w:rFonts w:ascii="Arial" w:hAnsi="Arial" w:cs="Arial"/>
          <w:sz w:val="22"/>
          <w:szCs w:val="22"/>
        </w:rPr>
        <w:lastRenderedPageBreak/>
        <w:t xml:space="preserve">NHS Digital (2019a) </w:t>
      </w:r>
      <w:r w:rsidRPr="007126DB">
        <w:rPr>
          <w:rFonts w:ascii="Arial" w:hAnsi="Arial" w:cs="Arial"/>
          <w:i/>
          <w:iCs/>
          <w:sz w:val="22"/>
          <w:szCs w:val="22"/>
        </w:rPr>
        <w:t>Improving Access to Psychological Therapies Data Set</w:t>
      </w:r>
      <w:r w:rsidRPr="007126DB">
        <w:rPr>
          <w:rFonts w:ascii="Arial" w:hAnsi="Arial" w:cs="Arial"/>
          <w:sz w:val="22"/>
          <w:szCs w:val="22"/>
        </w:rPr>
        <w:t>. NHS Digital Available online at &gt;</w:t>
      </w:r>
      <w:hyperlink r:id="rId92" w:history="1">
        <w:r w:rsidRPr="007126DB">
          <w:rPr>
            <w:rStyle w:val="Hyperlink"/>
            <w:rFonts w:ascii="Arial" w:hAnsi="Arial" w:cs="Arial"/>
            <w:sz w:val="22"/>
            <w:szCs w:val="22"/>
          </w:rPr>
          <w:t>https://digital.nhs.uk/data-and-information/data-collections-and-data-sets/data-sets/improving-access-to-psychological-therapies-data-set</w:t>
        </w:r>
      </w:hyperlink>
    </w:p>
    <w:p w14:paraId="66AD4557" w14:textId="77777777" w:rsidR="00DF57DF" w:rsidRDefault="00DF57DF" w:rsidP="00DF57DF">
      <w:pPr>
        <w:spacing w:line="480" w:lineRule="auto"/>
        <w:rPr>
          <w:rFonts w:ascii="Arial" w:hAnsi="Arial" w:cs="Arial"/>
          <w:sz w:val="22"/>
          <w:szCs w:val="22"/>
        </w:rPr>
      </w:pPr>
      <w:r w:rsidRPr="007126DB">
        <w:rPr>
          <w:rFonts w:ascii="Arial" w:hAnsi="Arial" w:cs="Arial"/>
          <w:sz w:val="22"/>
          <w:szCs w:val="22"/>
        </w:rPr>
        <w:t>Accessed 22</w:t>
      </w:r>
      <w:r w:rsidRPr="007126DB">
        <w:rPr>
          <w:rFonts w:ascii="Arial" w:hAnsi="Arial" w:cs="Arial"/>
          <w:sz w:val="22"/>
          <w:szCs w:val="22"/>
          <w:vertAlign w:val="superscript"/>
        </w:rPr>
        <w:t>nd</w:t>
      </w:r>
      <w:r w:rsidRPr="007126DB">
        <w:rPr>
          <w:rFonts w:ascii="Arial" w:hAnsi="Arial" w:cs="Arial"/>
          <w:sz w:val="22"/>
          <w:szCs w:val="22"/>
        </w:rPr>
        <w:t xml:space="preserve"> November 2019</w:t>
      </w:r>
    </w:p>
    <w:p w14:paraId="204A078E" w14:textId="77777777" w:rsidR="00DF57DF" w:rsidRPr="007126DB" w:rsidRDefault="00DF57DF" w:rsidP="00DF57DF">
      <w:pPr>
        <w:spacing w:line="480" w:lineRule="auto"/>
        <w:rPr>
          <w:rFonts w:ascii="Arial" w:hAnsi="Arial" w:cs="Arial"/>
          <w:sz w:val="22"/>
          <w:szCs w:val="22"/>
        </w:rPr>
      </w:pPr>
    </w:p>
    <w:p w14:paraId="53108A1B" w14:textId="77777777" w:rsidR="00DF57DF" w:rsidRPr="007126DB" w:rsidRDefault="00DF57DF" w:rsidP="00DF57DF">
      <w:pPr>
        <w:spacing w:line="480" w:lineRule="auto"/>
        <w:rPr>
          <w:rFonts w:ascii="Arial" w:hAnsi="Arial" w:cs="Arial"/>
          <w:sz w:val="22"/>
          <w:szCs w:val="22"/>
        </w:rPr>
      </w:pPr>
      <w:r w:rsidRPr="007126DB">
        <w:rPr>
          <w:rFonts w:ascii="Arial" w:hAnsi="Arial" w:cs="Arial"/>
          <w:sz w:val="22"/>
          <w:szCs w:val="22"/>
        </w:rPr>
        <w:t xml:space="preserve">NHS Digital (2019b) </w:t>
      </w:r>
      <w:r w:rsidRPr="007126DB">
        <w:rPr>
          <w:rFonts w:ascii="Arial" w:hAnsi="Arial" w:cs="Arial"/>
          <w:i/>
          <w:iCs/>
          <w:sz w:val="22"/>
          <w:szCs w:val="22"/>
        </w:rPr>
        <w:t>Improving Access to Psychological Therapies (IAPT) Summary</w:t>
      </w:r>
      <w:r w:rsidRPr="007126DB">
        <w:rPr>
          <w:rFonts w:ascii="Arial" w:hAnsi="Arial" w:cs="Arial"/>
          <w:sz w:val="22"/>
          <w:szCs w:val="22"/>
        </w:rPr>
        <w:t xml:space="preserve">. NHS Digital. Available online at </w:t>
      </w:r>
      <w:hyperlink r:id="rId93" w:history="1">
        <w:r w:rsidRPr="007126DB">
          <w:rPr>
            <w:rStyle w:val="Hyperlink"/>
            <w:rFonts w:ascii="Arial" w:hAnsi="Arial" w:cs="Arial"/>
            <w:sz w:val="22"/>
            <w:szCs w:val="22"/>
          </w:rPr>
          <w:t>https://digital.nhs.uk/about-nhs-digital/our-work/keeping-patient-data-safe/gdpr/gdpr-register/improving-access-to-psychological-therapies-iapt</w:t>
        </w:r>
      </w:hyperlink>
    </w:p>
    <w:p w14:paraId="3C8F1E80" w14:textId="77777777" w:rsidR="00DF57DF" w:rsidRPr="007126DB" w:rsidRDefault="00DF57DF" w:rsidP="00DF57DF">
      <w:pPr>
        <w:spacing w:line="480" w:lineRule="auto"/>
        <w:rPr>
          <w:rFonts w:ascii="Arial" w:hAnsi="Arial" w:cs="Arial"/>
          <w:sz w:val="22"/>
          <w:szCs w:val="22"/>
        </w:rPr>
      </w:pPr>
      <w:r w:rsidRPr="007126DB">
        <w:rPr>
          <w:rFonts w:ascii="Arial" w:hAnsi="Arial" w:cs="Arial"/>
          <w:sz w:val="22"/>
          <w:szCs w:val="22"/>
        </w:rPr>
        <w:t>Accessed 22</w:t>
      </w:r>
      <w:r w:rsidRPr="007126DB">
        <w:rPr>
          <w:rFonts w:ascii="Arial" w:hAnsi="Arial" w:cs="Arial"/>
          <w:sz w:val="22"/>
          <w:szCs w:val="22"/>
          <w:vertAlign w:val="superscript"/>
        </w:rPr>
        <w:t>nd</w:t>
      </w:r>
      <w:r w:rsidRPr="007126DB">
        <w:rPr>
          <w:rFonts w:ascii="Arial" w:hAnsi="Arial" w:cs="Arial"/>
          <w:sz w:val="22"/>
          <w:szCs w:val="22"/>
        </w:rPr>
        <w:t xml:space="preserve"> November 2019</w:t>
      </w:r>
    </w:p>
    <w:p w14:paraId="5991F588" w14:textId="77777777" w:rsidR="00DF57DF" w:rsidRPr="007126DB" w:rsidRDefault="00DF57DF" w:rsidP="00DF57DF">
      <w:pPr>
        <w:spacing w:line="480" w:lineRule="auto"/>
        <w:rPr>
          <w:rFonts w:ascii="Arial" w:hAnsi="Arial" w:cs="Arial"/>
          <w:sz w:val="22"/>
          <w:szCs w:val="22"/>
        </w:rPr>
      </w:pPr>
    </w:p>
    <w:p w14:paraId="4F8544DD" w14:textId="77777777" w:rsidR="00DF57DF" w:rsidRPr="007126DB" w:rsidRDefault="00DF57DF" w:rsidP="00DF57DF">
      <w:pPr>
        <w:spacing w:line="480" w:lineRule="auto"/>
        <w:rPr>
          <w:rFonts w:ascii="Arial" w:hAnsi="Arial" w:cs="Arial"/>
          <w:sz w:val="22"/>
          <w:szCs w:val="22"/>
        </w:rPr>
      </w:pPr>
      <w:r w:rsidRPr="007126DB">
        <w:rPr>
          <w:rFonts w:ascii="Arial" w:hAnsi="Arial" w:cs="Arial"/>
          <w:sz w:val="22"/>
          <w:szCs w:val="22"/>
        </w:rPr>
        <w:t xml:space="preserve">NHS Digital (2019c). </w:t>
      </w:r>
      <w:r w:rsidRPr="007126DB">
        <w:rPr>
          <w:rFonts w:ascii="Arial" w:hAnsi="Arial" w:cs="Arial"/>
          <w:i/>
          <w:iCs/>
          <w:sz w:val="22"/>
          <w:szCs w:val="22"/>
        </w:rPr>
        <w:t>Directions and Data Provision Notices. NHS Digital</w:t>
      </w:r>
      <w:r w:rsidRPr="007126DB">
        <w:rPr>
          <w:rFonts w:ascii="Arial" w:hAnsi="Arial" w:cs="Arial"/>
          <w:sz w:val="22"/>
          <w:szCs w:val="22"/>
        </w:rPr>
        <w:t xml:space="preserve">. Available online at </w:t>
      </w:r>
      <w:hyperlink r:id="rId94" w:history="1">
        <w:r w:rsidRPr="007126DB">
          <w:rPr>
            <w:rStyle w:val="Hyperlink"/>
            <w:rFonts w:ascii="Arial" w:hAnsi="Arial" w:cs="Arial"/>
            <w:sz w:val="22"/>
            <w:szCs w:val="22"/>
          </w:rPr>
          <w:t>https://digital.nhs.uk/about-nhs-digital/corporate-information-and-documents/directions-and-data-provision-notices</w:t>
        </w:r>
      </w:hyperlink>
    </w:p>
    <w:p w14:paraId="46AF9FB0" w14:textId="77777777" w:rsidR="00DF57DF" w:rsidRDefault="00DF57DF" w:rsidP="00DF57DF">
      <w:pPr>
        <w:spacing w:line="480" w:lineRule="auto"/>
        <w:rPr>
          <w:rFonts w:ascii="Arial" w:hAnsi="Arial" w:cs="Arial"/>
          <w:sz w:val="22"/>
          <w:szCs w:val="22"/>
        </w:rPr>
      </w:pPr>
      <w:r w:rsidRPr="007126DB">
        <w:rPr>
          <w:rFonts w:ascii="Arial" w:hAnsi="Arial" w:cs="Arial"/>
          <w:sz w:val="22"/>
          <w:szCs w:val="22"/>
        </w:rPr>
        <w:t>Accessed 22</w:t>
      </w:r>
      <w:r w:rsidRPr="007126DB">
        <w:rPr>
          <w:rFonts w:ascii="Arial" w:hAnsi="Arial" w:cs="Arial"/>
          <w:sz w:val="22"/>
          <w:szCs w:val="22"/>
          <w:vertAlign w:val="superscript"/>
        </w:rPr>
        <w:t>nd</w:t>
      </w:r>
      <w:r w:rsidRPr="007126DB">
        <w:rPr>
          <w:rFonts w:ascii="Arial" w:hAnsi="Arial" w:cs="Arial"/>
          <w:sz w:val="22"/>
          <w:szCs w:val="22"/>
        </w:rPr>
        <w:t xml:space="preserve"> November 2019</w:t>
      </w:r>
    </w:p>
    <w:p w14:paraId="5A8DEEC3" w14:textId="77777777" w:rsidR="00DF57DF" w:rsidRDefault="00DF57DF" w:rsidP="00DF57DF">
      <w:pPr>
        <w:spacing w:line="480" w:lineRule="auto"/>
        <w:rPr>
          <w:rFonts w:ascii="Arial" w:hAnsi="Arial" w:cs="Arial"/>
          <w:sz w:val="22"/>
          <w:szCs w:val="22"/>
        </w:rPr>
      </w:pPr>
      <w:r w:rsidRPr="007126DB">
        <w:rPr>
          <w:rFonts w:ascii="Arial" w:hAnsi="Arial" w:cs="Arial"/>
          <w:sz w:val="22"/>
          <w:szCs w:val="22"/>
        </w:rPr>
        <w:t xml:space="preserve">NHS Digital (2019d). </w:t>
      </w:r>
      <w:r w:rsidRPr="007126DB">
        <w:rPr>
          <w:rFonts w:ascii="Arial" w:hAnsi="Arial" w:cs="Arial"/>
          <w:i/>
          <w:iCs/>
          <w:sz w:val="22"/>
          <w:szCs w:val="22"/>
        </w:rPr>
        <w:t>DCB3058 Compliance with National Data Opt-outs</w:t>
      </w:r>
      <w:r w:rsidRPr="007126DB">
        <w:rPr>
          <w:rFonts w:ascii="Arial" w:hAnsi="Arial" w:cs="Arial"/>
          <w:sz w:val="22"/>
          <w:szCs w:val="22"/>
        </w:rPr>
        <w:t xml:space="preserve">.  NHS Digital. Available online at </w:t>
      </w:r>
      <w:hyperlink r:id="rId95" w:history="1">
        <w:r w:rsidRPr="007126DB">
          <w:rPr>
            <w:rStyle w:val="Hyperlink"/>
            <w:rFonts w:ascii="Arial" w:hAnsi="Arial" w:cs="Arial"/>
            <w:sz w:val="22"/>
            <w:szCs w:val="22"/>
          </w:rPr>
          <w:t>https://digital.nhs.uk/data-and-information/information-standards/information-standards-and-data-collections-including-extractions/publications-and-notifications/standards-and-collections/dcb3058-compliance-with-national-data-opt-outs</w:t>
        </w:r>
      </w:hyperlink>
    </w:p>
    <w:p w14:paraId="120DA827" w14:textId="77777777" w:rsidR="00DF57DF" w:rsidRDefault="00DF57DF" w:rsidP="00DF57DF">
      <w:pPr>
        <w:spacing w:line="480" w:lineRule="auto"/>
        <w:rPr>
          <w:rFonts w:ascii="Arial" w:hAnsi="Arial" w:cs="Arial"/>
          <w:sz w:val="22"/>
          <w:szCs w:val="22"/>
        </w:rPr>
      </w:pPr>
      <w:r>
        <w:rPr>
          <w:rFonts w:ascii="Arial" w:hAnsi="Arial" w:cs="Arial"/>
          <w:sz w:val="22"/>
          <w:szCs w:val="22"/>
        </w:rPr>
        <w:t>Accessed 22</w:t>
      </w:r>
      <w:r w:rsidRPr="0084366D">
        <w:rPr>
          <w:rFonts w:ascii="Arial" w:hAnsi="Arial" w:cs="Arial"/>
          <w:sz w:val="22"/>
          <w:szCs w:val="22"/>
          <w:vertAlign w:val="superscript"/>
        </w:rPr>
        <w:t>nd</w:t>
      </w:r>
      <w:r>
        <w:rPr>
          <w:rFonts w:ascii="Arial" w:hAnsi="Arial" w:cs="Arial"/>
          <w:sz w:val="22"/>
          <w:szCs w:val="22"/>
        </w:rPr>
        <w:t xml:space="preserve"> November 2019</w:t>
      </w:r>
    </w:p>
    <w:p w14:paraId="30F89691" w14:textId="77777777" w:rsidR="00DF57DF" w:rsidRDefault="00DF57DF" w:rsidP="00DF57DF">
      <w:pPr>
        <w:spacing w:line="480" w:lineRule="auto"/>
        <w:rPr>
          <w:rFonts w:ascii="Arial" w:hAnsi="Arial" w:cs="Arial"/>
          <w:sz w:val="22"/>
          <w:szCs w:val="22"/>
        </w:rPr>
      </w:pPr>
    </w:p>
    <w:p w14:paraId="4BB50D92" w14:textId="77777777" w:rsidR="00DF57DF" w:rsidRPr="00A65036" w:rsidRDefault="00DF57DF" w:rsidP="00DF57DF">
      <w:pPr>
        <w:spacing w:line="480" w:lineRule="auto"/>
        <w:rPr>
          <w:rFonts w:ascii="Arial" w:hAnsi="Arial" w:cs="Arial"/>
          <w:sz w:val="22"/>
          <w:szCs w:val="22"/>
        </w:rPr>
      </w:pPr>
      <w:r w:rsidRPr="00A65036">
        <w:rPr>
          <w:rStyle w:val="Hyperlink"/>
          <w:rFonts w:ascii="Arial" w:hAnsi="Arial" w:cs="Arial"/>
          <w:color w:val="000000" w:themeColor="text1"/>
          <w:sz w:val="22"/>
          <w:szCs w:val="22"/>
          <w:u w:val="none"/>
        </w:rPr>
        <w:t xml:space="preserve">NHS Digital (2019e). DCB1520 Improving Access to Psychological Therapies Data Set. NHS Digital. Available online at </w:t>
      </w:r>
      <w:hyperlink r:id="rId96" w:history="1">
        <w:r w:rsidRPr="00A65036">
          <w:rPr>
            <w:rStyle w:val="Hyperlink"/>
            <w:rFonts w:ascii="Arial" w:hAnsi="Arial" w:cs="Arial"/>
            <w:sz w:val="22"/>
            <w:szCs w:val="22"/>
          </w:rPr>
          <w:t>https://digital.nhs.uk/data-and-information/information-standards/information-standards-and-data-collections-including-extractions/publications-and-notifications/standards-and-collections/dcb-1520-improving-access-to-psychological-therapies-data-set</w:t>
        </w:r>
      </w:hyperlink>
    </w:p>
    <w:p w14:paraId="7BD66C28" w14:textId="77777777" w:rsidR="00DF57DF" w:rsidRDefault="00DF57DF" w:rsidP="00DF57DF">
      <w:pPr>
        <w:spacing w:line="480" w:lineRule="auto"/>
        <w:rPr>
          <w:rFonts w:ascii="Arial" w:hAnsi="Arial" w:cs="Arial"/>
          <w:color w:val="000000" w:themeColor="text1"/>
          <w:sz w:val="22"/>
          <w:szCs w:val="22"/>
        </w:rPr>
      </w:pPr>
      <w:r w:rsidRPr="00A65036">
        <w:rPr>
          <w:rFonts w:ascii="Arial" w:hAnsi="Arial" w:cs="Arial"/>
          <w:color w:val="000000" w:themeColor="text1"/>
          <w:sz w:val="22"/>
          <w:szCs w:val="22"/>
        </w:rPr>
        <w:t>Accessed 6</w:t>
      </w:r>
      <w:r w:rsidRPr="00A65036">
        <w:rPr>
          <w:rFonts w:ascii="Arial" w:hAnsi="Arial" w:cs="Arial"/>
          <w:color w:val="000000" w:themeColor="text1"/>
          <w:sz w:val="22"/>
          <w:szCs w:val="22"/>
          <w:vertAlign w:val="superscript"/>
        </w:rPr>
        <w:t>th</w:t>
      </w:r>
      <w:r w:rsidRPr="00A65036">
        <w:rPr>
          <w:rFonts w:ascii="Arial" w:hAnsi="Arial" w:cs="Arial"/>
          <w:color w:val="000000" w:themeColor="text1"/>
          <w:sz w:val="22"/>
          <w:szCs w:val="22"/>
        </w:rPr>
        <w:t xml:space="preserve"> December 2019</w:t>
      </w:r>
    </w:p>
    <w:p w14:paraId="6C003DBA" w14:textId="77777777" w:rsidR="00DF57DF" w:rsidRDefault="00DF57DF" w:rsidP="00DF57DF">
      <w:pPr>
        <w:spacing w:line="480" w:lineRule="auto"/>
        <w:rPr>
          <w:rFonts w:ascii="Arial" w:hAnsi="Arial" w:cs="Arial"/>
          <w:sz w:val="22"/>
          <w:szCs w:val="22"/>
        </w:rPr>
      </w:pPr>
    </w:p>
    <w:p w14:paraId="604D0ADE" w14:textId="77777777" w:rsidR="00DF57DF" w:rsidRDefault="00DF57DF" w:rsidP="00DF57DF">
      <w:pPr>
        <w:spacing w:line="480" w:lineRule="auto"/>
        <w:rPr>
          <w:rFonts w:ascii="Arial" w:hAnsi="Arial" w:cs="Arial"/>
          <w:sz w:val="22"/>
          <w:szCs w:val="22"/>
        </w:rPr>
      </w:pPr>
      <w:r>
        <w:rPr>
          <w:rFonts w:ascii="Arial" w:hAnsi="Arial" w:cs="Arial"/>
          <w:sz w:val="22"/>
          <w:szCs w:val="22"/>
        </w:rPr>
        <w:lastRenderedPageBreak/>
        <w:t xml:space="preserve">NHS Digital (2019f). Psychological therapies, annual report on the use of IAPT services 2018-19. NHS Digital. Available online at  </w:t>
      </w:r>
      <w:r w:rsidRPr="00273372">
        <w:rPr>
          <w:rFonts w:ascii="Arial" w:hAnsi="Arial" w:cs="Arial"/>
          <w:sz w:val="22"/>
          <w:szCs w:val="22"/>
        </w:rPr>
        <w:t>https://digital.nhs.uk/data-and-information/publications/statistical/psychological-therapies-annual-reports-on-the-use-of-iapt-services/annual-report-2018-19</w:t>
      </w:r>
    </w:p>
    <w:p w14:paraId="06A6E20F" w14:textId="77777777" w:rsidR="00DF57DF" w:rsidRPr="007126DB" w:rsidRDefault="00DF57DF" w:rsidP="00DF57DF">
      <w:pPr>
        <w:spacing w:line="480" w:lineRule="auto"/>
        <w:rPr>
          <w:rFonts w:ascii="Arial" w:hAnsi="Arial" w:cs="Arial"/>
          <w:sz w:val="22"/>
          <w:szCs w:val="22"/>
        </w:rPr>
      </w:pPr>
      <w:r>
        <w:rPr>
          <w:rFonts w:ascii="Arial" w:hAnsi="Arial" w:cs="Arial"/>
          <w:sz w:val="22"/>
          <w:szCs w:val="22"/>
        </w:rPr>
        <w:t>Accessed 9</w:t>
      </w:r>
      <w:r w:rsidRPr="00273372">
        <w:rPr>
          <w:rFonts w:ascii="Arial" w:hAnsi="Arial" w:cs="Arial"/>
          <w:sz w:val="22"/>
          <w:szCs w:val="22"/>
          <w:vertAlign w:val="superscript"/>
        </w:rPr>
        <w:t>th</w:t>
      </w:r>
      <w:r>
        <w:rPr>
          <w:rFonts w:ascii="Arial" w:hAnsi="Arial" w:cs="Arial"/>
          <w:sz w:val="22"/>
          <w:szCs w:val="22"/>
        </w:rPr>
        <w:t xml:space="preserve"> December 2019.</w:t>
      </w:r>
    </w:p>
    <w:p w14:paraId="4B3B1325" w14:textId="77777777" w:rsidR="00DF57DF" w:rsidRPr="007126DB" w:rsidRDefault="00DF57DF" w:rsidP="00DF57DF">
      <w:pPr>
        <w:spacing w:line="480" w:lineRule="auto"/>
        <w:rPr>
          <w:rFonts w:ascii="Arial" w:hAnsi="Arial" w:cs="Arial"/>
          <w:sz w:val="22"/>
          <w:szCs w:val="22"/>
        </w:rPr>
      </w:pPr>
    </w:p>
    <w:p w14:paraId="345A4709"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NHS England (2016)</w:t>
      </w:r>
      <w:r>
        <w:rPr>
          <w:rFonts w:ascii="Arial" w:hAnsi="Arial" w:cs="Arial"/>
          <w:sz w:val="22"/>
          <w:szCs w:val="22"/>
        </w:rPr>
        <w:t>.</w:t>
      </w:r>
      <w:r w:rsidRPr="005D264F">
        <w:rPr>
          <w:rFonts w:ascii="Arial" w:hAnsi="Arial" w:cs="Arial"/>
          <w:sz w:val="22"/>
          <w:szCs w:val="22"/>
        </w:rPr>
        <w:t xml:space="preserve">  2015 Adult IAPT Workforce Census Report. Available online at:</w:t>
      </w:r>
    </w:p>
    <w:p w14:paraId="066400E2"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https://www.england.nhs.uk/mentalhealth/wp-content/uploads/sites/29/2016/09/adult-iapt-workforce-census-report-15.pdf</w:t>
      </w:r>
    </w:p>
    <w:p w14:paraId="4582A50F"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Accessed 9</w:t>
      </w:r>
      <w:r w:rsidRPr="005D264F">
        <w:rPr>
          <w:rFonts w:ascii="Arial" w:hAnsi="Arial" w:cs="Arial"/>
          <w:sz w:val="22"/>
          <w:szCs w:val="22"/>
          <w:vertAlign w:val="superscript"/>
        </w:rPr>
        <w:t>th</w:t>
      </w:r>
      <w:r w:rsidRPr="005D264F">
        <w:rPr>
          <w:rFonts w:ascii="Arial" w:hAnsi="Arial" w:cs="Arial"/>
          <w:sz w:val="22"/>
          <w:szCs w:val="22"/>
        </w:rPr>
        <w:t xml:space="preserve"> September 201</w:t>
      </w:r>
      <w:r>
        <w:rPr>
          <w:rFonts w:ascii="Arial" w:hAnsi="Arial" w:cs="Arial"/>
          <w:sz w:val="22"/>
          <w:szCs w:val="22"/>
        </w:rPr>
        <w:t>9</w:t>
      </w:r>
    </w:p>
    <w:p w14:paraId="40030AD0" w14:textId="77777777" w:rsidR="00DF57DF" w:rsidRPr="005D264F" w:rsidRDefault="00DF57DF" w:rsidP="00DF57DF">
      <w:pPr>
        <w:spacing w:line="480" w:lineRule="auto"/>
        <w:rPr>
          <w:rFonts w:ascii="Arial" w:hAnsi="Arial" w:cs="Arial"/>
          <w:sz w:val="22"/>
          <w:szCs w:val="22"/>
        </w:rPr>
      </w:pPr>
    </w:p>
    <w:p w14:paraId="4FC2A9A6"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NHS England (2018)</w:t>
      </w:r>
      <w:r>
        <w:rPr>
          <w:rFonts w:ascii="Arial" w:hAnsi="Arial" w:cs="Arial"/>
          <w:sz w:val="22"/>
          <w:szCs w:val="22"/>
        </w:rPr>
        <w:t>.</w:t>
      </w:r>
      <w:r w:rsidRPr="005D264F">
        <w:rPr>
          <w:rFonts w:ascii="Arial" w:hAnsi="Arial" w:cs="Arial"/>
          <w:sz w:val="22"/>
          <w:szCs w:val="22"/>
        </w:rPr>
        <w:t xml:space="preserve"> Adult Improving Access to Psychological Therapies Programme, available online at:</w:t>
      </w:r>
    </w:p>
    <w:p w14:paraId="79F32835"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https://www.england.nhs.uk/mental-health/adults/iapt/</w:t>
      </w:r>
    </w:p>
    <w:p w14:paraId="005A7078"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Accessed 9</w:t>
      </w:r>
      <w:r w:rsidRPr="005D264F">
        <w:rPr>
          <w:rFonts w:ascii="Arial" w:hAnsi="Arial" w:cs="Arial"/>
          <w:sz w:val="22"/>
          <w:szCs w:val="22"/>
          <w:vertAlign w:val="superscript"/>
        </w:rPr>
        <w:t>th</w:t>
      </w:r>
      <w:r w:rsidRPr="005D264F">
        <w:rPr>
          <w:rFonts w:ascii="Arial" w:hAnsi="Arial" w:cs="Arial"/>
          <w:sz w:val="22"/>
          <w:szCs w:val="22"/>
        </w:rPr>
        <w:t xml:space="preserve"> September 201</w:t>
      </w:r>
      <w:r>
        <w:rPr>
          <w:rFonts w:ascii="Arial" w:hAnsi="Arial" w:cs="Arial"/>
          <w:sz w:val="22"/>
          <w:szCs w:val="22"/>
        </w:rPr>
        <w:t>9</w:t>
      </w:r>
    </w:p>
    <w:p w14:paraId="28995EC6" w14:textId="77777777" w:rsidR="00DF57DF" w:rsidRDefault="00DF57DF" w:rsidP="00DF57DF">
      <w:pPr>
        <w:spacing w:line="480" w:lineRule="auto"/>
        <w:rPr>
          <w:rFonts w:ascii="Arial" w:hAnsi="Arial" w:cs="Arial"/>
          <w:sz w:val="22"/>
          <w:szCs w:val="22"/>
        </w:rPr>
      </w:pPr>
    </w:p>
    <w:p w14:paraId="1ED587BB"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NHS England (2019). NHS Long Term Plan. NHS England. Available online at </w:t>
      </w:r>
      <w:r w:rsidRPr="00B5333B">
        <w:rPr>
          <w:rFonts w:ascii="Arial" w:hAnsi="Arial" w:cs="Arial"/>
          <w:sz w:val="22"/>
          <w:szCs w:val="22"/>
        </w:rPr>
        <w:t>https://www.longtermplan.nhs.uk/wp-content/uploads/2019/08/nhs-long-term-plan-version-1.2.pdf</w:t>
      </w:r>
    </w:p>
    <w:p w14:paraId="00C4E2D6"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t>Accessed 7</w:t>
      </w:r>
      <w:r w:rsidRPr="00B5333B">
        <w:rPr>
          <w:rFonts w:ascii="Arial" w:hAnsi="Arial" w:cs="Arial"/>
          <w:sz w:val="22"/>
          <w:szCs w:val="22"/>
          <w:vertAlign w:val="superscript"/>
        </w:rPr>
        <w:t>th</w:t>
      </w:r>
      <w:r>
        <w:rPr>
          <w:rFonts w:ascii="Arial" w:hAnsi="Arial" w:cs="Arial"/>
          <w:sz w:val="22"/>
          <w:szCs w:val="22"/>
        </w:rPr>
        <w:t xml:space="preserve"> November 2019.</w:t>
      </w:r>
    </w:p>
    <w:p w14:paraId="1C3ECD50" w14:textId="77777777" w:rsidR="00DF57DF" w:rsidRDefault="00DF57DF" w:rsidP="00DF57DF">
      <w:pPr>
        <w:spacing w:line="480" w:lineRule="auto"/>
        <w:rPr>
          <w:rFonts w:ascii="Arial" w:hAnsi="Arial" w:cs="Arial"/>
          <w:sz w:val="22"/>
          <w:szCs w:val="22"/>
        </w:rPr>
      </w:pPr>
    </w:p>
    <w:p w14:paraId="305737ED"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NHS Long Term Plan (2019).  </w:t>
      </w:r>
      <w:r w:rsidRPr="00C4424E">
        <w:rPr>
          <w:rFonts w:ascii="Arial" w:hAnsi="Arial" w:cs="Arial"/>
          <w:i/>
          <w:iCs/>
          <w:sz w:val="22"/>
          <w:szCs w:val="22"/>
        </w:rPr>
        <w:t>The NHS Long Term Plan</w:t>
      </w:r>
      <w:r>
        <w:rPr>
          <w:rFonts w:ascii="Arial" w:hAnsi="Arial" w:cs="Arial"/>
          <w:sz w:val="22"/>
          <w:szCs w:val="22"/>
        </w:rPr>
        <w:t>.  Available online at www.longtermplan.nhs.uk</w:t>
      </w:r>
    </w:p>
    <w:p w14:paraId="1D09577A"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t>Accessed 25</w:t>
      </w:r>
      <w:r w:rsidRPr="00C4424E">
        <w:rPr>
          <w:rFonts w:ascii="Arial" w:hAnsi="Arial" w:cs="Arial"/>
          <w:sz w:val="22"/>
          <w:szCs w:val="22"/>
          <w:vertAlign w:val="superscript"/>
        </w:rPr>
        <w:t>th</w:t>
      </w:r>
      <w:r>
        <w:rPr>
          <w:rFonts w:ascii="Arial" w:hAnsi="Arial" w:cs="Arial"/>
          <w:sz w:val="22"/>
          <w:szCs w:val="22"/>
        </w:rPr>
        <w:t xml:space="preserve"> October 2019.</w:t>
      </w:r>
    </w:p>
    <w:p w14:paraId="0A6DB363" w14:textId="77777777" w:rsidR="00DF57DF" w:rsidRPr="005D264F" w:rsidRDefault="00DF57DF" w:rsidP="00DF57DF">
      <w:pPr>
        <w:spacing w:line="480" w:lineRule="auto"/>
        <w:rPr>
          <w:rFonts w:ascii="Arial" w:hAnsi="Arial" w:cs="Arial"/>
          <w:sz w:val="22"/>
          <w:szCs w:val="22"/>
        </w:rPr>
      </w:pPr>
    </w:p>
    <w:p w14:paraId="6E8EA18D" w14:textId="77777777" w:rsidR="000E4F1A" w:rsidRDefault="000E4F1A">
      <w:pPr>
        <w:rPr>
          <w:rFonts w:ascii="Arial" w:hAnsi="Arial" w:cs="Arial"/>
          <w:sz w:val="22"/>
          <w:szCs w:val="22"/>
        </w:rPr>
      </w:pPr>
      <w:r>
        <w:rPr>
          <w:rFonts w:ascii="Arial" w:hAnsi="Arial" w:cs="Arial"/>
          <w:sz w:val="22"/>
          <w:szCs w:val="22"/>
        </w:rPr>
        <w:br w:type="page"/>
      </w:r>
    </w:p>
    <w:p w14:paraId="2D878072" w14:textId="0B664C6D"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lastRenderedPageBreak/>
        <w:t xml:space="preserve">NHS Mandate (2014) </w:t>
      </w:r>
      <w:r w:rsidRPr="005D264F">
        <w:rPr>
          <w:rFonts w:ascii="Arial" w:hAnsi="Arial" w:cs="Arial"/>
          <w:i/>
          <w:sz w:val="22"/>
          <w:szCs w:val="22"/>
        </w:rPr>
        <w:t>A Mandate from the Government to NHS England: April 2014 to March 2015</w:t>
      </w:r>
      <w:r w:rsidRPr="005D264F">
        <w:rPr>
          <w:rFonts w:ascii="Arial" w:hAnsi="Arial" w:cs="Arial"/>
          <w:sz w:val="22"/>
          <w:szCs w:val="22"/>
        </w:rPr>
        <w:t>. Available online at:</w:t>
      </w:r>
    </w:p>
    <w:p w14:paraId="42575C55" w14:textId="77777777" w:rsidR="00DF57DF" w:rsidRPr="005D264F" w:rsidRDefault="00DD38EE" w:rsidP="00DF57DF">
      <w:pPr>
        <w:spacing w:line="480" w:lineRule="auto"/>
        <w:rPr>
          <w:rFonts w:ascii="Arial" w:hAnsi="Arial" w:cs="Arial"/>
          <w:sz w:val="22"/>
          <w:szCs w:val="22"/>
        </w:rPr>
      </w:pPr>
      <w:hyperlink r:id="rId97" w:history="1">
        <w:r w:rsidR="00DF57DF" w:rsidRPr="005D264F">
          <w:rPr>
            <w:rStyle w:val="Hyperlink"/>
            <w:rFonts w:ascii="Arial" w:hAnsi="Arial" w:cs="Arial"/>
            <w:sz w:val="22"/>
            <w:szCs w:val="22"/>
          </w:rPr>
          <w:t>https://www.gov.uk/government/publications/nhs-mandate-2014-to-2015</w:t>
        </w:r>
      </w:hyperlink>
      <w:r w:rsidR="00DF57DF" w:rsidRPr="005D264F">
        <w:rPr>
          <w:rFonts w:ascii="Arial" w:hAnsi="Arial" w:cs="Arial"/>
          <w:sz w:val="22"/>
          <w:szCs w:val="22"/>
        </w:rPr>
        <w:t xml:space="preserve">  Accessed on 4</w:t>
      </w:r>
      <w:r w:rsidR="00DF57DF" w:rsidRPr="005D264F">
        <w:rPr>
          <w:rFonts w:ascii="Arial" w:hAnsi="Arial" w:cs="Arial"/>
          <w:sz w:val="22"/>
          <w:szCs w:val="22"/>
          <w:vertAlign w:val="superscript"/>
        </w:rPr>
        <w:t>th</w:t>
      </w:r>
      <w:r w:rsidR="00DF57DF" w:rsidRPr="005D264F">
        <w:rPr>
          <w:rFonts w:ascii="Arial" w:hAnsi="Arial" w:cs="Arial"/>
          <w:sz w:val="22"/>
          <w:szCs w:val="22"/>
        </w:rPr>
        <w:t xml:space="preserve"> April 2015.</w:t>
      </w:r>
    </w:p>
    <w:p w14:paraId="2C7E12F1" w14:textId="77777777" w:rsidR="00DF57DF" w:rsidRPr="005D264F" w:rsidRDefault="00DF57DF" w:rsidP="00DF57DF">
      <w:pPr>
        <w:spacing w:line="480" w:lineRule="auto"/>
        <w:rPr>
          <w:rFonts w:ascii="Arial" w:hAnsi="Arial" w:cs="Arial"/>
          <w:sz w:val="22"/>
          <w:szCs w:val="22"/>
        </w:rPr>
      </w:pPr>
    </w:p>
    <w:p w14:paraId="7BA9727A"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 xml:space="preserve">NICE (2004a) </w:t>
      </w:r>
      <w:r w:rsidRPr="005D264F">
        <w:rPr>
          <w:rFonts w:ascii="Arial" w:hAnsi="Arial" w:cs="Arial"/>
          <w:i/>
          <w:sz w:val="22"/>
          <w:szCs w:val="22"/>
        </w:rPr>
        <w:t>Anxiety: Management of anxiety (panic disorder, with or without agoraphobia, and generalised anxiety disorder) in adults in primary , secondary and community care</w:t>
      </w:r>
      <w:r w:rsidRPr="005D264F">
        <w:rPr>
          <w:rFonts w:ascii="Arial" w:hAnsi="Arial" w:cs="Arial"/>
          <w:sz w:val="22"/>
          <w:szCs w:val="22"/>
        </w:rPr>
        <w:t xml:space="preserve"> (Clinical Guidance 22) London, UK.</w:t>
      </w:r>
    </w:p>
    <w:p w14:paraId="2E99A4BD" w14:textId="77777777" w:rsidR="00DF57DF" w:rsidRPr="005D264F" w:rsidRDefault="00DF57DF" w:rsidP="00DF57DF">
      <w:pPr>
        <w:spacing w:line="480" w:lineRule="auto"/>
        <w:rPr>
          <w:rFonts w:ascii="Arial" w:hAnsi="Arial" w:cs="Arial"/>
          <w:sz w:val="22"/>
          <w:szCs w:val="22"/>
        </w:rPr>
      </w:pPr>
    </w:p>
    <w:p w14:paraId="5751A839"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 xml:space="preserve">NICE (2004b) </w:t>
      </w:r>
      <w:r w:rsidRPr="005D264F">
        <w:rPr>
          <w:rFonts w:ascii="Arial" w:hAnsi="Arial" w:cs="Arial"/>
          <w:i/>
          <w:sz w:val="22"/>
          <w:szCs w:val="22"/>
        </w:rPr>
        <w:t>Depression: Management of depression in primary and secondary care</w:t>
      </w:r>
      <w:r w:rsidRPr="005D264F">
        <w:rPr>
          <w:rFonts w:ascii="Arial" w:hAnsi="Arial" w:cs="Arial"/>
          <w:sz w:val="22"/>
          <w:szCs w:val="22"/>
        </w:rPr>
        <w:t xml:space="preserve"> (Clinical Guide 23), London, UK.</w:t>
      </w:r>
    </w:p>
    <w:p w14:paraId="72AF6A12" w14:textId="77777777" w:rsidR="00DF57DF" w:rsidRPr="005D264F" w:rsidRDefault="00DF57DF" w:rsidP="00DF57DF">
      <w:pPr>
        <w:spacing w:line="480" w:lineRule="auto"/>
        <w:rPr>
          <w:rFonts w:ascii="Arial" w:hAnsi="Arial" w:cs="Arial"/>
          <w:sz w:val="22"/>
          <w:szCs w:val="22"/>
        </w:rPr>
      </w:pPr>
    </w:p>
    <w:p w14:paraId="4E852CCC"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 xml:space="preserve">NICE (2005a) </w:t>
      </w:r>
      <w:r w:rsidRPr="005D264F">
        <w:rPr>
          <w:rFonts w:ascii="Arial" w:hAnsi="Arial" w:cs="Arial"/>
          <w:i/>
          <w:sz w:val="22"/>
          <w:szCs w:val="22"/>
        </w:rPr>
        <w:t>Obsessive compulsive disorder (OCD): Core interventions in the treatment of obsessive compulsive disorder and body dysmorphic disorder,</w:t>
      </w:r>
      <w:r w:rsidRPr="005D264F">
        <w:rPr>
          <w:rFonts w:ascii="Arial" w:hAnsi="Arial" w:cs="Arial"/>
          <w:sz w:val="22"/>
          <w:szCs w:val="22"/>
        </w:rPr>
        <w:t xml:space="preserve"> (Clinical Guideline 31), London, UK.</w:t>
      </w:r>
    </w:p>
    <w:p w14:paraId="66147C7A" w14:textId="77777777" w:rsidR="00DF57DF" w:rsidRPr="005D264F" w:rsidRDefault="00DF57DF" w:rsidP="00DF57DF">
      <w:pPr>
        <w:spacing w:line="480" w:lineRule="auto"/>
        <w:rPr>
          <w:rFonts w:ascii="Arial" w:hAnsi="Arial" w:cs="Arial"/>
          <w:sz w:val="22"/>
          <w:szCs w:val="22"/>
        </w:rPr>
      </w:pPr>
    </w:p>
    <w:p w14:paraId="3AF84384"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 xml:space="preserve">NICE (2005b) </w:t>
      </w:r>
      <w:r w:rsidRPr="005D264F">
        <w:rPr>
          <w:rFonts w:ascii="Arial" w:hAnsi="Arial" w:cs="Arial"/>
          <w:i/>
          <w:sz w:val="22"/>
          <w:szCs w:val="22"/>
        </w:rPr>
        <w:t>Post traumatic stress disorder (PTSD): The management of PTSD in adults and children in primary and secondary care</w:t>
      </w:r>
      <w:r w:rsidRPr="005D264F">
        <w:rPr>
          <w:rFonts w:ascii="Arial" w:hAnsi="Arial" w:cs="Arial"/>
          <w:sz w:val="22"/>
          <w:szCs w:val="22"/>
        </w:rPr>
        <w:t>, (Clinical Guidline 26), London, UK.</w:t>
      </w:r>
    </w:p>
    <w:p w14:paraId="6142E7B5"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NICE (2006) Computerised cognitive behaviour therapy for depression and anxiety (Technology Appraisal 97), London, UK.</w:t>
      </w:r>
    </w:p>
    <w:p w14:paraId="5EBFF2E7" w14:textId="77777777" w:rsidR="00DF57DF" w:rsidRPr="005D264F" w:rsidRDefault="00DF57DF" w:rsidP="00DF57DF">
      <w:pPr>
        <w:spacing w:line="480" w:lineRule="auto"/>
        <w:rPr>
          <w:rFonts w:ascii="Arial" w:hAnsi="Arial" w:cs="Arial"/>
          <w:sz w:val="22"/>
          <w:szCs w:val="22"/>
        </w:rPr>
      </w:pPr>
    </w:p>
    <w:p w14:paraId="04D67431"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NICE (2009a) Depression: Treatment and management of depression in adults (Clinical Guideline 90), London, UK.</w:t>
      </w:r>
    </w:p>
    <w:p w14:paraId="32344156" w14:textId="77777777" w:rsidR="00DF57DF" w:rsidRPr="005D264F" w:rsidRDefault="00DF57DF" w:rsidP="00DF57DF">
      <w:pPr>
        <w:spacing w:line="480" w:lineRule="auto"/>
        <w:rPr>
          <w:rFonts w:ascii="Arial" w:hAnsi="Arial" w:cs="Arial"/>
          <w:sz w:val="22"/>
          <w:szCs w:val="22"/>
        </w:rPr>
      </w:pPr>
    </w:p>
    <w:p w14:paraId="19BB494D"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NICE (2009b) Depression in adults with a chronic physical health condition: Treatment and management (Clinical Guideline 91), London, UK.</w:t>
      </w:r>
    </w:p>
    <w:p w14:paraId="40F7C645" w14:textId="77777777" w:rsidR="00DF57DF" w:rsidRPr="005D264F" w:rsidRDefault="00DF57DF" w:rsidP="00DF57DF">
      <w:pPr>
        <w:spacing w:line="480" w:lineRule="auto"/>
        <w:rPr>
          <w:rFonts w:ascii="Arial" w:hAnsi="Arial" w:cs="Arial"/>
          <w:sz w:val="22"/>
          <w:szCs w:val="22"/>
        </w:rPr>
      </w:pPr>
    </w:p>
    <w:p w14:paraId="7C7E20DA"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lastRenderedPageBreak/>
        <w:t>NICE (2011 a) Common mental health disorders: Identification and pathways to care, (Clinical Guideline 123), London, UK.</w:t>
      </w:r>
    </w:p>
    <w:p w14:paraId="0DBF3898" w14:textId="77777777" w:rsidR="00DF57DF" w:rsidRPr="005D264F" w:rsidRDefault="00DF57DF" w:rsidP="00DF57DF">
      <w:pPr>
        <w:spacing w:line="480" w:lineRule="auto"/>
        <w:rPr>
          <w:rFonts w:ascii="Arial" w:hAnsi="Arial" w:cs="Arial"/>
          <w:sz w:val="22"/>
          <w:szCs w:val="22"/>
        </w:rPr>
      </w:pPr>
    </w:p>
    <w:p w14:paraId="7BEADA2F"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NICE (2011b)</w:t>
      </w:r>
      <w:r>
        <w:rPr>
          <w:rFonts w:ascii="Arial" w:hAnsi="Arial" w:cs="Arial"/>
          <w:sz w:val="22"/>
          <w:szCs w:val="22"/>
        </w:rPr>
        <w:t>.</w:t>
      </w:r>
      <w:r w:rsidRPr="005D264F">
        <w:rPr>
          <w:rFonts w:ascii="Arial" w:hAnsi="Arial" w:cs="Arial"/>
          <w:sz w:val="22"/>
          <w:szCs w:val="22"/>
        </w:rPr>
        <w:t xml:space="preserve"> Commisioning Guide for people with common mental health disorders. National Institute for health and Clinical Excellence.  Available online at:</w:t>
      </w:r>
    </w:p>
    <w:p w14:paraId="7BC13B66"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https://www.uea.ac.uk/documents/246046/11991919/commissioning-stepped-care-for-people-with-mental-health-disorders.pdf/5245bd72-8769-438f-8603-50c2f635b484</w:t>
      </w:r>
    </w:p>
    <w:p w14:paraId="3F10C1D9"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Accessed 15</w:t>
      </w:r>
      <w:r w:rsidRPr="005D264F">
        <w:rPr>
          <w:rFonts w:ascii="Arial" w:hAnsi="Arial" w:cs="Arial"/>
          <w:sz w:val="22"/>
          <w:szCs w:val="22"/>
          <w:vertAlign w:val="superscript"/>
        </w:rPr>
        <w:t>th</w:t>
      </w:r>
      <w:r w:rsidRPr="005D264F">
        <w:rPr>
          <w:rFonts w:ascii="Arial" w:hAnsi="Arial" w:cs="Arial"/>
          <w:sz w:val="22"/>
          <w:szCs w:val="22"/>
        </w:rPr>
        <w:t xml:space="preserve"> September 201</w:t>
      </w:r>
      <w:r>
        <w:rPr>
          <w:rFonts w:ascii="Arial" w:hAnsi="Arial" w:cs="Arial"/>
          <w:sz w:val="22"/>
          <w:szCs w:val="22"/>
        </w:rPr>
        <w:t>9</w:t>
      </w:r>
    </w:p>
    <w:p w14:paraId="00E97D2C" w14:textId="77777777" w:rsidR="00DF57DF" w:rsidRDefault="00DF57DF" w:rsidP="00DF57DF">
      <w:pPr>
        <w:spacing w:line="480" w:lineRule="auto"/>
        <w:rPr>
          <w:rFonts w:ascii="Arial" w:hAnsi="Arial" w:cs="Arial"/>
          <w:sz w:val="22"/>
          <w:szCs w:val="22"/>
        </w:rPr>
      </w:pPr>
    </w:p>
    <w:p w14:paraId="1873C493"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NICE (2011c).  Commissioning stepped care for people with common mental health disorders. National Institute for Health and Social Care Excellence. Available online at </w:t>
      </w:r>
      <w:r w:rsidRPr="009F2249">
        <w:rPr>
          <w:rFonts w:ascii="Arial" w:hAnsi="Arial" w:cs="Arial"/>
          <w:sz w:val="22"/>
          <w:szCs w:val="22"/>
        </w:rPr>
        <w:t>https://www.uea.ac.uk/documents/246046/11991919/commissioning-stepped-care-for-people-with-mental-health-disorders.pdf/5245bd72-8769-438f-8603-50c2f635b484</w:t>
      </w:r>
    </w:p>
    <w:p w14:paraId="2C48E8BD" w14:textId="77777777" w:rsidR="00DF57DF" w:rsidRDefault="00DF57DF" w:rsidP="00DF57DF">
      <w:pPr>
        <w:spacing w:line="480" w:lineRule="auto"/>
        <w:rPr>
          <w:rFonts w:ascii="Arial" w:hAnsi="Arial" w:cs="Arial"/>
          <w:sz w:val="22"/>
          <w:szCs w:val="22"/>
        </w:rPr>
      </w:pPr>
      <w:r>
        <w:rPr>
          <w:rFonts w:ascii="Arial" w:hAnsi="Arial" w:cs="Arial"/>
          <w:sz w:val="22"/>
          <w:szCs w:val="22"/>
        </w:rPr>
        <w:t>Accessed 24</w:t>
      </w:r>
      <w:r w:rsidRPr="009F2249">
        <w:rPr>
          <w:rFonts w:ascii="Arial" w:hAnsi="Arial" w:cs="Arial"/>
          <w:sz w:val="22"/>
          <w:szCs w:val="22"/>
          <w:vertAlign w:val="superscript"/>
        </w:rPr>
        <w:t>th</w:t>
      </w:r>
      <w:r>
        <w:rPr>
          <w:rFonts w:ascii="Arial" w:hAnsi="Arial" w:cs="Arial"/>
          <w:sz w:val="22"/>
          <w:szCs w:val="22"/>
        </w:rPr>
        <w:t xml:space="preserve"> October 2019</w:t>
      </w:r>
    </w:p>
    <w:p w14:paraId="04155585" w14:textId="77777777" w:rsidR="00DF57DF" w:rsidRDefault="00DF57DF" w:rsidP="00DF57DF">
      <w:pPr>
        <w:spacing w:line="480" w:lineRule="auto"/>
        <w:rPr>
          <w:rFonts w:ascii="Arial" w:hAnsi="Arial" w:cs="Arial"/>
          <w:sz w:val="22"/>
          <w:szCs w:val="22"/>
        </w:rPr>
      </w:pPr>
    </w:p>
    <w:p w14:paraId="417E89A6" w14:textId="70D881A6" w:rsidR="00DF57DF" w:rsidRDefault="00DF57DF" w:rsidP="00DF57DF">
      <w:pPr>
        <w:rPr>
          <w:rFonts w:ascii="Arial" w:hAnsi="Arial" w:cs="Arial"/>
          <w:sz w:val="22"/>
          <w:szCs w:val="22"/>
        </w:rPr>
      </w:pPr>
    </w:p>
    <w:p w14:paraId="2E737B96"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NICE (2018). Developing NICE guidelines, the manual. </w:t>
      </w:r>
      <w:r w:rsidRPr="00CF1552">
        <w:rPr>
          <w:rFonts w:ascii="Arial" w:hAnsi="Arial" w:cs="Arial"/>
          <w:i/>
          <w:iCs/>
          <w:sz w:val="22"/>
          <w:szCs w:val="22"/>
        </w:rPr>
        <w:t>National Institute of Health and Social Care Excellence</w:t>
      </w:r>
      <w:r>
        <w:rPr>
          <w:rFonts w:ascii="Arial" w:hAnsi="Arial" w:cs="Arial"/>
          <w:sz w:val="22"/>
          <w:szCs w:val="22"/>
        </w:rPr>
        <w:t xml:space="preserve">. Available online at </w:t>
      </w:r>
      <w:r w:rsidRPr="00CF1552">
        <w:rPr>
          <w:rFonts w:ascii="Arial" w:hAnsi="Arial" w:cs="Arial"/>
          <w:sz w:val="22"/>
          <w:szCs w:val="22"/>
        </w:rPr>
        <w:t>https://www.nice.org.uk/Media/Default/About/what-we-do/NICE-guidance/NICE-guidelines/Updated-Developing-NICE-guidelines-manual-for-consultation.pdf</w:t>
      </w:r>
    </w:p>
    <w:p w14:paraId="1F58F639" w14:textId="77777777" w:rsidR="00DF57DF" w:rsidRDefault="00DF57DF" w:rsidP="00DF57DF">
      <w:pPr>
        <w:spacing w:line="480" w:lineRule="auto"/>
        <w:rPr>
          <w:rFonts w:ascii="Arial" w:hAnsi="Arial" w:cs="Arial"/>
          <w:sz w:val="22"/>
          <w:szCs w:val="22"/>
        </w:rPr>
      </w:pPr>
      <w:r>
        <w:rPr>
          <w:rFonts w:ascii="Arial" w:hAnsi="Arial" w:cs="Arial"/>
          <w:sz w:val="22"/>
          <w:szCs w:val="22"/>
        </w:rPr>
        <w:t>Accessed 24</w:t>
      </w:r>
      <w:r w:rsidRPr="00CF1552">
        <w:rPr>
          <w:rFonts w:ascii="Arial" w:hAnsi="Arial" w:cs="Arial"/>
          <w:sz w:val="22"/>
          <w:szCs w:val="22"/>
          <w:vertAlign w:val="superscript"/>
        </w:rPr>
        <w:t>th</w:t>
      </w:r>
      <w:r>
        <w:rPr>
          <w:rFonts w:ascii="Arial" w:hAnsi="Arial" w:cs="Arial"/>
          <w:sz w:val="22"/>
          <w:szCs w:val="22"/>
        </w:rPr>
        <w:t xml:space="preserve"> October 2019.</w:t>
      </w:r>
    </w:p>
    <w:p w14:paraId="32EA9C2F" w14:textId="77777777" w:rsidR="00DF57DF" w:rsidRDefault="00DF57DF" w:rsidP="00DF57DF">
      <w:pPr>
        <w:spacing w:line="480" w:lineRule="auto"/>
        <w:rPr>
          <w:rFonts w:ascii="Arial" w:hAnsi="Arial" w:cs="Arial"/>
          <w:sz w:val="22"/>
          <w:szCs w:val="22"/>
        </w:rPr>
      </w:pPr>
    </w:p>
    <w:p w14:paraId="6D7688BE"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t xml:space="preserve">Nissen-Lie, H.A., Goldberg, S.B., Hoyt, W.T., Falkenstrom, F., Holmqvist, R., Nielsen, S.L., and Wampold, B.E. (2016). Are therapist uniformly effective across patient outcome domains? A study on therapist effectiveness across two different treatment contexts. </w:t>
      </w:r>
      <w:r w:rsidRPr="00AF0A4F">
        <w:rPr>
          <w:rFonts w:ascii="Arial" w:hAnsi="Arial" w:cs="Arial"/>
          <w:i/>
          <w:iCs/>
          <w:sz w:val="22"/>
          <w:szCs w:val="22"/>
        </w:rPr>
        <w:t>Journal of Counseling Psychology</w:t>
      </w:r>
      <w:r>
        <w:rPr>
          <w:rFonts w:ascii="Arial" w:hAnsi="Arial" w:cs="Arial"/>
          <w:sz w:val="22"/>
          <w:szCs w:val="22"/>
        </w:rPr>
        <w:t>, 63, 367-378.</w:t>
      </w:r>
    </w:p>
    <w:p w14:paraId="7768E0C6" w14:textId="77777777" w:rsidR="00DF57DF" w:rsidRPr="005D264F" w:rsidRDefault="00DF57DF" w:rsidP="00DF57DF">
      <w:pPr>
        <w:spacing w:line="480" w:lineRule="auto"/>
        <w:rPr>
          <w:rFonts w:ascii="Arial" w:hAnsi="Arial" w:cs="Arial"/>
          <w:sz w:val="22"/>
          <w:szCs w:val="22"/>
        </w:rPr>
      </w:pPr>
    </w:p>
    <w:p w14:paraId="0D840099"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lastRenderedPageBreak/>
        <w:t xml:space="preserve">NMC (2015) </w:t>
      </w:r>
      <w:r w:rsidRPr="005D264F">
        <w:rPr>
          <w:rFonts w:ascii="Arial" w:hAnsi="Arial" w:cs="Arial"/>
          <w:i/>
          <w:sz w:val="22"/>
          <w:szCs w:val="22"/>
        </w:rPr>
        <w:t>Professional Standards of Practice and Behaviour for Nurses and Midwives</w:t>
      </w:r>
      <w:r w:rsidRPr="005D264F">
        <w:rPr>
          <w:rFonts w:ascii="Arial" w:hAnsi="Arial" w:cs="Arial"/>
          <w:sz w:val="22"/>
          <w:szCs w:val="22"/>
        </w:rPr>
        <w:t>. Available online at:</w:t>
      </w:r>
    </w:p>
    <w:p w14:paraId="1C179A04" w14:textId="77777777" w:rsidR="00DF57DF" w:rsidRPr="005D264F" w:rsidRDefault="00DD38EE" w:rsidP="00DF57DF">
      <w:pPr>
        <w:spacing w:line="480" w:lineRule="auto"/>
        <w:rPr>
          <w:rFonts w:ascii="Arial" w:hAnsi="Arial" w:cs="Arial"/>
          <w:sz w:val="22"/>
          <w:szCs w:val="22"/>
        </w:rPr>
      </w:pPr>
      <w:hyperlink r:id="rId98" w:history="1">
        <w:r w:rsidR="00DF57DF" w:rsidRPr="005D264F">
          <w:rPr>
            <w:rStyle w:val="Hyperlink"/>
            <w:rFonts w:ascii="Arial" w:hAnsi="Arial" w:cs="Arial"/>
            <w:sz w:val="22"/>
            <w:szCs w:val="22"/>
          </w:rPr>
          <w:t>http://www.nmc.org.uk/globalassets/sitedocuments/nmc-publications/revised-new-nmc-code.pdf</w:t>
        </w:r>
      </w:hyperlink>
    </w:p>
    <w:p w14:paraId="507C5A47"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Accessed 16</w:t>
      </w:r>
      <w:r w:rsidRPr="005D264F">
        <w:rPr>
          <w:rFonts w:ascii="Arial" w:hAnsi="Arial" w:cs="Arial"/>
          <w:sz w:val="22"/>
          <w:szCs w:val="22"/>
          <w:vertAlign w:val="superscript"/>
        </w:rPr>
        <w:t>th</w:t>
      </w:r>
      <w:r w:rsidRPr="005D264F">
        <w:rPr>
          <w:rFonts w:ascii="Arial" w:hAnsi="Arial" w:cs="Arial"/>
          <w:sz w:val="22"/>
          <w:szCs w:val="22"/>
        </w:rPr>
        <w:t xml:space="preserve"> June 2015</w:t>
      </w:r>
    </w:p>
    <w:p w14:paraId="4DA032EE" w14:textId="77777777" w:rsidR="00DF57DF" w:rsidRDefault="00DF57DF" w:rsidP="00DF57DF">
      <w:pPr>
        <w:spacing w:line="480" w:lineRule="auto"/>
        <w:rPr>
          <w:rFonts w:ascii="Arial" w:hAnsi="Arial" w:cs="Arial"/>
          <w:sz w:val="22"/>
          <w:szCs w:val="22"/>
        </w:rPr>
      </w:pPr>
    </w:p>
    <w:p w14:paraId="15CEA5D6"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t xml:space="preserve">Noddings, N. (2003). </w:t>
      </w:r>
      <w:r w:rsidRPr="00FB74F4">
        <w:rPr>
          <w:rFonts w:ascii="Arial" w:hAnsi="Arial" w:cs="Arial"/>
          <w:i/>
          <w:iCs/>
          <w:sz w:val="22"/>
          <w:szCs w:val="22"/>
        </w:rPr>
        <w:t>Caring: A Feminine Approach to Ethics and Moral Education</w:t>
      </w:r>
      <w:r>
        <w:rPr>
          <w:rFonts w:ascii="Arial" w:hAnsi="Arial" w:cs="Arial"/>
          <w:sz w:val="22"/>
          <w:szCs w:val="22"/>
        </w:rPr>
        <w:t>. Berkeley, California, University of California Press.</w:t>
      </w:r>
    </w:p>
    <w:p w14:paraId="33BCC042" w14:textId="77777777" w:rsidR="00DF57DF" w:rsidRPr="005D264F" w:rsidRDefault="00DF57DF" w:rsidP="00DF57DF">
      <w:pPr>
        <w:spacing w:line="480" w:lineRule="auto"/>
        <w:rPr>
          <w:rFonts w:ascii="Arial" w:hAnsi="Arial" w:cs="Arial"/>
          <w:sz w:val="22"/>
          <w:szCs w:val="22"/>
        </w:rPr>
      </w:pPr>
    </w:p>
    <w:p w14:paraId="6B2882AF"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No Health Without Mental Health (2011)</w:t>
      </w:r>
      <w:r>
        <w:rPr>
          <w:rFonts w:ascii="Arial" w:hAnsi="Arial" w:cs="Arial"/>
          <w:sz w:val="22"/>
          <w:szCs w:val="22"/>
        </w:rPr>
        <w:t xml:space="preserve">. </w:t>
      </w:r>
      <w:r w:rsidRPr="005D264F">
        <w:rPr>
          <w:rFonts w:ascii="Arial" w:hAnsi="Arial" w:cs="Arial"/>
          <w:sz w:val="22"/>
          <w:szCs w:val="22"/>
        </w:rPr>
        <w:t xml:space="preserve"> available online at:</w:t>
      </w:r>
    </w:p>
    <w:p w14:paraId="0C2A6432" w14:textId="77777777" w:rsidR="00DF57DF" w:rsidRPr="005D264F" w:rsidRDefault="00DD38EE" w:rsidP="00DF57DF">
      <w:pPr>
        <w:spacing w:line="480" w:lineRule="auto"/>
        <w:rPr>
          <w:rFonts w:ascii="Arial" w:hAnsi="Arial" w:cs="Arial"/>
          <w:sz w:val="22"/>
          <w:szCs w:val="22"/>
        </w:rPr>
      </w:pPr>
      <w:hyperlink r:id="rId99" w:history="1">
        <w:r w:rsidR="00DF57DF" w:rsidRPr="005D264F">
          <w:rPr>
            <w:rStyle w:val="Hyperlink"/>
            <w:rFonts w:ascii="Arial" w:hAnsi="Arial" w:cs="Arial"/>
            <w:sz w:val="22"/>
            <w:szCs w:val="22"/>
          </w:rPr>
          <w:t>https://www.gov.uk/government/uploads/system/uploads/attachment_data/file/</w:t>
        </w:r>
      </w:hyperlink>
    </w:p>
    <w:p w14:paraId="515285F0"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213761/dh_124058.pdf</w:t>
      </w:r>
    </w:p>
    <w:p w14:paraId="65E935BB"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Accessed on 28</w:t>
      </w:r>
      <w:r w:rsidRPr="005D264F">
        <w:rPr>
          <w:rFonts w:ascii="Arial" w:hAnsi="Arial" w:cs="Arial"/>
          <w:sz w:val="22"/>
          <w:szCs w:val="22"/>
          <w:vertAlign w:val="superscript"/>
        </w:rPr>
        <w:t>th</w:t>
      </w:r>
      <w:r w:rsidRPr="005D264F">
        <w:rPr>
          <w:rFonts w:ascii="Arial" w:hAnsi="Arial" w:cs="Arial"/>
          <w:sz w:val="22"/>
          <w:szCs w:val="22"/>
        </w:rPr>
        <w:t xml:space="preserve"> April 201</w:t>
      </w:r>
      <w:r>
        <w:rPr>
          <w:rFonts w:ascii="Arial" w:hAnsi="Arial" w:cs="Arial"/>
          <w:sz w:val="22"/>
          <w:szCs w:val="22"/>
        </w:rPr>
        <w:t>9</w:t>
      </w:r>
    </w:p>
    <w:p w14:paraId="3EBF3634" w14:textId="77777777" w:rsidR="00DF57DF" w:rsidRPr="005D264F" w:rsidRDefault="00DF57DF" w:rsidP="00DF57DF">
      <w:pPr>
        <w:spacing w:line="480" w:lineRule="auto"/>
        <w:rPr>
          <w:rFonts w:ascii="Arial" w:hAnsi="Arial" w:cs="Arial"/>
          <w:sz w:val="22"/>
          <w:szCs w:val="22"/>
        </w:rPr>
      </w:pPr>
    </w:p>
    <w:p w14:paraId="488F389D"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OECD (2012). Social expenditure data base. </w:t>
      </w:r>
      <w:r w:rsidRPr="004E2EB6">
        <w:rPr>
          <w:rFonts w:ascii="Arial" w:hAnsi="Arial" w:cs="Arial"/>
          <w:i/>
          <w:iCs/>
          <w:sz w:val="22"/>
          <w:szCs w:val="22"/>
        </w:rPr>
        <w:t>Organisation for Economic Co-operation and Development.</w:t>
      </w:r>
      <w:r>
        <w:rPr>
          <w:rFonts w:ascii="Arial" w:hAnsi="Arial" w:cs="Arial"/>
          <w:sz w:val="22"/>
          <w:szCs w:val="22"/>
        </w:rPr>
        <w:t xml:space="preserve"> Available online at </w:t>
      </w:r>
      <w:r w:rsidRPr="004E2EB6">
        <w:rPr>
          <w:rFonts w:ascii="Arial" w:hAnsi="Arial" w:cs="Arial"/>
          <w:sz w:val="22"/>
          <w:szCs w:val="22"/>
        </w:rPr>
        <w:t>https://www.oecd.org/social/expenditure.htm</w:t>
      </w:r>
    </w:p>
    <w:p w14:paraId="397BC311" w14:textId="77777777" w:rsidR="00DF57DF" w:rsidRDefault="00DF57DF" w:rsidP="00DF57DF">
      <w:pPr>
        <w:spacing w:line="480" w:lineRule="auto"/>
        <w:rPr>
          <w:rFonts w:ascii="Arial" w:hAnsi="Arial" w:cs="Arial"/>
          <w:sz w:val="22"/>
          <w:szCs w:val="22"/>
        </w:rPr>
      </w:pPr>
      <w:r>
        <w:rPr>
          <w:rFonts w:ascii="Arial" w:hAnsi="Arial" w:cs="Arial"/>
          <w:sz w:val="22"/>
          <w:szCs w:val="22"/>
        </w:rPr>
        <w:t>Accessed 25</w:t>
      </w:r>
      <w:r w:rsidRPr="004E2EB6">
        <w:rPr>
          <w:rFonts w:ascii="Arial" w:hAnsi="Arial" w:cs="Arial"/>
          <w:sz w:val="22"/>
          <w:szCs w:val="22"/>
          <w:vertAlign w:val="superscript"/>
        </w:rPr>
        <w:t>th</w:t>
      </w:r>
      <w:r>
        <w:rPr>
          <w:rFonts w:ascii="Arial" w:hAnsi="Arial" w:cs="Arial"/>
          <w:sz w:val="22"/>
          <w:szCs w:val="22"/>
        </w:rPr>
        <w:t xml:space="preserve"> October 2019</w:t>
      </w:r>
    </w:p>
    <w:p w14:paraId="5BF72975"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OECD (2018)</w:t>
      </w:r>
      <w:r>
        <w:rPr>
          <w:rFonts w:ascii="Arial" w:hAnsi="Arial" w:cs="Arial"/>
          <w:sz w:val="22"/>
          <w:szCs w:val="22"/>
        </w:rPr>
        <w:t>.</w:t>
      </w:r>
      <w:r w:rsidRPr="005D264F">
        <w:rPr>
          <w:rFonts w:ascii="Arial" w:hAnsi="Arial" w:cs="Arial"/>
          <w:sz w:val="22"/>
          <w:szCs w:val="22"/>
        </w:rPr>
        <w:t xml:space="preserve"> Public spending on education (indicator). </w:t>
      </w:r>
      <w:r w:rsidRPr="004E2EB6">
        <w:rPr>
          <w:rFonts w:ascii="Arial" w:hAnsi="Arial" w:cs="Arial"/>
          <w:i/>
          <w:iCs/>
          <w:sz w:val="22"/>
          <w:szCs w:val="22"/>
        </w:rPr>
        <w:t>Organisation for Economic Co-operation and Development</w:t>
      </w:r>
      <w:r>
        <w:rPr>
          <w:rFonts w:ascii="Arial" w:hAnsi="Arial" w:cs="Arial"/>
          <w:i/>
          <w:iCs/>
          <w:sz w:val="22"/>
          <w:szCs w:val="22"/>
        </w:rPr>
        <w:t>.</w:t>
      </w:r>
      <w:r w:rsidRPr="005D264F">
        <w:rPr>
          <w:rFonts w:ascii="Arial" w:hAnsi="Arial" w:cs="Arial"/>
          <w:sz w:val="22"/>
          <w:szCs w:val="22"/>
        </w:rPr>
        <w:t xml:space="preserve"> Available online at:</w:t>
      </w:r>
    </w:p>
    <w:p w14:paraId="33FE55E1"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https://data.oecd.org/eduresource/public-spending-on-education.htm (Accessed on 04 January 201</w:t>
      </w:r>
      <w:r>
        <w:rPr>
          <w:rFonts w:ascii="Arial" w:hAnsi="Arial" w:cs="Arial"/>
          <w:sz w:val="22"/>
          <w:szCs w:val="22"/>
        </w:rPr>
        <w:t>9</w:t>
      </w:r>
      <w:r w:rsidRPr="005D264F">
        <w:rPr>
          <w:rFonts w:ascii="Arial" w:hAnsi="Arial" w:cs="Arial"/>
          <w:sz w:val="22"/>
          <w:szCs w:val="22"/>
        </w:rPr>
        <w:t>)</w:t>
      </w:r>
    </w:p>
    <w:p w14:paraId="3F31738D" w14:textId="77777777" w:rsidR="00DF57DF" w:rsidRDefault="00DF57DF" w:rsidP="00DF57DF">
      <w:pPr>
        <w:spacing w:line="480" w:lineRule="auto"/>
        <w:rPr>
          <w:rFonts w:ascii="Arial" w:hAnsi="Arial" w:cs="Arial"/>
          <w:sz w:val="22"/>
          <w:szCs w:val="22"/>
        </w:rPr>
      </w:pPr>
    </w:p>
    <w:p w14:paraId="672AC7C1" w14:textId="77777777" w:rsidR="00DF57DF" w:rsidRDefault="00DF57DF" w:rsidP="00DF57DF">
      <w:pPr>
        <w:spacing w:line="480" w:lineRule="auto"/>
        <w:rPr>
          <w:rFonts w:ascii="Arial" w:hAnsi="Arial" w:cs="Arial"/>
          <w:sz w:val="22"/>
          <w:szCs w:val="22"/>
        </w:rPr>
      </w:pPr>
      <w:r>
        <w:rPr>
          <w:rFonts w:ascii="Arial" w:hAnsi="Arial" w:cs="Arial"/>
          <w:sz w:val="22"/>
          <w:szCs w:val="22"/>
        </w:rPr>
        <w:t>Okiishi, J., Lambert, M.J, Nielsen, S.L., and Ogles, B.M. (2003) Waiting for supershrink: An empirical analysis of therapist effects. Clinical Psychology and Psychotherapy, 10, 361-373.</w:t>
      </w:r>
    </w:p>
    <w:p w14:paraId="6F3E27A7" w14:textId="77777777" w:rsidR="00DF57DF" w:rsidRDefault="00DF57DF" w:rsidP="00DF57DF">
      <w:pPr>
        <w:spacing w:line="480" w:lineRule="auto"/>
        <w:rPr>
          <w:rFonts w:ascii="Arial" w:hAnsi="Arial" w:cs="Arial"/>
          <w:sz w:val="22"/>
          <w:szCs w:val="22"/>
        </w:rPr>
      </w:pPr>
    </w:p>
    <w:p w14:paraId="3E842B21"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Padesky,C.A. (1996). Developing cognitive therapist competency: Training and supervision models. In Salkovskis, P.M.(Ed.) </w:t>
      </w:r>
      <w:r w:rsidRPr="001D3999">
        <w:rPr>
          <w:rFonts w:ascii="Arial" w:hAnsi="Arial" w:cs="Arial"/>
          <w:i/>
          <w:iCs/>
          <w:sz w:val="22"/>
          <w:szCs w:val="22"/>
        </w:rPr>
        <w:t>Frontiers of Cognitive Therapy</w:t>
      </w:r>
      <w:r>
        <w:rPr>
          <w:rFonts w:ascii="Arial" w:hAnsi="Arial" w:cs="Arial"/>
          <w:sz w:val="22"/>
          <w:szCs w:val="22"/>
        </w:rPr>
        <w:t>, pp. 266-292. New York, Guildford Press.</w:t>
      </w:r>
    </w:p>
    <w:p w14:paraId="6F775565" w14:textId="77777777" w:rsidR="00DF57DF" w:rsidRDefault="00DF57DF" w:rsidP="00DF57DF">
      <w:pPr>
        <w:spacing w:line="480" w:lineRule="auto"/>
        <w:rPr>
          <w:rFonts w:ascii="Arial" w:hAnsi="Arial" w:cs="Arial"/>
          <w:sz w:val="22"/>
          <w:szCs w:val="22"/>
        </w:rPr>
      </w:pPr>
      <w:r>
        <w:rPr>
          <w:rFonts w:ascii="Arial" w:hAnsi="Arial" w:cs="Arial"/>
          <w:sz w:val="22"/>
          <w:szCs w:val="22"/>
        </w:rPr>
        <w:lastRenderedPageBreak/>
        <w:t xml:space="preserve">Papaioannou, D., Sutton, A., Carroll, C., Booth, A., and Wong, R. (2010). Literature seraching for social science systematic reviews: Consideration of a range of search techniques. </w:t>
      </w:r>
      <w:r w:rsidRPr="000307A3">
        <w:rPr>
          <w:rFonts w:ascii="Arial" w:hAnsi="Arial" w:cs="Arial"/>
          <w:i/>
          <w:iCs/>
          <w:sz w:val="22"/>
          <w:szCs w:val="22"/>
        </w:rPr>
        <w:t>Health Information and Libraries Journal,</w:t>
      </w:r>
      <w:r>
        <w:rPr>
          <w:rFonts w:ascii="Arial" w:hAnsi="Arial" w:cs="Arial"/>
          <w:sz w:val="22"/>
          <w:szCs w:val="22"/>
        </w:rPr>
        <w:t xml:space="preserve"> 2, 114-122.</w:t>
      </w:r>
    </w:p>
    <w:p w14:paraId="5013FDAD" w14:textId="77777777" w:rsidR="00DF57DF" w:rsidRDefault="00DF57DF" w:rsidP="00DF57DF">
      <w:pPr>
        <w:spacing w:line="480" w:lineRule="auto"/>
        <w:rPr>
          <w:rFonts w:ascii="Arial" w:hAnsi="Arial" w:cs="Arial"/>
          <w:sz w:val="22"/>
          <w:szCs w:val="22"/>
        </w:rPr>
      </w:pPr>
    </w:p>
    <w:p w14:paraId="29F7A499"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Parker, Z.J., and Waller, G., (2015). Factors related to psychotherapists self-assessment when treating anxiety and other disorders. </w:t>
      </w:r>
      <w:r w:rsidRPr="00D7432C">
        <w:rPr>
          <w:rFonts w:ascii="Arial" w:hAnsi="Arial" w:cs="Arial"/>
          <w:i/>
          <w:iCs/>
          <w:sz w:val="22"/>
          <w:szCs w:val="22"/>
        </w:rPr>
        <w:t>Behaviour Research and Therapy</w:t>
      </w:r>
      <w:r>
        <w:rPr>
          <w:rFonts w:ascii="Arial" w:hAnsi="Arial" w:cs="Arial"/>
          <w:sz w:val="22"/>
          <w:szCs w:val="22"/>
        </w:rPr>
        <w:t>, 66, 1-7.</w:t>
      </w:r>
    </w:p>
    <w:p w14:paraId="1C7257C1" w14:textId="77777777" w:rsidR="00DF57DF" w:rsidRDefault="00DF57DF" w:rsidP="00DF57DF">
      <w:pPr>
        <w:spacing w:line="480" w:lineRule="auto"/>
        <w:rPr>
          <w:rFonts w:ascii="Arial" w:hAnsi="Arial" w:cs="Arial"/>
          <w:sz w:val="22"/>
          <w:szCs w:val="22"/>
        </w:rPr>
      </w:pPr>
    </w:p>
    <w:p w14:paraId="699D363E"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Persons, J.B., Bostrum, A., Bertagnolli, A. (1999). Results of randomized controlled trials of cognitive therapy for depression generalise to private practice. </w:t>
      </w:r>
      <w:r w:rsidRPr="00EC1A69">
        <w:rPr>
          <w:rFonts w:ascii="Arial" w:hAnsi="Arial" w:cs="Arial"/>
          <w:i/>
          <w:iCs/>
          <w:sz w:val="22"/>
          <w:szCs w:val="22"/>
        </w:rPr>
        <w:t>Cognitive Therapy and Research,</w:t>
      </w:r>
      <w:r>
        <w:rPr>
          <w:rFonts w:ascii="Arial" w:hAnsi="Arial" w:cs="Arial"/>
          <w:sz w:val="22"/>
          <w:szCs w:val="22"/>
        </w:rPr>
        <w:t xml:space="preserve"> 23, 535-548.</w:t>
      </w:r>
    </w:p>
    <w:p w14:paraId="4F36CC07" w14:textId="77777777" w:rsidR="00DF57DF" w:rsidRPr="005D264F" w:rsidRDefault="00DF57DF" w:rsidP="00DF57DF">
      <w:pPr>
        <w:spacing w:line="480" w:lineRule="auto"/>
        <w:rPr>
          <w:rFonts w:ascii="Arial" w:hAnsi="Arial" w:cs="Arial"/>
          <w:sz w:val="22"/>
          <w:szCs w:val="22"/>
        </w:rPr>
      </w:pPr>
    </w:p>
    <w:p w14:paraId="043E0AC7"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 xml:space="preserve">Persons, J..B., Roberts, N.A., Zalecki, C.A. and Brechwald, W.A.G. (2006), Naturalistic outcome of case-formulation driven cognitive-behaviour therapy for anxious depressed outpatients. </w:t>
      </w:r>
      <w:r w:rsidRPr="005D264F">
        <w:rPr>
          <w:rFonts w:ascii="Arial" w:hAnsi="Arial" w:cs="Arial"/>
          <w:i/>
          <w:sz w:val="22"/>
          <w:szCs w:val="22"/>
        </w:rPr>
        <w:t>Behaviour Research and Therapy</w:t>
      </w:r>
      <w:r w:rsidRPr="005D264F">
        <w:rPr>
          <w:rFonts w:ascii="Arial" w:hAnsi="Arial" w:cs="Arial"/>
          <w:sz w:val="22"/>
          <w:szCs w:val="22"/>
        </w:rPr>
        <w:t>, 44, 1041- 1051.</w:t>
      </w:r>
    </w:p>
    <w:p w14:paraId="5B302CCA" w14:textId="77777777" w:rsidR="00DF57DF" w:rsidRDefault="00DF57DF" w:rsidP="00DF57DF">
      <w:pPr>
        <w:spacing w:line="480" w:lineRule="auto"/>
        <w:rPr>
          <w:rFonts w:ascii="Arial" w:hAnsi="Arial" w:cs="Arial"/>
          <w:sz w:val="22"/>
          <w:szCs w:val="22"/>
        </w:rPr>
      </w:pPr>
    </w:p>
    <w:p w14:paraId="62331992" w14:textId="77777777" w:rsidR="00DF57DF" w:rsidRDefault="00DF57DF" w:rsidP="00DF57DF">
      <w:pPr>
        <w:spacing w:line="480" w:lineRule="auto"/>
        <w:rPr>
          <w:rFonts w:ascii="Arial" w:hAnsi="Arial" w:cs="Arial"/>
          <w:sz w:val="22"/>
          <w:szCs w:val="22"/>
        </w:rPr>
      </w:pPr>
    </w:p>
    <w:p w14:paraId="5D68EE39"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Pereira, J.A., Barkham, M., Kellett, S., and Saxon, D. (2017). The role of practitioner resilience and mindfulness in effective practice: A practitioner-based feasibility study. </w:t>
      </w:r>
      <w:r w:rsidRPr="00246350">
        <w:rPr>
          <w:rFonts w:ascii="Arial" w:hAnsi="Arial" w:cs="Arial"/>
          <w:i/>
          <w:iCs/>
          <w:sz w:val="22"/>
          <w:szCs w:val="22"/>
        </w:rPr>
        <w:t>Administration and Policy in Mental Health and Mental Health Services Research,</w:t>
      </w:r>
      <w:r>
        <w:rPr>
          <w:rFonts w:ascii="Arial" w:hAnsi="Arial" w:cs="Arial"/>
          <w:sz w:val="22"/>
          <w:szCs w:val="22"/>
        </w:rPr>
        <w:t xml:space="preserve"> 44, 691-704.</w:t>
      </w:r>
    </w:p>
    <w:p w14:paraId="1D87E809" w14:textId="77777777" w:rsidR="00DF57DF" w:rsidRDefault="00DF57DF" w:rsidP="00DF57DF">
      <w:pPr>
        <w:spacing w:line="480" w:lineRule="auto"/>
        <w:rPr>
          <w:rFonts w:ascii="Arial" w:hAnsi="Arial" w:cs="Arial"/>
          <w:sz w:val="22"/>
          <w:szCs w:val="22"/>
        </w:rPr>
      </w:pPr>
    </w:p>
    <w:p w14:paraId="01DD6742"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Pilecki, B., and McKay, D., (2013). The theory-practice gap in cognitive-behavior therapy. </w:t>
      </w:r>
      <w:r w:rsidRPr="00210C93">
        <w:rPr>
          <w:rFonts w:ascii="Arial" w:hAnsi="Arial" w:cs="Arial"/>
          <w:i/>
          <w:iCs/>
          <w:sz w:val="22"/>
          <w:szCs w:val="22"/>
        </w:rPr>
        <w:t>Behavior Therapy</w:t>
      </w:r>
      <w:r>
        <w:rPr>
          <w:rFonts w:ascii="Arial" w:hAnsi="Arial" w:cs="Arial"/>
          <w:sz w:val="22"/>
          <w:szCs w:val="22"/>
        </w:rPr>
        <w:t>, 44, 541-547.</w:t>
      </w:r>
    </w:p>
    <w:p w14:paraId="25CEF51E" w14:textId="77777777" w:rsidR="00DF57DF" w:rsidRPr="005D264F" w:rsidRDefault="00DF57DF" w:rsidP="00DF57DF">
      <w:pPr>
        <w:spacing w:line="480" w:lineRule="auto"/>
        <w:rPr>
          <w:rFonts w:ascii="Arial" w:hAnsi="Arial" w:cs="Arial"/>
          <w:sz w:val="22"/>
          <w:szCs w:val="22"/>
        </w:rPr>
      </w:pPr>
    </w:p>
    <w:p w14:paraId="0F9E44D7"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 xml:space="preserve">Premier, M. and Talbot, F. (2013) CBT guided self help compares favourably to gold standard therapist-administered CBT and shows unique benefits over traditional treatment, </w:t>
      </w:r>
      <w:r w:rsidRPr="005D264F">
        <w:rPr>
          <w:rFonts w:ascii="Arial" w:hAnsi="Arial" w:cs="Arial"/>
          <w:i/>
          <w:sz w:val="22"/>
          <w:szCs w:val="22"/>
        </w:rPr>
        <w:t>Behaviour Change</w:t>
      </w:r>
      <w:r w:rsidRPr="005D264F">
        <w:rPr>
          <w:rFonts w:ascii="Arial" w:hAnsi="Arial" w:cs="Arial"/>
          <w:sz w:val="22"/>
          <w:szCs w:val="22"/>
        </w:rPr>
        <w:t>, 30 (4) 227-240.</w:t>
      </w:r>
    </w:p>
    <w:p w14:paraId="45C3946B" w14:textId="77777777" w:rsidR="00DF57DF" w:rsidRDefault="00DF57DF" w:rsidP="00DF57DF">
      <w:pPr>
        <w:spacing w:line="480" w:lineRule="auto"/>
        <w:rPr>
          <w:rFonts w:ascii="Arial" w:hAnsi="Arial" w:cs="Arial"/>
          <w:sz w:val="22"/>
          <w:szCs w:val="22"/>
        </w:rPr>
      </w:pPr>
    </w:p>
    <w:p w14:paraId="7B219C11" w14:textId="77777777" w:rsidR="00DF57DF" w:rsidRDefault="00DF57DF" w:rsidP="00DF57DF">
      <w:pPr>
        <w:spacing w:line="480" w:lineRule="auto"/>
        <w:rPr>
          <w:rFonts w:ascii="Arial" w:hAnsi="Arial" w:cs="Arial"/>
          <w:sz w:val="22"/>
          <w:szCs w:val="22"/>
        </w:rPr>
      </w:pPr>
      <w:r>
        <w:rPr>
          <w:rFonts w:ascii="Arial" w:hAnsi="Arial" w:cs="Arial"/>
          <w:sz w:val="22"/>
          <w:szCs w:val="22"/>
        </w:rPr>
        <w:lastRenderedPageBreak/>
        <w:t>Pybis, J., Saxon, D., Hill, A., and Barkham, M. (2017). the comparative effectiveness and efficiency of cognitive behaviour therapy and generic counselling in the treatment of depression: Evidence from the 2</w:t>
      </w:r>
      <w:r w:rsidRPr="00994E45">
        <w:rPr>
          <w:rFonts w:ascii="Arial" w:hAnsi="Arial" w:cs="Arial"/>
          <w:sz w:val="22"/>
          <w:szCs w:val="22"/>
          <w:vertAlign w:val="superscript"/>
        </w:rPr>
        <w:t>nd</w:t>
      </w:r>
      <w:r>
        <w:rPr>
          <w:rFonts w:ascii="Arial" w:hAnsi="Arial" w:cs="Arial"/>
          <w:sz w:val="22"/>
          <w:szCs w:val="22"/>
        </w:rPr>
        <w:t xml:space="preserve"> UK national audit of psychological therapies. </w:t>
      </w:r>
      <w:r w:rsidRPr="00994E45">
        <w:rPr>
          <w:rFonts w:ascii="Arial" w:hAnsi="Arial" w:cs="Arial"/>
          <w:i/>
          <w:iCs/>
          <w:sz w:val="22"/>
          <w:szCs w:val="22"/>
        </w:rPr>
        <w:t>BMC Psychiatry</w:t>
      </w:r>
      <w:r>
        <w:rPr>
          <w:rFonts w:ascii="Arial" w:hAnsi="Arial" w:cs="Arial"/>
          <w:sz w:val="22"/>
          <w:szCs w:val="22"/>
        </w:rPr>
        <w:t xml:space="preserve">. Available online at </w:t>
      </w:r>
      <w:r w:rsidRPr="00994E45">
        <w:rPr>
          <w:rFonts w:ascii="Arial" w:hAnsi="Arial" w:cs="Arial"/>
          <w:sz w:val="22"/>
          <w:szCs w:val="22"/>
        </w:rPr>
        <w:t>https://bmcpsychiatry.biomedcentral.com/articles/10.1186/s12888-017-1370-7</w:t>
      </w:r>
    </w:p>
    <w:p w14:paraId="536D3827" w14:textId="77777777" w:rsidR="00DF57DF" w:rsidRDefault="00DF57DF" w:rsidP="00DF57DF">
      <w:pPr>
        <w:spacing w:line="480" w:lineRule="auto"/>
        <w:rPr>
          <w:rFonts w:ascii="Arial" w:hAnsi="Arial" w:cs="Arial"/>
          <w:sz w:val="22"/>
          <w:szCs w:val="22"/>
        </w:rPr>
      </w:pPr>
      <w:r>
        <w:rPr>
          <w:rFonts w:ascii="Arial" w:hAnsi="Arial" w:cs="Arial"/>
          <w:sz w:val="22"/>
          <w:szCs w:val="22"/>
        </w:rPr>
        <w:t>Accessed 26</w:t>
      </w:r>
      <w:r w:rsidRPr="00994E45">
        <w:rPr>
          <w:rFonts w:ascii="Arial" w:hAnsi="Arial" w:cs="Arial"/>
          <w:sz w:val="22"/>
          <w:szCs w:val="22"/>
          <w:vertAlign w:val="superscript"/>
        </w:rPr>
        <w:t>th</w:t>
      </w:r>
      <w:r>
        <w:rPr>
          <w:rFonts w:ascii="Arial" w:hAnsi="Arial" w:cs="Arial"/>
          <w:sz w:val="22"/>
          <w:szCs w:val="22"/>
        </w:rPr>
        <w:t xml:space="preserve"> October 2019.</w:t>
      </w:r>
    </w:p>
    <w:p w14:paraId="2010134D" w14:textId="77777777" w:rsidR="00DF57DF" w:rsidRPr="005D264F" w:rsidRDefault="00DF57DF" w:rsidP="00DF57DF">
      <w:pPr>
        <w:spacing w:line="480" w:lineRule="auto"/>
        <w:rPr>
          <w:rFonts w:ascii="Arial" w:hAnsi="Arial" w:cs="Arial"/>
          <w:sz w:val="22"/>
          <w:szCs w:val="22"/>
        </w:rPr>
      </w:pPr>
    </w:p>
    <w:p w14:paraId="23C1305D"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Quarmby,L., Rimes, K., Deale, A., Wessley, S. and Chalder, T. (2007)</w:t>
      </w:r>
      <w:r>
        <w:rPr>
          <w:rFonts w:ascii="Arial" w:hAnsi="Arial" w:cs="Arial"/>
          <w:sz w:val="22"/>
          <w:szCs w:val="22"/>
        </w:rPr>
        <w:t>.</w:t>
      </w:r>
      <w:r w:rsidRPr="005D264F">
        <w:rPr>
          <w:rFonts w:ascii="Arial" w:hAnsi="Arial" w:cs="Arial"/>
          <w:sz w:val="22"/>
          <w:szCs w:val="22"/>
        </w:rPr>
        <w:t xml:space="preserve"> Cognitive behvaiour therapy for chronic fatigue syndrome: comparison of outcomes within and outside the confines of a randomised control trial. </w:t>
      </w:r>
      <w:r w:rsidRPr="005D264F">
        <w:rPr>
          <w:rFonts w:ascii="Arial" w:hAnsi="Arial" w:cs="Arial"/>
          <w:i/>
          <w:sz w:val="22"/>
          <w:szCs w:val="22"/>
        </w:rPr>
        <w:t>Behaviour Research and Therapy</w:t>
      </w:r>
      <w:r w:rsidRPr="005D264F">
        <w:rPr>
          <w:rFonts w:ascii="Arial" w:hAnsi="Arial" w:cs="Arial"/>
          <w:sz w:val="22"/>
          <w:szCs w:val="22"/>
        </w:rPr>
        <w:t>. 45, 1085 - 1094.</w:t>
      </w:r>
    </w:p>
    <w:p w14:paraId="45692CE3" w14:textId="77777777" w:rsidR="00DF57DF" w:rsidRDefault="00DF57DF" w:rsidP="00DF57DF">
      <w:pPr>
        <w:spacing w:line="480" w:lineRule="auto"/>
        <w:rPr>
          <w:rFonts w:ascii="Arial" w:hAnsi="Arial" w:cs="Arial"/>
          <w:sz w:val="22"/>
          <w:szCs w:val="22"/>
        </w:rPr>
      </w:pPr>
    </w:p>
    <w:p w14:paraId="6EEBD6C8"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Raimy, V.C. (1950). </w:t>
      </w:r>
      <w:r w:rsidRPr="005B4F96">
        <w:rPr>
          <w:rFonts w:ascii="Arial" w:hAnsi="Arial" w:cs="Arial"/>
          <w:i/>
          <w:iCs/>
          <w:sz w:val="22"/>
          <w:szCs w:val="22"/>
        </w:rPr>
        <w:t>Training in Clinical Psychology</w:t>
      </w:r>
      <w:r>
        <w:rPr>
          <w:rFonts w:ascii="Arial" w:hAnsi="Arial" w:cs="Arial"/>
          <w:sz w:val="22"/>
          <w:szCs w:val="22"/>
        </w:rPr>
        <w:t>. Englewood Cliffs, New Jersey, Prentice Hall.</w:t>
      </w:r>
    </w:p>
    <w:p w14:paraId="689B9A15" w14:textId="77777777" w:rsidR="00DF57DF" w:rsidRDefault="00DF57DF" w:rsidP="00DF57DF">
      <w:pPr>
        <w:spacing w:line="480" w:lineRule="auto"/>
        <w:rPr>
          <w:rFonts w:ascii="Arial" w:hAnsi="Arial" w:cs="Arial"/>
          <w:sz w:val="22"/>
          <w:szCs w:val="22"/>
        </w:rPr>
      </w:pPr>
    </w:p>
    <w:p w14:paraId="3E9F9577"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Raudenbush, S.W., and Bryk, A.S. (2002). </w:t>
      </w:r>
      <w:r w:rsidRPr="007D1375">
        <w:rPr>
          <w:rFonts w:ascii="Arial" w:hAnsi="Arial" w:cs="Arial"/>
          <w:i/>
          <w:iCs/>
          <w:sz w:val="22"/>
          <w:szCs w:val="22"/>
        </w:rPr>
        <w:t>Hierarchical Linear Models: Applications and Data Analysis Methods</w:t>
      </w:r>
      <w:r>
        <w:rPr>
          <w:rFonts w:ascii="Arial" w:hAnsi="Arial" w:cs="Arial"/>
          <w:sz w:val="22"/>
          <w:szCs w:val="22"/>
        </w:rPr>
        <w:t>. Thousand Oaks, California, Sage Publications.</w:t>
      </w:r>
    </w:p>
    <w:p w14:paraId="0B35C9EE" w14:textId="77777777" w:rsidR="00DF57DF" w:rsidRDefault="00DF57DF" w:rsidP="00DF57DF">
      <w:pPr>
        <w:spacing w:line="480" w:lineRule="auto"/>
        <w:rPr>
          <w:rFonts w:ascii="Arial" w:hAnsi="Arial" w:cs="Arial"/>
          <w:sz w:val="22"/>
          <w:szCs w:val="22"/>
        </w:rPr>
      </w:pPr>
    </w:p>
    <w:p w14:paraId="29905ED1"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Rector, N.A., and Cassin, S.E. (2010). Clinical expertise in cognitive behvaioural therapy: Definition and pathways to acquisition. </w:t>
      </w:r>
      <w:r w:rsidRPr="00EE2A07">
        <w:rPr>
          <w:rFonts w:ascii="Arial" w:hAnsi="Arial" w:cs="Arial"/>
          <w:i/>
          <w:iCs/>
          <w:sz w:val="22"/>
          <w:szCs w:val="22"/>
        </w:rPr>
        <w:t>Journal of Contemporary Psychotherapy</w:t>
      </w:r>
      <w:r>
        <w:rPr>
          <w:rFonts w:ascii="Arial" w:hAnsi="Arial" w:cs="Arial"/>
          <w:sz w:val="22"/>
          <w:szCs w:val="22"/>
        </w:rPr>
        <w:t>, 40, 153-161.</w:t>
      </w:r>
    </w:p>
    <w:p w14:paraId="229249F9" w14:textId="77777777" w:rsidR="00DF57DF" w:rsidRDefault="00DF57DF" w:rsidP="00DF57DF">
      <w:pPr>
        <w:spacing w:line="480" w:lineRule="auto"/>
        <w:rPr>
          <w:rFonts w:ascii="Arial" w:hAnsi="Arial" w:cs="Arial"/>
          <w:sz w:val="22"/>
          <w:szCs w:val="22"/>
        </w:rPr>
      </w:pPr>
    </w:p>
    <w:p w14:paraId="612CAB53"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Reichelt, F.K., James, I.A., and Blackburn, I.M. (2003). Impact of training on rating competence in cognitive therapy. </w:t>
      </w:r>
      <w:r w:rsidRPr="00112C72">
        <w:rPr>
          <w:rFonts w:ascii="Arial" w:hAnsi="Arial" w:cs="Arial"/>
          <w:i/>
          <w:iCs/>
          <w:sz w:val="22"/>
          <w:szCs w:val="22"/>
        </w:rPr>
        <w:t>Behavior Therapy and Experimental Psychiatry,</w:t>
      </w:r>
      <w:r>
        <w:rPr>
          <w:rFonts w:ascii="Arial" w:hAnsi="Arial" w:cs="Arial"/>
          <w:sz w:val="22"/>
          <w:szCs w:val="22"/>
        </w:rPr>
        <w:t xml:space="preserve"> 34, 87-99.</w:t>
      </w:r>
    </w:p>
    <w:p w14:paraId="09B56F24" w14:textId="77777777" w:rsidR="00DF57DF" w:rsidRDefault="00DF57DF" w:rsidP="00DF57DF">
      <w:pPr>
        <w:spacing w:line="480" w:lineRule="auto"/>
        <w:rPr>
          <w:rFonts w:ascii="Arial" w:hAnsi="Arial" w:cs="Arial"/>
          <w:sz w:val="22"/>
          <w:szCs w:val="22"/>
        </w:rPr>
      </w:pPr>
    </w:p>
    <w:p w14:paraId="10755F58"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Resko, S.M., Walton, M.A., Chermack, S.T., Blow, F.C., and Cunningham, R.M. (2012). Therapist competence and treatment adherence for a brief intervention addressing alcohol and violence among adolescents. </w:t>
      </w:r>
      <w:r w:rsidRPr="00D7563E">
        <w:rPr>
          <w:rFonts w:ascii="Arial" w:hAnsi="Arial" w:cs="Arial"/>
          <w:i/>
          <w:iCs/>
          <w:sz w:val="22"/>
          <w:szCs w:val="22"/>
        </w:rPr>
        <w:t>Journal of Substance Abuse Treatment,</w:t>
      </w:r>
      <w:r>
        <w:rPr>
          <w:rFonts w:ascii="Arial" w:hAnsi="Arial" w:cs="Arial"/>
          <w:sz w:val="22"/>
          <w:szCs w:val="22"/>
        </w:rPr>
        <w:t xml:space="preserve"> 24, 429-437.</w:t>
      </w:r>
    </w:p>
    <w:p w14:paraId="01D76D58" w14:textId="77777777" w:rsidR="00DF57DF" w:rsidRDefault="00DF57DF" w:rsidP="00DF57DF">
      <w:pPr>
        <w:spacing w:line="480" w:lineRule="auto"/>
        <w:rPr>
          <w:rFonts w:ascii="Arial" w:hAnsi="Arial" w:cs="Arial"/>
          <w:sz w:val="22"/>
          <w:szCs w:val="22"/>
        </w:rPr>
      </w:pPr>
    </w:p>
    <w:p w14:paraId="408A6930"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shd w:val="clear" w:color="auto" w:fill="FFFFFF"/>
        </w:rPr>
        <w:lastRenderedPageBreak/>
        <w:t xml:space="preserve">Resick, P.A., Monson, C.M. and Chard, K.M. (2007) </w:t>
      </w:r>
      <w:r w:rsidRPr="005D264F">
        <w:rPr>
          <w:rFonts w:ascii="Arial" w:hAnsi="Arial" w:cs="Arial"/>
          <w:i/>
          <w:iCs/>
          <w:sz w:val="22"/>
          <w:szCs w:val="22"/>
          <w:shd w:val="clear" w:color="auto" w:fill="FFFFFF"/>
        </w:rPr>
        <w:t xml:space="preserve">Cognitive processing therapy: Veteran/Military version </w:t>
      </w:r>
      <w:r w:rsidRPr="005D264F">
        <w:rPr>
          <w:rFonts w:ascii="Arial" w:hAnsi="Arial" w:cs="Arial"/>
          <w:sz w:val="22"/>
          <w:szCs w:val="22"/>
          <w:shd w:val="clear" w:color="auto" w:fill="FFFFFF"/>
        </w:rPr>
        <w:t xml:space="preserve">Washington, DC: Department of Veterans’ Affairs </w:t>
      </w:r>
    </w:p>
    <w:p w14:paraId="18F23454" w14:textId="77777777" w:rsidR="00DF57DF" w:rsidRPr="005D264F" w:rsidRDefault="00DF57DF" w:rsidP="00DF57DF">
      <w:pPr>
        <w:spacing w:line="480" w:lineRule="auto"/>
        <w:rPr>
          <w:rFonts w:ascii="Arial" w:hAnsi="Arial" w:cs="Arial"/>
          <w:sz w:val="22"/>
          <w:szCs w:val="22"/>
        </w:rPr>
      </w:pPr>
    </w:p>
    <w:p w14:paraId="1ECE357D"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t xml:space="preserve">Richards, D.A., and Suckling, R. (2009). Improving access to psychological therapies: Phase IV prospective cohort study. </w:t>
      </w:r>
      <w:r w:rsidRPr="00A87C25">
        <w:rPr>
          <w:rFonts w:ascii="Arial" w:hAnsi="Arial" w:cs="Arial"/>
          <w:i/>
          <w:iCs/>
          <w:sz w:val="22"/>
          <w:szCs w:val="22"/>
        </w:rPr>
        <w:t>British Journal of Clinical Psychology</w:t>
      </w:r>
      <w:r>
        <w:rPr>
          <w:rFonts w:ascii="Arial" w:hAnsi="Arial" w:cs="Arial"/>
          <w:sz w:val="22"/>
          <w:szCs w:val="22"/>
        </w:rPr>
        <w:t>, 48, 377-396.</w:t>
      </w:r>
    </w:p>
    <w:p w14:paraId="67E6AE03" w14:textId="77777777" w:rsidR="00DF57DF" w:rsidRDefault="00DF57DF" w:rsidP="00DF57DF">
      <w:pPr>
        <w:spacing w:line="480" w:lineRule="auto"/>
        <w:rPr>
          <w:rFonts w:ascii="Arial" w:hAnsi="Arial" w:cs="Arial"/>
          <w:sz w:val="22"/>
          <w:szCs w:val="22"/>
        </w:rPr>
      </w:pPr>
    </w:p>
    <w:p w14:paraId="17AE8C5F"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Richards, D., Tumulak, L. and Hevey, D. (2013)</w:t>
      </w:r>
      <w:r>
        <w:rPr>
          <w:rFonts w:ascii="Arial" w:hAnsi="Arial" w:cs="Arial"/>
          <w:sz w:val="22"/>
          <w:szCs w:val="22"/>
        </w:rPr>
        <w:t>.</w:t>
      </w:r>
      <w:r w:rsidRPr="005D264F">
        <w:rPr>
          <w:rFonts w:ascii="Arial" w:hAnsi="Arial" w:cs="Arial"/>
          <w:sz w:val="22"/>
          <w:szCs w:val="22"/>
        </w:rPr>
        <w:t xml:space="preserve"> A comparison of two online cognitive behavioural interventions for symptoms depression in a student population: The role of therapist responsiveness, </w:t>
      </w:r>
      <w:r w:rsidRPr="005D264F">
        <w:rPr>
          <w:rFonts w:ascii="Arial" w:hAnsi="Arial" w:cs="Arial"/>
          <w:i/>
          <w:sz w:val="22"/>
          <w:szCs w:val="22"/>
        </w:rPr>
        <w:t>Counselling and Psychotherapy Research</w:t>
      </w:r>
      <w:r w:rsidRPr="005D264F">
        <w:rPr>
          <w:rFonts w:ascii="Arial" w:hAnsi="Arial" w:cs="Arial"/>
          <w:sz w:val="22"/>
          <w:szCs w:val="22"/>
        </w:rPr>
        <w:t>, 13 (3), 184-193.</w:t>
      </w:r>
    </w:p>
    <w:p w14:paraId="1E4BE5D7" w14:textId="77777777" w:rsidR="00DF57DF" w:rsidRDefault="00DF57DF" w:rsidP="00DF57DF">
      <w:pPr>
        <w:spacing w:line="480" w:lineRule="auto"/>
        <w:rPr>
          <w:rFonts w:ascii="Arial" w:hAnsi="Arial" w:cs="Arial"/>
          <w:sz w:val="22"/>
          <w:szCs w:val="22"/>
        </w:rPr>
      </w:pPr>
    </w:p>
    <w:p w14:paraId="60BD2DF7"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t xml:space="preserve">Ricks, D.F. (1974). Supershrink: methods of a therapist judged successful on the basis of adult outcomes of adolescent patients. In Ricks, D.F. Roff, M. and Thomas, A. (Eds.) </w:t>
      </w:r>
      <w:r w:rsidRPr="00320051">
        <w:rPr>
          <w:rFonts w:ascii="Arial" w:hAnsi="Arial" w:cs="Arial"/>
          <w:i/>
          <w:iCs/>
          <w:sz w:val="22"/>
          <w:szCs w:val="22"/>
        </w:rPr>
        <w:t>Life History Research in Psychopathology</w:t>
      </w:r>
      <w:r>
        <w:rPr>
          <w:rFonts w:ascii="Arial" w:hAnsi="Arial" w:cs="Arial"/>
          <w:sz w:val="22"/>
          <w:szCs w:val="22"/>
        </w:rPr>
        <w:t>, Minneapolis, University of Minnesota Press.</w:t>
      </w:r>
    </w:p>
    <w:p w14:paraId="549933CC" w14:textId="77777777" w:rsidR="00DF57DF" w:rsidRDefault="00DF57DF" w:rsidP="00DF57DF">
      <w:pPr>
        <w:spacing w:line="480" w:lineRule="auto"/>
        <w:rPr>
          <w:rFonts w:ascii="Arial" w:hAnsi="Arial" w:cs="Arial"/>
          <w:sz w:val="22"/>
          <w:szCs w:val="22"/>
        </w:rPr>
      </w:pPr>
    </w:p>
    <w:p w14:paraId="1464F580"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t xml:space="preserve">Rogers, C.R. (1975). Empathic: An unappreciated way of being. </w:t>
      </w:r>
      <w:r w:rsidRPr="001F7314">
        <w:rPr>
          <w:rFonts w:ascii="Arial" w:hAnsi="Arial" w:cs="Arial"/>
          <w:i/>
          <w:iCs/>
          <w:sz w:val="22"/>
          <w:szCs w:val="22"/>
        </w:rPr>
        <w:t>The Counseling Psychologist,</w:t>
      </w:r>
      <w:r>
        <w:rPr>
          <w:rFonts w:ascii="Arial" w:hAnsi="Arial" w:cs="Arial"/>
          <w:sz w:val="22"/>
          <w:szCs w:val="22"/>
        </w:rPr>
        <w:t xml:space="preserve"> 5, 2-10.</w:t>
      </w:r>
    </w:p>
    <w:p w14:paraId="002AE18E" w14:textId="77777777" w:rsidR="00DF57DF" w:rsidRPr="005D264F" w:rsidRDefault="00DF57DF" w:rsidP="00DF57DF">
      <w:pPr>
        <w:spacing w:line="480" w:lineRule="auto"/>
        <w:rPr>
          <w:rFonts w:ascii="Arial" w:hAnsi="Arial" w:cs="Arial"/>
          <w:sz w:val="22"/>
          <w:szCs w:val="22"/>
        </w:rPr>
      </w:pPr>
    </w:p>
    <w:p w14:paraId="081BC4F4"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 xml:space="preserve">Roth A., and Fonagy, P. (2005) </w:t>
      </w:r>
      <w:r w:rsidRPr="005D264F">
        <w:rPr>
          <w:rFonts w:ascii="Arial" w:hAnsi="Arial" w:cs="Arial"/>
          <w:i/>
          <w:sz w:val="22"/>
          <w:szCs w:val="22"/>
        </w:rPr>
        <w:t>What Works for Whom</w:t>
      </w:r>
      <w:r w:rsidRPr="005D264F">
        <w:rPr>
          <w:rFonts w:ascii="Arial" w:hAnsi="Arial" w:cs="Arial"/>
          <w:sz w:val="22"/>
          <w:szCs w:val="22"/>
        </w:rPr>
        <w:t>: A critical review of psychotherapy research. Second Edition. The Guildford Press, London.</w:t>
      </w:r>
    </w:p>
    <w:p w14:paraId="2C5F793E" w14:textId="77777777" w:rsidR="00DF57DF" w:rsidRPr="005D264F" w:rsidRDefault="00DF57DF" w:rsidP="00DF57DF">
      <w:pPr>
        <w:spacing w:line="480" w:lineRule="auto"/>
        <w:rPr>
          <w:rFonts w:ascii="Arial" w:hAnsi="Arial" w:cs="Arial"/>
          <w:sz w:val="22"/>
          <w:szCs w:val="22"/>
        </w:rPr>
      </w:pPr>
    </w:p>
    <w:p w14:paraId="65BB1501" w14:textId="77777777" w:rsidR="00DF57DF" w:rsidRDefault="00DF57DF" w:rsidP="00DF57DF">
      <w:pPr>
        <w:spacing w:line="480" w:lineRule="auto"/>
        <w:rPr>
          <w:rFonts w:ascii="Arial" w:hAnsi="Arial" w:cs="Arial"/>
          <w:sz w:val="22"/>
          <w:szCs w:val="22"/>
        </w:rPr>
      </w:pPr>
      <w:r>
        <w:rPr>
          <w:rFonts w:ascii="Arial" w:hAnsi="Arial" w:cs="Arial"/>
          <w:sz w:val="22"/>
          <w:szCs w:val="22"/>
        </w:rPr>
        <w:t>Roth, A.D, and Pilling, S. (2007). The competencies required to deliver effective cognitive and behavioural therapy for people with depression and with anxiety disorders. Department of Health, available online at</w:t>
      </w:r>
    </w:p>
    <w:p w14:paraId="5521C1FC" w14:textId="77777777" w:rsidR="00DF57DF" w:rsidRDefault="00DF57DF" w:rsidP="00DF57DF">
      <w:pPr>
        <w:spacing w:line="480" w:lineRule="auto"/>
        <w:rPr>
          <w:rFonts w:ascii="Arial" w:hAnsi="Arial" w:cs="Arial"/>
          <w:sz w:val="22"/>
          <w:szCs w:val="22"/>
        </w:rPr>
      </w:pPr>
      <w:r w:rsidRPr="00804B24">
        <w:rPr>
          <w:rFonts w:ascii="Arial" w:hAnsi="Arial" w:cs="Arial"/>
          <w:sz w:val="22"/>
          <w:szCs w:val="22"/>
        </w:rPr>
        <w:t>https://www.researchgate.net/publication/237549113_The_Competences_Required_to_Deliver_Effective_Cognitive_and_Behavioural_Therapy_for_People_with_Depression_and_with_Anxiety_Disorders</w:t>
      </w:r>
    </w:p>
    <w:p w14:paraId="0B1BB106" w14:textId="77777777" w:rsidR="00DF57DF" w:rsidRDefault="00DF57DF" w:rsidP="00DF57DF">
      <w:pPr>
        <w:spacing w:line="480" w:lineRule="auto"/>
        <w:rPr>
          <w:rFonts w:ascii="Arial" w:hAnsi="Arial" w:cs="Arial"/>
          <w:sz w:val="22"/>
          <w:szCs w:val="22"/>
        </w:rPr>
      </w:pPr>
      <w:r>
        <w:rPr>
          <w:rFonts w:ascii="Arial" w:hAnsi="Arial" w:cs="Arial"/>
          <w:sz w:val="22"/>
          <w:szCs w:val="22"/>
        </w:rPr>
        <w:t>Accessed 7</w:t>
      </w:r>
      <w:r w:rsidRPr="00804B24">
        <w:rPr>
          <w:rFonts w:ascii="Arial" w:hAnsi="Arial" w:cs="Arial"/>
          <w:sz w:val="22"/>
          <w:szCs w:val="22"/>
          <w:vertAlign w:val="superscript"/>
        </w:rPr>
        <w:t>th</w:t>
      </w:r>
      <w:r>
        <w:rPr>
          <w:rFonts w:ascii="Arial" w:hAnsi="Arial" w:cs="Arial"/>
          <w:sz w:val="22"/>
          <w:szCs w:val="22"/>
        </w:rPr>
        <w:t xml:space="preserve"> October 2019.</w:t>
      </w:r>
    </w:p>
    <w:p w14:paraId="4062E9CD" w14:textId="77777777" w:rsidR="00DF57DF" w:rsidRPr="005D264F" w:rsidRDefault="00DF57DF" w:rsidP="00DF57DF">
      <w:pPr>
        <w:spacing w:line="480" w:lineRule="auto"/>
        <w:rPr>
          <w:rFonts w:ascii="Arial" w:hAnsi="Arial" w:cs="Arial"/>
          <w:sz w:val="22"/>
          <w:szCs w:val="22"/>
        </w:rPr>
      </w:pPr>
    </w:p>
    <w:p w14:paraId="2DB04746"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lastRenderedPageBreak/>
        <w:t>Roth, A.D.</w:t>
      </w:r>
      <w:r>
        <w:rPr>
          <w:rFonts w:ascii="Arial" w:hAnsi="Arial" w:cs="Arial"/>
          <w:sz w:val="22"/>
          <w:szCs w:val="22"/>
        </w:rPr>
        <w:t>,</w:t>
      </w:r>
      <w:r w:rsidRPr="005D264F">
        <w:rPr>
          <w:rFonts w:ascii="Arial" w:hAnsi="Arial" w:cs="Arial"/>
          <w:sz w:val="22"/>
          <w:szCs w:val="22"/>
        </w:rPr>
        <w:t xml:space="preserve"> and Pilling, S. (2008)</w:t>
      </w:r>
      <w:r>
        <w:rPr>
          <w:rFonts w:ascii="Arial" w:hAnsi="Arial" w:cs="Arial"/>
          <w:sz w:val="22"/>
          <w:szCs w:val="22"/>
        </w:rPr>
        <w:t>.</w:t>
      </w:r>
      <w:r w:rsidRPr="005D264F">
        <w:rPr>
          <w:rFonts w:ascii="Arial" w:hAnsi="Arial" w:cs="Arial"/>
          <w:sz w:val="22"/>
          <w:szCs w:val="22"/>
        </w:rPr>
        <w:t xml:space="preserve"> Using an evidenced based methodology to identify the competencies required to deliver effective cognitive and behavioural therapy for depression and anxiety disorders. </w:t>
      </w:r>
      <w:r w:rsidRPr="005D264F">
        <w:rPr>
          <w:rFonts w:ascii="Arial" w:hAnsi="Arial" w:cs="Arial"/>
          <w:i/>
          <w:sz w:val="22"/>
          <w:szCs w:val="22"/>
        </w:rPr>
        <w:t>Behavioural and Cognitive Psychotherapy</w:t>
      </w:r>
      <w:r w:rsidRPr="005D264F">
        <w:rPr>
          <w:rFonts w:ascii="Arial" w:hAnsi="Arial" w:cs="Arial"/>
          <w:sz w:val="22"/>
          <w:szCs w:val="22"/>
        </w:rPr>
        <w:t>, 36 (3), 129-147.</w:t>
      </w:r>
    </w:p>
    <w:p w14:paraId="5EAB0E30" w14:textId="77777777" w:rsidR="00DF57DF" w:rsidRDefault="00DF57DF" w:rsidP="00DF57DF">
      <w:pPr>
        <w:spacing w:line="480" w:lineRule="auto"/>
        <w:rPr>
          <w:rFonts w:ascii="Arial" w:hAnsi="Arial" w:cs="Arial"/>
          <w:sz w:val="22"/>
          <w:szCs w:val="22"/>
        </w:rPr>
      </w:pPr>
    </w:p>
    <w:p w14:paraId="634C2565" w14:textId="77777777" w:rsidR="00DF57DF" w:rsidRDefault="00DF57DF" w:rsidP="00DF57DF">
      <w:pPr>
        <w:spacing w:line="480" w:lineRule="auto"/>
        <w:rPr>
          <w:rFonts w:ascii="Arial" w:hAnsi="Arial" w:cs="Arial"/>
          <w:sz w:val="22"/>
          <w:szCs w:val="22"/>
        </w:rPr>
      </w:pPr>
      <w:r>
        <w:rPr>
          <w:rFonts w:ascii="Arial" w:hAnsi="Arial" w:cs="Arial"/>
          <w:sz w:val="22"/>
          <w:szCs w:val="22"/>
        </w:rPr>
        <w:t>Roth, A.D., Pilling, S., and Turner, J. (2010). Therapist training and supervision in clinical trials: Implications for clinical practice. B</w:t>
      </w:r>
      <w:r w:rsidRPr="00960822">
        <w:rPr>
          <w:rFonts w:ascii="Arial" w:hAnsi="Arial" w:cs="Arial"/>
          <w:i/>
          <w:iCs/>
          <w:sz w:val="22"/>
          <w:szCs w:val="22"/>
        </w:rPr>
        <w:t>ehavioural and Cognitive Psychotherapy,</w:t>
      </w:r>
      <w:r>
        <w:rPr>
          <w:rFonts w:ascii="Arial" w:hAnsi="Arial" w:cs="Arial"/>
          <w:sz w:val="22"/>
          <w:szCs w:val="22"/>
        </w:rPr>
        <w:t xml:space="preserve"> 38, 291-302.</w:t>
      </w:r>
    </w:p>
    <w:p w14:paraId="7B438B59" w14:textId="77777777" w:rsidR="00DF57DF" w:rsidRDefault="00DF57DF" w:rsidP="00DF57DF">
      <w:pPr>
        <w:spacing w:line="480" w:lineRule="auto"/>
        <w:rPr>
          <w:rFonts w:ascii="Arial" w:hAnsi="Arial" w:cs="Arial"/>
          <w:sz w:val="22"/>
          <w:szCs w:val="22"/>
        </w:rPr>
      </w:pPr>
    </w:p>
    <w:p w14:paraId="6945D89B"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Sarantakos, S. (2005). </w:t>
      </w:r>
      <w:r w:rsidRPr="00312E21">
        <w:rPr>
          <w:rFonts w:ascii="Arial" w:hAnsi="Arial" w:cs="Arial"/>
          <w:i/>
          <w:iCs/>
          <w:sz w:val="22"/>
          <w:szCs w:val="22"/>
        </w:rPr>
        <w:t>Social Research</w:t>
      </w:r>
      <w:r>
        <w:rPr>
          <w:rFonts w:ascii="Arial" w:hAnsi="Arial" w:cs="Arial"/>
          <w:sz w:val="22"/>
          <w:szCs w:val="22"/>
        </w:rPr>
        <w:t>. New York, Palgrave Mac-Millan.</w:t>
      </w:r>
    </w:p>
    <w:p w14:paraId="37939524" w14:textId="77777777" w:rsidR="00DF57DF" w:rsidRDefault="00DF57DF" w:rsidP="00DF57DF">
      <w:pPr>
        <w:spacing w:line="480" w:lineRule="auto"/>
        <w:rPr>
          <w:rFonts w:ascii="Arial" w:hAnsi="Arial" w:cs="Arial"/>
          <w:sz w:val="22"/>
          <w:szCs w:val="22"/>
        </w:rPr>
      </w:pPr>
    </w:p>
    <w:p w14:paraId="33CD4FF5"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Saxon, D., and Barkham, M. (2012). Patterns of therapist variability: Therapist effects and the contribution of patient severity and risk. </w:t>
      </w:r>
      <w:r w:rsidRPr="00373DFF">
        <w:rPr>
          <w:rFonts w:ascii="Arial" w:hAnsi="Arial" w:cs="Arial"/>
          <w:i/>
          <w:iCs/>
          <w:sz w:val="22"/>
          <w:szCs w:val="22"/>
        </w:rPr>
        <w:t>Journal of Consulting and Clinical Psychology</w:t>
      </w:r>
      <w:r>
        <w:rPr>
          <w:rFonts w:ascii="Arial" w:hAnsi="Arial" w:cs="Arial"/>
          <w:sz w:val="22"/>
          <w:szCs w:val="22"/>
        </w:rPr>
        <w:t>, 80, 535-546.</w:t>
      </w:r>
    </w:p>
    <w:p w14:paraId="66814796" w14:textId="77777777" w:rsidR="00DF57DF" w:rsidRDefault="00DF57DF" w:rsidP="00DF57DF">
      <w:pPr>
        <w:spacing w:line="480" w:lineRule="auto"/>
        <w:rPr>
          <w:rFonts w:ascii="Arial" w:hAnsi="Arial" w:cs="Arial"/>
          <w:sz w:val="22"/>
          <w:szCs w:val="22"/>
        </w:rPr>
      </w:pPr>
    </w:p>
    <w:p w14:paraId="08A440AE"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Saxon, D., Barkham, M., Foster, A., and Parry, G. (2016). The contribution of therapist effects to patient dropout and deterioration in the psychological therapies. </w:t>
      </w:r>
      <w:r w:rsidRPr="007A7940">
        <w:rPr>
          <w:rFonts w:ascii="Arial" w:hAnsi="Arial" w:cs="Arial"/>
          <w:i/>
          <w:iCs/>
          <w:sz w:val="22"/>
          <w:szCs w:val="22"/>
        </w:rPr>
        <w:t>Clinical Psychology and Psychotherapy</w:t>
      </w:r>
      <w:r>
        <w:rPr>
          <w:rFonts w:ascii="Arial" w:hAnsi="Arial" w:cs="Arial"/>
          <w:sz w:val="22"/>
          <w:szCs w:val="22"/>
        </w:rPr>
        <w:t>, 24, 575-588.</w:t>
      </w:r>
    </w:p>
    <w:p w14:paraId="2051F801" w14:textId="77777777" w:rsidR="00DF57DF" w:rsidRDefault="00DF57DF" w:rsidP="00DF57DF">
      <w:pPr>
        <w:spacing w:line="480" w:lineRule="auto"/>
        <w:rPr>
          <w:rFonts w:ascii="Arial" w:hAnsi="Arial" w:cs="Arial"/>
          <w:sz w:val="22"/>
          <w:szCs w:val="22"/>
        </w:rPr>
      </w:pPr>
    </w:p>
    <w:p w14:paraId="03A3F8F6"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Saxon, D., Firth, N., Barkham, M. (2017). The relationship between therapist effects and therapy delivery factors: Therapy modality, dosage, and non-completion. </w:t>
      </w:r>
      <w:r w:rsidRPr="00320051">
        <w:rPr>
          <w:rFonts w:ascii="Arial" w:hAnsi="Arial" w:cs="Arial"/>
          <w:i/>
          <w:iCs/>
          <w:sz w:val="22"/>
          <w:szCs w:val="22"/>
        </w:rPr>
        <w:t>Administration and Policy in Mental Health and Mental Health Services Research</w:t>
      </w:r>
      <w:r>
        <w:rPr>
          <w:rFonts w:ascii="Arial" w:hAnsi="Arial" w:cs="Arial"/>
          <w:sz w:val="22"/>
          <w:szCs w:val="22"/>
        </w:rPr>
        <w:t>, 44, 705-715.</w:t>
      </w:r>
    </w:p>
    <w:p w14:paraId="4492AA7E" w14:textId="77777777" w:rsidR="00DF57DF" w:rsidRDefault="00DF57DF" w:rsidP="00DF57DF">
      <w:pPr>
        <w:spacing w:line="480" w:lineRule="auto"/>
        <w:rPr>
          <w:rFonts w:ascii="Arial" w:hAnsi="Arial" w:cs="Arial"/>
          <w:sz w:val="22"/>
          <w:szCs w:val="22"/>
        </w:rPr>
      </w:pPr>
    </w:p>
    <w:p w14:paraId="49A3754C"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Schiefele, A.K., Lutz, W., Barkham, M., Rubel, J., Saxon, D., Schulte, D.,  Lambert, M.J. (2016). The extent of therapist effects in routine care- An investigation of contributing factors on 50,000 cases. </w:t>
      </w:r>
      <w:r w:rsidRPr="00320051">
        <w:rPr>
          <w:rFonts w:ascii="Arial" w:hAnsi="Arial" w:cs="Arial"/>
          <w:i/>
          <w:iCs/>
          <w:sz w:val="22"/>
          <w:szCs w:val="22"/>
        </w:rPr>
        <w:t>Administration and Policy in Mental Health and Mental Health Services Research</w:t>
      </w:r>
      <w:r>
        <w:rPr>
          <w:rFonts w:ascii="Arial" w:hAnsi="Arial" w:cs="Arial"/>
          <w:sz w:val="22"/>
          <w:szCs w:val="22"/>
        </w:rPr>
        <w:t>, 44, 598-613.</w:t>
      </w:r>
    </w:p>
    <w:p w14:paraId="1ED7B011" w14:textId="77777777" w:rsidR="00DF57DF" w:rsidRDefault="00DF57DF" w:rsidP="00DF57DF">
      <w:pPr>
        <w:spacing w:line="480" w:lineRule="auto"/>
        <w:rPr>
          <w:rFonts w:ascii="Arial" w:hAnsi="Arial" w:cs="Arial"/>
          <w:sz w:val="22"/>
          <w:szCs w:val="22"/>
        </w:rPr>
      </w:pPr>
    </w:p>
    <w:p w14:paraId="538A2C47"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lastRenderedPageBreak/>
        <w:t xml:space="preserve">Schmidt, I.D., Strunk, D.R., DeRubeis, R.J., Conklin, L.R. and Braun, J.D. (2018). Revisiting how we assess therapist competence in cognitive therapy. </w:t>
      </w:r>
      <w:r w:rsidRPr="00580E58">
        <w:rPr>
          <w:rFonts w:ascii="Arial" w:hAnsi="Arial" w:cs="Arial"/>
          <w:i/>
          <w:iCs/>
          <w:sz w:val="22"/>
          <w:szCs w:val="22"/>
        </w:rPr>
        <w:t>Cognitive Therapy and Research</w:t>
      </w:r>
      <w:r>
        <w:rPr>
          <w:rFonts w:ascii="Arial" w:hAnsi="Arial" w:cs="Arial"/>
          <w:sz w:val="22"/>
          <w:szCs w:val="22"/>
        </w:rPr>
        <w:t>, 42, 369-384.</w:t>
      </w:r>
    </w:p>
    <w:p w14:paraId="76D19128" w14:textId="77777777" w:rsidR="00DF57DF" w:rsidRPr="005D264F" w:rsidRDefault="00DF57DF" w:rsidP="00DF57DF">
      <w:pPr>
        <w:spacing w:line="480" w:lineRule="auto"/>
        <w:rPr>
          <w:rFonts w:ascii="Arial" w:hAnsi="Arial" w:cs="Arial"/>
          <w:sz w:val="22"/>
          <w:szCs w:val="22"/>
        </w:rPr>
      </w:pPr>
    </w:p>
    <w:p w14:paraId="60BAA4EA"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Schon, D.A. (1983)</w:t>
      </w:r>
      <w:r>
        <w:rPr>
          <w:rFonts w:ascii="Arial" w:hAnsi="Arial" w:cs="Arial"/>
          <w:sz w:val="22"/>
          <w:szCs w:val="22"/>
        </w:rPr>
        <w:t>.</w:t>
      </w:r>
      <w:r w:rsidRPr="005D264F">
        <w:rPr>
          <w:rFonts w:ascii="Arial" w:hAnsi="Arial" w:cs="Arial"/>
          <w:sz w:val="22"/>
          <w:szCs w:val="22"/>
        </w:rPr>
        <w:t xml:space="preserve"> </w:t>
      </w:r>
      <w:r w:rsidRPr="005D264F">
        <w:rPr>
          <w:rFonts w:ascii="Arial" w:hAnsi="Arial" w:cs="Arial"/>
          <w:i/>
          <w:sz w:val="22"/>
          <w:szCs w:val="22"/>
        </w:rPr>
        <w:t>The Reflective Practitioner,</w:t>
      </w:r>
      <w:r w:rsidRPr="005D264F">
        <w:rPr>
          <w:rFonts w:ascii="Arial" w:hAnsi="Arial" w:cs="Arial"/>
          <w:sz w:val="22"/>
          <w:szCs w:val="22"/>
        </w:rPr>
        <w:t xml:space="preserve"> Temple Smith, London.</w:t>
      </w:r>
    </w:p>
    <w:p w14:paraId="735588BC" w14:textId="77777777" w:rsidR="00DF57DF" w:rsidRDefault="00DF57DF" w:rsidP="00DF57DF">
      <w:pPr>
        <w:spacing w:line="480" w:lineRule="auto"/>
        <w:rPr>
          <w:rFonts w:ascii="Arial" w:hAnsi="Arial" w:cs="Arial"/>
          <w:sz w:val="22"/>
          <w:szCs w:val="22"/>
        </w:rPr>
      </w:pPr>
    </w:p>
    <w:p w14:paraId="336B8B6F"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Schotke, H., Fluckiger, C., Goldberg, S.B., Eversmann, J., Lange, J. (2016). Predicting psychotherapy outcome based on therapist interpersonal skills: A five-year longitudinal study of a therapist assessment protocol. </w:t>
      </w:r>
      <w:r w:rsidRPr="0099795F">
        <w:rPr>
          <w:rFonts w:ascii="Arial" w:hAnsi="Arial" w:cs="Arial"/>
          <w:i/>
          <w:iCs/>
          <w:sz w:val="22"/>
          <w:szCs w:val="22"/>
        </w:rPr>
        <w:t>Psychotherapy Research,</w:t>
      </w:r>
      <w:r>
        <w:rPr>
          <w:rFonts w:ascii="Arial" w:hAnsi="Arial" w:cs="Arial"/>
          <w:sz w:val="22"/>
          <w:szCs w:val="22"/>
        </w:rPr>
        <w:t xml:space="preserve"> 27, 642-652.</w:t>
      </w:r>
    </w:p>
    <w:p w14:paraId="3FD0F3F8" w14:textId="77777777" w:rsidR="00DF57DF" w:rsidRDefault="00DF57DF" w:rsidP="00DF57DF">
      <w:pPr>
        <w:spacing w:line="480" w:lineRule="auto"/>
        <w:rPr>
          <w:rFonts w:ascii="Arial" w:hAnsi="Arial" w:cs="Arial"/>
          <w:sz w:val="22"/>
          <w:szCs w:val="22"/>
        </w:rPr>
      </w:pPr>
    </w:p>
    <w:p w14:paraId="4E2C5858"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Schulz, K.F., Altman, D.G., and Moher, D. (2010). CONSORT 2010 statement: Updated guidelines for reporting parallel group randomised trials. </w:t>
      </w:r>
      <w:r w:rsidRPr="00B2558E">
        <w:rPr>
          <w:rFonts w:ascii="Arial" w:hAnsi="Arial" w:cs="Arial"/>
          <w:i/>
          <w:iCs/>
          <w:sz w:val="22"/>
          <w:szCs w:val="22"/>
        </w:rPr>
        <w:t>BMC Medicine.</w:t>
      </w:r>
      <w:r>
        <w:rPr>
          <w:rFonts w:ascii="Arial" w:hAnsi="Arial" w:cs="Arial"/>
          <w:sz w:val="22"/>
          <w:szCs w:val="22"/>
        </w:rPr>
        <w:t xml:space="preserve"> Available online at </w:t>
      </w:r>
      <w:r w:rsidRPr="00B2558E">
        <w:rPr>
          <w:rFonts w:ascii="Arial" w:hAnsi="Arial" w:cs="Arial"/>
          <w:sz w:val="22"/>
          <w:szCs w:val="22"/>
        </w:rPr>
        <w:t>https://bmcmedicine.biomedcentral.com/articles/10.1186/1741-7015-8-18?report=reader</w:t>
      </w:r>
    </w:p>
    <w:p w14:paraId="16460D59" w14:textId="77777777" w:rsidR="00DF57DF" w:rsidRDefault="00DF57DF" w:rsidP="00DF57DF">
      <w:pPr>
        <w:spacing w:line="480" w:lineRule="auto"/>
        <w:rPr>
          <w:rFonts w:ascii="Arial" w:hAnsi="Arial" w:cs="Arial"/>
          <w:sz w:val="22"/>
          <w:szCs w:val="22"/>
        </w:rPr>
      </w:pPr>
      <w:r>
        <w:rPr>
          <w:rFonts w:ascii="Arial" w:hAnsi="Arial" w:cs="Arial"/>
          <w:sz w:val="22"/>
          <w:szCs w:val="22"/>
        </w:rPr>
        <w:t>Accessed 7</w:t>
      </w:r>
      <w:r w:rsidRPr="00B2558E">
        <w:rPr>
          <w:rFonts w:ascii="Arial" w:hAnsi="Arial" w:cs="Arial"/>
          <w:sz w:val="22"/>
          <w:szCs w:val="22"/>
          <w:vertAlign w:val="superscript"/>
        </w:rPr>
        <w:t>th</w:t>
      </w:r>
      <w:r>
        <w:rPr>
          <w:rFonts w:ascii="Arial" w:hAnsi="Arial" w:cs="Arial"/>
          <w:sz w:val="22"/>
          <w:szCs w:val="22"/>
        </w:rPr>
        <w:t xml:space="preserve"> November 2019.</w:t>
      </w:r>
    </w:p>
    <w:p w14:paraId="187ADFF5" w14:textId="77777777" w:rsidR="00DF57DF" w:rsidRDefault="00DF57DF" w:rsidP="00DF57DF">
      <w:pPr>
        <w:spacing w:line="480" w:lineRule="auto"/>
        <w:rPr>
          <w:rFonts w:ascii="Arial" w:hAnsi="Arial" w:cs="Arial"/>
          <w:sz w:val="22"/>
          <w:szCs w:val="22"/>
        </w:rPr>
      </w:pPr>
    </w:p>
    <w:p w14:paraId="3CEE7E90"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Scott, M.J. (2018). Improving Access to Psychological Therapies (IAPT)- the need fo radical reform. </w:t>
      </w:r>
      <w:r w:rsidRPr="00994E45">
        <w:rPr>
          <w:rFonts w:ascii="Arial" w:hAnsi="Arial" w:cs="Arial"/>
          <w:i/>
          <w:iCs/>
          <w:sz w:val="22"/>
          <w:szCs w:val="22"/>
        </w:rPr>
        <w:t>Journal of Health Psychology</w:t>
      </w:r>
      <w:r>
        <w:rPr>
          <w:rFonts w:ascii="Arial" w:hAnsi="Arial" w:cs="Arial"/>
          <w:sz w:val="22"/>
          <w:szCs w:val="22"/>
        </w:rPr>
        <w:t>, 23, 1136-1147.</w:t>
      </w:r>
    </w:p>
    <w:p w14:paraId="247A3BDF" w14:textId="77777777" w:rsidR="00DF57DF" w:rsidRDefault="00DF57DF" w:rsidP="00DF57DF">
      <w:pPr>
        <w:spacing w:line="480" w:lineRule="auto"/>
        <w:rPr>
          <w:rFonts w:ascii="Arial" w:hAnsi="Arial" w:cs="Arial"/>
          <w:sz w:val="22"/>
          <w:szCs w:val="22"/>
        </w:rPr>
      </w:pPr>
    </w:p>
    <w:p w14:paraId="0057A086"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Sedgwick, P. (2012). The hawthorne effect. </w:t>
      </w:r>
      <w:r w:rsidRPr="00672A07">
        <w:rPr>
          <w:rFonts w:ascii="Arial" w:hAnsi="Arial" w:cs="Arial"/>
          <w:i/>
          <w:iCs/>
          <w:sz w:val="22"/>
          <w:szCs w:val="22"/>
        </w:rPr>
        <w:t>British Medical Journal.</w:t>
      </w:r>
      <w:r>
        <w:rPr>
          <w:rFonts w:ascii="Arial" w:hAnsi="Arial" w:cs="Arial"/>
          <w:sz w:val="22"/>
          <w:szCs w:val="22"/>
        </w:rPr>
        <w:t xml:space="preserve"> Available online at </w:t>
      </w:r>
      <w:r w:rsidRPr="0029246F">
        <w:rPr>
          <w:rFonts w:ascii="Arial" w:hAnsi="Arial" w:cs="Arial"/>
          <w:sz w:val="22"/>
          <w:szCs w:val="22"/>
        </w:rPr>
        <w:t>https://www.bmj.com/content/344/bmj.d8262</w:t>
      </w:r>
    </w:p>
    <w:p w14:paraId="3CB5E53C"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t>Accessed 7</w:t>
      </w:r>
      <w:r w:rsidRPr="00672A07">
        <w:rPr>
          <w:rFonts w:ascii="Arial" w:hAnsi="Arial" w:cs="Arial"/>
          <w:sz w:val="22"/>
          <w:szCs w:val="22"/>
          <w:vertAlign w:val="superscript"/>
        </w:rPr>
        <w:t>th</w:t>
      </w:r>
      <w:r>
        <w:rPr>
          <w:rFonts w:ascii="Arial" w:hAnsi="Arial" w:cs="Arial"/>
          <w:sz w:val="22"/>
          <w:szCs w:val="22"/>
        </w:rPr>
        <w:t xml:space="preserve"> November 2019.</w:t>
      </w:r>
    </w:p>
    <w:p w14:paraId="2927FD40" w14:textId="77777777" w:rsidR="00DF57DF" w:rsidRPr="005D264F" w:rsidRDefault="00DF57DF" w:rsidP="00DF57DF">
      <w:pPr>
        <w:spacing w:line="480" w:lineRule="auto"/>
        <w:rPr>
          <w:rFonts w:ascii="Arial" w:hAnsi="Arial" w:cs="Arial"/>
          <w:sz w:val="22"/>
          <w:szCs w:val="22"/>
        </w:rPr>
      </w:pPr>
    </w:p>
    <w:p w14:paraId="7E2B48ED"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Seekles, W., van Straten, A., Beekman, A., van Marwijk, H. and Cuijpers, P. (2011)</w:t>
      </w:r>
      <w:r>
        <w:rPr>
          <w:rFonts w:ascii="Arial" w:hAnsi="Arial" w:cs="Arial"/>
          <w:sz w:val="22"/>
          <w:szCs w:val="22"/>
        </w:rPr>
        <w:t>.</w:t>
      </w:r>
      <w:r w:rsidRPr="005D264F">
        <w:rPr>
          <w:rFonts w:ascii="Arial" w:hAnsi="Arial" w:cs="Arial"/>
          <w:sz w:val="22"/>
          <w:szCs w:val="22"/>
        </w:rPr>
        <w:t xml:space="preserve"> Stepped care treatment for depressiona nd anxiety in primary care: a randomised controlled trial</w:t>
      </w:r>
      <w:r>
        <w:rPr>
          <w:rFonts w:ascii="Arial" w:hAnsi="Arial" w:cs="Arial"/>
          <w:sz w:val="22"/>
          <w:szCs w:val="22"/>
        </w:rPr>
        <w:t xml:space="preserve">. </w:t>
      </w:r>
      <w:r w:rsidRPr="00010F55">
        <w:rPr>
          <w:rFonts w:ascii="Arial" w:hAnsi="Arial" w:cs="Arial"/>
          <w:i/>
          <w:iCs/>
          <w:sz w:val="22"/>
          <w:szCs w:val="22"/>
        </w:rPr>
        <w:t>Trials</w:t>
      </w:r>
      <w:r>
        <w:rPr>
          <w:rFonts w:ascii="Arial" w:hAnsi="Arial" w:cs="Arial"/>
          <w:sz w:val="22"/>
          <w:szCs w:val="22"/>
        </w:rPr>
        <w:t>,</w:t>
      </w:r>
      <w:r w:rsidRPr="005D264F">
        <w:rPr>
          <w:rFonts w:ascii="Arial" w:hAnsi="Arial" w:cs="Arial"/>
          <w:sz w:val="22"/>
          <w:szCs w:val="22"/>
        </w:rPr>
        <w:t xml:space="preserve"> </w:t>
      </w:r>
      <w:r>
        <w:rPr>
          <w:rFonts w:ascii="Arial" w:hAnsi="Arial" w:cs="Arial"/>
          <w:sz w:val="22"/>
          <w:szCs w:val="22"/>
        </w:rPr>
        <w:t>a</w:t>
      </w:r>
      <w:r w:rsidRPr="005D264F">
        <w:rPr>
          <w:rFonts w:ascii="Arial" w:hAnsi="Arial" w:cs="Arial"/>
          <w:sz w:val="22"/>
          <w:szCs w:val="22"/>
        </w:rPr>
        <w:t>vailable online at</w:t>
      </w:r>
      <w:r>
        <w:rPr>
          <w:rFonts w:ascii="Arial" w:hAnsi="Arial" w:cs="Arial"/>
          <w:sz w:val="22"/>
          <w:szCs w:val="22"/>
        </w:rPr>
        <w:t xml:space="preserve"> </w:t>
      </w:r>
      <w:r w:rsidRPr="00010F55">
        <w:rPr>
          <w:rFonts w:ascii="Arial" w:hAnsi="Arial" w:cs="Arial"/>
          <w:sz w:val="22"/>
          <w:szCs w:val="22"/>
        </w:rPr>
        <w:t>https://www.ncbi.nlm.nih.gov/pmc/articles/PMC3152524/</w:t>
      </w:r>
    </w:p>
    <w:p w14:paraId="5D99B3A4" w14:textId="77777777" w:rsidR="00DF57DF" w:rsidRDefault="00DF57DF" w:rsidP="00DF57DF">
      <w:pPr>
        <w:spacing w:line="480" w:lineRule="auto"/>
        <w:rPr>
          <w:rFonts w:ascii="Arial" w:hAnsi="Arial" w:cs="Arial"/>
          <w:sz w:val="22"/>
          <w:szCs w:val="22"/>
        </w:rPr>
      </w:pPr>
      <w:r>
        <w:rPr>
          <w:rFonts w:ascii="Arial" w:hAnsi="Arial" w:cs="Arial"/>
          <w:sz w:val="22"/>
          <w:szCs w:val="22"/>
        </w:rPr>
        <w:t>Accessed 24</w:t>
      </w:r>
      <w:r w:rsidRPr="00010F55">
        <w:rPr>
          <w:rFonts w:ascii="Arial" w:hAnsi="Arial" w:cs="Arial"/>
          <w:sz w:val="22"/>
          <w:szCs w:val="22"/>
          <w:vertAlign w:val="superscript"/>
        </w:rPr>
        <w:t>th</w:t>
      </w:r>
      <w:r>
        <w:rPr>
          <w:rFonts w:ascii="Arial" w:hAnsi="Arial" w:cs="Arial"/>
          <w:sz w:val="22"/>
          <w:szCs w:val="22"/>
        </w:rPr>
        <w:t xml:space="preserve"> October 2019.</w:t>
      </w:r>
    </w:p>
    <w:p w14:paraId="6C8D8B0B" w14:textId="77777777" w:rsidR="00DF57DF" w:rsidRDefault="00DF57DF" w:rsidP="00DF57DF">
      <w:pPr>
        <w:spacing w:line="480" w:lineRule="auto"/>
        <w:rPr>
          <w:rFonts w:ascii="Arial" w:hAnsi="Arial" w:cs="Arial"/>
          <w:sz w:val="22"/>
          <w:szCs w:val="22"/>
        </w:rPr>
      </w:pPr>
    </w:p>
    <w:p w14:paraId="0D1C177D"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lastRenderedPageBreak/>
        <w:t xml:space="preserve">Sekaran, U., and Bougie, R.  (2016). </w:t>
      </w:r>
      <w:r w:rsidRPr="00B915C0">
        <w:rPr>
          <w:rFonts w:ascii="Arial" w:hAnsi="Arial" w:cs="Arial"/>
          <w:i/>
          <w:iCs/>
          <w:sz w:val="22"/>
          <w:szCs w:val="22"/>
        </w:rPr>
        <w:t>Research Methods for Business: A Skill Building Approach</w:t>
      </w:r>
      <w:r>
        <w:rPr>
          <w:rFonts w:ascii="Arial" w:hAnsi="Arial" w:cs="Arial"/>
          <w:sz w:val="22"/>
          <w:szCs w:val="22"/>
        </w:rPr>
        <w:t>. Chichester, West Sussex, John Wiley and Sons</w:t>
      </w:r>
    </w:p>
    <w:p w14:paraId="09BDDEDF" w14:textId="77777777" w:rsidR="00DF57DF" w:rsidRDefault="00DF57DF" w:rsidP="00DF57DF">
      <w:pPr>
        <w:spacing w:line="480" w:lineRule="auto"/>
        <w:rPr>
          <w:rFonts w:ascii="Arial" w:hAnsi="Arial" w:cs="Arial"/>
          <w:sz w:val="22"/>
          <w:szCs w:val="22"/>
        </w:rPr>
      </w:pPr>
    </w:p>
    <w:p w14:paraId="541BB6ED"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Shadish, W.R., Cook, T.D., and Campbell, D.T. (2002). </w:t>
      </w:r>
      <w:r w:rsidRPr="00C4667E">
        <w:rPr>
          <w:rFonts w:ascii="Arial" w:hAnsi="Arial" w:cs="Arial"/>
          <w:i/>
          <w:iCs/>
          <w:sz w:val="22"/>
          <w:szCs w:val="22"/>
        </w:rPr>
        <w:t>Experimental and Quasi-experimental Designs for Generalised Causal Inference</w:t>
      </w:r>
      <w:r>
        <w:rPr>
          <w:rFonts w:ascii="Arial" w:hAnsi="Arial" w:cs="Arial"/>
          <w:sz w:val="22"/>
          <w:szCs w:val="22"/>
        </w:rPr>
        <w:t>. Boston, Houghton-Mifflin.</w:t>
      </w:r>
    </w:p>
    <w:p w14:paraId="4645787D" w14:textId="77777777" w:rsidR="00DF57DF" w:rsidRDefault="00DF57DF" w:rsidP="00DF57DF">
      <w:pPr>
        <w:spacing w:line="480" w:lineRule="auto"/>
        <w:rPr>
          <w:rFonts w:ascii="Arial" w:hAnsi="Arial" w:cs="Arial"/>
          <w:sz w:val="22"/>
          <w:szCs w:val="22"/>
        </w:rPr>
      </w:pPr>
    </w:p>
    <w:p w14:paraId="722C3DCE"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Shafran, R., Clark, D.M., Fairburn, C.G., Arntz, A., Barlow, D.H., Ehlers, A., Freeston, M., Garety, P.A., Hollon, S.D., Ost, L.G., Salkovskis, P.M., Williams, J.M.G., and Wilson, G.T. (2009). Mind the gap: Improving the dissemination of CBT. </w:t>
      </w:r>
      <w:r w:rsidRPr="006A4A44">
        <w:rPr>
          <w:rFonts w:ascii="Arial" w:hAnsi="Arial" w:cs="Arial"/>
          <w:i/>
          <w:iCs/>
          <w:sz w:val="22"/>
          <w:szCs w:val="22"/>
        </w:rPr>
        <w:t>Behaviour Research and Therapy</w:t>
      </w:r>
      <w:r>
        <w:rPr>
          <w:rFonts w:ascii="Arial" w:hAnsi="Arial" w:cs="Arial"/>
          <w:sz w:val="22"/>
          <w:szCs w:val="22"/>
        </w:rPr>
        <w:t>, 47, 902-909.</w:t>
      </w:r>
    </w:p>
    <w:p w14:paraId="264C0558" w14:textId="77777777" w:rsidR="00DF57DF" w:rsidRDefault="00DF57DF" w:rsidP="00DF57DF">
      <w:pPr>
        <w:spacing w:line="480" w:lineRule="auto"/>
        <w:rPr>
          <w:rFonts w:ascii="Arial" w:hAnsi="Arial" w:cs="Arial"/>
          <w:sz w:val="22"/>
          <w:szCs w:val="22"/>
        </w:rPr>
      </w:pPr>
    </w:p>
    <w:p w14:paraId="4D75BE09"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Shaw, B.F.M., Elkin, I., Yamaguchi, J.,Olmsted, M., Vallis, T.M., Dobson, K., Lowery, A., Sotsku, S.M., Watkins, J.T., and Imber, S.D. (1999). Therapist competence ratings in relation to clinical outcome in cognitive therapy of depression. </w:t>
      </w:r>
      <w:r w:rsidRPr="00280F47">
        <w:rPr>
          <w:rFonts w:ascii="Arial" w:hAnsi="Arial" w:cs="Arial"/>
          <w:i/>
          <w:iCs/>
          <w:sz w:val="22"/>
          <w:szCs w:val="22"/>
        </w:rPr>
        <w:t>Journal of Consulting and Clinical Psychology</w:t>
      </w:r>
      <w:r>
        <w:rPr>
          <w:rFonts w:ascii="Arial" w:hAnsi="Arial" w:cs="Arial"/>
          <w:sz w:val="22"/>
          <w:szCs w:val="22"/>
        </w:rPr>
        <w:t>, 67, 837-846.</w:t>
      </w:r>
    </w:p>
    <w:p w14:paraId="39083A88" w14:textId="77777777" w:rsidR="00DF57DF" w:rsidRDefault="00DF57DF" w:rsidP="00DF57DF">
      <w:pPr>
        <w:spacing w:line="480" w:lineRule="auto"/>
        <w:rPr>
          <w:rFonts w:ascii="Arial" w:hAnsi="Arial" w:cs="Arial"/>
          <w:sz w:val="22"/>
          <w:szCs w:val="22"/>
        </w:rPr>
      </w:pPr>
    </w:p>
    <w:p w14:paraId="0BBA5664"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Shealy, A.E. (1972). Combining behavior therapy and cognitive therapy in treating homosexuality. </w:t>
      </w:r>
      <w:r w:rsidRPr="008C141A">
        <w:rPr>
          <w:rFonts w:ascii="Arial" w:hAnsi="Arial" w:cs="Arial"/>
          <w:i/>
          <w:iCs/>
          <w:sz w:val="22"/>
          <w:szCs w:val="22"/>
        </w:rPr>
        <w:t>Psychotherapy: Theory Research and Practice,</w:t>
      </w:r>
      <w:r>
        <w:rPr>
          <w:rFonts w:ascii="Arial" w:hAnsi="Arial" w:cs="Arial"/>
          <w:sz w:val="22"/>
          <w:szCs w:val="22"/>
        </w:rPr>
        <w:t xml:space="preserve"> 9, 221-222.</w:t>
      </w:r>
    </w:p>
    <w:p w14:paraId="0690EBC9" w14:textId="77777777" w:rsidR="00DF57DF" w:rsidRDefault="00DF57DF" w:rsidP="00DF57DF">
      <w:pPr>
        <w:spacing w:line="480" w:lineRule="auto"/>
        <w:rPr>
          <w:rFonts w:ascii="Arial" w:hAnsi="Arial" w:cs="Arial"/>
          <w:sz w:val="22"/>
          <w:szCs w:val="22"/>
        </w:rPr>
      </w:pPr>
    </w:p>
    <w:p w14:paraId="00B22D01" w14:textId="77777777" w:rsidR="00DF57DF" w:rsidRDefault="00DF57DF" w:rsidP="00DF57DF">
      <w:pPr>
        <w:spacing w:line="480" w:lineRule="auto"/>
        <w:rPr>
          <w:rFonts w:ascii="Arial" w:hAnsi="Arial" w:cs="Arial"/>
          <w:sz w:val="22"/>
          <w:szCs w:val="22"/>
        </w:rPr>
      </w:pPr>
      <w:r>
        <w:rPr>
          <w:rFonts w:ascii="Arial" w:hAnsi="Arial"/>
          <w:sz w:val="22"/>
          <w:szCs w:val="22"/>
        </w:rPr>
        <w:t xml:space="preserve">Shieh, G. (2017). Power and sample size calculations for contrast analysis in ANCOVA. </w:t>
      </w:r>
      <w:r w:rsidRPr="0082734F">
        <w:rPr>
          <w:rFonts w:ascii="Arial" w:hAnsi="Arial"/>
          <w:i/>
          <w:iCs/>
          <w:sz w:val="22"/>
          <w:szCs w:val="22"/>
        </w:rPr>
        <w:t>Multivariate Behavioral Research,</w:t>
      </w:r>
      <w:r>
        <w:rPr>
          <w:rFonts w:ascii="Arial" w:hAnsi="Arial"/>
          <w:sz w:val="22"/>
          <w:szCs w:val="22"/>
        </w:rPr>
        <w:t xml:space="preserve"> 1, 1-11.</w:t>
      </w:r>
    </w:p>
    <w:p w14:paraId="4E752E91" w14:textId="77777777" w:rsidR="00DF57DF" w:rsidRPr="005D264F" w:rsidRDefault="00DF57DF" w:rsidP="00DF57DF">
      <w:pPr>
        <w:spacing w:line="480" w:lineRule="auto"/>
        <w:rPr>
          <w:rFonts w:ascii="Arial" w:hAnsi="Arial" w:cs="Arial"/>
          <w:sz w:val="22"/>
          <w:szCs w:val="22"/>
        </w:rPr>
      </w:pPr>
    </w:p>
    <w:p w14:paraId="00885B27"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Silverman, W.K., Pina, A.A. and Viswesvaran, C. (2008)</w:t>
      </w:r>
      <w:r>
        <w:rPr>
          <w:rFonts w:ascii="Arial" w:hAnsi="Arial" w:cs="Arial"/>
          <w:sz w:val="22"/>
          <w:szCs w:val="22"/>
        </w:rPr>
        <w:t xml:space="preserve">.  </w:t>
      </w:r>
      <w:r w:rsidRPr="005D264F">
        <w:rPr>
          <w:rFonts w:ascii="Arial" w:hAnsi="Arial" w:cs="Arial"/>
          <w:sz w:val="22"/>
          <w:szCs w:val="22"/>
        </w:rPr>
        <w:t>Evidenced based psychosocial treatments for phobic and anxiety disorders in children and adolescents, J</w:t>
      </w:r>
      <w:r w:rsidRPr="005D264F">
        <w:rPr>
          <w:rFonts w:ascii="Arial" w:hAnsi="Arial" w:cs="Arial"/>
          <w:i/>
          <w:sz w:val="22"/>
          <w:szCs w:val="22"/>
        </w:rPr>
        <w:t>ournal of Clinical Child and Adolescent Psychology</w:t>
      </w:r>
      <w:r w:rsidRPr="005D264F">
        <w:rPr>
          <w:rFonts w:ascii="Arial" w:hAnsi="Arial" w:cs="Arial"/>
          <w:sz w:val="22"/>
          <w:szCs w:val="22"/>
        </w:rPr>
        <w:t>, 37 (2), 105-130.</w:t>
      </w:r>
    </w:p>
    <w:p w14:paraId="0A1DAA62"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Simmons, A.M., Milnes, S.M., and Anderson, D.A. (2008). Factors influencing the utilization of empirically supported treatments for eating disorders. </w:t>
      </w:r>
      <w:r w:rsidRPr="00752E88">
        <w:rPr>
          <w:rFonts w:ascii="Arial" w:hAnsi="Arial" w:cs="Arial"/>
          <w:i/>
          <w:iCs/>
          <w:sz w:val="22"/>
          <w:szCs w:val="22"/>
        </w:rPr>
        <w:t>Eating Disorders,</w:t>
      </w:r>
      <w:r>
        <w:rPr>
          <w:rFonts w:ascii="Arial" w:hAnsi="Arial" w:cs="Arial"/>
          <w:sz w:val="22"/>
          <w:szCs w:val="22"/>
        </w:rPr>
        <w:t xml:space="preserve"> 16, 342-354.</w:t>
      </w:r>
    </w:p>
    <w:p w14:paraId="2F1E2275" w14:textId="77777777" w:rsidR="00DF57DF" w:rsidRDefault="00DF57DF" w:rsidP="00DF57DF">
      <w:pPr>
        <w:spacing w:line="480" w:lineRule="auto"/>
        <w:rPr>
          <w:rFonts w:ascii="Arial" w:hAnsi="Arial" w:cs="Arial"/>
          <w:sz w:val="22"/>
          <w:szCs w:val="22"/>
        </w:rPr>
      </w:pPr>
    </w:p>
    <w:p w14:paraId="321CB1F7"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lastRenderedPageBreak/>
        <w:t xml:space="preserve">Simmons, M., (2007). Insider ethnographer: Tinker, tailor, researcher or spy? </w:t>
      </w:r>
      <w:r w:rsidRPr="009151DE">
        <w:rPr>
          <w:rFonts w:ascii="Arial" w:hAnsi="Arial" w:cs="Arial"/>
          <w:i/>
          <w:iCs/>
          <w:sz w:val="22"/>
          <w:szCs w:val="22"/>
        </w:rPr>
        <w:t>Nurse Researcher</w:t>
      </w:r>
      <w:r>
        <w:rPr>
          <w:rFonts w:ascii="Arial" w:hAnsi="Arial" w:cs="Arial"/>
          <w:sz w:val="22"/>
          <w:szCs w:val="22"/>
        </w:rPr>
        <w:t>, 14, 7-17.</w:t>
      </w:r>
    </w:p>
    <w:p w14:paraId="11E42F8E" w14:textId="77777777" w:rsidR="00DF57DF" w:rsidRDefault="00DF57DF" w:rsidP="00DF57DF">
      <w:pPr>
        <w:spacing w:line="480" w:lineRule="auto"/>
        <w:rPr>
          <w:rFonts w:ascii="Arial" w:hAnsi="Arial" w:cs="Arial"/>
          <w:sz w:val="22"/>
          <w:szCs w:val="22"/>
        </w:rPr>
      </w:pPr>
    </w:p>
    <w:p w14:paraId="7A011C1C"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Smith, M.L., and Glass, G.V. (1977). Meta-analysis of psychotherapy outcome studies. </w:t>
      </w:r>
      <w:r w:rsidRPr="009B67F3">
        <w:rPr>
          <w:rFonts w:ascii="Arial" w:hAnsi="Arial" w:cs="Arial"/>
          <w:i/>
          <w:iCs/>
          <w:sz w:val="22"/>
          <w:szCs w:val="22"/>
        </w:rPr>
        <w:t>American Psychologist</w:t>
      </w:r>
      <w:r>
        <w:rPr>
          <w:rFonts w:ascii="Arial" w:hAnsi="Arial" w:cs="Arial"/>
          <w:sz w:val="22"/>
          <w:szCs w:val="22"/>
        </w:rPr>
        <w:t>, 32, 752-760.</w:t>
      </w:r>
    </w:p>
    <w:p w14:paraId="17A0453D" w14:textId="77777777" w:rsidR="00DF57DF" w:rsidRDefault="00DF57DF" w:rsidP="00DF57DF">
      <w:pPr>
        <w:spacing w:line="480" w:lineRule="auto"/>
        <w:rPr>
          <w:rFonts w:ascii="Arial" w:hAnsi="Arial" w:cs="Arial"/>
          <w:sz w:val="22"/>
          <w:szCs w:val="22"/>
        </w:rPr>
      </w:pPr>
    </w:p>
    <w:p w14:paraId="7A8CF5F8" w14:textId="77777777" w:rsidR="00DF57DF" w:rsidRDefault="00DF57DF" w:rsidP="00DF57DF">
      <w:pPr>
        <w:spacing w:line="480" w:lineRule="auto"/>
        <w:rPr>
          <w:rFonts w:ascii="Arial" w:hAnsi="Arial" w:cs="Arial"/>
          <w:sz w:val="22"/>
          <w:szCs w:val="22"/>
        </w:rPr>
      </w:pPr>
      <w:r>
        <w:rPr>
          <w:rFonts w:ascii="Arial" w:hAnsi="Arial" w:cs="Arial"/>
          <w:sz w:val="22"/>
          <w:szCs w:val="22"/>
        </w:rPr>
        <w:t>Smith, M.L., Glass, G.V., and Miller, T.I. (1980). T</w:t>
      </w:r>
      <w:r w:rsidRPr="009B67F3">
        <w:rPr>
          <w:rFonts w:ascii="Arial" w:hAnsi="Arial" w:cs="Arial"/>
          <w:i/>
          <w:iCs/>
          <w:sz w:val="22"/>
          <w:szCs w:val="22"/>
        </w:rPr>
        <w:t>he Benefits of Psychotherapy</w:t>
      </w:r>
      <w:r>
        <w:rPr>
          <w:rFonts w:ascii="Arial" w:hAnsi="Arial" w:cs="Arial"/>
          <w:sz w:val="22"/>
          <w:szCs w:val="22"/>
        </w:rPr>
        <w:t>. Baltimore, The John Hopkins University Press.</w:t>
      </w:r>
    </w:p>
    <w:p w14:paraId="0CC52FDF" w14:textId="77777777" w:rsidR="00DF57DF" w:rsidRDefault="00DF57DF" w:rsidP="00DF57DF">
      <w:pPr>
        <w:spacing w:line="480" w:lineRule="auto"/>
        <w:rPr>
          <w:rFonts w:ascii="Arial" w:hAnsi="Arial" w:cs="Arial"/>
          <w:sz w:val="22"/>
          <w:szCs w:val="22"/>
        </w:rPr>
      </w:pPr>
    </w:p>
    <w:p w14:paraId="03CA2C65"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Smits, N., Paap, M.C., and Bohnke, J.R. (2018).  Some recommendations for developing multidimensional computerized adaptive tests for patient-reported outcomes. </w:t>
      </w:r>
      <w:r w:rsidRPr="00E05767">
        <w:rPr>
          <w:rFonts w:ascii="Arial" w:hAnsi="Arial" w:cs="Arial"/>
          <w:i/>
          <w:iCs/>
          <w:sz w:val="22"/>
          <w:szCs w:val="22"/>
        </w:rPr>
        <w:t>Quality of Life Research</w:t>
      </w:r>
      <w:r>
        <w:rPr>
          <w:rFonts w:ascii="Arial" w:hAnsi="Arial" w:cs="Arial"/>
          <w:sz w:val="22"/>
          <w:szCs w:val="22"/>
        </w:rPr>
        <w:t>, 27, 1055-1063.</w:t>
      </w:r>
    </w:p>
    <w:p w14:paraId="7E15E2DF" w14:textId="77777777" w:rsidR="00DF57DF" w:rsidRDefault="00DF57DF" w:rsidP="00DF57DF">
      <w:pPr>
        <w:spacing w:line="480" w:lineRule="auto"/>
        <w:rPr>
          <w:rFonts w:ascii="Arial" w:hAnsi="Arial" w:cs="Arial"/>
          <w:sz w:val="22"/>
          <w:szCs w:val="22"/>
        </w:rPr>
      </w:pPr>
    </w:p>
    <w:p w14:paraId="75B9AB86"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So, M., Yamaguchi, S., Hashimoto,S., Sado, M., Furukawa, T.A. and McCrone, P. (2013)</w:t>
      </w:r>
      <w:r>
        <w:rPr>
          <w:rFonts w:ascii="Arial" w:hAnsi="Arial" w:cs="Arial"/>
          <w:sz w:val="22"/>
          <w:szCs w:val="22"/>
        </w:rPr>
        <w:t>.</w:t>
      </w:r>
      <w:r w:rsidRPr="005D264F">
        <w:rPr>
          <w:rFonts w:ascii="Arial" w:hAnsi="Arial" w:cs="Arial"/>
          <w:sz w:val="22"/>
          <w:szCs w:val="22"/>
        </w:rPr>
        <w:t xml:space="preserve"> Is computerised CBT really helpful for adult depression? A meta analytic re-evaluation of CCBT for adult depression in terms of clinical implementation and methodological validity, </w:t>
      </w:r>
      <w:r w:rsidRPr="005D264F">
        <w:rPr>
          <w:rFonts w:ascii="Arial" w:hAnsi="Arial" w:cs="Arial"/>
          <w:i/>
          <w:sz w:val="22"/>
          <w:szCs w:val="22"/>
        </w:rPr>
        <w:t>BMC Psychiatry</w:t>
      </w:r>
      <w:r w:rsidRPr="005D264F">
        <w:rPr>
          <w:rFonts w:ascii="Arial" w:hAnsi="Arial" w:cs="Arial"/>
          <w:sz w:val="22"/>
          <w:szCs w:val="22"/>
        </w:rPr>
        <w:t>, available online at</w:t>
      </w:r>
      <w:r>
        <w:rPr>
          <w:rFonts w:ascii="Arial" w:hAnsi="Arial" w:cs="Arial"/>
          <w:sz w:val="22"/>
          <w:szCs w:val="22"/>
        </w:rPr>
        <w:t xml:space="preserve">  </w:t>
      </w:r>
      <w:r w:rsidRPr="005D264F">
        <w:rPr>
          <w:rFonts w:ascii="Arial" w:hAnsi="Arial" w:cs="Arial"/>
          <w:sz w:val="22"/>
          <w:szCs w:val="22"/>
        </w:rPr>
        <w:t>http://www.biomedcentral.com/1471-244X/13/113</w:t>
      </w:r>
    </w:p>
    <w:p w14:paraId="6EF635FA"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Accessed 11</w:t>
      </w:r>
      <w:r w:rsidRPr="005D264F">
        <w:rPr>
          <w:rFonts w:ascii="Arial" w:hAnsi="Arial" w:cs="Arial"/>
          <w:sz w:val="22"/>
          <w:szCs w:val="22"/>
          <w:vertAlign w:val="superscript"/>
        </w:rPr>
        <w:t>th</w:t>
      </w:r>
      <w:r w:rsidRPr="005D264F">
        <w:rPr>
          <w:rFonts w:ascii="Arial" w:hAnsi="Arial" w:cs="Arial"/>
          <w:sz w:val="22"/>
          <w:szCs w:val="22"/>
        </w:rPr>
        <w:t xml:space="preserve"> March 2015</w:t>
      </w:r>
    </w:p>
    <w:p w14:paraId="7681B339" w14:textId="77777777" w:rsidR="00DF57DF" w:rsidRDefault="00DF57DF" w:rsidP="00DF57DF">
      <w:pPr>
        <w:spacing w:line="480" w:lineRule="auto"/>
        <w:rPr>
          <w:rFonts w:ascii="Arial" w:hAnsi="Arial" w:cs="Arial"/>
          <w:sz w:val="22"/>
          <w:szCs w:val="22"/>
        </w:rPr>
      </w:pPr>
    </w:p>
    <w:p w14:paraId="68C59833"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Spencer, L.M., and Spencer, S.M. (1993). </w:t>
      </w:r>
      <w:r w:rsidRPr="00202D19">
        <w:rPr>
          <w:rFonts w:ascii="Arial" w:hAnsi="Arial" w:cs="Arial"/>
          <w:i/>
          <w:iCs/>
          <w:sz w:val="22"/>
          <w:szCs w:val="22"/>
        </w:rPr>
        <w:t>Competence at Work</w:t>
      </w:r>
      <w:r>
        <w:rPr>
          <w:rFonts w:ascii="Arial" w:hAnsi="Arial" w:cs="Arial"/>
          <w:sz w:val="22"/>
          <w:szCs w:val="22"/>
        </w:rPr>
        <w:t>. New York, Wiley.</w:t>
      </w:r>
    </w:p>
    <w:p w14:paraId="7F6CDE86" w14:textId="77777777" w:rsidR="00DF57DF" w:rsidRDefault="00DF57DF" w:rsidP="00DF57DF">
      <w:pPr>
        <w:spacing w:line="480" w:lineRule="auto"/>
        <w:rPr>
          <w:rFonts w:ascii="Arial" w:hAnsi="Arial" w:cs="Arial"/>
          <w:sz w:val="22"/>
          <w:szCs w:val="22"/>
        </w:rPr>
      </w:pPr>
    </w:p>
    <w:p w14:paraId="0EA1C081"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Spitzer, R.L., Kroenke, K., Williams, J.B., and Lowe, B. (2006). A brief measure for assessing Generalised Anxiety Disorder: the GAD-7. </w:t>
      </w:r>
      <w:r w:rsidRPr="00804B24">
        <w:rPr>
          <w:rFonts w:ascii="Arial" w:hAnsi="Arial" w:cs="Arial"/>
          <w:i/>
          <w:iCs/>
          <w:sz w:val="22"/>
          <w:szCs w:val="22"/>
        </w:rPr>
        <w:t>Archives of Internal Medicine</w:t>
      </w:r>
      <w:r>
        <w:rPr>
          <w:rFonts w:ascii="Arial" w:hAnsi="Arial" w:cs="Arial"/>
          <w:sz w:val="22"/>
          <w:szCs w:val="22"/>
        </w:rPr>
        <w:t>, 166, 1092-1097.</w:t>
      </w:r>
    </w:p>
    <w:p w14:paraId="6E62D839" w14:textId="77777777" w:rsidR="00DF57DF" w:rsidRDefault="00DF57DF" w:rsidP="00DF57DF">
      <w:pPr>
        <w:spacing w:line="480" w:lineRule="auto"/>
        <w:rPr>
          <w:rFonts w:ascii="Arial" w:hAnsi="Arial" w:cs="Arial"/>
          <w:sz w:val="22"/>
          <w:szCs w:val="22"/>
        </w:rPr>
      </w:pPr>
    </w:p>
    <w:p w14:paraId="71D577A0" w14:textId="77777777" w:rsidR="000E4F1A" w:rsidRDefault="000E4F1A">
      <w:pPr>
        <w:rPr>
          <w:rFonts w:ascii="Arial" w:hAnsi="Arial" w:cs="Arial"/>
          <w:sz w:val="22"/>
          <w:szCs w:val="22"/>
        </w:rPr>
      </w:pPr>
      <w:r>
        <w:rPr>
          <w:rFonts w:ascii="Arial" w:hAnsi="Arial" w:cs="Arial"/>
          <w:sz w:val="22"/>
          <w:szCs w:val="22"/>
        </w:rPr>
        <w:br w:type="page"/>
      </w:r>
    </w:p>
    <w:p w14:paraId="610DE7DC" w14:textId="47967363" w:rsidR="00DF57DF" w:rsidRPr="005D264F" w:rsidRDefault="00DF57DF" w:rsidP="00DF57DF">
      <w:pPr>
        <w:spacing w:line="480" w:lineRule="auto"/>
        <w:rPr>
          <w:rFonts w:ascii="Arial" w:hAnsi="Arial" w:cs="Arial"/>
          <w:sz w:val="22"/>
          <w:szCs w:val="22"/>
        </w:rPr>
      </w:pPr>
      <w:r>
        <w:rPr>
          <w:rFonts w:ascii="Arial" w:hAnsi="Arial" w:cs="Arial"/>
          <w:sz w:val="22"/>
          <w:szCs w:val="22"/>
        </w:rPr>
        <w:lastRenderedPageBreak/>
        <w:t xml:space="preserve">Steen, S. (2019). A critical appraisal of the economic model underpinning the Improving Access to Psychological Therapies (IAPT) programme. In Jackson, C., and Rizq, R. (Eds) </w:t>
      </w:r>
      <w:r w:rsidRPr="00B451D3">
        <w:rPr>
          <w:rFonts w:ascii="Arial" w:hAnsi="Arial" w:cs="Arial"/>
          <w:i/>
          <w:iCs/>
          <w:sz w:val="22"/>
          <w:szCs w:val="22"/>
        </w:rPr>
        <w:t>The Industrialisation of Care: Counselling, Psychotherapy and the Impact of IAPT.</w:t>
      </w:r>
      <w:r>
        <w:rPr>
          <w:rFonts w:ascii="Arial" w:hAnsi="Arial" w:cs="Arial"/>
          <w:sz w:val="22"/>
          <w:szCs w:val="22"/>
        </w:rPr>
        <w:t xml:space="preserve"> Monmouth, PCCS Books.</w:t>
      </w:r>
    </w:p>
    <w:p w14:paraId="6D84C527" w14:textId="77777777" w:rsidR="00DF57DF" w:rsidRDefault="00DF57DF" w:rsidP="00DF57DF">
      <w:pPr>
        <w:spacing w:line="480" w:lineRule="auto"/>
        <w:rPr>
          <w:rFonts w:ascii="Arial" w:hAnsi="Arial" w:cs="Arial"/>
          <w:sz w:val="22"/>
          <w:szCs w:val="22"/>
        </w:rPr>
      </w:pPr>
    </w:p>
    <w:p w14:paraId="198C4808"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Stein, D.M., and Lambert, M.J. (1984). On the relationship between therapist experience and psychotherapy outcome. </w:t>
      </w:r>
      <w:r w:rsidRPr="00680669">
        <w:rPr>
          <w:rFonts w:ascii="Arial" w:hAnsi="Arial" w:cs="Arial"/>
          <w:i/>
          <w:iCs/>
          <w:sz w:val="22"/>
          <w:szCs w:val="22"/>
        </w:rPr>
        <w:t>Clinical Psychology Review</w:t>
      </w:r>
      <w:r>
        <w:rPr>
          <w:rFonts w:ascii="Arial" w:hAnsi="Arial" w:cs="Arial"/>
          <w:sz w:val="22"/>
          <w:szCs w:val="22"/>
        </w:rPr>
        <w:t>, 4, 127-142.</w:t>
      </w:r>
    </w:p>
    <w:p w14:paraId="35B40CE2" w14:textId="77777777" w:rsidR="00DF57DF" w:rsidRDefault="00DF57DF" w:rsidP="00DF57DF">
      <w:pPr>
        <w:spacing w:line="480" w:lineRule="auto"/>
        <w:rPr>
          <w:rFonts w:ascii="Arial" w:hAnsi="Arial" w:cs="Arial"/>
          <w:sz w:val="22"/>
          <w:szCs w:val="22"/>
        </w:rPr>
      </w:pPr>
    </w:p>
    <w:p w14:paraId="575F19DC"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Stein, D.M., and Lambert, M.J. (1995). Graduate training in psychotherapy: Are therapy outcomes enhanced? </w:t>
      </w:r>
      <w:r w:rsidRPr="0035315B">
        <w:rPr>
          <w:rFonts w:ascii="Arial" w:hAnsi="Arial" w:cs="Arial"/>
          <w:i/>
          <w:iCs/>
          <w:sz w:val="22"/>
          <w:szCs w:val="22"/>
        </w:rPr>
        <w:t>Journal of Consulting and Clinical Psychology</w:t>
      </w:r>
      <w:r>
        <w:rPr>
          <w:rFonts w:ascii="Arial" w:hAnsi="Arial" w:cs="Arial"/>
          <w:sz w:val="22"/>
          <w:szCs w:val="22"/>
        </w:rPr>
        <w:t>, 63, 182-196.</w:t>
      </w:r>
    </w:p>
    <w:p w14:paraId="766FEC01" w14:textId="77777777" w:rsidR="00DF57DF" w:rsidRPr="005D264F" w:rsidRDefault="00DF57DF" w:rsidP="00DF57DF">
      <w:pPr>
        <w:spacing w:line="480" w:lineRule="auto"/>
        <w:rPr>
          <w:rFonts w:ascii="Arial" w:hAnsi="Arial" w:cs="Arial"/>
          <w:sz w:val="22"/>
          <w:szCs w:val="22"/>
        </w:rPr>
      </w:pPr>
    </w:p>
    <w:p w14:paraId="3EBDCF76" w14:textId="77777777" w:rsidR="00DF57DF" w:rsidRDefault="00DF57DF" w:rsidP="00DF57DF">
      <w:pPr>
        <w:spacing w:line="480" w:lineRule="auto"/>
        <w:rPr>
          <w:rFonts w:ascii="Arial" w:hAnsi="Arial" w:cs="Arial"/>
          <w:sz w:val="22"/>
          <w:szCs w:val="22"/>
          <w:shd w:val="clear" w:color="auto" w:fill="FFFFFF"/>
        </w:rPr>
      </w:pPr>
      <w:r w:rsidRPr="005D264F">
        <w:rPr>
          <w:rFonts w:ascii="Arial" w:hAnsi="Arial" w:cs="Arial"/>
          <w:sz w:val="22"/>
          <w:szCs w:val="22"/>
          <w:shd w:val="clear" w:color="auto" w:fill="FFFFFF"/>
        </w:rPr>
        <w:t>Steketee, G.S. (1993)</w:t>
      </w:r>
      <w:r>
        <w:rPr>
          <w:rFonts w:ascii="Arial" w:hAnsi="Arial" w:cs="Arial"/>
          <w:sz w:val="22"/>
          <w:szCs w:val="22"/>
          <w:shd w:val="clear" w:color="auto" w:fill="FFFFFF"/>
        </w:rPr>
        <w:t>.</w:t>
      </w:r>
      <w:r w:rsidRPr="005D264F">
        <w:rPr>
          <w:rFonts w:ascii="Arial" w:hAnsi="Arial" w:cs="Arial"/>
          <w:sz w:val="22"/>
          <w:szCs w:val="22"/>
          <w:shd w:val="clear" w:color="auto" w:fill="FFFFFF"/>
        </w:rPr>
        <w:t xml:space="preserve"> </w:t>
      </w:r>
      <w:r w:rsidRPr="005D264F">
        <w:rPr>
          <w:rFonts w:ascii="Arial" w:hAnsi="Arial" w:cs="Arial"/>
          <w:i/>
          <w:iCs/>
          <w:sz w:val="22"/>
          <w:szCs w:val="22"/>
          <w:shd w:val="clear" w:color="auto" w:fill="FFFFFF"/>
        </w:rPr>
        <w:t xml:space="preserve">Treatment of Obsessive Compulsive Disorder . </w:t>
      </w:r>
      <w:r w:rsidRPr="005D264F">
        <w:rPr>
          <w:rFonts w:ascii="Arial" w:hAnsi="Arial" w:cs="Arial"/>
          <w:sz w:val="22"/>
          <w:szCs w:val="22"/>
          <w:shd w:val="clear" w:color="auto" w:fill="FFFFFF"/>
        </w:rPr>
        <w:t xml:space="preserve">New York:Guilford Press </w:t>
      </w:r>
    </w:p>
    <w:p w14:paraId="12CCA754" w14:textId="77777777" w:rsidR="00DF57DF" w:rsidRDefault="00DF57DF" w:rsidP="00DF57DF">
      <w:pPr>
        <w:spacing w:line="480" w:lineRule="auto"/>
        <w:rPr>
          <w:rFonts w:ascii="Arial" w:hAnsi="Arial" w:cs="Arial"/>
          <w:sz w:val="22"/>
          <w:szCs w:val="22"/>
          <w:shd w:val="clear" w:color="auto" w:fill="FFFFFF"/>
        </w:rPr>
      </w:pPr>
    </w:p>
    <w:p w14:paraId="503C039A" w14:textId="77777777" w:rsidR="00DF57DF" w:rsidRDefault="00DF57DF" w:rsidP="00DF57DF">
      <w:pPr>
        <w:spacing w:line="480" w:lineRule="auto"/>
        <w:rPr>
          <w:rFonts w:ascii="Arial" w:hAnsi="Arial" w:cs="Arial"/>
          <w:sz w:val="22"/>
          <w:szCs w:val="22"/>
          <w:shd w:val="clear" w:color="auto" w:fill="FFFFFF"/>
        </w:rPr>
      </w:pPr>
      <w:r>
        <w:rPr>
          <w:rFonts w:ascii="Arial" w:hAnsi="Arial" w:cs="Arial"/>
          <w:sz w:val="22"/>
          <w:szCs w:val="22"/>
          <w:shd w:val="clear" w:color="auto" w:fill="FFFFFF"/>
        </w:rPr>
        <w:t xml:space="preserve">Stewart, C.N. (2011). </w:t>
      </w:r>
      <w:r w:rsidRPr="00C870D3">
        <w:rPr>
          <w:rFonts w:ascii="Arial" w:hAnsi="Arial" w:cs="Arial"/>
          <w:i/>
          <w:iCs/>
          <w:sz w:val="22"/>
          <w:szCs w:val="22"/>
          <w:shd w:val="clear" w:color="auto" w:fill="FFFFFF"/>
        </w:rPr>
        <w:t>Research Ethics for Scientists: A Companion for Students</w:t>
      </w:r>
      <w:r>
        <w:rPr>
          <w:rFonts w:ascii="Arial" w:hAnsi="Arial" w:cs="Arial"/>
          <w:sz w:val="22"/>
          <w:szCs w:val="22"/>
          <w:shd w:val="clear" w:color="auto" w:fill="FFFFFF"/>
        </w:rPr>
        <w:t>. Chichester, West Sussex, John Wiley and Sons.</w:t>
      </w:r>
    </w:p>
    <w:p w14:paraId="29630CBA"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Stobie, B., Taylor, T., Quigley, A., Ewing, S., and Salkovskis, P.M. (2007). Contents may vary: A pilot study of treatment histories of OCD patients. </w:t>
      </w:r>
      <w:r w:rsidRPr="00752E88">
        <w:rPr>
          <w:rFonts w:ascii="Arial" w:hAnsi="Arial" w:cs="Arial"/>
          <w:i/>
          <w:iCs/>
          <w:sz w:val="22"/>
          <w:szCs w:val="22"/>
        </w:rPr>
        <w:t>Behavioural and Cognitive Psychotherapy</w:t>
      </w:r>
      <w:r>
        <w:rPr>
          <w:rFonts w:ascii="Arial" w:hAnsi="Arial" w:cs="Arial"/>
          <w:sz w:val="22"/>
          <w:szCs w:val="22"/>
        </w:rPr>
        <w:t>, 35, 273-282.</w:t>
      </w:r>
    </w:p>
    <w:p w14:paraId="57EC16FB" w14:textId="77777777" w:rsidR="00DF57DF" w:rsidRPr="005D264F" w:rsidRDefault="00DF57DF" w:rsidP="00DF57DF">
      <w:pPr>
        <w:spacing w:line="480" w:lineRule="auto"/>
        <w:rPr>
          <w:rFonts w:ascii="Arial" w:hAnsi="Arial" w:cs="Arial"/>
          <w:sz w:val="22"/>
          <w:szCs w:val="22"/>
        </w:rPr>
      </w:pPr>
    </w:p>
    <w:p w14:paraId="173A8C1A"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 xml:space="preserve">Stott, R., Wild, J., Grey, N., Liness, S., Warnock-Parkes, E., Commins, S., … Clark, D. M. (2013). Internet-Delivered Cognitive Therapy for Social Anxiety Disorder: A Development Pilot Series. </w:t>
      </w:r>
      <w:r w:rsidRPr="005D264F">
        <w:rPr>
          <w:rFonts w:ascii="Arial" w:hAnsi="Arial" w:cs="Arial"/>
          <w:i/>
          <w:sz w:val="22"/>
          <w:szCs w:val="22"/>
        </w:rPr>
        <w:t>Behavioural and Cognitive Psychotherapy</w:t>
      </w:r>
      <w:r w:rsidRPr="005D264F">
        <w:rPr>
          <w:rFonts w:ascii="Arial" w:hAnsi="Arial" w:cs="Arial"/>
          <w:sz w:val="22"/>
          <w:szCs w:val="22"/>
        </w:rPr>
        <w:t xml:space="preserve">, </w:t>
      </w:r>
      <w:r w:rsidRPr="005D264F">
        <w:rPr>
          <w:rFonts w:ascii="Arial" w:hAnsi="Arial" w:cs="Arial"/>
          <w:i/>
          <w:sz w:val="22"/>
          <w:szCs w:val="22"/>
        </w:rPr>
        <w:t>41</w:t>
      </w:r>
      <w:r w:rsidRPr="005D264F">
        <w:rPr>
          <w:rFonts w:ascii="Arial" w:hAnsi="Arial" w:cs="Arial"/>
          <w:sz w:val="22"/>
          <w:szCs w:val="22"/>
        </w:rPr>
        <w:t xml:space="preserve"> (1), 383-397.</w:t>
      </w:r>
    </w:p>
    <w:p w14:paraId="3C1D9105" w14:textId="77777777" w:rsidR="00DF57DF" w:rsidRPr="005D264F" w:rsidRDefault="00DF57DF" w:rsidP="00DF57DF">
      <w:pPr>
        <w:spacing w:line="480" w:lineRule="auto"/>
        <w:rPr>
          <w:rFonts w:ascii="Arial" w:hAnsi="Arial" w:cs="Arial"/>
          <w:sz w:val="22"/>
          <w:szCs w:val="22"/>
        </w:rPr>
      </w:pPr>
    </w:p>
    <w:p w14:paraId="07373DBB" w14:textId="77777777" w:rsidR="007F7E61" w:rsidRDefault="007F7E61">
      <w:pPr>
        <w:rPr>
          <w:rFonts w:ascii="Arial" w:hAnsi="Arial" w:cs="Arial"/>
          <w:sz w:val="22"/>
          <w:szCs w:val="22"/>
        </w:rPr>
      </w:pPr>
      <w:r>
        <w:rPr>
          <w:rFonts w:ascii="Arial" w:hAnsi="Arial" w:cs="Arial"/>
          <w:sz w:val="22"/>
          <w:szCs w:val="22"/>
        </w:rPr>
        <w:br w:type="page"/>
      </w:r>
    </w:p>
    <w:p w14:paraId="555142E8" w14:textId="1C83CC09"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lastRenderedPageBreak/>
        <w:t xml:space="preserve">Strathdee, G. (2013) </w:t>
      </w:r>
      <w:r w:rsidRPr="005D264F">
        <w:rPr>
          <w:rFonts w:ascii="Arial" w:hAnsi="Arial" w:cs="Arial"/>
          <w:i/>
          <w:sz w:val="22"/>
          <w:szCs w:val="22"/>
        </w:rPr>
        <w:t>Keynote speech and launch of the NIHR Mindtech HTC,</w:t>
      </w:r>
      <w:r w:rsidRPr="005D264F">
        <w:rPr>
          <w:rFonts w:ascii="Arial" w:hAnsi="Arial" w:cs="Arial"/>
          <w:sz w:val="22"/>
          <w:szCs w:val="22"/>
        </w:rPr>
        <w:t xml:space="preserve"> available online at:</w:t>
      </w:r>
    </w:p>
    <w:p w14:paraId="2980B32C" w14:textId="77777777" w:rsidR="00DF57DF" w:rsidRPr="005D264F" w:rsidRDefault="00DD38EE" w:rsidP="00DF57DF">
      <w:pPr>
        <w:spacing w:line="480" w:lineRule="auto"/>
        <w:rPr>
          <w:rFonts w:ascii="Arial" w:hAnsi="Arial" w:cs="Arial"/>
          <w:sz w:val="22"/>
          <w:szCs w:val="22"/>
        </w:rPr>
      </w:pPr>
      <w:hyperlink r:id="rId100" w:history="1">
        <w:r w:rsidR="00DF57DF" w:rsidRPr="005D264F">
          <w:rPr>
            <w:rStyle w:val="Hyperlink"/>
            <w:rFonts w:ascii="Arial" w:hAnsi="Arial" w:cs="Arial"/>
            <w:sz w:val="22"/>
            <w:szCs w:val="22"/>
          </w:rPr>
          <w:t>http://mindtech.org.uk/mindtech-annual-conference/59-exhibitors-at-official-launch-11th-november-2013.html</w:t>
        </w:r>
      </w:hyperlink>
      <w:r w:rsidR="00DF57DF" w:rsidRPr="005D264F">
        <w:rPr>
          <w:rFonts w:ascii="Arial" w:hAnsi="Arial" w:cs="Arial"/>
          <w:sz w:val="22"/>
          <w:szCs w:val="22"/>
        </w:rPr>
        <w:t xml:space="preserve">    </w:t>
      </w:r>
    </w:p>
    <w:p w14:paraId="4966603F"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Accessed  3</w:t>
      </w:r>
      <w:r w:rsidRPr="005D264F">
        <w:rPr>
          <w:rFonts w:ascii="Arial" w:hAnsi="Arial" w:cs="Arial"/>
          <w:sz w:val="22"/>
          <w:szCs w:val="22"/>
          <w:vertAlign w:val="superscript"/>
        </w:rPr>
        <w:t>rd</w:t>
      </w:r>
      <w:r w:rsidRPr="005D264F">
        <w:rPr>
          <w:rFonts w:ascii="Arial" w:hAnsi="Arial" w:cs="Arial"/>
          <w:sz w:val="22"/>
          <w:szCs w:val="22"/>
        </w:rPr>
        <w:t xml:space="preserve"> April 201</w:t>
      </w:r>
      <w:r>
        <w:rPr>
          <w:rFonts w:ascii="Arial" w:hAnsi="Arial" w:cs="Arial"/>
          <w:sz w:val="22"/>
          <w:szCs w:val="22"/>
        </w:rPr>
        <w:t>9</w:t>
      </w:r>
      <w:r w:rsidRPr="005D264F">
        <w:rPr>
          <w:rFonts w:ascii="Arial" w:hAnsi="Arial" w:cs="Arial"/>
          <w:sz w:val="22"/>
          <w:szCs w:val="22"/>
        </w:rPr>
        <w:t>.</w:t>
      </w:r>
    </w:p>
    <w:p w14:paraId="778732BD" w14:textId="77777777" w:rsidR="00DF57DF" w:rsidRDefault="00DF57DF" w:rsidP="00DF57DF">
      <w:pPr>
        <w:spacing w:line="480" w:lineRule="auto"/>
        <w:rPr>
          <w:rFonts w:ascii="Arial" w:hAnsi="Arial" w:cs="Arial"/>
          <w:sz w:val="22"/>
          <w:szCs w:val="22"/>
        </w:rPr>
      </w:pPr>
    </w:p>
    <w:p w14:paraId="18B28568"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Strauss, B.M., Lutz, W., Steffanowski, A., Wittmann, W.W., Boehnke, J.R., Rubel, J., Scheidt, C.E., Caspar, F., Vogel, H., Altmann, U., Steyer, R., Zimmermann, A, Bruckmayer,E., von Heymann, F, Kramer, D., and Kirchmann, H. (2015). Benefits and challenges in practice-oriented psychotherapy research in Germany: The TK and Qs-PSY-BAY projects of quality assurance in outpatient psychotherapy. </w:t>
      </w:r>
      <w:r w:rsidRPr="002A6C32">
        <w:rPr>
          <w:rFonts w:ascii="Arial" w:hAnsi="Arial" w:cs="Arial"/>
          <w:i/>
          <w:iCs/>
          <w:sz w:val="22"/>
          <w:szCs w:val="22"/>
        </w:rPr>
        <w:t>Psychotherapy Research</w:t>
      </w:r>
      <w:r>
        <w:rPr>
          <w:rFonts w:ascii="Arial" w:hAnsi="Arial" w:cs="Arial"/>
          <w:sz w:val="22"/>
          <w:szCs w:val="22"/>
        </w:rPr>
        <w:t>, 25, 32-51.</w:t>
      </w:r>
    </w:p>
    <w:p w14:paraId="13B4AD4B" w14:textId="77777777" w:rsidR="00DF57DF" w:rsidRDefault="00DF57DF" w:rsidP="00DF57DF">
      <w:pPr>
        <w:spacing w:line="480" w:lineRule="auto"/>
        <w:rPr>
          <w:rFonts w:ascii="Arial" w:hAnsi="Arial" w:cs="Arial"/>
          <w:sz w:val="22"/>
          <w:szCs w:val="22"/>
        </w:rPr>
      </w:pPr>
    </w:p>
    <w:p w14:paraId="1568C6CD"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Strunk, D.R., Brotman, M.A., DeRubeis, R.J., and Hollon, S.D. (2010). Therapist competence in cognitive therapy for depression: predicting subsequent symptom change. </w:t>
      </w:r>
      <w:r w:rsidRPr="00053B94">
        <w:rPr>
          <w:rFonts w:ascii="Arial" w:hAnsi="Arial" w:cs="Arial"/>
          <w:i/>
          <w:iCs/>
          <w:sz w:val="22"/>
          <w:szCs w:val="22"/>
        </w:rPr>
        <w:t>Journal of Consulting and Clinical Psychology</w:t>
      </w:r>
      <w:r>
        <w:rPr>
          <w:rFonts w:ascii="Arial" w:hAnsi="Arial" w:cs="Arial"/>
          <w:sz w:val="22"/>
          <w:szCs w:val="22"/>
        </w:rPr>
        <w:t>, 78, 429-437.</w:t>
      </w:r>
    </w:p>
    <w:p w14:paraId="6F9F74EC" w14:textId="77777777" w:rsidR="00DF57DF" w:rsidRDefault="00DF57DF" w:rsidP="00DF57DF">
      <w:pPr>
        <w:spacing w:line="480" w:lineRule="auto"/>
        <w:rPr>
          <w:rFonts w:ascii="Arial" w:hAnsi="Arial" w:cs="Arial"/>
          <w:sz w:val="22"/>
          <w:szCs w:val="22"/>
        </w:rPr>
      </w:pPr>
    </w:p>
    <w:p w14:paraId="53556264" w14:textId="77777777" w:rsidR="00DF57DF" w:rsidRPr="005D264F" w:rsidRDefault="00DF57DF" w:rsidP="00DF57DF">
      <w:pPr>
        <w:spacing w:line="480" w:lineRule="auto"/>
        <w:rPr>
          <w:rFonts w:ascii="Arial" w:hAnsi="Arial" w:cs="Arial"/>
          <w:sz w:val="22"/>
          <w:szCs w:val="22"/>
        </w:rPr>
      </w:pPr>
      <w:r>
        <w:rPr>
          <w:rFonts w:ascii="Arial" w:hAnsi="Arial" w:cs="Arial"/>
          <w:sz w:val="22"/>
          <w:szCs w:val="22"/>
        </w:rPr>
        <w:t xml:space="preserve">Suler, J. (2015). </w:t>
      </w:r>
      <w:r w:rsidRPr="00750F47">
        <w:rPr>
          <w:rFonts w:ascii="Arial" w:hAnsi="Arial" w:cs="Arial"/>
          <w:i/>
          <w:iCs/>
          <w:sz w:val="22"/>
          <w:szCs w:val="22"/>
        </w:rPr>
        <w:t>Psychology of the Digital Age: Humans Become Electric,</w:t>
      </w:r>
      <w:r>
        <w:rPr>
          <w:rFonts w:ascii="Arial" w:hAnsi="Arial" w:cs="Arial"/>
          <w:sz w:val="22"/>
          <w:szCs w:val="22"/>
        </w:rPr>
        <w:t xml:space="preserve"> Cambridge, Cambridge University Press.</w:t>
      </w:r>
    </w:p>
    <w:p w14:paraId="0DAC7C75" w14:textId="77777777" w:rsidR="00DF57DF" w:rsidRPr="005D264F" w:rsidRDefault="00DF57DF" w:rsidP="00DF57DF">
      <w:pPr>
        <w:spacing w:line="480" w:lineRule="auto"/>
        <w:rPr>
          <w:rFonts w:ascii="Arial" w:hAnsi="Arial" w:cs="Arial"/>
          <w:sz w:val="22"/>
          <w:szCs w:val="22"/>
        </w:rPr>
      </w:pPr>
    </w:p>
    <w:p w14:paraId="2D2F5E16" w14:textId="77777777" w:rsidR="00DF57DF" w:rsidRDefault="00DF57DF" w:rsidP="00DF57DF">
      <w:pPr>
        <w:spacing w:line="480" w:lineRule="auto"/>
        <w:rPr>
          <w:rFonts w:ascii="Arial" w:hAnsi="Arial" w:cs="Arial"/>
          <w:sz w:val="22"/>
          <w:szCs w:val="22"/>
          <w:lang w:val="en-US"/>
        </w:rPr>
      </w:pPr>
      <w:r w:rsidRPr="005D264F">
        <w:rPr>
          <w:rFonts w:ascii="Arial" w:hAnsi="Arial" w:cs="Arial"/>
          <w:sz w:val="22"/>
          <w:szCs w:val="22"/>
          <w:lang w:val="en-US"/>
        </w:rPr>
        <w:t xml:space="preserve">Szentagotai, A. and  David, D. (2010) The efficacy of cognitive-behavioral therapy in bipolar disorder: A quantitative meta-analysis. </w:t>
      </w:r>
      <w:r w:rsidRPr="005D264F">
        <w:rPr>
          <w:rFonts w:ascii="Arial" w:hAnsi="Arial" w:cs="Arial"/>
          <w:i/>
          <w:iCs/>
          <w:sz w:val="22"/>
          <w:szCs w:val="22"/>
          <w:lang w:val="en-US"/>
        </w:rPr>
        <w:t>Journal of Clinical Psychiatry</w:t>
      </w:r>
      <w:r w:rsidRPr="005D264F">
        <w:rPr>
          <w:rFonts w:ascii="Arial" w:hAnsi="Arial" w:cs="Arial"/>
          <w:sz w:val="22"/>
          <w:szCs w:val="22"/>
          <w:lang w:val="en-US"/>
        </w:rPr>
        <w:t>, 1 (2), 66-72.</w:t>
      </w:r>
    </w:p>
    <w:p w14:paraId="0D3933B5" w14:textId="77777777" w:rsidR="00DF57DF" w:rsidRDefault="00DF57DF" w:rsidP="00DF57DF">
      <w:pPr>
        <w:spacing w:line="480" w:lineRule="auto"/>
        <w:rPr>
          <w:rFonts w:ascii="Arial" w:hAnsi="Arial" w:cs="Arial"/>
          <w:sz w:val="22"/>
          <w:szCs w:val="22"/>
          <w:lang w:val="en-US"/>
        </w:rPr>
      </w:pPr>
    </w:p>
    <w:p w14:paraId="668165B1" w14:textId="77777777" w:rsidR="00DF57DF" w:rsidRDefault="00DF57DF" w:rsidP="00DF57DF">
      <w:pPr>
        <w:spacing w:line="480" w:lineRule="auto"/>
        <w:rPr>
          <w:rFonts w:ascii="Arial" w:hAnsi="Arial" w:cs="Arial"/>
          <w:sz w:val="22"/>
          <w:szCs w:val="22"/>
          <w:lang w:val="en-US"/>
        </w:rPr>
      </w:pPr>
      <w:r>
        <w:rPr>
          <w:rFonts w:ascii="Arial" w:hAnsi="Arial" w:cs="Arial"/>
          <w:sz w:val="22"/>
          <w:szCs w:val="22"/>
          <w:lang w:val="en-US"/>
        </w:rPr>
        <w:t xml:space="preserve">Teasdale, J.D., Segal, Z.V., Williams, J.M., Ridgeway, V.A., Soulsby, J.M., and Lau, M.A. (2010). Prevention of relapse/recurrence in major depression by mindfulness-based cognitive therapy. </w:t>
      </w:r>
      <w:r w:rsidRPr="00C848EC">
        <w:rPr>
          <w:rFonts w:ascii="Arial" w:hAnsi="Arial" w:cs="Arial"/>
          <w:i/>
          <w:iCs/>
          <w:sz w:val="22"/>
          <w:szCs w:val="22"/>
          <w:lang w:val="en-US"/>
        </w:rPr>
        <w:t>Journal of Consulting and Clinical Psychology</w:t>
      </w:r>
      <w:r>
        <w:rPr>
          <w:rFonts w:ascii="Arial" w:hAnsi="Arial" w:cs="Arial"/>
          <w:sz w:val="22"/>
          <w:szCs w:val="22"/>
          <w:lang w:val="en-US"/>
        </w:rPr>
        <w:t>, 68, 615-623.</w:t>
      </w:r>
    </w:p>
    <w:p w14:paraId="0D272752" w14:textId="77777777" w:rsidR="00DF57DF" w:rsidRDefault="00DF57DF" w:rsidP="00DF57DF">
      <w:pPr>
        <w:spacing w:line="480" w:lineRule="auto"/>
        <w:rPr>
          <w:rFonts w:ascii="Arial" w:hAnsi="Arial" w:cs="Arial"/>
          <w:sz w:val="22"/>
          <w:szCs w:val="22"/>
          <w:lang w:val="en-US"/>
        </w:rPr>
      </w:pPr>
    </w:p>
    <w:p w14:paraId="321C3D78" w14:textId="77777777" w:rsidR="00DF57DF" w:rsidRDefault="00DF57DF" w:rsidP="00DF57DF">
      <w:pPr>
        <w:spacing w:line="480" w:lineRule="auto"/>
        <w:rPr>
          <w:rFonts w:ascii="Arial" w:hAnsi="Arial" w:cs="Arial"/>
          <w:sz w:val="22"/>
          <w:szCs w:val="22"/>
          <w:lang w:val="en-US"/>
        </w:rPr>
      </w:pPr>
      <w:r>
        <w:rPr>
          <w:rFonts w:ascii="Arial" w:hAnsi="Arial" w:cs="Arial"/>
          <w:sz w:val="22"/>
          <w:szCs w:val="22"/>
          <w:lang w:val="en-US"/>
        </w:rPr>
        <w:lastRenderedPageBreak/>
        <w:t>The Guardian (2015). Mental health workers protest at move to integrate clinic with job centre. The Guardian 26</w:t>
      </w:r>
      <w:r w:rsidRPr="0070753A">
        <w:rPr>
          <w:rFonts w:ascii="Arial" w:hAnsi="Arial" w:cs="Arial"/>
          <w:sz w:val="22"/>
          <w:szCs w:val="22"/>
          <w:vertAlign w:val="superscript"/>
          <w:lang w:val="en-US"/>
        </w:rPr>
        <w:t>th</w:t>
      </w:r>
      <w:r>
        <w:rPr>
          <w:rFonts w:ascii="Arial" w:hAnsi="Arial" w:cs="Arial"/>
          <w:sz w:val="22"/>
          <w:szCs w:val="22"/>
          <w:lang w:val="en-US"/>
        </w:rPr>
        <w:t xml:space="preserve"> June, 2015. Available online at </w:t>
      </w:r>
      <w:r w:rsidRPr="0070753A">
        <w:rPr>
          <w:rFonts w:ascii="Arial" w:hAnsi="Arial" w:cs="Arial"/>
          <w:sz w:val="22"/>
          <w:szCs w:val="22"/>
          <w:lang w:val="en-US"/>
        </w:rPr>
        <w:t>https://www.theguardian.com/society/2015/jun/26/mental-health-protest-clinic-jobcentre-streatham</w:t>
      </w:r>
    </w:p>
    <w:p w14:paraId="006F05C8" w14:textId="77777777" w:rsidR="00DF57DF" w:rsidRPr="005D264F" w:rsidRDefault="00DF57DF" w:rsidP="00DF57DF">
      <w:pPr>
        <w:spacing w:line="480" w:lineRule="auto"/>
        <w:rPr>
          <w:rFonts w:ascii="Arial" w:hAnsi="Arial" w:cs="Arial"/>
          <w:sz w:val="22"/>
          <w:szCs w:val="22"/>
          <w:lang w:val="en-US"/>
        </w:rPr>
      </w:pPr>
      <w:r>
        <w:rPr>
          <w:rFonts w:ascii="Arial" w:hAnsi="Arial" w:cs="Arial"/>
          <w:sz w:val="22"/>
          <w:szCs w:val="22"/>
          <w:lang w:val="en-US"/>
        </w:rPr>
        <w:t>Accessed 25</w:t>
      </w:r>
      <w:r w:rsidRPr="0070753A">
        <w:rPr>
          <w:rFonts w:ascii="Arial" w:hAnsi="Arial" w:cs="Arial"/>
          <w:sz w:val="22"/>
          <w:szCs w:val="22"/>
          <w:vertAlign w:val="superscript"/>
          <w:lang w:val="en-US"/>
        </w:rPr>
        <w:t>th</w:t>
      </w:r>
      <w:r>
        <w:rPr>
          <w:rFonts w:ascii="Arial" w:hAnsi="Arial" w:cs="Arial"/>
          <w:sz w:val="22"/>
          <w:szCs w:val="22"/>
          <w:lang w:val="en-US"/>
        </w:rPr>
        <w:t xml:space="preserve"> October 2019</w:t>
      </w:r>
    </w:p>
    <w:p w14:paraId="3E3D6D53" w14:textId="77777777" w:rsidR="00DF57DF" w:rsidRPr="005D264F" w:rsidRDefault="00DF57DF" w:rsidP="00DF57DF">
      <w:pPr>
        <w:spacing w:line="480" w:lineRule="auto"/>
        <w:rPr>
          <w:rFonts w:ascii="Arial" w:hAnsi="Arial" w:cs="Arial"/>
          <w:sz w:val="22"/>
          <w:szCs w:val="22"/>
          <w:lang w:val="en-US"/>
        </w:rPr>
      </w:pPr>
    </w:p>
    <w:p w14:paraId="5597CE50" w14:textId="77777777" w:rsidR="00DF57DF" w:rsidRPr="005D264F" w:rsidRDefault="00DF57DF" w:rsidP="00DF57DF">
      <w:pPr>
        <w:spacing w:line="480" w:lineRule="auto"/>
        <w:rPr>
          <w:rFonts w:ascii="Arial" w:hAnsi="Arial" w:cs="Arial"/>
          <w:color w:val="000000"/>
          <w:sz w:val="22"/>
          <w:szCs w:val="22"/>
        </w:rPr>
      </w:pPr>
      <w:r w:rsidRPr="005D264F">
        <w:rPr>
          <w:rFonts w:ascii="Arial" w:hAnsi="Arial" w:cs="Arial"/>
          <w:color w:val="000000"/>
          <w:sz w:val="22"/>
          <w:szCs w:val="22"/>
        </w:rPr>
        <w:t>The Guardian (2016)</w:t>
      </w:r>
      <w:r>
        <w:rPr>
          <w:rFonts w:ascii="Arial" w:hAnsi="Arial" w:cs="Arial"/>
          <w:color w:val="000000"/>
          <w:sz w:val="22"/>
          <w:szCs w:val="22"/>
        </w:rPr>
        <w:t>.</w:t>
      </w:r>
      <w:r w:rsidRPr="005D264F">
        <w:rPr>
          <w:rFonts w:ascii="Arial" w:hAnsi="Arial" w:cs="Arial"/>
          <w:color w:val="000000"/>
          <w:sz w:val="22"/>
          <w:szCs w:val="22"/>
        </w:rPr>
        <w:t xml:space="preserve"> Depression kills so why aren’t people getting better NHS care.  The Guardian</w:t>
      </w:r>
      <w:r>
        <w:rPr>
          <w:rFonts w:ascii="Arial" w:hAnsi="Arial" w:cs="Arial"/>
          <w:color w:val="000000"/>
          <w:sz w:val="22"/>
          <w:szCs w:val="22"/>
        </w:rPr>
        <w:t>, 16</w:t>
      </w:r>
      <w:r w:rsidRPr="0070753A">
        <w:rPr>
          <w:rFonts w:ascii="Arial" w:hAnsi="Arial" w:cs="Arial"/>
          <w:color w:val="000000"/>
          <w:sz w:val="22"/>
          <w:szCs w:val="22"/>
          <w:vertAlign w:val="superscript"/>
        </w:rPr>
        <w:t>th</w:t>
      </w:r>
      <w:r>
        <w:rPr>
          <w:rFonts w:ascii="Arial" w:hAnsi="Arial" w:cs="Arial"/>
          <w:color w:val="000000"/>
          <w:sz w:val="22"/>
          <w:szCs w:val="22"/>
        </w:rPr>
        <w:t xml:space="preserve"> March, 2016.</w:t>
      </w:r>
      <w:r w:rsidRPr="005D264F">
        <w:rPr>
          <w:rFonts w:ascii="Arial" w:hAnsi="Arial" w:cs="Arial"/>
          <w:color w:val="000000"/>
          <w:sz w:val="22"/>
          <w:szCs w:val="22"/>
        </w:rPr>
        <w:t xml:space="preserve"> </w:t>
      </w:r>
      <w:r>
        <w:rPr>
          <w:rFonts w:ascii="Arial" w:hAnsi="Arial" w:cs="Arial"/>
          <w:color w:val="000000"/>
          <w:sz w:val="22"/>
          <w:szCs w:val="22"/>
        </w:rPr>
        <w:t>A</w:t>
      </w:r>
      <w:r w:rsidRPr="005D264F">
        <w:rPr>
          <w:rFonts w:ascii="Arial" w:hAnsi="Arial" w:cs="Arial"/>
          <w:color w:val="000000"/>
          <w:sz w:val="22"/>
          <w:szCs w:val="22"/>
        </w:rPr>
        <w:t>vailable online at:</w:t>
      </w:r>
    </w:p>
    <w:p w14:paraId="3BD2AB1B" w14:textId="77777777" w:rsidR="00DF57DF" w:rsidRPr="005D264F" w:rsidRDefault="00DF57DF" w:rsidP="00DF57DF">
      <w:pPr>
        <w:spacing w:line="480" w:lineRule="auto"/>
        <w:rPr>
          <w:rFonts w:ascii="Arial" w:hAnsi="Arial" w:cs="Arial"/>
          <w:color w:val="000000"/>
          <w:sz w:val="22"/>
          <w:szCs w:val="22"/>
        </w:rPr>
      </w:pPr>
      <w:r w:rsidRPr="005D264F">
        <w:rPr>
          <w:rStyle w:val="apple-converted-space"/>
          <w:rFonts w:ascii="Arial" w:hAnsi="Arial" w:cs="Arial"/>
          <w:color w:val="000000"/>
          <w:sz w:val="22"/>
          <w:szCs w:val="22"/>
        </w:rPr>
        <w:t> </w:t>
      </w:r>
      <w:hyperlink r:id="rId101" w:anchor="comments" w:history="1">
        <w:r w:rsidRPr="005D264F">
          <w:rPr>
            <w:rStyle w:val="Hyperlink"/>
            <w:rFonts w:ascii="Arial" w:hAnsi="Arial" w:cs="Arial"/>
            <w:color w:val="954F72"/>
            <w:sz w:val="22"/>
            <w:szCs w:val="22"/>
          </w:rPr>
          <w:t>https://www.theguardian.com/healthcare-network/2016/mar/16/depression-suicide-nhs-mental-health-problem#comments</w:t>
        </w:r>
      </w:hyperlink>
    </w:p>
    <w:p w14:paraId="1BFAEEB2" w14:textId="77777777" w:rsidR="00DF57DF" w:rsidRPr="005D264F" w:rsidRDefault="00DF57DF" w:rsidP="00DF57DF">
      <w:pPr>
        <w:spacing w:line="480" w:lineRule="auto"/>
        <w:rPr>
          <w:rFonts w:ascii="Arial" w:hAnsi="Arial" w:cs="Arial"/>
          <w:color w:val="000000"/>
          <w:sz w:val="22"/>
          <w:szCs w:val="22"/>
        </w:rPr>
      </w:pPr>
      <w:r w:rsidRPr="005D264F">
        <w:rPr>
          <w:rFonts w:ascii="Arial" w:hAnsi="Arial" w:cs="Arial"/>
          <w:color w:val="000000"/>
          <w:sz w:val="22"/>
          <w:szCs w:val="22"/>
        </w:rPr>
        <w:t>Accessed 14</w:t>
      </w:r>
      <w:r w:rsidRPr="005D264F">
        <w:rPr>
          <w:rFonts w:ascii="Arial" w:hAnsi="Arial" w:cs="Arial"/>
          <w:color w:val="000000"/>
          <w:sz w:val="22"/>
          <w:szCs w:val="22"/>
          <w:vertAlign w:val="superscript"/>
        </w:rPr>
        <w:t>th</w:t>
      </w:r>
      <w:r w:rsidRPr="005D264F">
        <w:rPr>
          <w:rStyle w:val="apple-converted-space"/>
          <w:rFonts w:ascii="Arial" w:hAnsi="Arial" w:cs="Arial"/>
          <w:color w:val="000000"/>
          <w:sz w:val="22"/>
          <w:szCs w:val="22"/>
        </w:rPr>
        <w:t> </w:t>
      </w:r>
      <w:r w:rsidRPr="005D264F">
        <w:rPr>
          <w:rFonts w:ascii="Arial" w:hAnsi="Arial" w:cs="Arial"/>
          <w:color w:val="000000"/>
          <w:sz w:val="22"/>
          <w:szCs w:val="22"/>
        </w:rPr>
        <w:t>September 201</w:t>
      </w:r>
      <w:r>
        <w:rPr>
          <w:rFonts w:ascii="Arial" w:hAnsi="Arial" w:cs="Arial"/>
          <w:color w:val="000000"/>
          <w:sz w:val="22"/>
          <w:szCs w:val="22"/>
        </w:rPr>
        <w:t>9</w:t>
      </w:r>
    </w:p>
    <w:p w14:paraId="04A3EBDF" w14:textId="77777777" w:rsidR="00DF57DF" w:rsidRPr="005D264F" w:rsidRDefault="00DF57DF" w:rsidP="00DF57DF">
      <w:pPr>
        <w:spacing w:line="480" w:lineRule="auto"/>
        <w:rPr>
          <w:rFonts w:ascii="Arial" w:hAnsi="Arial" w:cs="Arial"/>
          <w:sz w:val="22"/>
          <w:szCs w:val="22"/>
        </w:rPr>
      </w:pPr>
    </w:p>
    <w:p w14:paraId="1F9C8F3F" w14:textId="77777777" w:rsidR="00DF57DF" w:rsidRPr="005D264F" w:rsidRDefault="00DF57DF" w:rsidP="00DF57DF">
      <w:pPr>
        <w:spacing w:line="480" w:lineRule="auto"/>
        <w:rPr>
          <w:rFonts w:ascii="Arial" w:hAnsi="Arial" w:cs="Arial"/>
          <w:color w:val="262626"/>
          <w:sz w:val="22"/>
          <w:szCs w:val="22"/>
          <w:lang w:val="en-US"/>
        </w:rPr>
      </w:pPr>
      <w:r w:rsidRPr="005D264F">
        <w:rPr>
          <w:rFonts w:ascii="Arial" w:hAnsi="Arial" w:cs="Arial"/>
          <w:sz w:val="22"/>
          <w:szCs w:val="22"/>
        </w:rPr>
        <w:t>Thompson, A.G.</w:t>
      </w:r>
      <w:r>
        <w:rPr>
          <w:rFonts w:ascii="Arial" w:hAnsi="Arial" w:cs="Arial"/>
          <w:sz w:val="22"/>
          <w:szCs w:val="22"/>
        </w:rPr>
        <w:t>,</w:t>
      </w:r>
      <w:r w:rsidRPr="005D264F">
        <w:rPr>
          <w:rFonts w:ascii="Arial" w:hAnsi="Arial" w:cs="Arial"/>
          <w:sz w:val="22"/>
          <w:szCs w:val="22"/>
        </w:rPr>
        <w:t xml:space="preserve"> and France, E.F. (2010)</w:t>
      </w:r>
      <w:r>
        <w:rPr>
          <w:rFonts w:ascii="Arial" w:hAnsi="Arial" w:cs="Arial"/>
          <w:sz w:val="22"/>
          <w:szCs w:val="22"/>
        </w:rPr>
        <w:t>.</w:t>
      </w:r>
      <w:r w:rsidRPr="005D264F">
        <w:rPr>
          <w:rFonts w:ascii="Arial" w:hAnsi="Arial" w:cs="Arial"/>
          <w:sz w:val="22"/>
          <w:szCs w:val="22"/>
        </w:rPr>
        <w:t xml:space="preserve"> </w:t>
      </w:r>
      <w:r w:rsidRPr="005D264F">
        <w:rPr>
          <w:rFonts w:ascii="Arial" w:hAnsi="Arial" w:cs="Arial"/>
          <w:color w:val="262626"/>
          <w:sz w:val="22"/>
          <w:szCs w:val="22"/>
          <w:lang w:val="en-US"/>
        </w:rPr>
        <w:t>One stop or full stop? The continuing challenges for researchers despite the new streamlined NHS research governance process.</w:t>
      </w:r>
      <w:r>
        <w:rPr>
          <w:rFonts w:ascii="Arial" w:hAnsi="Arial" w:cs="Arial"/>
          <w:color w:val="262626"/>
          <w:sz w:val="22"/>
          <w:szCs w:val="22"/>
          <w:lang w:val="en-US"/>
        </w:rPr>
        <w:t xml:space="preserve"> </w:t>
      </w:r>
      <w:r w:rsidRPr="005D264F">
        <w:rPr>
          <w:rFonts w:ascii="Arial" w:hAnsi="Arial" w:cs="Arial"/>
          <w:color w:val="262626"/>
          <w:sz w:val="22"/>
          <w:szCs w:val="22"/>
          <w:lang w:val="en-US"/>
        </w:rPr>
        <w:t>(Research article</w:t>
      </w:r>
      <w:r>
        <w:rPr>
          <w:rFonts w:ascii="Arial" w:hAnsi="Arial" w:cs="Arial"/>
          <w:color w:val="262626"/>
          <w:sz w:val="22"/>
          <w:szCs w:val="22"/>
          <w:lang w:val="en-US"/>
        </w:rPr>
        <w:t xml:space="preserve">, </w:t>
      </w:r>
      <w:r w:rsidRPr="005D264F">
        <w:rPr>
          <w:rFonts w:ascii="Arial" w:hAnsi="Arial" w:cs="Arial"/>
          <w:color w:val="262626"/>
          <w:sz w:val="22"/>
          <w:szCs w:val="22"/>
          <w:lang w:val="en-US"/>
        </w:rPr>
        <w:t>National Health Service</w:t>
      </w:r>
      <w:r>
        <w:rPr>
          <w:rFonts w:ascii="Arial" w:hAnsi="Arial" w:cs="Arial"/>
          <w:color w:val="262626"/>
          <w:sz w:val="22"/>
          <w:szCs w:val="22"/>
          <w:lang w:val="en-US"/>
        </w:rPr>
        <w:t xml:space="preserve"> </w:t>
      </w:r>
      <w:r w:rsidRPr="005D264F">
        <w:rPr>
          <w:rFonts w:ascii="Arial" w:hAnsi="Arial" w:cs="Arial"/>
          <w:color w:val="262626"/>
          <w:sz w:val="22"/>
          <w:szCs w:val="22"/>
          <w:lang w:val="en-US"/>
        </w:rPr>
        <w:t xml:space="preserve">Report), </w:t>
      </w:r>
      <w:r w:rsidRPr="005D264F">
        <w:rPr>
          <w:rFonts w:ascii="Arial" w:hAnsi="Arial" w:cs="Arial"/>
          <w:i/>
          <w:color w:val="262626"/>
          <w:sz w:val="22"/>
          <w:szCs w:val="22"/>
          <w:lang w:val="en-US"/>
        </w:rPr>
        <w:t>BMC Health Services Research</w:t>
      </w:r>
      <w:r w:rsidRPr="005D264F">
        <w:rPr>
          <w:rFonts w:ascii="Arial" w:hAnsi="Arial" w:cs="Arial"/>
          <w:color w:val="262626"/>
          <w:sz w:val="22"/>
          <w:szCs w:val="22"/>
          <w:lang w:val="en-US"/>
        </w:rPr>
        <w:t>, available online at</w:t>
      </w:r>
    </w:p>
    <w:p w14:paraId="5430376E" w14:textId="77777777" w:rsidR="00DF57DF" w:rsidRPr="005D264F" w:rsidRDefault="00DF57DF" w:rsidP="00DF57DF">
      <w:pPr>
        <w:spacing w:line="480" w:lineRule="auto"/>
        <w:rPr>
          <w:rFonts w:ascii="Arial" w:hAnsi="Arial" w:cs="Arial"/>
          <w:color w:val="0F797E"/>
          <w:sz w:val="22"/>
          <w:szCs w:val="22"/>
          <w:u w:val="single" w:color="0F797E"/>
          <w:lang w:val="en-US"/>
        </w:rPr>
      </w:pPr>
      <w:r w:rsidRPr="005D264F">
        <w:rPr>
          <w:rFonts w:ascii="Arial" w:hAnsi="Arial" w:cs="Arial"/>
          <w:color w:val="0F797E"/>
          <w:sz w:val="22"/>
          <w:szCs w:val="22"/>
          <w:u w:val="single" w:color="0F797E"/>
          <w:lang w:val="en-US"/>
        </w:rPr>
        <w:t>http://www.biomedcentral.com/1472-6963/10/124</w:t>
      </w:r>
    </w:p>
    <w:p w14:paraId="58CB651B" w14:textId="77777777" w:rsidR="00DF57DF" w:rsidRDefault="00DF57DF" w:rsidP="00DF57DF">
      <w:pPr>
        <w:spacing w:line="480" w:lineRule="auto"/>
        <w:rPr>
          <w:rFonts w:ascii="Arial" w:hAnsi="Arial" w:cs="Arial"/>
          <w:sz w:val="22"/>
          <w:szCs w:val="22"/>
          <w:lang w:val="en-US"/>
        </w:rPr>
      </w:pPr>
      <w:r w:rsidRPr="005D264F">
        <w:rPr>
          <w:rFonts w:ascii="Arial" w:hAnsi="Arial" w:cs="Arial"/>
          <w:sz w:val="22"/>
          <w:szCs w:val="22"/>
          <w:lang w:val="en-US"/>
        </w:rPr>
        <w:t>Accessed 15</w:t>
      </w:r>
      <w:r w:rsidRPr="005D264F">
        <w:rPr>
          <w:rFonts w:ascii="Arial" w:hAnsi="Arial" w:cs="Arial"/>
          <w:sz w:val="22"/>
          <w:szCs w:val="22"/>
          <w:vertAlign w:val="superscript"/>
          <w:lang w:val="en-US"/>
        </w:rPr>
        <w:t>th</w:t>
      </w:r>
      <w:r w:rsidRPr="005D264F">
        <w:rPr>
          <w:rFonts w:ascii="Arial" w:hAnsi="Arial" w:cs="Arial"/>
          <w:sz w:val="22"/>
          <w:szCs w:val="22"/>
          <w:lang w:val="en-US"/>
        </w:rPr>
        <w:t xml:space="preserve"> May 201</w:t>
      </w:r>
      <w:r>
        <w:rPr>
          <w:rFonts w:ascii="Arial" w:hAnsi="Arial" w:cs="Arial"/>
          <w:sz w:val="22"/>
          <w:szCs w:val="22"/>
          <w:lang w:val="en-US"/>
        </w:rPr>
        <w:t>9</w:t>
      </w:r>
      <w:r w:rsidRPr="005D264F">
        <w:rPr>
          <w:rFonts w:ascii="Arial" w:hAnsi="Arial" w:cs="Arial"/>
          <w:sz w:val="22"/>
          <w:szCs w:val="22"/>
          <w:lang w:val="en-US"/>
        </w:rPr>
        <w:t>.</w:t>
      </w:r>
    </w:p>
    <w:p w14:paraId="0DF2971A" w14:textId="77777777" w:rsidR="00DF57DF" w:rsidRDefault="00DF57DF" w:rsidP="00DF57DF">
      <w:pPr>
        <w:spacing w:line="480" w:lineRule="auto"/>
        <w:rPr>
          <w:rFonts w:ascii="Arial" w:hAnsi="Arial" w:cs="Arial"/>
          <w:sz w:val="22"/>
          <w:szCs w:val="22"/>
          <w:lang w:val="en-US"/>
        </w:rPr>
      </w:pPr>
    </w:p>
    <w:p w14:paraId="2E9B6F34" w14:textId="77777777" w:rsidR="00DF57DF" w:rsidRDefault="00DF57DF" w:rsidP="00DF57DF">
      <w:pPr>
        <w:spacing w:line="480" w:lineRule="auto"/>
        <w:rPr>
          <w:rFonts w:ascii="Arial" w:hAnsi="Arial" w:cs="Arial"/>
          <w:sz w:val="22"/>
          <w:szCs w:val="22"/>
          <w:lang w:val="en-US"/>
        </w:rPr>
      </w:pPr>
      <w:r>
        <w:rPr>
          <w:rFonts w:ascii="Arial" w:hAnsi="Arial" w:cs="Arial"/>
          <w:sz w:val="22"/>
          <w:szCs w:val="22"/>
          <w:lang w:val="en-US"/>
        </w:rPr>
        <w:t xml:space="preserve">Tracey, T.J., Wampold, B.E., Lichtenberg, J.W., and Goodyear, R.K. (2015). Expertise in Psychotherapy: An elusive goal? </w:t>
      </w:r>
      <w:r w:rsidRPr="001F7314">
        <w:rPr>
          <w:rFonts w:ascii="Arial" w:hAnsi="Arial" w:cs="Arial"/>
          <w:i/>
          <w:iCs/>
          <w:sz w:val="22"/>
          <w:szCs w:val="22"/>
          <w:lang w:val="en-US"/>
        </w:rPr>
        <w:t>American Psychologist,</w:t>
      </w:r>
      <w:r>
        <w:rPr>
          <w:rFonts w:ascii="Arial" w:hAnsi="Arial" w:cs="Arial"/>
          <w:sz w:val="22"/>
          <w:szCs w:val="22"/>
          <w:lang w:val="en-US"/>
        </w:rPr>
        <w:t xml:space="preserve"> 69, 218-229.</w:t>
      </w:r>
    </w:p>
    <w:p w14:paraId="1C05DE8E" w14:textId="77777777" w:rsidR="00DF57DF" w:rsidRDefault="00DF57DF" w:rsidP="00DF57DF">
      <w:pPr>
        <w:spacing w:line="480" w:lineRule="auto"/>
        <w:rPr>
          <w:rFonts w:ascii="Arial" w:hAnsi="Arial" w:cs="Arial"/>
          <w:sz w:val="22"/>
          <w:szCs w:val="22"/>
          <w:lang w:val="en-US"/>
        </w:rPr>
      </w:pPr>
    </w:p>
    <w:p w14:paraId="2837BE10" w14:textId="77777777" w:rsidR="00DF57DF" w:rsidRDefault="00DF57DF" w:rsidP="00DF57DF">
      <w:pPr>
        <w:spacing w:line="480" w:lineRule="auto"/>
        <w:rPr>
          <w:rFonts w:ascii="Arial" w:hAnsi="Arial" w:cs="Arial"/>
          <w:sz w:val="22"/>
          <w:szCs w:val="22"/>
          <w:lang w:val="en-US"/>
        </w:rPr>
      </w:pPr>
      <w:r>
        <w:rPr>
          <w:rFonts w:ascii="Arial" w:hAnsi="Arial" w:cs="Arial"/>
          <w:sz w:val="22"/>
          <w:szCs w:val="22"/>
          <w:lang w:val="en-US"/>
        </w:rPr>
        <w:t xml:space="preserve">Trepka, C., Rees, A., Shapiro, D.A., Hardy, G.E., and Barkham, M. (2004). Therapist competence and outcome of cognitive therapy for depression. </w:t>
      </w:r>
      <w:r w:rsidRPr="00053B94">
        <w:rPr>
          <w:rFonts w:ascii="Arial" w:hAnsi="Arial" w:cs="Arial"/>
          <w:i/>
          <w:iCs/>
          <w:sz w:val="22"/>
          <w:szCs w:val="22"/>
          <w:lang w:val="en-US"/>
        </w:rPr>
        <w:t>Cognitive Therapy and Research,</w:t>
      </w:r>
      <w:r>
        <w:rPr>
          <w:rFonts w:ascii="Arial" w:hAnsi="Arial" w:cs="Arial"/>
          <w:sz w:val="22"/>
          <w:szCs w:val="22"/>
          <w:lang w:val="en-US"/>
        </w:rPr>
        <w:t xml:space="preserve"> 28, 143-157.</w:t>
      </w:r>
    </w:p>
    <w:p w14:paraId="7D83226F" w14:textId="77777777" w:rsidR="00DF57DF" w:rsidRDefault="00DF57DF" w:rsidP="00DF57DF">
      <w:pPr>
        <w:spacing w:line="480" w:lineRule="auto"/>
        <w:rPr>
          <w:rFonts w:ascii="Arial" w:hAnsi="Arial" w:cs="Arial"/>
          <w:sz w:val="22"/>
          <w:szCs w:val="22"/>
          <w:lang w:val="en-US"/>
        </w:rPr>
      </w:pPr>
    </w:p>
    <w:p w14:paraId="77BD5F39" w14:textId="77777777" w:rsidR="007F7E61" w:rsidRDefault="007F7E61">
      <w:pPr>
        <w:rPr>
          <w:rFonts w:ascii="Arial" w:hAnsi="Arial" w:cs="Arial"/>
          <w:sz w:val="22"/>
          <w:szCs w:val="22"/>
          <w:lang w:val="en-US"/>
        </w:rPr>
      </w:pPr>
      <w:r>
        <w:rPr>
          <w:rFonts w:ascii="Arial" w:hAnsi="Arial" w:cs="Arial"/>
          <w:sz w:val="22"/>
          <w:szCs w:val="22"/>
          <w:lang w:val="en-US"/>
        </w:rPr>
        <w:br w:type="page"/>
      </w:r>
    </w:p>
    <w:p w14:paraId="2ACCE620" w14:textId="6D47D4D8" w:rsidR="00DF57DF" w:rsidRDefault="00DF57DF" w:rsidP="00DF57DF">
      <w:pPr>
        <w:spacing w:line="480" w:lineRule="auto"/>
        <w:rPr>
          <w:rFonts w:ascii="Arial" w:hAnsi="Arial" w:cs="Arial"/>
          <w:sz w:val="22"/>
          <w:szCs w:val="22"/>
          <w:lang w:val="en-US"/>
        </w:rPr>
      </w:pPr>
      <w:r>
        <w:rPr>
          <w:rFonts w:ascii="Arial" w:hAnsi="Arial" w:cs="Arial"/>
          <w:sz w:val="22"/>
          <w:szCs w:val="22"/>
          <w:lang w:val="en-US"/>
        </w:rPr>
        <w:lastRenderedPageBreak/>
        <w:t xml:space="preserve">Turpin, G., and Wheeler, S. (2011). </w:t>
      </w:r>
      <w:r w:rsidRPr="00EE2A07">
        <w:rPr>
          <w:rFonts w:ascii="Arial" w:hAnsi="Arial" w:cs="Arial"/>
          <w:i/>
          <w:iCs/>
          <w:sz w:val="22"/>
          <w:szCs w:val="22"/>
          <w:lang w:val="en-US"/>
        </w:rPr>
        <w:t>IAPT Supervision Guidance</w:t>
      </w:r>
      <w:r>
        <w:rPr>
          <w:rFonts w:ascii="Arial" w:hAnsi="Arial" w:cs="Arial"/>
          <w:sz w:val="22"/>
          <w:szCs w:val="22"/>
          <w:lang w:val="en-US"/>
        </w:rPr>
        <w:t xml:space="preserve">. Available online at  </w:t>
      </w:r>
      <w:r w:rsidRPr="00EE2A07">
        <w:rPr>
          <w:rFonts w:ascii="Arial" w:hAnsi="Arial" w:cs="Arial"/>
          <w:sz w:val="22"/>
          <w:szCs w:val="22"/>
          <w:lang w:val="en-US"/>
        </w:rPr>
        <w:t>https://www.uea.ac.uk/documents/246046/11919343/IAPT+Supervision+Guidance+2011.pdf/3a8f6c76-cea0-4f76-af78-e2f0a1f64c5e</w:t>
      </w:r>
    </w:p>
    <w:p w14:paraId="11A51F63" w14:textId="77777777" w:rsidR="00DF57DF" w:rsidRDefault="00DF57DF" w:rsidP="00DF57DF">
      <w:pPr>
        <w:spacing w:line="480" w:lineRule="auto"/>
        <w:rPr>
          <w:rFonts w:ascii="Arial" w:hAnsi="Arial" w:cs="Arial"/>
          <w:sz w:val="22"/>
          <w:szCs w:val="22"/>
          <w:lang w:val="en-US"/>
        </w:rPr>
      </w:pPr>
      <w:r>
        <w:rPr>
          <w:rFonts w:ascii="Arial" w:hAnsi="Arial" w:cs="Arial"/>
          <w:sz w:val="22"/>
          <w:szCs w:val="22"/>
          <w:lang w:val="en-US"/>
        </w:rPr>
        <w:t>Accessed 24</w:t>
      </w:r>
      <w:r w:rsidRPr="00EE2A07">
        <w:rPr>
          <w:rFonts w:ascii="Arial" w:hAnsi="Arial" w:cs="Arial"/>
          <w:sz w:val="22"/>
          <w:szCs w:val="22"/>
          <w:vertAlign w:val="superscript"/>
          <w:lang w:val="en-US"/>
        </w:rPr>
        <w:t>th</w:t>
      </w:r>
      <w:r>
        <w:rPr>
          <w:rFonts w:ascii="Arial" w:hAnsi="Arial" w:cs="Arial"/>
          <w:sz w:val="22"/>
          <w:szCs w:val="22"/>
          <w:lang w:val="en-US"/>
        </w:rPr>
        <w:t xml:space="preserve"> October 2019</w:t>
      </w:r>
    </w:p>
    <w:p w14:paraId="06B1D091" w14:textId="77777777" w:rsidR="00DF57DF" w:rsidRDefault="00DF57DF" w:rsidP="00DF57DF">
      <w:pPr>
        <w:spacing w:line="480" w:lineRule="auto"/>
        <w:rPr>
          <w:rFonts w:ascii="Arial" w:hAnsi="Arial" w:cs="Arial"/>
          <w:sz w:val="22"/>
          <w:szCs w:val="22"/>
          <w:lang w:val="en-US"/>
        </w:rPr>
      </w:pPr>
    </w:p>
    <w:p w14:paraId="6E9AF59B" w14:textId="77777777" w:rsidR="00DF57DF" w:rsidRDefault="00DF57DF" w:rsidP="00DF57DF">
      <w:pPr>
        <w:spacing w:line="480" w:lineRule="auto"/>
        <w:rPr>
          <w:rFonts w:ascii="Arial" w:hAnsi="Arial" w:cs="Arial"/>
          <w:sz w:val="22"/>
          <w:szCs w:val="22"/>
          <w:lang w:val="en-US"/>
        </w:rPr>
      </w:pPr>
      <w:r>
        <w:rPr>
          <w:rFonts w:ascii="Arial" w:hAnsi="Arial" w:cs="Arial"/>
          <w:sz w:val="22"/>
          <w:szCs w:val="22"/>
          <w:lang w:val="en-US"/>
        </w:rPr>
        <w:t xml:space="preserve">Vallis,T.M., Shaw, B.F., and Dobson, K.S. (1986). The Cognitive Therapy Scale: Psychometric properties. </w:t>
      </w:r>
      <w:r w:rsidRPr="00A066D1">
        <w:rPr>
          <w:rFonts w:ascii="Arial" w:hAnsi="Arial" w:cs="Arial"/>
          <w:i/>
          <w:iCs/>
          <w:sz w:val="22"/>
          <w:szCs w:val="22"/>
          <w:lang w:val="en-US"/>
        </w:rPr>
        <w:t>Journal of Consulting and Clinical Psychology</w:t>
      </w:r>
      <w:r>
        <w:rPr>
          <w:rFonts w:ascii="Arial" w:hAnsi="Arial" w:cs="Arial"/>
          <w:sz w:val="22"/>
          <w:szCs w:val="22"/>
          <w:lang w:val="en-US"/>
        </w:rPr>
        <w:t>, 54, 381-385.</w:t>
      </w:r>
    </w:p>
    <w:p w14:paraId="49CD3E95" w14:textId="77777777" w:rsidR="00DF57DF" w:rsidRDefault="00DF57DF" w:rsidP="00DF57DF">
      <w:pPr>
        <w:spacing w:line="480" w:lineRule="auto"/>
        <w:rPr>
          <w:rFonts w:ascii="Arial" w:hAnsi="Arial" w:cs="Arial"/>
          <w:sz w:val="22"/>
          <w:szCs w:val="22"/>
          <w:lang w:val="en-US"/>
        </w:rPr>
      </w:pPr>
    </w:p>
    <w:p w14:paraId="61E6BCF5" w14:textId="77777777" w:rsidR="00DF57DF" w:rsidRDefault="00DF57DF" w:rsidP="00DF57DF">
      <w:pPr>
        <w:spacing w:line="480" w:lineRule="auto"/>
        <w:rPr>
          <w:rFonts w:ascii="Arial" w:hAnsi="Arial" w:cs="Arial"/>
          <w:sz w:val="22"/>
          <w:szCs w:val="22"/>
          <w:lang w:val="en-US"/>
        </w:rPr>
      </w:pPr>
      <w:r>
        <w:rPr>
          <w:rFonts w:ascii="Arial" w:hAnsi="Arial" w:cs="Arial"/>
          <w:sz w:val="22"/>
          <w:szCs w:val="22"/>
          <w:lang w:val="en-US"/>
        </w:rPr>
        <w:t xml:space="preserve">van Stolk, C., Hofman, J., Hafner, M., and Janta, B. (2014). </w:t>
      </w:r>
      <w:r w:rsidRPr="000C60A5">
        <w:rPr>
          <w:rFonts w:ascii="Arial" w:hAnsi="Arial" w:cs="Arial"/>
          <w:i/>
          <w:iCs/>
          <w:sz w:val="22"/>
          <w:szCs w:val="22"/>
          <w:lang w:val="en-US"/>
        </w:rPr>
        <w:t>Psychological Wellbeing and Work: Improving Service Provision and Outcomes.</w:t>
      </w:r>
      <w:r>
        <w:rPr>
          <w:rFonts w:ascii="Arial" w:hAnsi="Arial" w:cs="Arial"/>
          <w:sz w:val="22"/>
          <w:szCs w:val="22"/>
          <w:lang w:val="en-US"/>
        </w:rPr>
        <w:t xml:space="preserve"> Available online at </w:t>
      </w:r>
      <w:r w:rsidRPr="000C60A5">
        <w:rPr>
          <w:rFonts w:ascii="Arial" w:hAnsi="Arial" w:cs="Arial"/>
          <w:sz w:val="22"/>
          <w:szCs w:val="22"/>
          <w:lang w:val="en-US"/>
        </w:rPr>
        <w:t>https://assets.publishing.service.gov.uk/government/uploads/system/uploads/attachment_data/file/273433/psychological-wellbeing-and-work.pdf</w:t>
      </w:r>
    </w:p>
    <w:p w14:paraId="6BEBF33E" w14:textId="77777777" w:rsidR="00DF57DF" w:rsidRPr="00053B94" w:rsidRDefault="00DF57DF" w:rsidP="00DF57DF">
      <w:pPr>
        <w:spacing w:line="480" w:lineRule="auto"/>
        <w:rPr>
          <w:rFonts w:ascii="Arial" w:hAnsi="Arial" w:cs="Arial"/>
          <w:sz w:val="22"/>
          <w:szCs w:val="22"/>
          <w:lang w:val="en-US"/>
        </w:rPr>
      </w:pPr>
      <w:r>
        <w:rPr>
          <w:rFonts w:ascii="Arial" w:hAnsi="Arial" w:cs="Arial"/>
          <w:sz w:val="22"/>
          <w:szCs w:val="22"/>
          <w:lang w:val="en-US"/>
        </w:rPr>
        <w:t>Accessed 9</w:t>
      </w:r>
      <w:r w:rsidRPr="000C60A5">
        <w:rPr>
          <w:rFonts w:ascii="Arial" w:hAnsi="Arial" w:cs="Arial"/>
          <w:sz w:val="22"/>
          <w:szCs w:val="22"/>
          <w:vertAlign w:val="superscript"/>
          <w:lang w:val="en-US"/>
        </w:rPr>
        <w:t>th</w:t>
      </w:r>
      <w:r>
        <w:rPr>
          <w:rFonts w:ascii="Arial" w:hAnsi="Arial" w:cs="Arial"/>
          <w:sz w:val="22"/>
          <w:szCs w:val="22"/>
          <w:lang w:val="en-US"/>
        </w:rPr>
        <w:t xml:space="preserve"> October 2019.</w:t>
      </w:r>
    </w:p>
    <w:p w14:paraId="55DF9579" w14:textId="77777777" w:rsidR="00DF57DF" w:rsidRPr="00053B94" w:rsidRDefault="00DF57DF" w:rsidP="00DF57DF">
      <w:pPr>
        <w:spacing w:line="480" w:lineRule="auto"/>
        <w:rPr>
          <w:rFonts w:ascii="Arial" w:hAnsi="Arial" w:cs="Arial"/>
          <w:sz w:val="22"/>
          <w:szCs w:val="22"/>
          <w:lang w:val="en-US"/>
        </w:rPr>
      </w:pPr>
    </w:p>
    <w:p w14:paraId="7D7617D9" w14:textId="77777777" w:rsidR="00DF57DF" w:rsidRPr="005D264F" w:rsidRDefault="00DF57DF" w:rsidP="00DF57DF">
      <w:pPr>
        <w:spacing w:line="480" w:lineRule="auto"/>
        <w:rPr>
          <w:rFonts w:ascii="Arial" w:hAnsi="Arial" w:cs="Arial"/>
          <w:sz w:val="22"/>
          <w:szCs w:val="22"/>
        </w:rPr>
      </w:pPr>
    </w:p>
    <w:p w14:paraId="367DD851"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r w:rsidRPr="005D264F">
        <w:rPr>
          <w:rFonts w:ascii="Arial" w:hAnsi="Arial" w:cs="Arial"/>
          <w:sz w:val="22"/>
          <w:szCs w:val="22"/>
          <w:lang w:val="en-US"/>
        </w:rPr>
        <w:t>Veale, D. (2007)</w:t>
      </w:r>
      <w:r>
        <w:rPr>
          <w:rFonts w:ascii="Arial" w:hAnsi="Arial" w:cs="Arial"/>
          <w:sz w:val="22"/>
          <w:szCs w:val="22"/>
          <w:lang w:val="en-US"/>
        </w:rPr>
        <w:t>.</w:t>
      </w:r>
      <w:r w:rsidRPr="005D264F">
        <w:rPr>
          <w:rFonts w:ascii="Arial" w:hAnsi="Arial" w:cs="Arial"/>
          <w:sz w:val="22"/>
          <w:szCs w:val="22"/>
          <w:lang w:val="en-US"/>
        </w:rPr>
        <w:t xml:space="preserve"> Cognitive Therapy for Obsessive Compulsive Disorder. Advances in Psychiatric Treatment. Available online at:</w:t>
      </w:r>
    </w:p>
    <w:p w14:paraId="14E07844" w14:textId="77777777" w:rsidR="00DF57DF" w:rsidRPr="005D264F" w:rsidRDefault="00DD38EE" w:rsidP="00DF57DF">
      <w:pPr>
        <w:widowControl w:val="0"/>
        <w:autoSpaceDE w:val="0"/>
        <w:autoSpaceDN w:val="0"/>
        <w:adjustRightInd w:val="0"/>
        <w:spacing w:line="480" w:lineRule="auto"/>
        <w:rPr>
          <w:rFonts w:ascii="Arial" w:hAnsi="Arial" w:cs="Arial"/>
          <w:sz w:val="22"/>
          <w:szCs w:val="22"/>
          <w:lang w:val="en-US"/>
        </w:rPr>
      </w:pPr>
      <w:hyperlink r:id="rId102" w:history="1">
        <w:r w:rsidR="00DF57DF" w:rsidRPr="005D264F">
          <w:rPr>
            <w:rStyle w:val="Hyperlink"/>
            <w:rFonts w:ascii="Arial" w:hAnsi="Arial" w:cs="Arial"/>
            <w:sz w:val="22"/>
            <w:szCs w:val="22"/>
            <w:lang w:val="en-US"/>
          </w:rPr>
          <w:t>http://apt.rcpsych.or/content/13/6/438.full</w:t>
        </w:r>
      </w:hyperlink>
      <w:r w:rsidR="00DF57DF" w:rsidRPr="005D264F">
        <w:rPr>
          <w:rFonts w:ascii="Arial" w:hAnsi="Arial" w:cs="Arial"/>
          <w:sz w:val="22"/>
          <w:szCs w:val="22"/>
          <w:lang w:val="en-US"/>
        </w:rPr>
        <w:t xml:space="preserve">    Accessed on 10</w:t>
      </w:r>
      <w:r w:rsidR="00DF57DF" w:rsidRPr="005D264F">
        <w:rPr>
          <w:rFonts w:ascii="Arial" w:hAnsi="Arial" w:cs="Arial"/>
          <w:sz w:val="22"/>
          <w:szCs w:val="22"/>
          <w:vertAlign w:val="superscript"/>
          <w:lang w:val="en-US"/>
        </w:rPr>
        <w:t>th</w:t>
      </w:r>
      <w:r w:rsidR="00DF57DF" w:rsidRPr="005D264F">
        <w:rPr>
          <w:rFonts w:ascii="Arial" w:hAnsi="Arial" w:cs="Arial"/>
          <w:sz w:val="22"/>
          <w:szCs w:val="22"/>
          <w:lang w:val="en-US"/>
        </w:rPr>
        <w:t xml:space="preserve"> June 201</w:t>
      </w:r>
      <w:r w:rsidR="00DF57DF">
        <w:rPr>
          <w:rFonts w:ascii="Arial" w:hAnsi="Arial" w:cs="Arial"/>
          <w:sz w:val="22"/>
          <w:szCs w:val="22"/>
          <w:lang w:val="en-US"/>
        </w:rPr>
        <w:t>9</w:t>
      </w:r>
      <w:r w:rsidR="00DF57DF" w:rsidRPr="005D264F">
        <w:rPr>
          <w:rFonts w:ascii="Arial" w:hAnsi="Arial" w:cs="Arial"/>
          <w:sz w:val="22"/>
          <w:szCs w:val="22"/>
          <w:lang w:val="en-US"/>
        </w:rPr>
        <w:t>.</w:t>
      </w:r>
    </w:p>
    <w:p w14:paraId="02727E35"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p>
    <w:p w14:paraId="7D605EE3"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sidRPr="005D264F">
        <w:rPr>
          <w:rFonts w:ascii="Arial" w:hAnsi="Arial" w:cs="Arial"/>
          <w:sz w:val="22"/>
          <w:szCs w:val="22"/>
          <w:lang w:val="en-US"/>
        </w:rPr>
        <w:t>Voinescu, B.I., Szentagotai, A. and David, D. (2013)</w:t>
      </w:r>
      <w:r>
        <w:rPr>
          <w:rFonts w:ascii="Arial" w:hAnsi="Arial" w:cs="Arial"/>
          <w:sz w:val="22"/>
          <w:szCs w:val="22"/>
          <w:lang w:val="en-US"/>
        </w:rPr>
        <w:t>.</w:t>
      </w:r>
      <w:r w:rsidRPr="005D264F">
        <w:rPr>
          <w:rFonts w:ascii="Arial" w:hAnsi="Arial" w:cs="Arial"/>
          <w:sz w:val="22"/>
          <w:szCs w:val="22"/>
          <w:lang w:val="en-US"/>
        </w:rPr>
        <w:t xml:space="preserve"> Internet administered cognitive-behaviour therapy for insomnia</w:t>
      </w:r>
      <w:r>
        <w:rPr>
          <w:rFonts w:ascii="Arial" w:hAnsi="Arial" w:cs="Arial"/>
          <w:sz w:val="22"/>
          <w:szCs w:val="22"/>
          <w:lang w:val="en-US"/>
        </w:rPr>
        <w:t xml:space="preserve">. </w:t>
      </w:r>
      <w:r w:rsidRPr="005D264F">
        <w:rPr>
          <w:rFonts w:ascii="Arial" w:hAnsi="Arial" w:cs="Arial"/>
          <w:sz w:val="22"/>
          <w:szCs w:val="22"/>
          <w:lang w:val="en-US"/>
        </w:rPr>
        <w:t xml:space="preserve"> </w:t>
      </w:r>
      <w:r w:rsidRPr="005D264F">
        <w:rPr>
          <w:rFonts w:ascii="Arial" w:hAnsi="Arial" w:cs="Arial"/>
          <w:i/>
          <w:sz w:val="22"/>
          <w:szCs w:val="22"/>
          <w:lang w:val="en-US"/>
        </w:rPr>
        <w:t>Journal of Cognitive and Behavioural Psychotherapies</w:t>
      </w:r>
      <w:r w:rsidRPr="005D264F">
        <w:rPr>
          <w:rFonts w:ascii="Arial" w:hAnsi="Arial" w:cs="Arial"/>
          <w:sz w:val="22"/>
          <w:szCs w:val="22"/>
          <w:lang w:val="en-US"/>
        </w:rPr>
        <w:t>, 13 (1) 225-237.</w:t>
      </w:r>
    </w:p>
    <w:p w14:paraId="75252E0A"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2E64250D" w14:textId="77777777" w:rsidR="00DF57DF" w:rsidRDefault="00DF57DF" w:rsidP="00DF57DF">
      <w:pPr>
        <w:rPr>
          <w:rFonts w:ascii="Arial" w:hAnsi="Arial" w:cs="Arial"/>
          <w:sz w:val="22"/>
          <w:szCs w:val="22"/>
          <w:lang w:val="en-US"/>
        </w:rPr>
      </w:pPr>
      <w:r>
        <w:rPr>
          <w:rFonts w:ascii="Arial" w:hAnsi="Arial" w:cs="Arial"/>
          <w:sz w:val="22"/>
          <w:szCs w:val="22"/>
          <w:lang w:val="en-US"/>
        </w:rPr>
        <w:br w:type="page"/>
      </w:r>
    </w:p>
    <w:p w14:paraId="52EE4175"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lastRenderedPageBreak/>
        <w:t xml:space="preserve">Volante, L. (2004). Teaching to the test: What every educator and policy maker should know. Canadian Journal of Educational Administration and Policy. Available online at </w:t>
      </w:r>
      <w:r w:rsidRPr="005C2627">
        <w:rPr>
          <w:rFonts w:ascii="Arial" w:hAnsi="Arial" w:cs="Arial"/>
          <w:sz w:val="22"/>
          <w:szCs w:val="22"/>
          <w:lang w:val="en-US"/>
        </w:rPr>
        <w:t>https://files.eric.ed.gov/fulltext/EJ848235.pdf</w:t>
      </w:r>
    </w:p>
    <w:p w14:paraId="19520843"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Accessed 26</w:t>
      </w:r>
      <w:r w:rsidRPr="005C2627">
        <w:rPr>
          <w:rFonts w:ascii="Arial" w:hAnsi="Arial" w:cs="Arial"/>
          <w:sz w:val="22"/>
          <w:szCs w:val="22"/>
          <w:vertAlign w:val="superscript"/>
          <w:lang w:val="en-US"/>
        </w:rPr>
        <w:t>th</w:t>
      </w:r>
      <w:r>
        <w:rPr>
          <w:rFonts w:ascii="Arial" w:hAnsi="Arial" w:cs="Arial"/>
          <w:sz w:val="22"/>
          <w:szCs w:val="22"/>
          <w:lang w:val="en-US"/>
        </w:rPr>
        <w:t xml:space="preserve"> October 2019.</w:t>
      </w:r>
    </w:p>
    <w:p w14:paraId="7B13B53F"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p>
    <w:p w14:paraId="3E1D39F5"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sidRPr="00426518">
        <w:rPr>
          <w:rFonts w:ascii="Arial" w:hAnsi="Arial" w:cs="Arial"/>
          <w:sz w:val="22"/>
          <w:szCs w:val="22"/>
          <w:lang w:val="en-US"/>
        </w:rPr>
        <w:t xml:space="preserve">Walfish, S., McAlister, B., O’Donnell, P., &amp; Lambert, M. J. (2012). An investigation of self-assessment bias in mental health providers. </w:t>
      </w:r>
      <w:r w:rsidRPr="00426518">
        <w:rPr>
          <w:rFonts w:ascii="Arial" w:hAnsi="Arial" w:cs="Arial"/>
          <w:i/>
          <w:iCs/>
          <w:sz w:val="22"/>
          <w:szCs w:val="22"/>
          <w:lang w:val="en-US"/>
        </w:rPr>
        <w:t>Psychological Reports, 110</w:t>
      </w:r>
      <w:r>
        <w:rPr>
          <w:rFonts w:ascii="Arial" w:hAnsi="Arial" w:cs="Arial"/>
          <w:sz w:val="22"/>
          <w:szCs w:val="22"/>
          <w:lang w:val="en-US"/>
        </w:rPr>
        <w:t>,</w:t>
      </w:r>
      <w:r w:rsidRPr="00426518">
        <w:rPr>
          <w:rFonts w:ascii="Arial" w:hAnsi="Arial" w:cs="Arial"/>
          <w:sz w:val="22"/>
          <w:szCs w:val="22"/>
          <w:lang w:val="en-US"/>
        </w:rPr>
        <w:t xml:space="preserve"> 639–644.</w:t>
      </w:r>
    </w:p>
    <w:p w14:paraId="02454074" w14:textId="77777777" w:rsidR="00DF57DF" w:rsidRPr="00426518" w:rsidRDefault="00DF57DF" w:rsidP="00DF57DF">
      <w:pPr>
        <w:widowControl w:val="0"/>
        <w:autoSpaceDE w:val="0"/>
        <w:autoSpaceDN w:val="0"/>
        <w:adjustRightInd w:val="0"/>
        <w:spacing w:line="480" w:lineRule="auto"/>
        <w:rPr>
          <w:rFonts w:ascii="Arial" w:hAnsi="Arial" w:cs="Arial"/>
          <w:sz w:val="22"/>
          <w:szCs w:val="22"/>
          <w:lang w:val="en-US"/>
        </w:rPr>
      </w:pPr>
    </w:p>
    <w:p w14:paraId="35C64A74"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sidRPr="005D264F">
        <w:rPr>
          <w:rFonts w:ascii="Arial" w:hAnsi="Arial" w:cs="Arial"/>
          <w:sz w:val="22"/>
          <w:szCs w:val="22"/>
          <w:lang w:val="en-US"/>
        </w:rPr>
        <w:t>Waller, G. (2009)</w:t>
      </w:r>
      <w:r>
        <w:rPr>
          <w:rFonts w:ascii="Arial" w:hAnsi="Arial" w:cs="Arial"/>
          <w:sz w:val="22"/>
          <w:szCs w:val="22"/>
          <w:lang w:val="en-US"/>
        </w:rPr>
        <w:t>.</w:t>
      </w:r>
      <w:r w:rsidRPr="005D264F">
        <w:rPr>
          <w:rFonts w:ascii="Arial" w:hAnsi="Arial" w:cs="Arial"/>
          <w:sz w:val="22"/>
          <w:szCs w:val="22"/>
          <w:lang w:val="en-US"/>
        </w:rPr>
        <w:t xml:space="preserve"> Evidence-based treatment and therapist drift. </w:t>
      </w:r>
      <w:r>
        <w:rPr>
          <w:rFonts w:ascii="Arial" w:hAnsi="Arial" w:cs="Arial"/>
          <w:sz w:val="22"/>
          <w:szCs w:val="22"/>
          <w:lang w:val="en-US"/>
        </w:rPr>
        <w:t xml:space="preserve"> </w:t>
      </w:r>
      <w:r w:rsidRPr="005D264F">
        <w:rPr>
          <w:rFonts w:ascii="Arial" w:hAnsi="Arial" w:cs="Arial"/>
          <w:i/>
          <w:sz w:val="22"/>
          <w:szCs w:val="22"/>
          <w:lang w:val="en-US"/>
        </w:rPr>
        <w:t>Behaviour Research and Therapy</w:t>
      </w:r>
      <w:r w:rsidRPr="005D264F">
        <w:rPr>
          <w:rFonts w:ascii="Arial" w:hAnsi="Arial" w:cs="Arial"/>
          <w:sz w:val="22"/>
          <w:szCs w:val="22"/>
          <w:lang w:val="en-US"/>
        </w:rPr>
        <w:t>, 47, 119-127.</w:t>
      </w:r>
    </w:p>
    <w:p w14:paraId="13231358"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p>
    <w:p w14:paraId="43A9E139"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 xml:space="preserve">Waller, G., Stringer, H., and Meyer, C. (2012). What cognitive behavioural techniques do therapists report using when delivering cognitive behavioural therapy for the eating disorders? </w:t>
      </w:r>
      <w:r w:rsidRPr="00D7563E">
        <w:rPr>
          <w:rFonts w:ascii="Arial" w:hAnsi="Arial" w:cs="Arial"/>
          <w:i/>
          <w:iCs/>
          <w:sz w:val="22"/>
          <w:szCs w:val="22"/>
          <w:lang w:val="en-US"/>
        </w:rPr>
        <w:t>Journal of Consulting and Clinical Psychology</w:t>
      </w:r>
      <w:r>
        <w:rPr>
          <w:rFonts w:ascii="Arial" w:hAnsi="Arial" w:cs="Arial"/>
          <w:sz w:val="22"/>
          <w:szCs w:val="22"/>
          <w:lang w:val="en-US"/>
        </w:rPr>
        <w:t>, 80, 171-175.</w:t>
      </w:r>
    </w:p>
    <w:p w14:paraId="673221C5"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p>
    <w:p w14:paraId="09466926"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sidRPr="005D264F">
        <w:rPr>
          <w:rFonts w:ascii="Arial" w:hAnsi="Arial" w:cs="Arial"/>
          <w:sz w:val="22"/>
          <w:szCs w:val="22"/>
          <w:lang w:val="en-US"/>
        </w:rPr>
        <w:t>Waller, G. and Turner, H. (2016)</w:t>
      </w:r>
      <w:r>
        <w:rPr>
          <w:rFonts w:ascii="Arial" w:hAnsi="Arial" w:cs="Arial"/>
          <w:sz w:val="22"/>
          <w:szCs w:val="22"/>
          <w:lang w:val="en-US"/>
        </w:rPr>
        <w:t>.</w:t>
      </w:r>
      <w:r w:rsidRPr="005D264F">
        <w:rPr>
          <w:rFonts w:ascii="Arial" w:hAnsi="Arial" w:cs="Arial"/>
          <w:sz w:val="22"/>
          <w:szCs w:val="22"/>
          <w:lang w:val="en-US"/>
        </w:rPr>
        <w:t xml:space="preserve"> Therapist drift-redux: Why well-meaning clinicians fail to deliver evidence-based therapy, and how to get back on track. </w:t>
      </w:r>
      <w:r w:rsidRPr="005D264F">
        <w:rPr>
          <w:rFonts w:ascii="Arial" w:hAnsi="Arial" w:cs="Arial"/>
          <w:i/>
          <w:sz w:val="22"/>
          <w:szCs w:val="22"/>
          <w:lang w:val="en-US"/>
        </w:rPr>
        <w:t>Behaviour Research and Therapy</w:t>
      </w:r>
      <w:r w:rsidRPr="005D264F">
        <w:rPr>
          <w:rFonts w:ascii="Arial" w:hAnsi="Arial" w:cs="Arial"/>
          <w:sz w:val="22"/>
          <w:szCs w:val="22"/>
          <w:lang w:val="en-US"/>
        </w:rPr>
        <w:t>, 77, 129-137.</w:t>
      </w:r>
    </w:p>
    <w:p w14:paraId="6D3C7D77"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44A633F1"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 xml:space="preserve">Walsh, P., Carroll, J., and Sleator, R.D. (2013). Accelerating in silico research with workflows: A lesson in simplicity. </w:t>
      </w:r>
      <w:r w:rsidRPr="005021BB">
        <w:rPr>
          <w:rFonts w:ascii="Arial" w:hAnsi="Arial" w:cs="Arial"/>
          <w:i/>
          <w:iCs/>
          <w:sz w:val="22"/>
          <w:szCs w:val="22"/>
          <w:lang w:val="en-US"/>
        </w:rPr>
        <w:t>Computers in Biology and Medicine</w:t>
      </w:r>
      <w:r>
        <w:rPr>
          <w:rFonts w:ascii="Arial" w:hAnsi="Arial" w:cs="Arial"/>
          <w:sz w:val="22"/>
          <w:szCs w:val="22"/>
          <w:lang w:val="en-US"/>
        </w:rPr>
        <w:t>, 43, 2028-2035.</w:t>
      </w:r>
    </w:p>
    <w:p w14:paraId="37238C2D"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69C57C34" w14:textId="77777777" w:rsidR="00DF57DF" w:rsidRPr="00426518" w:rsidRDefault="00DF57DF" w:rsidP="00DF57DF">
      <w:pPr>
        <w:widowControl w:val="0"/>
        <w:autoSpaceDE w:val="0"/>
        <w:autoSpaceDN w:val="0"/>
        <w:adjustRightInd w:val="0"/>
        <w:spacing w:line="480" w:lineRule="auto"/>
        <w:rPr>
          <w:rFonts w:ascii="Arial" w:hAnsi="Arial" w:cs="Arial"/>
          <w:sz w:val="22"/>
          <w:szCs w:val="22"/>
          <w:lang w:val="en-US"/>
        </w:rPr>
      </w:pPr>
      <w:r w:rsidRPr="00426518">
        <w:rPr>
          <w:rFonts w:ascii="Arial" w:hAnsi="Arial" w:cs="Arial"/>
          <w:sz w:val="22"/>
          <w:szCs w:val="22"/>
          <w:lang w:val="en-US"/>
        </w:rPr>
        <w:t>Watson, J</w:t>
      </w:r>
      <w:r>
        <w:rPr>
          <w:rFonts w:ascii="Arial" w:hAnsi="Arial" w:cs="Arial"/>
          <w:sz w:val="22"/>
          <w:szCs w:val="22"/>
          <w:lang w:val="en-US"/>
        </w:rPr>
        <w:t>.</w:t>
      </w:r>
      <w:r w:rsidRPr="00426518">
        <w:rPr>
          <w:rFonts w:ascii="Arial" w:hAnsi="Arial" w:cs="Arial"/>
          <w:sz w:val="22"/>
          <w:szCs w:val="22"/>
          <w:lang w:val="en-US"/>
        </w:rPr>
        <w:t>B. </w:t>
      </w:r>
      <w:r>
        <w:rPr>
          <w:rFonts w:ascii="Arial" w:hAnsi="Arial" w:cs="Arial"/>
          <w:sz w:val="22"/>
          <w:szCs w:val="22"/>
          <w:lang w:val="en-US"/>
        </w:rPr>
        <w:t xml:space="preserve">(1913). </w:t>
      </w:r>
      <w:hyperlink r:id="rId103" w:history="1">
        <w:r w:rsidRPr="00426518">
          <w:rPr>
            <w:rFonts w:ascii="Arial" w:hAnsi="Arial" w:cs="Arial"/>
            <w:sz w:val="22"/>
            <w:szCs w:val="22"/>
            <w:u w:val="single" w:color="DCA10D"/>
            <w:lang w:val="en-US"/>
          </w:rPr>
          <w:t xml:space="preserve">Psychology as the </w:t>
        </w:r>
        <w:r>
          <w:rPr>
            <w:rFonts w:ascii="Arial" w:hAnsi="Arial" w:cs="Arial"/>
            <w:sz w:val="22"/>
            <w:szCs w:val="22"/>
            <w:u w:val="single" w:color="DCA10D"/>
            <w:lang w:val="en-US"/>
          </w:rPr>
          <w:t>b</w:t>
        </w:r>
        <w:r w:rsidRPr="00426518">
          <w:rPr>
            <w:rFonts w:ascii="Arial" w:hAnsi="Arial" w:cs="Arial"/>
            <w:sz w:val="22"/>
            <w:szCs w:val="22"/>
            <w:u w:val="single" w:color="DCA10D"/>
            <w:lang w:val="en-US"/>
          </w:rPr>
          <w:t xml:space="preserve">ehaviorist </w:t>
        </w:r>
        <w:r>
          <w:rPr>
            <w:rFonts w:ascii="Arial" w:hAnsi="Arial" w:cs="Arial"/>
            <w:sz w:val="22"/>
            <w:szCs w:val="22"/>
            <w:u w:val="single" w:color="DCA10D"/>
            <w:lang w:val="en-US"/>
          </w:rPr>
          <w:t>v</w:t>
        </w:r>
        <w:r w:rsidRPr="00426518">
          <w:rPr>
            <w:rFonts w:ascii="Arial" w:hAnsi="Arial" w:cs="Arial"/>
            <w:sz w:val="22"/>
            <w:szCs w:val="22"/>
            <w:u w:val="single" w:color="DCA10D"/>
            <w:lang w:val="en-US"/>
          </w:rPr>
          <w:t>iews It</w:t>
        </w:r>
      </w:hyperlink>
      <w:r w:rsidRPr="00426518">
        <w:rPr>
          <w:rFonts w:ascii="Arial" w:hAnsi="Arial" w:cs="Arial"/>
          <w:sz w:val="22"/>
          <w:szCs w:val="22"/>
          <w:lang w:val="en-US"/>
        </w:rPr>
        <w:t xml:space="preserve">. </w:t>
      </w:r>
      <w:r w:rsidRPr="00426518">
        <w:rPr>
          <w:rFonts w:ascii="Arial" w:hAnsi="Arial" w:cs="Arial"/>
          <w:i/>
          <w:iCs/>
          <w:sz w:val="22"/>
          <w:szCs w:val="22"/>
          <w:lang w:val="en-US"/>
        </w:rPr>
        <w:t>Psychological Review</w:t>
      </w:r>
      <w:r>
        <w:rPr>
          <w:rFonts w:ascii="Arial" w:hAnsi="Arial" w:cs="Arial"/>
          <w:sz w:val="22"/>
          <w:szCs w:val="22"/>
          <w:lang w:val="en-US"/>
        </w:rPr>
        <w:t xml:space="preserve">, </w:t>
      </w:r>
      <w:r w:rsidRPr="00426518">
        <w:rPr>
          <w:rFonts w:ascii="Arial" w:hAnsi="Arial" w:cs="Arial"/>
          <w:sz w:val="22"/>
          <w:szCs w:val="22"/>
          <w:lang w:val="en-US"/>
        </w:rPr>
        <w:t>20</w:t>
      </w:r>
      <w:r>
        <w:rPr>
          <w:rFonts w:ascii="Arial" w:hAnsi="Arial" w:cs="Arial"/>
          <w:sz w:val="22"/>
          <w:szCs w:val="22"/>
          <w:lang w:val="en-US"/>
        </w:rPr>
        <w:t xml:space="preserve">, </w:t>
      </w:r>
      <w:r w:rsidRPr="00426518">
        <w:rPr>
          <w:rFonts w:ascii="Arial" w:hAnsi="Arial" w:cs="Arial"/>
          <w:sz w:val="22"/>
          <w:szCs w:val="22"/>
          <w:lang w:val="en-US"/>
        </w:rPr>
        <w:t>158-177.</w:t>
      </w:r>
    </w:p>
    <w:p w14:paraId="583AB945"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5FE278DC"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 xml:space="preserve">Wampold, B.E. (2001) </w:t>
      </w:r>
      <w:r w:rsidRPr="00050ECD">
        <w:rPr>
          <w:rFonts w:ascii="Arial" w:hAnsi="Arial" w:cs="Arial"/>
          <w:i/>
          <w:iCs/>
          <w:sz w:val="22"/>
          <w:szCs w:val="22"/>
          <w:lang w:val="en-US"/>
        </w:rPr>
        <w:t>The Great Psychotherapy Debate: Models, Methods and Findings</w:t>
      </w:r>
      <w:r>
        <w:rPr>
          <w:rFonts w:ascii="Arial" w:hAnsi="Arial" w:cs="Arial"/>
          <w:sz w:val="22"/>
          <w:szCs w:val="22"/>
          <w:lang w:val="en-US"/>
        </w:rPr>
        <w:t>. Mahwah, New Jersey, Routledge.</w:t>
      </w:r>
    </w:p>
    <w:p w14:paraId="0E43863D"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4F817E5E"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lastRenderedPageBreak/>
        <w:t xml:space="preserve">Wampold, B.E. (2015). How important are the common factors in psychotherapy? An update. </w:t>
      </w:r>
      <w:r w:rsidRPr="002F664A">
        <w:rPr>
          <w:rFonts w:ascii="Arial" w:hAnsi="Arial" w:cs="Arial"/>
          <w:i/>
          <w:iCs/>
          <w:sz w:val="22"/>
          <w:szCs w:val="22"/>
          <w:lang w:val="en-US"/>
        </w:rPr>
        <w:t>World Psychiatry</w:t>
      </w:r>
      <w:r>
        <w:rPr>
          <w:rFonts w:ascii="Arial" w:hAnsi="Arial" w:cs="Arial"/>
          <w:sz w:val="22"/>
          <w:szCs w:val="22"/>
          <w:lang w:val="en-US"/>
        </w:rPr>
        <w:t>, 14, 270-277.</w:t>
      </w:r>
    </w:p>
    <w:p w14:paraId="35D9BC6F"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7D1EB175"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 xml:space="preserve">Wampold, B.E., and Brown, G.S. (2005). Estimating variability in outcomes attributable to therapists? A naturalistic study of outcomes in managed care. </w:t>
      </w:r>
      <w:r w:rsidRPr="00050ECD">
        <w:rPr>
          <w:rFonts w:ascii="Arial" w:hAnsi="Arial" w:cs="Arial"/>
          <w:i/>
          <w:iCs/>
          <w:sz w:val="22"/>
          <w:szCs w:val="22"/>
          <w:lang w:val="en-US"/>
        </w:rPr>
        <w:t>Journal of Consulting and Clinical Psychology</w:t>
      </w:r>
      <w:r>
        <w:rPr>
          <w:rFonts w:ascii="Arial" w:hAnsi="Arial" w:cs="Arial"/>
          <w:sz w:val="22"/>
          <w:szCs w:val="22"/>
          <w:lang w:val="en-US"/>
        </w:rPr>
        <w:t>, 73, 914-923.</w:t>
      </w:r>
    </w:p>
    <w:p w14:paraId="1D8ACC1E"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70C5630D"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lang w:val="en-US"/>
        </w:rPr>
        <w:t xml:space="preserve">Wampold, B.E., Baldwin, S.A., Holtforth, M.G., and Imel, Z.E. (2017). What characterises effective therapists? In </w:t>
      </w:r>
      <w:r>
        <w:rPr>
          <w:rFonts w:ascii="Arial" w:hAnsi="Arial" w:cs="Arial"/>
          <w:sz w:val="22"/>
          <w:szCs w:val="22"/>
        </w:rPr>
        <w:t xml:space="preserve">Castonguay, L.G., and Hill, C.E.,(Eds.). (2017). </w:t>
      </w:r>
      <w:r w:rsidRPr="001D3EB3">
        <w:rPr>
          <w:rFonts w:ascii="Arial" w:hAnsi="Arial" w:cs="Arial"/>
          <w:i/>
          <w:iCs/>
          <w:sz w:val="22"/>
          <w:szCs w:val="22"/>
        </w:rPr>
        <w:t>How and Why are Some Therapists Better Than Others? Understanding Therapist Effects</w:t>
      </w:r>
      <w:r>
        <w:rPr>
          <w:rFonts w:ascii="Arial" w:hAnsi="Arial" w:cs="Arial"/>
          <w:sz w:val="22"/>
          <w:szCs w:val="22"/>
        </w:rPr>
        <w:t>. American Psychological Association, Washington DC.</w:t>
      </w:r>
    </w:p>
    <w:p w14:paraId="5F75E6DA"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49262039"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Wampold, B.E., Fluckiger, C., Del Re, A.C., Yulish, N.E., Frost, N.D., Pace, B.T., Goldberg, S.B., Miller, S.D., Baardseth, T.P., Laska, K.M., and Hilsenroth, M.J. (2016).In pursuit of truth&gt; A critical examination of meta-analyses of cognitive behavior therapy. </w:t>
      </w:r>
      <w:r w:rsidRPr="00D31C99">
        <w:rPr>
          <w:rFonts w:ascii="Arial" w:hAnsi="Arial" w:cs="Arial"/>
          <w:i/>
          <w:iCs/>
          <w:sz w:val="22"/>
          <w:szCs w:val="22"/>
        </w:rPr>
        <w:t>Psychotherapy Research,</w:t>
      </w:r>
      <w:r>
        <w:rPr>
          <w:rFonts w:ascii="Arial" w:hAnsi="Arial" w:cs="Arial"/>
          <w:sz w:val="22"/>
          <w:szCs w:val="22"/>
        </w:rPr>
        <w:t xml:space="preserve"> 27, 14-32.</w:t>
      </w:r>
    </w:p>
    <w:p w14:paraId="56AEFB2E"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11E6F0B3"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Wampold, B.E., Goodheart, C.D., and Levant, R.F. (2007). Clarification and elaboration on evidence-based practice in psychology. </w:t>
      </w:r>
      <w:r w:rsidRPr="00F41DE6">
        <w:rPr>
          <w:rFonts w:ascii="Arial" w:hAnsi="Arial" w:cs="Arial"/>
          <w:i/>
          <w:iCs/>
          <w:sz w:val="22"/>
          <w:szCs w:val="22"/>
        </w:rPr>
        <w:t>American Psychologist,</w:t>
      </w:r>
      <w:r>
        <w:rPr>
          <w:rFonts w:ascii="Arial" w:hAnsi="Arial" w:cs="Arial"/>
          <w:sz w:val="22"/>
          <w:szCs w:val="22"/>
        </w:rPr>
        <w:t xml:space="preserve"> 62, 616-618.</w:t>
      </w:r>
    </w:p>
    <w:p w14:paraId="63ACC676"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764688FC" w14:textId="77777777" w:rsidR="00DF57DF" w:rsidRPr="00691ACD"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Wampold, B.E., and Imel, Z.E. (2015). </w:t>
      </w:r>
      <w:r w:rsidRPr="00820D76">
        <w:rPr>
          <w:rFonts w:ascii="Arial" w:hAnsi="Arial" w:cs="Arial"/>
          <w:i/>
          <w:iCs/>
          <w:sz w:val="22"/>
          <w:szCs w:val="22"/>
        </w:rPr>
        <w:t>The Great Psychotherapy Debate: The Evidence for What Makes Psychotherapy Work.</w:t>
      </w:r>
      <w:r>
        <w:rPr>
          <w:rFonts w:ascii="Arial" w:hAnsi="Arial" w:cs="Arial"/>
          <w:sz w:val="22"/>
          <w:szCs w:val="22"/>
        </w:rPr>
        <w:t xml:space="preserve"> New York, Routledge.</w:t>
      </w:r>
    </w:p>
    <w:p w14:paraId="0B022FE0"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6DF34F75"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Webb, C.A., DeRubeis, R.J., and Barber, J.P. (2010). Therapist adherence/competence and treatment outcome: A meta-analytic review. J</w:t>
      </w:r>
      <w:r w:rsidRPr="0067245A">
        <w:rPr>
          <w:rFonts w:ascii="Arial" w:hAnsi="Arial" w:cs="Arial"/>
          <w:i/>
          <w:iCs/>
          <w:sz w:val="22"/>
          <w:szCs w:val="22"/>
          <w:lang w:val="en-US"/>
        </w:rPr>
        <w:t>ournal of Consulting and Clinical Psychology</w:t>
      </w:r>
      <w:r>
        <w:rPr>
          <w:rFonts w:ascii="Arial" w:hAnsi="Arial" w:cs="Arial"/>
          <w:sz w:val="22"/>
          <w:szCs w:val="22"/>
          <w:lang w:val="en-US"/>
        </w:rPr>
        <w:t>, 78, 200-211.</w:t>
      </w:r>
    </w:p>
    <w:p w14:paraId="2A3C265A"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6098256F" w14:textId="77777777" w:rsidR="00DF57DF" w:rsidRDefault="00DF57DF" w:rsidP="00DF57DF">
      <w:pPr>
        <w:rPr>
          <w:rFonts w:ascii="Arial" w:hAnsi="Arial" w:cs="Arial"/>
          <w:sz w:val="22"/>
          <w:szCs w:val="22"/>
          <w:lang w:val="en-US"/>
        </w:rPr>
      </w:pPr>
      <w:r>
        <w:rPr>
          <w:rFonts w:ascii="Arial" w:hAnsi="Arial" w:cs="Arial"/>
          <w:sz w:val="22"/>
          <w:szCs w:val="22"/>
          <w:lang w:val="en-US"/>
        </w:rPr>
        <w:br w:type="page"/>
      </w:r>
    </w:p>
    <w:p w14:paraId="47E0EBE4"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lastRenderedPageBreak/>
        <w:t xml:space="preserve">Weck, F., Richtberg, S., Jakob, M., Neng, J.M.B., and Hofling, V. (2015). Therapist competence and therapeutci allinace are important in the treatment of health anxiety (hypochondriasis). </w:t>
      </w:r>
      <w:r w:rsidRPr="008904D6">
        <w:rPr>
          <w:rFonts w:ascii="Arial" w:hAnsi="Arial" w:cs="Arial"/>
          <w:i/>
          <w:iCs/>
          <w:sz w:val="22"/>
          <w:szCs w:val="22"/>
          <w:lang w:val="en-US"/>
        </w:rPr>
        <w:t>Psychiatry Research</w:t>
      </w:r>
      <w:r>
        <w:rPr>
          <w:rFonts w:ascii="Arial" w:hAnsi="Arial" w:cs="Arial"/>
          <w:sz w:val="22"/>
          <w:szCs w:val="22"/>
          <w:lang w:val="en-US"/>
        </w:rPr>
        <w:t>, 228, 53-58.</w:t>
      </w:r>
    </w:p>
    <w:p w14:paraId="1AC65821"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462FBCB6"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 xml:space="preserve">Weck, F., Grikscheit, F., Hofling, V., Kordt, A., Hamm, A.O., Gerlach, A.L., Alpers, G.W., Arolt, V., Kircher, T., Pauli, P., Rief, W., and Lang, T. (2016). The role of treatment delivery factors in exposure-based cognitive behavioural therapy of panic disorder with agoraphobia. </w:t>
      </w:r>
      <w:r w:rsidRPr="008904D6">
        <w:rPr>
          <w:rFonts w:ascii="Arial" w:hAnsi="Arial" w:cs="Arial"/>
          <w:i/>
          <w:iCs/>
          <w:sz w:val="22"/>
          <w:szCs w:val="22"/>
          <w:lang w:val="en-US"/>
        </w:rPr>
        <w:t>Anxiety Disorders</w:t>
      </w:r>
      <w:r>
        <w:rPr>
          <w:rFonts w:ascii="Arial" w:hAnsi="Arial" w:cs="Arial"/>
          <w:sz w:val="22"/>
          <w:szCs w:val="22"/>
          <w:lang w:val="en-US"/>
        </w:rPr>
        <w:t>, 42, 10-18.</w:t>
      </w:r>
    </w:p>
    <w:p w14:paraId="306759FA"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07F386B8"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 xml:space="preserve">Weck, F., Kauffmann, Y.M. and Hofling, V. (2017). Competence feedback improves competence in trainee therapists: A randomised controlled pilot study. </w:t>
      </w:r>
      <w:r w:rsidRPr="00804B24">
        <w:rPr>
          <w:rFonts w:ascii="Arial" w:hAnsi="Arial" w:cs="Arial"/>
          <w:i/>
          <w:iCs/>
          <w:sz w:val="22"/>
          <w:szCs w:val="22"/>
          <w:lang w:val="en-US"/>
        </w:rPr>
        <w:t>Psychotherapy Research</w:t>
      </w:r>
      <w:r>
        <w:rPr>
          <w:rFonts w:ascii="Arial" w:hAnsi="Arial" w:cs="Arial"/>
          <w:sz w:val="22"/>
          <w:szCs w:val="22"/>
          <w:lang w:val="en-US"/>
        </w:rPr>
        <w:t>, 27, 501-509.</w:t>
      </w:r>
    </w:p>
    <w:p w14:paraId="2483EB7B"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p>
    <w:p w14:paraId="73ED8EB8" w14:textId="77777777" w:rsidR="00DF57DF" w:rsidRPr="005D264F" w:rsidRDefault="00DF57DF" w:rsidP="00DF57DF">
      <w:pPr>
        <w:spacing w:line="480" w:lineRule="auto"/>
        <w:rPr>
          <w:rFonts w:ascii="Arial" w:hAnsi="Arial" w:cs="Arial"/>
          <w:sz w:val="22"/>
          <w:szCs w:val="22"/>
        </w:rPr>
      </w:pPr>
      <w:r w:rsidRPr="005D264F">
        <w:rPr>
          <w:rFonts w:ascii="Arial" w:hAnsi="Arial" w:cs="Arial"/>
          <w:sz w:val="22"/>
          <w:szCs w:val="22"/>
        </w:rPr>
        <w:t xml:space="preserve">Weiss, D.S. (2007). The Impact of Event Scale-Revised. In J.P. Wilson, &amp; T.M. Keane (Eds.) </w:t>
      </w:r>
      <w:r w:rsidRPr="005D264F">
        <w:rPr>
          <w:rFonts w:ascii="Arial" w:hAnsi="Arial" w:cs="Arial"/>
          <w:i/>
          <w:iCs/>
          <w:sz w:val="22"/>
          <w:szCs w:val="22"/>
        </w:rPr>
        <w:t xml:space="preserve">Assessing Psychological Trauma and PTSD: a Practitioner's Handbook </w:t>
      </w:r>
      <w:r w:rsidRPr="005D264F">
        <w:rPr>
          <w:rFonts w:ascii="Arial" w:hAnsi="Arial" w:cs="Arial"/>
          <w:sz w:val="22"/>
          <w:szCs w:val="22"/>
        </w:rPr>
        <w:t>(2nd ed., pp. 168-189). New York: Guilford Press.</w:t>
      </w:r>
    </w:p>
    <w:p w14:paraId="7B891C28" w14:textId="77777777" w:rsidR="00DF57DF" w:rsidRPr="005D264F" w:rsidRDefault="00DF57DF" w:rsidP="00DF57DF">
      <w:pPr>
        <w:spacing w:line="480" w:lineRule="auto"/>
        <w:rPr>
          <w:rFonts w:ascii="Arial" w:hAnsi="Arial" w:cs="Arial"/>
          <w:sz w:val="22"/>
          <w:szCs w:val="22"/>
        </w:rPr>
      </w:pPr>
    </w:p>
    <w:p w14:paraId="560A1959" w14:textId="77777777" w:rsidR="00DF57DF" w:rsidRDefault="00DF57DF" w:rsidP="00DF57DF">
      <w:pPr>
        <w:spacing w:line="480" w:lineRule="auto"/>
        <w:rPr>
          <w:rFonts w:ascii="Arial" w:hAnsi="Arial" w:cs="Arial"/>
          <w:sz w:val="22"/>
          <w:szCs w:val="22"/>
        </w:rPr>
      </w:pPr>
      <w:r w:rsidRPr="005D264F">
        <w:rPr>
          <w:rFonts w:ascii="Arial" w:hAnsi="Arial" w:cs="Arial"/>
          <w:sz w:val="22"/>
          <w:szCs w:val="22"/>
        </w:rPr>
        <w:t>Wells, A. (1997)</w:t>
      </w:r>
      <w:r>
        <w:rPr>
          <w:rFonts w:ascii="Arial" w:hAnsi="Arial" w:cs="Arial"/>
          <w:sz w:val="22"/>
          <w:szCs w:val="22"/>
        </w:rPr>
        <w:t>.</w:t>
      </w:r>
      <w:r w:rsidRPr="005D264F">
        <w:rPr>
          <w:rFonts w:ascii="Arial" w:hAnsi="Arial" w:cs="Arial"/>
          <w:sz w:val="22"/>
          <w:szCs w:val="22"/>
        </w:rPr>
        <w:t xml:space="preserve"> Cognitive therapy of anxiety disorders: A practice manual and conceptual guide. Wiley, Chichester.</w:t>
      </w:r>
    </w:p>
    <w:p w14:paraId="5C7B5E0C" w14:textId="77777777" w:rsidR="00DF57DF" w:rsidRDefault="00DF57DF" w:rsidP="00DF57DF">
      <w:pPr>
        <w:spacing w:line="480" w:lineRule="auto"/>
        <w:rPr>
          <w:rFonts w:ascii="Arial" w:hAnsi="Arial" w:cs="Arial"/>
          <w:sz w:val="22"/>
          <w:szCs w:val="22"/>
        </w:rPr>
      </w:pPr>
    </w:p>
    <w:p w14:paraId="03D3CFB9" w14:textId="77777777" w:rsidR="00DF57DF" w:rsidRDefault="00DF57DF" w:rsidP="00DF57DF">
      <w:pPr>
        <w:spacing w:line="480" w:lineRule="auto"/>
        <w:rPr>
          <w:rFonts w:ascii="Arial" w:hAnsi="Arial" w:cs="Arial"/>
          <w:sz w:val="22"/>
          <w:szCs w:val="22"/>
        </w:rPr>
      </w:pPr>
      <w:r>
        <w:rPr>
          <w:rFonts w:ascii="Arial" w:hAnsi="Arial" w:cs="Arial"/>
          <w:sz w:val="22"/>
          <w:szCs w:val="22"/>
        </w:rPr>
        <w:t xml:space="preserve">We Need to Talk Coalition Report. (2010).  We Need to Talk: Getting the Right Therapy at the Right Time. Available online at </w:t>
      </w:r>
      <w:r w:rsidRPr="00750F47">
        <w:rPr>
          <w:rFonts w:ascii="Arial" w:hAnsi="Arial" w:cs="Arial"/>
          <w:sz w:val="22"/>
          <w:szCs w:val="22"/>
        </w:rPr>
        <w:t>https://www.mind.org.uk/media/280583/We-Need-to-Talk-getting-the-right-therapy-at-the-right-time.pdf</w:t>
      </w:r>
    </w:p>
    <w:p w14:paraId="6FD4AC1E" w14:textId="77777777" w:rsidR="00DF57DF" w:rsidRPr="00691ACD" w:rsidRDefault="00DF57DF" w:rsidP="00DF57DF">
      <w:pPr>
        <w:spacing w:line="480" w:lineRule="auto"/>
        <w:rPr>
          <w:rFonts w:ascii="Arial" w:hAnsi="Arial" w:cs="Arial"/>
          <w:sz w:val="22"/>
          <w:szCs w:val="22"/>
        </w:rPr>
      </w:pPr>
      <w:r>
        <w:rPr>
          <w:rFonts w:ascii="Arial" w:hAnsi="Arial" w:cs="Arial"/>
          <w:sz w:val="22"/>
          <w:szCs w:val="22"/>
        </w:rPr>
        <w:t>Accessed 26</w:t>
      </w:r>
      <w:r w:rsidRPr="00750F47">
        <w:rPr>
          <w:rFonts w:ascii="Arial" w:hAnsi="Arial" w:cs="Arial"/>
          <w:sz w:val="22"/>
          <w:szCs w:val="22"/>
          <w:vertAlign w:val="superscript"/>
        </w:rPr>
        <w:t>th</w:t>
      </w:r>
      <w:r>
        <w:rPr>
          <w:rFonts w:ascii="Arial" w:hAnsi="Arial" w:cs="Arial"/>
          <w:sz w:val="22"/>
          <w:szCs w:val="22"/>
        </w:rPr>
        <w:t xml:space="preserve"> October 2019.</w:t>
      </w:r>
    </w:p>
    <w:p w14:paraId="4CDBF8C7"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p>
    <w:p w14:paraId="2DE3CA21"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sidRPr="005D264F">
        <w:rPr>
          <w:rFonts w:ascii="Arial" w:hAnsi="Arial" w:cs="Arial"/>
          <w:sz w:val="22"/>
          <w:szCs w:val="22"/>
          <w:lang w:val="en-US"/>
        </w:rPr>
        <w:t xml:space="preserve">Westbrook, D. and Kirk, J. (2005) The clinical effectiveness of cognitive behaviour therapy: Outcome for a large sample of adults treated in routine practice, </w:t>
      </w:r>
      <w:r w:rsidRPr="005D264F">
        <w:rPr>
          <w:rFonts w:ascii="Arial" w:hAnsi="Arial" w:cs="Arial"/>
          <w:i/>
          <w:sz w:val="22"/>
          <w:szCs w:val="22"/>
          <w:lang w:val="en-US"/>
        </w:rPr>
        <w:t>Behaviour Research and Therapy,</w:t>
      </w:r>
      <w:r w:rsidRPr="005D264F">
        <w:rPr>
          <w:rFonts w:ascii="Arial" w:hAnsi="Arial" w:cs="Arial"/>
          <w:sz w:val="22"/>
          <w:szCs w:val="22"/>
          <w:lang w:val="en-US"/>
        </w:rPr>
        <w:t xml:space="preserve"> 43 (6), 1243-1261.</w:t>
      </w:r>
    </w:p>
    <w:p w14:paraId="16CE13AE"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lastRenderedPageBreak/>
        <w:t>Westwood, S., Morison, L., Allt, J., and Holmes, N. (2017). Predictors of emotional exhaustion, disengagement and burnout among improving access to psychological therapies (IAPT) practitioners. J</w:t>
      </w:r>
      <w:r w:rsidRPr="007A7940">
        <w:rPr>
          <w:rFonts w:ascii="Arial" w:hAnsi="Arial" w:cs="Arial"/>
          <w:i/>
          <w:iCs/>
          <w:sz w:val="22"/>
          <w:szCs w:val="22"/>
          <w:lang w:val="en-US"/>
        </w:rPr>
        <w:t>ournal of Mental Health,</w:t>
      </w:r>
      <w:r>
        <w:rPr>
          <w:rFonts w:ascii="Arial" w:hAnsi="Arial" w:cs="Arial"/>
          <w:sz w:val="22"/>
          <w:szCs w:val="22"/>
          <w:lang w:val="en-US"/>
        </w:rPr>
        <w:t xml:space="preserve"> 26, 172-179.</w:t>
      </w:r>
    </w:p>
    <w:p w14:paraId="7AD5BCD2"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74B9B07C"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 xml:space="preserve">Whisman, M. (1993). Mediators and moderators of change in cognitive therapy of depression. </w:t>
      </w:r>
      <w:r w:rsidRPr="00DE36FC">
        <w:rPr>
          <w:rFonts w:ascii="Arial" w:hAnsi="Arial" w:cs="Arial"/>
          <w:i/>
          <w:iCs/>
          <w:sz w:val="22"/>
          <w:szCs w:val="22"/>
          <w:lang w:val="en-US"/>
        </w:rPr>
        <w:t>Psychological Bulletin</w:t>
      </w:r>
      <w:r>
        <w:rPr>
          <w:rFonts w:ascii="Arial" w:hAnsi="Arial" w:cs="Arial"/>
          <w:sz w:val="22"/>
          <w:szCs w:val="22"/>
          <w:lang w:val="en-US"/>
        </w:rPr>
        <w:t>, 114, 248-265.</w:t>
      </w:r>
    </w:p>
    <w:p w14:paraId="12B469FA"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2E526913"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 xml:space="preserve">Williams, C.H. (2015). Improving access to psychological therapies (IAPT) and treatment outcomes: Epistemological assumptions and controversies. </w:t>
      </w:r>
      <w:r w:rsidRPr="00F41DE6">
        <w:rPr>
          <w:rFonts w:ascii="Arial" w:hAnsi="Arial" w:cs="Arial"/>
          <w:i/>
          <w:iCs/>
          <w:sz w:val="22"/>
          <w:szCs w:val="22"/>
          <w:lang w:val="en-US"/>
        </w:rPr>
        <w:t>Journal of Psychiatric and Mental Health Nursing</w:t>
      </w:r>
      <w:r>
        <w:rPr>
          <w:rFonts w:ascii="Arial" w:hAnsi="Arial" w:cs="Arial"/>
          <w:sz w:val="22"/>
          <w:szCs w:val="22"/>
          <w:lang w:val="en-US"/>
        </w:rPr>
        <w:t>, 22, 344-351.</w:t>
      </w:r>
    </w:p>
    <w:p w14:paraId="2A95BBCB"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4D5235EF"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 xml:space="preserve">Williams, B., Boyle, M., and O'Meara, P. (2009). Can undergraduate paramedic students accurately identify lung sounds? </w:t>
      </w:r>
      <w:r w:rsidRPr="00B917F3">
        <w:rPr>
          <w:rFonts w:ascii="Arial" w:hAnsi="Arial" w:cs="Arial"/>
          <w:i/>
          <w:iCs/>
          <w:sz w:val="22"/>
          <w:szCs w:val="22"/>
          <w:lang w:val="en-US"/>
        </w:rPr>
        <w:t>Emergency Medicine</w:t>
      </w:r>
      <w:r>
        <w:rPr>
          <w:rFonts w:ascii="Arial" w:hAnsi="Arial" w:cs="Arial"/>
          <w:sz w:val="22"/>
          <w:szCs w:val="22"/>
          <w:lang w:val="en-US"/>
        </w:rPr>
        <w:t>, 26, 580-582.</w:t>
      </w:r>
    </w:p>
    <w:p w14:paraId="65EBEDD6"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p>
    <w:p w14:paraId="271006AE"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 xml:space="preserve">Williams, R.M., Moorey, S., and Cobb, J. (1991). training in cognitive-behaviour therapy: Pilot evaluation of a training course using the Cognitive Therapy Scale. </w:t>
      </w:r>
      <w:r w:rsidRPr="005C2627">
        <w:rPr>
          <w:rFonts w:ascii="Arial" w:hAnsi="Arial" w:cs="Arial"/>
          <w:i/>
          <w:iCs/>
          <w:sz w:val="22"/>
          <w:szCs w:val="22"/>
          <w:lang w:val="en-US"/>
        </w:rPr>
        <w:t>Behavioural and Cognitive Psychotherapy</w:t>
      </w:r>
      <w:r>
        <w:rPr>
          <w:rFonts w:ascii="Arial" w:hAnsi="Arial" w:cs="Arial"/>
          <w:sz w:val="22"/>
          <w:szCs w:val="22"/>
          <w:lang w:val="en-US"/>
        </w:rPr>
        <w:t>, 19, 373-376.</w:t>
      </w:r>
    </w:p>
    <w:p w14:paraId="2CDD162E"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38A8BBCD"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 xml:space="preserve">Wolf, A.W., and Goldfried, M.R. (2014). Clinical experiences in using cognitive-behaviour therapy to treat panic disorder. </w:t>
      </w:r>
      <w:r w:rsidRPr="002074D9">
        <w:rPr>
          <w:rFonts w:ascii="Arial" w:hAnsi="Arial" w:cs="Arial"/>
          <w:i/>
          <w:iCs/>
          <w:sz w:val="22"/>
          <w:szCs w:val="22"/>
          <w:lang w:val="en-US"/>
        </w:rPr>
        <w:t>Behaviour Therapy</w:t>
      </w:r>
      <w:r>
        <w:rPr>
          <w:rFonts w:ascii="Arial" w:hAnsi="Arial" w:cs="Arial"/>
          <w:sz w:val="22"/>
          <w:szCs w:val="22"/>
          <w:lang w:val="en-US"/>
        </w:rPr>
        <w:t>, 45, 36-46.</w:t>
      </w:r>
    </w:p>
    <w:p w14:paraId="3C398030"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p>
    <w:p w14:paraId="04F78DAE"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sidRPr="005D264F">
        <w:rPr>
          <w:rFonts w:ascii="Arial" w:hAnsi="Arial" w:cs="Arial"/>
          <w:sz w:val="22"/>
          <w:szCs w:val="22"/>
          <w:lang w:val="en-US"/>
        </w:rPr>
        <w:t>World Health Organisation (2008)</w:t>
      </w:r>
      <w:r>
        <w:rPr>
          <w:rFonts w:ascii="Arial" w:hAnsi="Arial" w:cs="Arial"/>
          <w:sz w:val="22"/>
          <w:szCs w:val="22"/>
          <w:lang w:val="en-US"/>
        </w:rPr>
        <w:t>.</w:t>
      </w:r>
      <w:r w:rsidRPr="005D264F">
        <w:rPr>
          <w:rFonts w:ascii="Arial" w:hAnsi="Arial" w:cs="Arial"/>
          <w:sz w:val="22"/>
          <w:szCs w:val="22"/>
          <w:lang w:val="en-US"/>
        </w:rPr>
        <w:t xml:space="preserve"> </w:t>
      </w:r>
      <w:r w:rsidRPr="005D264F">
        <w:rPr>
          <w:rFonts w:ascii="Arial" w:hAnsi="Arial" w:cs="Arial"/>
          <w:i/>
          <w:sz w:val="22"/>
          <w:szCs w:val="22"/>
          <w:lang w:val="en-US"/>
        </w:rPr>
        <w:t>The Global burden of disease: 2004 update</w:t>
      </w:r>
      <w:r w:rsidRPr="005D264F">
        <w:rPr>
          <w:rFonts w:ascii="Arial" w:hAnsi="Arial" w:cs="Arial"/>
          <w:sz w:val="22"/>
          <w:szCs w:val="22"/>
          <w:lang w:val="en-US"/>
        </w:rPr>
        <w:t xml:space="preserve">. </w:t>
      </w:r>
      <w:r>
        <w:rPr>
          <w:rFonts w:ascii="Arial" w:hAnsi="Arial" w:cs="Arial"/>
          <w:sz w:val="22"/>
          <w:szCs w:val="22"/>
          <w:lang w:val="en-US"/>
        </w:rPr>
        <w:t xml:space="preserve">Available online at </w:t>
      </w:r>
      <w:r w:rsidRPr="00636F24">
        <w:rPr>
          <w:rFonts w:ascii="Arial" w:hAnsi="Arial" w:cs="Arial"/>
          <w:sz w:val="22"/>
          <w:szCs w:val="22"/>
          <w:lang w:val="en-US"/>
        </w:rPr>
        <w:t>https://www.who.int/healthinfo/global_burden_disease/GBD_report_2004update_full.pdf?ua=1</w:t>
      </w:r>
    </w:p>
    <w:p w14:paraId="2802F054" w14:textId="77777777" w:rsidR="00DF57DF" w:rsidRPr="00DF57DF" w:rsidRDefault="00DF57DF" w:rsidP="00DF57DF">
      <w:pPr>
        <w:widowControl w:val="0"/>
        <w:autoSpaceDE w:val="0"/>
        <w:autoSpaceDN w:val="0"/>
        <w:adjustRightInd w:val="0"/>
        <w:spacing w:line="480" w:lineRule="auto"/>
        <w:rPr>
          <w:rFonts w:ascii="Arial" w:hAnsi="Arial" w:cs="Arial"/>
          <w:i/>
          <w:iCs/>
          <w:sz w:val="22"/>
          <w:szCs w:val="22"/>
          <w:lang w:val="en-US"/>
        </w:rPr>
      </w:pPr>
      <w:r w:rsidRPr="00DF57DF">
        <w:rPr>
          <w:rFonts w:ascii="Arial" w:hAnsi="Arial" w:cs="Arial"/>
          <w:i/>
          <w:iCs/>
          <w:sz w:val="22"/>
          <w:szCs w:val="22"/>
          <w:lang w:val="en-US"/>
        </w:rPr>
        <w:t>Accessed 25</w:t>
      </w:r>
      <w:r w:rsidRPr="00DF57DF">
        <w:rPr>
          <w:rFonts w:ascii="Arial" w:hAnsi="Arial" w:cs="Arial"/>
          <w:i/>
          <w:iCs/>
          <w:sz w:val="22"/>
          <w:szCs w:val="22"/>
          <w:vertAlign w:val="superscript"/>
          <w:lang w:val="en-US"/>
        </w:rPr>
        <w:t>th</w:t>
      </w:r>
      <w:r w:rsidRPr="00DF57DF">
        <w:rPr>
          <w:rFonts w:ascii="Arial" w:hAnsi="Arial" w:cs="Arial"/>
          <w:i/>
          <w:iCs/>
          <w:sz w:val="22"/>
          <w:szCs w:val="22"/>
          <w:lang w:val="en-US"/>
        </w:rPr>
        <w:t xml:space="preserve"> October 2019</w:t>
      </w:r>
    </w:p>
    <w:p w14:paraId="13CA8F20"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5CE17279" w14:textId="77777777" w:rsidR="00DF57DF" w:rsidRDefault="00DF57DF" w:rsidP="00DF57DF">
      <w:pPr>
        <w:rPr>
          <w:rFonts w:ascii="Arial" w:hAnsi="Arial" w:cs="Arial"/>
          <w:sz w:val="22"/>
          <w:szCs w:val="22"/>
          <w:lang w:val="en-US"/>
        </w:rPr>
      </w:pPr>
      <w:r>
        <w:rPr>
          <w:rFonts w:ascii="Arial" w:hAnsi="Arial" w:cs="Arial"/>
          <w:sz w:val="22"/>
          <w:szCs w:val="22"/>
          <w:lang w:val="en-US"/>
        </w:rPr>
        <w:br w:type="page"/>
      </w:r>
    </w:p>
    <w:p w14:paraId="4FF18078"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lastRenderedPageBreak/>
        <w:t xml:space="preserve">World Health Organisation (2011). </w:t>
      </w:r>
      <w:r w:rsidRPr="00636F24">
        <w:rPr>
          <w:rFonts w:ascii="Arial" w:hAnsi="Arial" w:cs="Arial"/>
          <w:i/>
          <w:iCs/>
          <w:sz w:val="22"/>
          <w:szCs w:val="22"/>
          <w:lang w:val="en-US"/>
        </w:rPr>
        <w:t>Mental Health Atlas 2011</w:t>
      </w:r>
      <w:r>
        <w:rPr>
          <w:rFonts w:ascii="Arial" w:hAnsi="Arial" w:cs="Arial"/>
          <w:sz w:val="22"/>
          <w:szCs w:val="22"/>
          <w:lang w:val="en-US"/>
        </w:rPr>
        <w:t>. Available online at</w:t>
      </w:r>
    </w:p>
    <w:p w14:paraId="7EDA66BD"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sidRPr="00636F24">
        <w:rPr>
          <w:rFonts w:ascii="Arial" w:hAnsi="Arial" w:cs="Arial"/>
          <w:sz w:val="22"/>
          <w:szCs w:val="22"/>
          <w:lang w:val="en-US"/>
        </w:rPr>
        <w:t>https://apps.who.int/iris/bitstream/handle/10665/44697/9799241564359_eng.pdf;jsessionid=F94FB3498E96ABBDE61BB5017640FD31?sequence=1</w:t>
      </w:r>
    </w:p>
    <w:p w14:paraId="1BA45720"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Accessed 25</w:t>
      </w:r>
      <w:r w:rsidRPr="00636F24">
        <w:rPr>
          <w:rFonts w:ascii="Arial" w:hAnsi="Arial" w:cs="Arial"/>
          <w:sz w:val="22"/>
          <w:szCs w:val="22"/>
          <w:vertAlign w:val="superscript"/>
          <w:lang w:val="en-US"/>
        </w:rPr>
        <w:t>th</w:t>
      </w:r>
      <w:r>
        <w:rPr>
          <w:rFonts w:ascii="Arial" w:hAnsi="Arial" w:cs="Arial"/>
          <w:sz w:val="22"/>
          <w:szCs w:val="22"/>
          <w:lang w:val="en-US"/>
        </w:rPr>
        <w:t xml:space="preserve"> October 2019</w:t>
      </w:r>
    </w:p>
    <w:p w14:paraId="0AAF20D9"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7B8BDD79"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 xml:space="preserve">Worthen, V., and Lambert, M.J. (2007). Outcome orientated supervision: Advantages of adding systematic client tracking to supportive consultations. </w:t>
      </w:r>
      <w:r w:rsidRPr="00A87C25">
        <w:rPr>
          <w:rFonts w:ascii="Arial" w:hAnsi="Arial" w:cs="Arial"/>
          <w:i/>
          <w:iCs/>
          <w:sz w:val="22"/>
          <w:szCs w:val="22"/>
          <w:lang w:val="en-US"/>
        </w:rPr>
        <w:t>Counselling and Psychotherapy Research</w:t>
      </w:r>
      <w:r>
        <w:rPr>
          <w:rFonts w:ascii="Arial" w:hAnsi="Arial" w:cs="Arial"/>
          <w:sz w:val="22"/>
          <w:szCs w:val="22"/>
          <w:lang w:val="en-US"/>
        </w:rPr>
        <w:t>, 7, 48-53.</w:t>
      </w:r>
    </w:p>
    <w:p w14:paraId="3FBC7773"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3C3F406F"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lang w:val="en-US"/>
        </w:rPr>
        <w:t xml:space="preserve">Youn, S.J., Xiao, H., Kim, H., Castonguay, L.G., McAleavey, A.A., Newman, M.G., and Safran, J.D., (2017) Effective and less effective therapists for Generalised Anxiet Disorder: Are they conducting therapy the same way? In </w:t>
      </w:r>
      <w:r>
        <w:rPr>
          <w:rFonts w:ascii="Arial" w:hAnsi="Arial" w:cs="Arial"/>
          <w:sz w:val="22"/>
          <w:szCs w:val="22"/>
        </w:rPr>
        <w:t xml:space="preserve">Castonguay, L.G., and Hill, C.E.,(Eds.). (2017). </w:t>
      </w:r>
      <w:r w:rsidRPr="001D3EB3">
        <w:rPr>
          <w:rFonts w:ascii="Arial" w:hAnsi="Arial" w:cs="Arial"/>
          <w:i/>
          <w:iCs/>
          <w:sz w:val="22"/>
          <w:szCs w:val="22"/>
        </w:rPr>
        <w:t>How and Why are Some Therapists Better Than Others? Understanding Therapist Effects</w:t>
      </w:r>
      <w:r>
        <w:rPr>
          <w:rFonts w:ascii="Arial" w:hAnsi="Arial" w:cs="Arial"/>
          <w:sz w:val="22"/>
          <w:szCs w:val="22"/>
        </w:rPr>
        <w:t>. American Psychological Association, Washington DC.</w:t>
      </w:r>
    </w:p>
    <w:p w14:paraId="6197AB01"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1288268C"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Young, J. (1999). </w:t>
      </w:r>
      <w:r w:rsidRPr="00A20168">
        <w:rPr>
          <w:rFonts w:ascii="Arial" w:hAnsi="Arial" w:cs="Arial"/>
          <w:i/>
          <w:iCs/>
          <w:sz w:val="22"/>
          <w:szCs w:val="22"/>
        </w:rPr>
        <w:t>Cognitive Therapy for Personality Disorders: A Schema-Focussed Approach.</w:t>
      </w:r>
      <w:r>
        <w:rPr>
          <w:rFonts w:ascii="Arial" w:hAnsi="Arial" w:cs="Arial"/>
          <w:sz w:val="22"/>
          <w:szCs w:val="22"/>
        </w:rPr>
        <w:t xml:space="preserve"> Sarasota, Florida, Professional Resource Press.</w:t>
      </w:r>
    </w:p>
    <w:p w14:paraId="0C3B92E4" w14:textId="77777777" w:rsidR="00DF57D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Young, J., and Beck A.T. (1980). </w:t>
      </w:r>
      <w:r w:rsidRPr="009A4423">
        <w:rPr>
          <w:rFonts w:ascii="Arial" w:hAnsi="Arial" w:cs="Arial"/>
          <w:i/>
          <w:iCs/>
          <w:sz w:val="22"/>
          <w:szCs w:val="22"/>
        </w:rPr>
        <w:t>Cognitive Therapy Scale Rating Manual.</w:t>
      </w:r>
      <w:r>
        <w:rPr>
          <w:rFonts w:ascii="Arial" w:hAnsi="Arial" w:cs="Arial"/>
          <w:sz w:val="22"/>
          <w:szCs w:val="22"/>
        </w:rPr>
        <w:t xml:space="preserve"> Unpublished manuscript, Beck Institute, Philadelphia ,Pennsylvania.</w:t>
      </w:r>
    </w:p>
    <w:p w14:paraId="647EF9FC" w14:textId="77777777" w:rsidR="00DF57DF" w:rsidRDefault="00DF57DF" w:rsidP="00DF57DF">
      <w:pPr>
        <w:pStyle w:val="NormalWeb"/>
        <w:spacing w:before="0" w:beforeAutospacing="0" w:after="0" w:afterAutospacing="0" w:line="480" w:lineRule="auto"/>
        <w:rPr>
          <w:rFonts w:ascii="Arial" w:hAnsi="Arial" w:cs="Arial"/>
          <w:sz w:val="22"/>
          <w:szCs w:val="22"/>
        </w:rPr>
      </w:pPr>
    </w:p>
    <w:p w14:paraId="76492B7C"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r>
        <w:rPr>
          <w:rFonts w:ascii="Arial" w:hAnsi="Arial" w:cs="Arial"/>
          <w:sz w:val="22"/>
          <w:szCs w:val="22"/>
        </w:rPr>
        <w:t xml:space="preserve">Young, J., and Beck, A.T. (1988). </w:t>
      </w:r>
      <w:r w:rsidRPr="00DE36FC">
        <w:rPr>
          <w:rFonts w:ascii="Arial" w:hAnsi="Arial" w:cs="Arial"/>
          <w:i/>
          <w:iCs/>
          <w:sz w:val="22"/>
          <w:szCs w:val="22"/>
        </w:rPr>
        <w:t>Cognitive Therapy Scale.</w:t>
      </w:r>
      <w:r>
        <w:rPr>
          <w:rFonts w:ascii="Arial" w:hAnsi="Arial" w:cs="Arial"/>
          <w:sz w:val="22"/>
          <w:szCs w:val="22"/>
        </w:rPr>
        <w:t xml:space="preserve"> Unpublished manuscript, University of Pennsylvania, Philadelphia, Pennsylvania.</w:t>
      </w:r>
    </w:p>
    <w:p w14:paraId="7016264F" w14:textId="77777777" w:rsidR="00DF57DF" w:rsidRDefault="00DF57DF" w:rsidP="00DF57DF">
      <w:pPr>
        <w:widowControl w:val="0"/>
        <w:autoSpaceDE w:val="0"/>
        <w:autoSpaceDN w:val="0"/>
        <w:adjustRightInd w:val="0"/>
        <w:spacing w:line="480" w:lineRule="auto"/>
        <w:rPr>
          <w:rFonts w:ascii="Arial" w:hAnsi="Arial" w:cs="Arial"/>
          <w:sz w:val="22"/>
          <w:szCs w:val="22"/>
          <w:lang w:val="en-US"/>
        </w:rPr>
      </w:pPr>
    </w:p>
    <w:p w14:paraId="1CC8A50E"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r>
        <w:rPr>
          <w:rFonts w:ascii="Arial" w:hAnsi="Arial" w:cs="Arial"/>
          <w:sz w:val="22"/>
          <w:szCs w:val="22"/>
          <w:lang w:val="en-US"/>
        </w:rPr>
        <w:t xml:space="preserve">Zarafontis-Muller, S., Kuhr, K., and Bechdolf, A. (2014). The relationship between therapist's competence and adherence to outcome in cognitive-behavioural therapy-results of a meta-analysis. </w:t>
      </w:r>
      <w:r w:rsidRPr="00804B24">
        <w:rPr>
          <w:rFonts w:ascii="Arial" w:hAnsi="Arial" w:cs="Arial"/>
          <w:i/>
          <w:iCs/>
          <w:sz w:val="22"/>
          <w:szCs w:val="22"/>
          <w:lang w:val="en-US"/>
        </w:rPr>
        <w:t>Fortschritte der Neurologie-Psychiatrie</w:t>
      </w:r>
      <w:r>
        <w:rPr>
          <w:rFonts w:ascii="Arial" w:hAnsi="Arial" w:cs="Arial"/>
          <w:sz w:val="22"/>
          <w:szCs w:val="22"/>
          <w:lang w:val="en-US"/>
        </w:rPr>
        <w:t>, 82, 502-510.</w:t>
      </w:r>
    </w:p>
    <w:p w14:paraId="5870C368" w14:textId="77777777" w:rsidR="00DF57DF" w:rsidRPr="001D3EB3" w:rsidRDefault="00DF57DF" w:rsidP="00DF57DF">
      <w:pPr>
        <w:widowControl w:val="0"/>
        <w:autoSpaceDE w:val="0"/>
        <w:autoSpaceDN w:val="0"/>
        <w:adjustRightInd w:val="0"/>
        <w:spacing w:line="480" w:lineRule="auto"/>
        <w:rPr>
          <w:rFonts w:ascii="Cambria Math" w:hAnsi="Cambria Math" w:cs="Arial"/>
          <w:sz w:val="22"/>
          <w:szCs w:val="22"/>
          <w:lang w:val="en-US"/>
        </w:rPr>
      </w:pPr>
    </w:p>
    <w:p w14:paraId="790544E5" w14:textId="77777777" w:rsidR="00DF57DF" w:rsidRDefault="00DF57DF" w:rsidP="00DF57DF">
      <w:pPr>
        <w:spacing w:line="480" w:lineRule="auto"/>
        <w:rPr>
          <w:rFonts w:ascii="Arial" w:hAnsi="Arial" w:cs="Arial"/>
          <w:sz w:val="22"/>
          <w:szCs w:val="22"/>
          <w:shd w:val="clear" w:color="auto" w:fill="FFFFFF"/>
        </w:rPr>
      </w:pPr>
      <w:r w:rsidRPr="005D264F">
        <w:rPr>
          <w:rFonts w:ascii="Arial" w:hAnsi="Arial" w:cs="Arial"/>
          <w:sz w:val="22"/>
          <w:szCs w:val="22"/>
          <w:shd w:val="clear" w:color="auto" w:fill="FFFFFF"/>
        </w:rPr>
        <w:lastRenderedPageBreak/>
        <w:t xml:space="preserve">Zinbarg, R.E. Craske , M.G. &amp; Barlow D.A. (2006) . </w:t>
      </w:r>
      <w:r w:rsidRPr="005D264F">
        <w:rPr>
          <w:rFonts w:ascii="Arial" w:hAnsi="Arial" w:cs="Arial"/>
          <w:i/>
          <w:iCs/>
          <w:sz w:val="22"/>
          <w:szCs w:val="22"/>
          <w:shd w:val="clear" w:color="auto" w:fill="FFFFFF"/>
        </w:rPr>
        <w:t xml:space="preserve">Mastery of your anxiety and worry. </w:t>
      </w:r>
      <w:r w:rsidRPr="005D264F">
        <w:rPr>
          <w:rFonts w:ascii="Arial" w:hAnsi="Arial" w:cs="Arial"/>
          <w:sz w:val="22"/>
          <w:szCs w:val="22"/>
          <w:shd w:val="clear" w:color="auto" w:fill="FFFFFF"/>
        </w:rPr>
        <w:t xml:space="preserve">Oxford, Oxford University Press.  </w:t>
      </w:r>
    </w:p>
    <w:p w14:paraId="5A30F668" w14:textId="77777777" w:rsidR="00DF57DF" w:rsidRDefault="00DF57DF" w:rsidP="00DF57DF">
      <w:pPr>
        <w:spacing w:line="480" w:lineRule="auto"/>
        <w:rPr>
          <w:rFonts w:ascii="Arial" w:hAnsi="Arial" w:cs="Arial"/>
          <w:sz w:val="22"/>
          <w:szCs w:val="22"/>
          <w:shd w:val="clear" w:color="auto" w:fill="FFFFFF"/>
        </w:rPr>
      </w:pPr>
    </w:p>
    <w:p w14:paraId="2369DF4E" w14:textId="77777777" w:rsidR="00DF57DF" w:rsidRPr="005D264F" w:rsidRDefault="00DF57DF" w:rsidP="00DF57DF">
      <w:pPr>
        <w:spacing w:line="480" w:lineRule="auto"/>
        <w:rPr>
          <w:rFonts w:ascii="Arial" w:hAnsi="Arial" w:cs="Arial"/>
          <w:sz w:val="22"/>
          <w:szCs w:val="22"/>
        </w:rPr>
      </w:pPr>
      <w:r>
        <w:rPr>
          <w:rFonts w:ascii="Arial" w:hAnsi="Arial" w:cs="Arial"/>
          <w:sz w:val="22"/>
          <w:szCs w:val="22"/>
          <w:shd w:val="clear" w:color="auto" w:fill="FFFFFF"/>
        </w:rPr>
        <w:t xml:space="preserve">Zou, J.B., Dear, B.F., Titov, N., Lorian, C.N., Johnston, L., Spence, J., Knight, R.G., Anderson, T., and Sachdev, P. (2012). Brief internet-delivered cognitive-behavioral therapy for anxiety in older adults: A feasibility trial. </w:t>
      </w:r>
      <w:r w:rsidRPr="0036581C">
        <w:rPr>
          <w:rFonts w:ascii="Arial" w:hAnsi="Arial" w:cs="Arial"/>
          <w:i/>
          <w:iCs/>
          <w:sz w:val="22"/>
          <w:szCs w:val="22"/>
          <w:shd w:val="clear" w:color="auto" w:fill="FFFFFF"/>
        </w:rPr>
        <w:t>Journal of Anxiety Disorders</w:t>
      </w:r>
      <w:r>
        <w:rPr>
          <w:rFonts w:ascii="Arial" w:hAnsi="Arial" w:cs="Arial"/>
          <w:sz w:val="22"/>
          <w:szCs w:val="22"/>
          <w:shd w:val="clear" w:color="auto" w:fill="FFFFFF"/>
        </w:rPr>
        <w:t>, 26, 650-655.</w:t>
      </w:r>
    </w:p>
    <w:p w14:paraId="2FA87FEA" w14:textId="77777777" w:rsidR="00DF57DF" w:rsidRPr="005D264F" w:rsidRDefault="00DF57DF" w:rsidP="00DF57DF">
      <w:pPr>
        <w:widowControl w:val="0"/>
        <w:autoSpaceDE w:val="0"/>
        <w:autoSpaceDN w:val="0"/>
        <w:adjustRightInd w:val="0"/>
        <w:spacing w:line="480" w:lineRule="auto"/>
        <w:rPr>
          <w:rFonts w:ascii="Arial" w:hAnsi="Arial" w:cs="Arial"/>
          <w:sz w:val="22"/>
          <w:szCs w:val="22"/>
          <w:lang w:val="en-US"/>
        </w:rPr>
      </w:pPr>
    </w:p>
    <w:p w14:paraId="6E3FFFE8" w14:textId="77777777" w:rsidR="00DF57DF" w:rsidRPr="005D264F" w:rsidRDefault="00DF57DF" w:rsidP="00DF57DF">
      <w:pPr>
        <w:spacing w:line="480" w:lineRule="auto"/>
        <w:rPr>
          <w:rFonts w:ascii="Arial" w:hAnsi="Arial" w:cs="Arial"/>
          <w:sz w:val="22"/>
          <w:szCs w:val="22"/>
        </w:rPr>
      </w:pPr>
    </w:p>
    <w:p w14:paraId="2849678F" w14:textId="77777777" w:rsidR="00DF57DF" w:rsidRPr="005D264F" w:rsidRDefault="00DF57DF" w:rsidP="00DF57DF">
      <w:pPr>
        <w:pStyle w:val="NormalWeb"/>
        <w:spacing w:before="0" w:beforeAutospacing="0" w:after="0" w:afterAutospacing="0" w:line="480" w:lineRule="auto"/>
        <w:rPr>
          <w:rFonts w:ascii="Arial" w:hAnsi="Arial" w:cs="Arial"/>
          <w:sz w:val="22"/>
          <w:szCs w:val="22"/>
        </w:rPr>
      </w:pPr>
    </w:p>
    <w:p w14:paraId="05A9211A" w14:textId="2316B197" w:rsidR="00CC551D" w:rsidRDefault="00DF57DF" w:rsidP="00DF57DF">
      <w:pPr>
        <w:pStyle w:val="NormalWeb"/>
        <w:spacing w:line="480" w:lineRule="auto"/>
        <w:rPr>
          <w:rFonts w:ascii="Arial" w:hAnsi="Arial" w:cs="Arial"/>
          <w:sz w:val="22"/>
          <w:szCs w:val="22"/>
        </w:rPr>
      </w:pPr>
      <w:r w:rsidRPr="005D264F">
        <w:rPr>
          <w:rFonts w:ascii="Arial" w:hAnsi="Arial" w:cs="Arial"/>
          <w:sz w:val="22"/>
          <w:szCs w:val="22"/>
        </w:rPr>
        <w:fldChar w:fldCharType="end"/>
      </w:r>
    </w:p>
    <w:p w14:paraId="5698BD44" w14:textId="3CA1B6FD" w:rsidR="00CC551D" w:rsidRDefault="00CC551D" w:rsidP="00CC551D">
      <w:pPr>
        <w:pStyle w:val="NormalWeb"/>
        <w:spacing w:line="480" w:lineRule="auto"/>
        <w:rPr>
          <w:rFonts w:ascii="Arial" w:hAnsi="Arial" w:cs="Arial"/>
          <w:sz w:val="22"/>
          <w:szCs w:val="22"/>
        </w:rPr>
      </w:pPr>
    </w:p>
    <w:p w14:paraId="22F5E739" w14:textId="4EB42AFB" w:rsidR="00CC551D" w:rsidRDefault="00CC551D" w:rsidP="00CC551D">
      <w:pPr>
        <w:pStyle w:val="NormalWeb"/>
        <w:spacing w:line="480" w:lineRule="auto"/>
        <w:rPr>
          <w:rFonts w:ascii="Arial" w:hAnsi="Arial" w:cs="Arial"/>
          <w:sz w:val="22"/>
          <w:szCs w:val="22"/>
        </w:rPr>
      </w:pPr>
    </w:p>
    <w:p w14:paraId="70E1BEA4" w14:textId="1F5B8328" w:rsidR="00CC551D" w:rsidRDefault="00CC551D" w:rsidP="00CC551D">
      <w:pPr>
        <w:pStyle w:val="NormalWeb"/>
        <w:spacing w:line="480" w:lineRule="auto"/>
        <w:rPr>
          <w:rFonts w:ascii="Arial" w:hAnsi="Arial" w:cs="Arial"/>
          <w:sz w:val="22"/>
          <w:szCs w:val="22"/>
        </w:rPr>
      </w:pPr>
    </w:p>
    <w:p w14:paraId="1B604D20" w14:textId="77777777" w:rsidR="00DE3D64" w:rsidRDefault="00DE3D64">
      <w:pPr>
        <w:rPr>
          <w:rFonts w:ascii="Arial" w:eastAsiaTheme="majorEastAsia" w:hAnsi="Arial" w:cs="Arial"/>
          <w:b/>
          <w:bCs/>
          <w:color w:val="000000" w:themeColor="text1"/>
          <w:sz w:val="22"/>
          <w:szCs w:val="22"/>
        </w:rPr>
      </w:pPr>
      <w:r>
        <w:rPr>
          <w:rFonts w:ascii="Arial" w:hAnsi="Arial" w:cs="Arial"/>
          <w:color w:val="000000" w:themeColor="text1"/>
          <w:sz w:val="22"/>
          <w:szCs w:val="22"/>
        </w:rPr>
        <w:br w:type="page"/>
      </w:r>
    </w:p>
    <w:p w14:paraId="03045908" w14:textId="77777777" w:rsidR="007F4F00" w:rsidRDefault="007F4F00">
      <w:pPr>
        <w:rPr>
          <w:rFonts w:ascii="Arial" w:eastAsiaTheme="majorEastAsia" w:hAnsi="Arial" w:cstheme="majorBidi"/>
          <w:b/>
          <w:bCs/>
          <w:sz w:val="22"/>
          <w:szCs w:val="32"/>
        </w:rPr>
      </w:pPr>
      <w:r>
        <w:lastRenderedPageBreak/>
        <w:br w:type="page"/>
      </w:r>
    </w:p>
    <w:p w14:paraId="608FD769" w14:textId="77777777" w:rsidR="006521D9" w:rsidRPr="00052C99" w:rsidRDefault="006521D9" w:rsidP="006521D9">
      <w:pPr>
        <w:pStyle w:val="Heading1"/>
      </w:pPr>
      <w:bookmarkStart w:id="529" w:name="_Toc79414301"/>
      <w:r w:rsidRPr="00052C99">
        <w:lastRenderedPageBreak/>
        <w:t>APPENDICES</w:t>
      </w:r>
      <w:bookmarkEnd w:id="529"/>
    </w:p>
    <w:p w14:paraId="0947C0B9" w14:textId="77777777" w:rsidR="006521D9" w:rsidRDefault="006521D9" w:rsidP="006521D9"/>
    <w:p w14:paraId="20B92A10" w14:textId="77777777" w:rsidR="006521D9" w:rsidRPr="00A00537" w:rsidRDefault="006521D9" w:rsidP="006521D9">
      <w:pPr>
        <w:rPr>
          <w:b/>
        </w:rPr>
      </w:pPr>
    </w:p>
    <w:p w14:paraId="7A8F6BC5" w14:textId="77777777" w:rsidR="006521D9" w:rsidRPr="00A00537" w:rsidRDefault="006521D9" w:rsidP="006521D9">
      <w:pPr>
        <w:pStyle w:val="Appendices"/>
        <w:rPr>
          <w:b w:val="0"/>
        </w:rPr>
      </w:pPr>
      <w:r w:rsidRPr="00A00537">
        <w:t>Appendix 1</w:t>
      </w:r>
      <w:r w:rsidRPr="002E018B">
        <w:t xml:space="preserve"> </w:t>
      </w:r>
      <w:r w:rsidRPr="00A00537">
        <w:rPr>
          <w:b w:val="0"/>
        </w:rPr>
        <w:t>Ewbank, Cummins, Tablan, Bateup, Catarino, Martin and Blackwell (2019)</w:t>
      </w:r>
    </w:p>
    <w:p w14:paraId="6B265B1A" w14:textId="77777777" w:rsidR="006521D9" w:rsidRPr="00784EE9" w:rsidRDefault="006521D9" w:rsidP="006521D9"/>
    <w:p w14:paraId="3981DC12" w14:textId="55998F56" w:rsidR="006521D9" w:rsidRDefault="00FE1945" w:rsidP="006521D9">
      <w:r>
        <w:rPr>
          <w:noProof/>
        </w:rPr>
        <w:object w:dxaOrig="5246" w:dyaOrig="6790" w14:anchorId="1FD8F085">
          <v:shape id="_x0000_i1028" type="#_x0000_t75" alt="P4797#yIS1" style="width:449.55pt;height:580.6pt;mso-width-percent:0;mso-height-percent:0;mso-width-percent:0;mso-height-percent:0" o:ole="">
            <v:imagedata r:id="rId104" o:title=""/>
          </v:shape>
          <o:OLEObject Type="Embed" ProgID="AcroExch.Document.DC" ShapeID="_x0000_i1028" DrawAspect="Content" ObjectID="_1690028220" r:id="rId105"/>
        </w:object>
      </w:r>
    </w:p>
    <w:p w14:paraId="45E48078" w14:textId="77777777" w:rsidR="006521D9" w:rsidRDefault="006521D9" w:rsidP="006521D9"/>
    <w:p w14:paraId="6A2164F1" w14:textId="77777777" w:rsidR="006521D9" w:rsidRDefault="006521D9" w:rsidP="006521D9">
      <w:pPr>
        <w:rPr>
          <w:rFonts w:ascii="Arial" w:hAnsi="Arial" w:cs="Arial"/>
          <w:color w:val="000000" w:themeColor="text1"/>
          <w:sz w:val="16"/>
          <w:szCs w:val="16"/>
        </w:rPr>
      </w:pPr>
    </w:p>
    <w:p w14:paraId="1E2A5A3A" w14:textId="77777777" w:rsidR="006521D9" w:rsidRDefault="006521D9" w:rsidP="006521D9">
      <w:pPr>
        <w:rPr>
          <w:rFonts w:ascii="Arial" w:hAnsi="Arial" w:cs="Arial"/>
          <w:color w:val="000000" w:themeColor="text1"/>
          <w:sz w:val="16"/>
          <w:szCs w:val="16"/>
        </w:rPr>
      </w:pPr>
    </w:p>
    <w:p w14:paraId="59D43364" w14:textId="77777777" w:rsidR="006521D9" w:rsidRDefault="006521D9" w:rsidP="006521D9">
      <w:pPr>
        <w:rPr>
          <w:rFonts w:ascii="Arial" w:hAnsi="Arial" w:cs="Arial"/>
          <w:color w:val="000000" w:themeColor="text1"/>
          <w:sz w:val="16"/>
          <w:szCs w:val="16"/>
        </w:rPr>
      </w:pPr>
      <w:r>
        <w:rPr>
          <w:noProof/>
        </w:rPr>
        <w:lastRenderedPageBreak/>
        <w:drawing>
          <wp:inline distT="0" distB="0" distL="0" distR="0" wp14:anchorId="36F8DF83" wp14:editId="1F3D8647">
            <wp:extent cx="5727700" cy="8071485"/>
            <wp:effectExtent l="0" t="0" r="6350" b="5715"/>
            <wp:docPr id="73" name="Picture 73" descr="P4801#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P4801#yIS1">
                      <a:extLst>
                        <a:ext uri="{C183D7F6-B498-43B3-948B-1728B52AA6E4}">
                          <adec:decorative xmlns:adec="http://schemas.microsoft.com/office/drawing/2017/decorative" val="1"/>
                        </a:ext>
                      </a:extLst>
                    </pic:cNvPr>
                    <pic:cNvPicPr/>
                  </pic:nvPicPr>
                  <pic:blipFill>
                    <a:blip r:embed="rId106"/>
                    <a:stretch>
                      <a:fillRect/>
                    </a:stretch>
                  </pic:blipFill>
                  <pic:spPr>
                    <a:xfrm>
                      <a:off x="0" y="0"/>
                      <a:ext cx="5727700" cy="8071485"/>
                    </a:xfrm>
                    <a:prstGeom prst="rect">
                      <a:avLst/>
                    </a:prstGeom>
                  </pic:spPr>
                </pic:pic>
              </a:graphicData>
            </a:graphic>
          </wp:inline>
        </w:drawing>
      </w:r>
    </w:p>
    <w:p w14:paraId="3CC478BE" w14:textId="77777777" w:rsidR="006521D9" w:rsidRDefault="006521D9" w:rsidP="006521D9">
      <w:pPr>
        <w:rPr>
          <w:rFonts w:ascii="Arial" w:hAnsi="Arial" w:cs="Arial"/>
          <w:color w:val="000000" w:themeColor="text1"/>
          <w:sz w:val="16"/>
          <w:szCs w:val="16"/>
        </w:rPr>
      </w:pPr>
    </w:p>
    <w:p w14:paraId="5858DCB3" w14:textId="77777777" w:rsidR="006521D9" w:rsidRDefault="006521D9" w:rsidP="006521D9">
      <w:pPr>
        <w:rPr>
          <w:rFonts w:ascii="Arial" w:hAnsi="Arial" w:cs="Arial"/>
          <w:color w:val="000000" w:themeColor="text1"/>
          <w:sz w:val="16"/>
          <w:szCs w:val="16"/>
        </w:rPr>
      </w:pPr>
      <w:r>
        <w:rPr>
          <w:rFonts w:ascii="Arial" w:hAnsi="Arial" w:cs="Arial"/>
          <w:color w:val="000000" w:themeColor="text1"/>
          <w:sz w:val="16"/>
          <w:szCs w:val="16"/>
        </w:rPr>
        <w:br w:type="page"/>
      </w:r>
    </w:p>
    <w:p w14:paraId="6417AA66" w14:textId="77777777" w:rsidR="006521D9" w:rsidRDefault="006521D9" w:rsidP="006521D9">
      <w:pPr>
        <w:rPr>
          <w:rFonts w:ascii="Arial" w:hAnsi="Arial" w:cs="Arial"/>
          <w:color w:val="000000" w:themeColor="text1"/>
          <w:sz w:val="16"/>
          <w:szCs w:val="16"/>
        </w:rPr>
      </w:pPr>
      <w:r>
        <w:rPr>
          <w:noProof/>
        </w:rPr>
        <w:lastRenderedPageBreak/>
        <w:drawing>
          <wp:inline distT="0" distB="0" distL="0" distR="0" wp14:anchorId="0C72F373" wp14:editId="16551E5F">
            <wp:extent cx="5727700" cy="7359332"/>
            <wp:effectExtent l="0" t="0" r="6350" b="0"/>
            <wp:docPr id="74" name="Picture 74" descr="P4804#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P4804#yIS1">
                      <a:extLst>
                        <a:ext uri="{C183D7F6-B498-43B3-948B-1728B52AA6E4}">
                          <adec:decorative xmlns:adec="http://schemas.microsoft.com/office/drawing/2017/decorative" val="1"/>
                        </a:ext>
                      </a:extLst>
                    </pic:cNvPr>
                    <pic:cNvPicPr/>
                  </pic:nvPicPr>
                  <pic:blipFill rotWithShape="1">
                    <a:blip r:embed="rId107"/>
                    <a:srcRect t="961"/>
                    <a:stretch/>
                  </pic:blipFill>
                  <pic:spPr bwMode="auto">
                    <a:xfrm>
                      <a:off x="0" y="0"/>
                      <a:ext cx="5727700" cy="7359332"/>
                    </a:xfrm>
                    <a:prstGeom prst="rect">
                      <a:avLst/>
                    </a:prstGeom>
                    <a:ln>
                      <a:noFill/>
                    </a:ln>
                    <a:extLst>
                      <a:ext uri="{53640926-AAD7-44D8-BBD7-CCE9431645EC}">
                        <a14:shadowObscured xmlns:a14="http://schemas.microsoft.com/office/drawing/2010/main"/>
                      </a:ext>
                    </a:extLst>
                  </pic:spPr>
                </pic:pic>
              </a:graphicData>
            </a:graphic>
          </wp:inline>
        </w:drawing>
      </w:r>
    </w:p>
    <w:p w14:paraId="7AF0F00E" w14:textId="77777777" w:rsidR="006521D9" w:rsidRDefault="006521D9" w:rsidP="006521D9">
      <w:pPr>
        <w:rPr>
          <w:rFonts w:ascii="Arial" w:hAnsi="Arial" w:cs="Arial"/>
          <w:color w:val="000000" w:themeColor="text1"/>
          <w:sz w:val="16"/>
          <w:szCs w:val="16"/>
        </w:rPr>
      </w:pPr>
    </w:p>
    <w:p w14:paraId="08364399" w14:textId="77777777" w:rsidR="006521D9" w:rsidRDefault="006521D9" w:rsidP="006521D9">
      <w:pPr>
        <w:rPr>
          <w:rFonts w:ascii="Arial" w:hAnsi="Arial" w:cs="Arial"/>
          <w:color w:val="000000" w:themeColor="text1"/>
          <w:sz w:val="16"/>
          <w:szCs w:val="16"/>
        </w:rPr>
      </w:pPr>
    </w:p>
    <w:p w14:paraId="24CBF776" w14:textId="77777777" w:rsidR="006521D9" w:rsidRDefault="006521D9" w:rsidP="006521D9">
      <w:pPr>
        <w:rPr>
          <w:rFonts w:ascii="Arial" w:hAnsi="Arial"/>
          <w:b/>
          <w:iCs/>
          <w:sz w:val="22"/>
          <w:szCs w:val="18"/>
        </w:rPr>
      </w:pPr>
      <w:r>
        <w:br w:type="page"/>
      </w:r>
    </w:p>
    <w:p w14:paraId="3FE12A28" w14:textId="77777777" w:rsidR="006521D9" w:rsidRDefault="006521D9" w:rsidP="006521D9">
      <w:pPr>
        <w:rPr>
          <w:rFonts w:ascii="Arial" w:hAnsi="Arial"/>
          <w:b/>
          <w:iCs/>
          <w:sz w:val="22"/>
          <w:szCs w:val="18"/>
        </w:rPr>
      </w:pPr>
      <w:r>
        <w:rPr>
          <w:noProof/>
        </w:rPr>
        <w:lastRenderedPageBreak/>
        <w:drawing>
          <wp:inline distT="0" distB="0" distL="0" distR="0" wp14:anchorId="597991DE" wp14:editId="5A7AEE6A">
            <wp:extent cx="5727700" cy="7367587"/>
            <wp:effectExtent l="0" t="0" r="6350" b="5080"/>
            <wp:docPr id="75" name="Picture 75" descr="P4808#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P4808#yIS1">
                      <a:extLst>
                        <a:ext uri="{C183D7F6-B498-43B3-948B-1728B52AA6E4}">
                          <adec:decorative xmlns:adec="http://schemas.microsoft.com/office/drawing/2017/decorative" val="1"/>
                        </a:ext>
                      </a:extLst>
                    </pic:cNvPr>
                    <pic:cNvPicPr/>
                  </pic:nvPicPr>
                  <pic:blipFill rotWithShape="1">
                    <a:blip r:embed="rId108"/>
                    <a:srcRect t="961"/>
                    <a:stretch/>
                  </pic:blipFill>
                  <pic:spPr bwMode="auto">
                    <a:xfrm>
                      <a:off x="0" y="0"/>
                      <a:ext cx="5727700" cy="7367587"/>
                    </a:xfrm>
                    <a:prstGeom prst="rect">
                      <a:avLst/>
                    </a:prstGeom>
                    <a:ln>
                      <a:noFill/>
                    </a:ln>
                    <a:extLst>
                      <a:ext uri="{53640926-AAD7-44D8-BBD7-CCE9431645EC}">
                        <a14:shadowObscured xmlns:a14="http://schemas.microsoft.com/office/drawing/2010/main"/>
                      </a:ext>
                    </a:extLst>
                  </pic:spPr>
                </pic:pic>
              </a:graphicData>
            </a:graphic>
          </wp:inline>
        </w:drawing>
      </w:r>
      <w:r>
        <w:br w:type="page"/>
      </w:r>
    </w:p>
    <w:p w14:paraId="3C1B1487" w14:textId="77777777" w:rsidR="006521D9" w:rsidRDefault="006521D9" w:rsidP="006521D9">
      <w:pPr>
        <w:rPr>
          <w:rFonts w:ascii="Arial" w:hAnsi="Arial"/>
          <w:b/>
          <w:iCs/>
          <w:sz w:val="22"/>
          <w:szCs w:val="18"/>
        </w:rPr>
      </w:pPr>
      <w:r>
        <w:rPr>
          <w:noProof/>
        </w:rPr>
        <w:lastRenderedPageBreak/>
        <w:drawing>
          <wp:inline distT="0" distB="0" distL="0" distR="0" wp14:anchorId="04107DDC" wp14:editId="7F1CCBA7">
            <wp:extent cx="5627370" cy="7391400"/>
            <wp:effectExtent l="0" t="0" r="0" b="0"/>
            <wp:docPr id="76" name="Picture 76" descr="P4809#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P4809#yIS1">
                      <a:extLst>
                        <a:ext uri="{C183D7F6-B498-43B3-948B-1728B52AA6E4}">
                          <adec:decorative xmlns:adec="http://schemas.microsoft.com/office/drawing/2017/decorative" val="1"/>
                        </a:ext>
                      </a:extLst>
                    </pic:cNvPr>
                    <pic:cNvPicPr/>
                  </pic:nvPicPr>
                  <pic:blipFill rotWithShape="1">
                    <a:blip r:embed="rId109"/>
                    <a:srcRect l="1746" b="448"/>
                    <a:stretch/>
                  </pic:blipFill>
                  <pic:spPr bwMode="auto">
                    <a:xfrm>
                      <a:off x="0" y="0"/>
                      <a:ext cx="5627687" cy="7391816"/>
                    </a:xfrm>
                    <a:prstGeom prst="rect">
                      <a:avLst/>
                    </a:prstGeom>
                    <a:ln>
                      <a:noFill/>
                    </a:ln>
                    <a:extLst>
                      <a:ext uri="{53640926-AAD7-44D8-BBD7-CCE9431645EC}">
                        <a14:shadowObscured xmlns:a14="http://schemas.microsoft.com/office/drawing/2010/main"/>
                      </a:ext>
                    </a:extLst>
                  </pic:spPr>
                </pic:pic>
              </a:graphicData>
            </a:graphic>
          </wp:inline>
        </w:drawing>
      </w:r>
      <w:r>
        <w:br w:type="page"/>
      </w:r>
    </w:p>
    <w:p w14:paraId="75EF4A45" w14:textId="77777777" w:rsidR="006521D9" w:rsidRDefault="006521D9" w:rsidP="006521D9">
      <w:pPr>
        <w:rPr>
          <w:rFonts w:ascii="Arial" w:hAnsi="Arial"/>
          <w:b/>
          <w:iCs/>
          <w:sz w:val="22"/>
          <w:szCs w:val="18"/>
        </w:rPr>
      </w:pPr>
      <w:r>
        <w:rPr>
          <w:noProof/>
        </w:rPr>
        <w:lastRenderedPageBreak/>
        <w:drawing>
          <wp:inline distT="0" distB="0" distL="0" distR="0" wp14:anchorId="634D5358" wp14:editId="0EBDB7B6">
            <wp:extent cx="5727700" cy="7465695"/>
            <wp:effectExtent l="0" t="0" r="6350" b="1905"/>
            <wp:docPr id="77" name="Picture 77" descr="P4810#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P4810#yIS1">
                      <a:extLst>
                        <a:ext uri="{C183D7F6-B498-43B3-948B-1728B52AA6E4}">
                          <adec:decorative xmlns:adec="http://schemas.microsoft.com/office/drawing/2017/decorative" val="1"/>
                        </a:ext>
                      </a:extLst>
                    </pic:cNvPr>
                    <pic:cNvPicPr/>
                  </pic:nvPicPr>
                  <pic:blipFill>
                    <a:blip r:embed="rId110"/>
                    <a:stretch>
                      <a:fillRect/>
                    </a:stretch>
                  </pic:blipFill>
                  <pic:spPr>
                    <a:xfrm>
                      <a:off x="0" y="0"/>
                      <a:ext cx="5727700" cy="7465695"/>
                    </a:xfrm>
                    <a:prstGeom prst="rect">
                      <a:avLst/>
                    </a:prstGeom>
                  </pic:spPr>
                </pic:pic>
              </a:graphicData>
            </a:graphic>
          </wp:inline>
        </w:drawing>
      </w:r>
      <w:r>
        <w:br w:type="page"/>
      </w:r>
    </w:p>
    <w:p w14:paraId="780120FD" w14:textId="77777777" w:rsidR="006521D9" w:rsidRDefault="006521D9" w:rsidP="006521D9">
      <w:pPr>
        <w:rPr>
          <w:rFonts w:ascii="Arial" w:hAnsi="Arial"/>
          <w:b/>
          <w:iCs/>
          <w:sz w:val="22"/>
          <w:szCs w:val="18"/>
        </w:rPr>
      </w:pPr>
      <w:r>
        <w:rPr>
          <w:noProof/>
        </w:rPr>
        <w:lastRenderedPageBreak/>
        <w:drawing>
          <wp:inline distT="0" distB="0" distL="0" distR="0" wp14:anchorId="4F07E36F" wp14:editId="3BF1712D">
            <wp:extent cx="5586095" cy="7425267"/>
            <wp:effectExtent l="0" t="0" r="0" b="4445"/>
            <wp:docPr id="78" name="Picture 78" descr="P4811#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P4811#yIS1">
                      <a:extLst>
                        <a:ext uri="{C183D7F6-B498-43B3-948B-1728B52AA6E4}">
                          <adec:decorative xmlns:adec="http://schemas.microsoft.com/office/drawing/2017/decorative" val="1"/>
                        </a:ext>
                      </a:extLst>
                    </pic:cNvPr>
                    <pic:cNvPicPr/>
                  </pic:nvPicPr>
                  <pic:blipFill rotWithShape="1">
                    <a:blip r:embed="rId111"/>
                    <a:srcRect r="2467" b="426"/>
                    <a:stretch/>
                  </pic:blipFill>
                  <pic:spPr bwMode="auto">
                    <a:xfrm>
                      <a:off x="0" y="0"/>
                      <a:ext cx="5586413" cy="7425690"/>
                    </a:xfrm>
                    <a:prstGeom prst="rect">
                      <a:avLst/>
                    </a:prstGeom>
                    <a:ln>
                      <a:noFill/>
                    </a:ln>
                    <a:extLst>
                      <a:ext uri="{53640926-AAD7-44D8-BBD7-CCE9431645EC}">
                        <a14:shadowObscured xmlns:a14="http://schemas.microsoft.com/office/drawing/2010/main"/>
                      </a:ext>
                    </a:extLst>
                  </pic:spPr>
                </pic:pic>
              </a:graphicData>
            </a:graphic>
          </wp:inline>
        </w:drawing>
      </w:r>
      <w:r>
        <w:br w:type="page"/>
      </w:r>
    </w:p>
    <w:p w14:paraId="5E5B87B7" w14:textId="77777777" w:rsidR="006521D9" w:rsidRDefault="006521D9" w:rsidP="006521D9">
      <w:r>
        <w:rPr>
          <w:noProof/>
        </w:rPr>
        <w:lastRenderedPageBreak/>
        <w:drawing>
          <wp:inline distT="0" distB="0" distL="0" distR="0" wp14:anchorId="1529BF34" wp14:editId="388FA1BE">
            <wp:extent cx="5727700" cy="7471833"/>
            <wp:effectExtent l="0" t="0" r="6350" b="0"/>
            <wp:docPr id="79" name="Picture 79" descr="P4812#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P4812#yIS1">
                      <a:extLst>
                        <a:ext uri="{C183D7F6-B498-43B3-948B-1728B52AA6E4}">
                          <adec:decorative xmlns:adec="http://schemas.microsoft.com/office/drawing/2017/decorative" val="1"/>
                        </a:ext>
                      </a:extLst>
                    </pic:cNvPr>
                    <pic:cNvPicPr/>
                  </pic:nvPicPr>
                  <pic:blipFill rotWithShape="1">
                    <a:blip r:embed="rId112"/>
                    <a:srcRect b="409"/>
                    <a:stretch/>
                  </pic:blipFill>
                  <pic:spPr bwMode="auto">
                    <a:xfrm>
                      <a:off x="0" y="0"/>
                      <a:ext cx="5727700" cy="7471833"/>
                    </a:xfrm>
                    <a:prstGeom prst="rect">
                      <a:avLst/>
                    </a:prstGeom>
                    <a:ln>
                      <a:noFill/>
                    </a:ln>
                    <a:extLst>
                      <a:ext uri="{53640926-AAD7-44D8-BBD7-CCE9431645EC}">
                        <a14:shadowObscured xmlns:a14="http://schemas.microsoft.com/office/drawing/2010/main"/>
                      </a:ext>
                    </a:extLst>
                  </pic:spPr>
                </pic:pic>
              </a:graphicData>
            </a:graphic>
          </wp:inline>
        </w:drawing>
      </w:r>
    </w:p>
    <w:p w14:paraId="7872506B" w14:textId="77777777" w:rsidR="006521D9" w:rsidRDefault="006521D9" w:rsidP="006521D9">
      <w:r>
        <w:br w:type="page"/>
      </w:r>
    </w:p>
    <w:p w14:paraId="15B64EB1" w14:textId="77777777" w:rsidR="00D3081B" w:rsidRDefault="006521D9">
      <w:r>
        <w:rPr>
          <w:noProof/>
        </w:rPr>
        <w:lastRenderedPageBreak/>
        <w:drawing>
          <wp:inline distT="0" distB="0" distL="0" distR="0" wp14:anchorId="6FD384BF" wp14:editId="793CBA0E">
            <wp:extent cx="5631543" cy="7402830"/>
            <wp:effectExtent l="0" t="0" r="7620" b="7620"/>
            <wp:docPr id="80" name="Picture 80" descr="P4814#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P4814#yIS1">
                      <a:extLst>
                        <a:ext uri="{C183D7F6-B498-43B3-948B-1728B52AA6E4}">
                          <adec:decorative xmlns:adec="http://schemas.microsoft.com/office/drawing/2017/decorative" val="1"/>
                        </a:ext>
                      </a:extLst>
                    </pic:cNvPr>
                    <pic:cNvPicPr/>
                  </pic:nvPicPr>
                  <pic:blipFill rotWithShape="1">
                    <a:blip r:embed="rId113"/>
                    <a:srcRect r="1679"/>
                    <a:stretch/>
                  </pic:blipFill>
                  <pic:spPr bwMode="auto">
                    <a:xfrm>
                      <a:off x="0" y="0"/>
                      <a:ext cx="5631543" cy="7402830"/>
                    </a:xfrm>
                    <a:prstGeom prst="rect">
                      <a:avLst/>
                    </a:prstGeom>
                    <a:ln>
                      <a:noFill/>
                    </a:ln>
                    <a:extLst>
                      <a:ext uri="{53640926-AAD7-44D8-BBD7-CCE9431645EC}">
                        <a14:shadowObscured xmlns:a14="http://schemas.microsoft.com/office/drawing/2010/main"/>
                      </a:ext>
                    </a:extLst>
                  </pic:spPr>
                </pic:pic>
              </a:graphicData>
            </a:graphic>
          </wp:inline>
        </w:drawing>
      </w:r>
    </w:p>
    <w:p w14:paraId="237F359A" w14:textId="77777777" w:rsidR="00D3081B" w:rsidRDefault="00D3081B"/>
    <w:p w14:paraId="4D4A60FA" w14:textId="5D525E1D" w:rsidR="00655464" w:rsidRPr="006521D9" w:rsidRDefault="00D3081B">
      <w:pPr>
        <w:rPr>
          <w:rFonts w:ascii="Arial" w:hAnsi="Arial"/>
          <w:b/>
          <w:iCs/>
          <w:sz w:val="22"/>
          <w:szCs w:val="18"/>
        </w:rPr>
      </w:pPr>
      <w:r>
        <w:t xml:space="preserve">[ </w:t>
      </w:r>
      <w:r w:rsidR="00B014BA">
        <w:t xml:space="preserve"> </w:t>
      </w:r>
      <w:r>
        <w:t xml:space="preserve">Article under CC-BY-NC-ND license </w:t>
      </w:r>
      <w:r w:rsidR="00FE1945">
        <w:t xml:space="preserve">on publisher’s website. Accessible HTML and PDF versions available at </w:t>
      </w:r>
      <w:hyperlink r:id="rId114" w:history="1">
        <w:r w:rsidR="00B014BA" w:rsidRPr="00D23A7F">
          <w:rPr>
            <w:rStyle w:val="Hyperlink"/>
          </w:rPr>
          <w:t>http://dx.doi.org/</w:t>
        </w:r>
        <w:r w:rsidR="00B014BA" w:rsidRPr="00D23A7F">
          <w:rPr>
            <w:rStyle w:val="Hyperlink"/>
          </w:rPr>
          <w:t>10.1001/jamapsychiatry.2019.2664</w:t>
        </w:r>
      </w:hyperlink>
      <w:r w:rsidR="00B014BA">
        <w:rPr>
          <w:rStyle w:val="meta-citation"/>
        </w:rPr>
        <w:t xml:space="preserve"> </w:t>
      </w:r>
      <w:r>
        <w:t>]</w:t>
      </w:r>
      <w:r w:rsidR="00655464">
        <w:br w:type="page"/>
      </w:r>
    </w:p>
    <w:p w14:paraId="11916C7C" w14:textId="6A7B26EE" w:rsidR="00A33785" w:rsidRPr="00A33785" w:rsidRDefault="00A33785" w:rsidP="00A33785">
      <w:pPr>
        <w:pStyle w:val="Appendices"/>
        <w:rPr>
          <w:b w:val="0"/>
        </w:rPr>
      </w:pPr>
      <w:bookmarkStart w:id="530" w:name="_Toc46770995"/>
      <w:r w:rsidRPr="003237A3">
        <w:lastRenderedPageBreak/>
        <w:t xml:space="preserve">Appendix 2: </w:t>
      </w:r>
      <w:r w:rsidRPr="00A33785">
        <w:rPr>
          <w:b w:val="0"/>
        </w:rPr>
        <w:t>Catarino, Bateup, Tablan, Innes, Freer, Richards, Stott, Hollon, Chamberlain, Hayes and Blackwell (2018)</w:t>
      </w:r>
      <w:bookmarkEnd w:id="530"/>
    </w:p>
    <w:p w14:paraId="41F78940" w14:textId="7718A9F2" w:rsidR="0016559A" w:rsidRPr="0016559A" w:rsidRDefault="007167F9" w:rsidP="0016559A">
      <w:r>
        <w:rPr>
          <w:noProof/>
        </w:rPr>
        <w:drawing>
          <wp:inline distT="0" distB="0" distL="0" distR="0" wp14:anchorId="083CA287" wp14:editId="0033A72B">
            <wp:extent cx="5727700" cy="8105140"/>
            <wp:effectExtent l="0" t="0" r="0" b="0"/>
            <wp:docPr id="112" name="Picture 112" descr="P481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descr="P4818#yIS1"/>
                    <pic:cNvPicPr/>
                  </pic:nvPicPr>
                  <pic:blipFill>
                    <a:blip r:embed="rId115"/>
                    <a:stretch>
                      <a:fillRect/>
                    </a:stretch>
                  </pic:blipFill>
                  <pic:spPr>
                    <a:xfrm>
                      <a:off x="0" y="0"/>
                      <a:ext cx="5727700" cy="8105140"/>
                    </a:xfrm>
                    <a:prstGeom prst="rect">
                      <a:avLst/>
                    </a:prstGeom>
                  </pic:spPr>
                </pic:pic>
              </a:graphicData>
            </a:graphic>
          </wp:inline>
        </w:drawing>
      </w:r>
    </w:p>
    <w:p w14:paraId="1F064D15" w14:textId="233637B7" w:rsidR="006D3B56" w:rsidRDefault="00C64DCB" w:rsidP="006D3B56">
      <w:r>
        <w:rPr>
          <w:noProof/>
        </w:rPr>
        <w:lastRenderedPageBreak/>
        <w:drawing>
          <wp:inline distT="0" distB="0" distL="0" distR="0" wp14:anchorId="7DD4BE86" wp14:editId="3919326C">
            <wp:extent cx="5727700" cy="8284210"/>
            <wp:effectExtent l="0" t="0" r="6350" b="2540"/>
            <wp:docPr id="81" name="Picture 81" descr="P4819#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P4819#yIS1">
                      <a:extLst>
                        <a:ext uri="{C183D7F6-B498-43B3-948B-1728B52AA6E4}">
                          <adec:decorative xmlns:adec="http://schemas.microsoft.com/office/drawing/2017/decorative" val="1"/>
                        </a:ext>
                      </a:extLst>
                    </pic:cNvPr>
                    <pic:cNvPicPr/>
                  </pic:nvPicPr>
                  <pic:blipFill>
                    <a:blip r:embed="rId116"/>
                    <a:stretch>
                      <a:fillRect/>
                    </a:stretch>
                  </pic:blipFill>
                  <pic:spPr>
                    <a:xfrm>
                      <a:off x="0" y="0"/>
                      <a:ext cx="5727700" cy="8284210"/>
                    </a:xfrm>
                    <a:prstGeom prst="rect">
                      <a:avLst/>
                    </a:prstGeom>
                  </pic:spPr>
                </pic:pic>
              </a:graphicData>
            </a:graphic>
          </wp:inline>
        </w:drawing>
      </w:r>
    </w:p>
    <w:p w14:paraId="72042332" w14:textId="1C62E316" w:rsidR="0070687F" w:rsidRDefault="0070687F" w:rsidP="006D3B56">
      <w:pPr>
        <w:rPr>
          <w:noProof/>
        </w:rPr>
      </w:pPr>
      <w:r>
        <w:rPr>
          <w:noProof/>
        </w:rPr>
        <w:lastRenderedPageBreak/>
        <w:drawing>
          <wp:inline distT="0" distB="0" distL="0" distR="0" wp14:anchorId="027406E0" wp14:editId="007633A6">
            <wp:extent cx="5727700" cy="8204835"/>
            <wp:effectExtent l="0" t="0" r="6350" b="5715"/>
            <wp:docPr id="82" name="Picture 82" descr="P4820#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P4820#yIS1">
                      <a:extLst>
                        <a:ext uri="{C183D7F6-B498-43B3-948B-1728B52AA6E4}">
                          <adec:decorative xmlns:adec="http://schemas.microsoft.com/office/drawing/2017/decorative" val="1"/>
                        </a:ext>
                      </a:extLst>
                    </pic:cNvPr>
                    <pic:cNvPicPr/>
                  </pic:nvPicPr>
                  <pic:blipFill>
                    <a:blip r:embed="rId117"/>
                    <a:stretch>
                      <a:fillRect/>
                    </a:stretch>
                  </pic:blipFill>
                  <pic:spPr>
                    <a:xfrm>
                      <a:off x="0" y="0"/>
                      <a:ext cx="5727700" cy="8204835"/>
                    </a:xfrm>
                    <a:prstGeom prst="rect">
                      <a:avLst/>
                    </a:prstGeom>
                  </pic:spPr>
                </pic:pic>
              </a:graphicData>
            </a:graphic>
          </wp:inline>
        </w:drawing>
      </w:r>
      <w:r w:rsidRPr="0070687F">
        <w:rPr>
          <w:noProof/>
        </w:rPr>
        <w:t xml:space="preserve"> </w:t>
      </w:r>
      <w:r>
        <w:rPr>
          <w:noProof/>
        </w:rPr>
        <w:lastRenderedPageBreak/>
        <w:drawing>
          <wp:inline distT="0" distB="0" distL="0" distR="0" wp14:anchorId="4CAE8D7F" wp14:editId="51A80F8A">
            <wp:extent cx="5727700" cy="8128000"/>
            <wp:effectExtent l="0" t="0" r="6350" b="6350"/>
            <wp:docPr id="83" name="Picture 83" descr="P4820#yIS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P4820#yIS2">
                      <a:extLst>
                        <a:ext uri="{C183D7F6-B498-43B3-948B-1728B52AA6E4}">
                          <adec:decorative xmlns:adec="http://schemas.microsoft.com/office/drawing/2017/decorative" val="1"/>
                        </a:ext>
                      </a:extLst>
                    </pic:cNvPr>
                    <pic:cNvPicPr/>
                  </pic:nvPicPr>
                  <pic:blipFill>
                    <a:blip r:embed="rId118"/>
                    <a:stretch>
                      <a:fillRect/>
                    </a:stretch>
                  </pic:blipFill>
                  <pic:spPr>
                    <a:xfrm>
                      <a:off x="0" y="0"/>
                      <a:ext cx="5727700" cy="8128000"/>
                    </a:xfrm>
                    <a:prstGeom prst="rect">
                      <a:avLst/>
                    </a:prstGeom>
                  </pic:spPr>
                </pic:pic>
              </a:graphicData>
            </a:graphic>
          </wp:inline>
        </w:drawing>
      </w:r>
      <w:r w:rsidRPr="0070687F">
        <w:rPr>
          <w:noProof/>
        </w:rPr>
        <w:t xml:space="preserve"> </w:t>
      </w:r>
      <w:r>
        <w:rPr>
          <w:noProof/>
        </w:rPr>
        <w:lastRenderedPageBreak/>
        <w:drawing>
          <wp:inline distT="0" distB="0" distL="0" distR="0" wp14:anchorId="486D8C0E" wp14:editId="16B031E1">
            <wp:extent cx="5727700" cy="8160385"/>
            <wp:effectExtent l="0" t="0" r="6350" b="0"/>
            <wp:docPr id="84" name="Picture 84" descr="P4820#yIS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P4820#yIS3">
                      <a:extLst>
                        <a:ext uri="{C183D7F6-B498-43B3-948B-1728B52AA6E4}">
                          <adec:decorative xmlns:adec="http://schemas.microsoft.com/office/drawing/2017/decorative" val="1"/>
                        </a:ext>
                      </a:extLst>
                    </pic:cNvPr>
                    <pic:cNvPicPr/>
                  </pic:nvPicPr>
                  <pic:blipFill>
                    <a:blip r:embed="rId119"/>
                    <a:stretch>
                      <a:fillRect/>
                    </a:stretch>
                  </pic:blipFill>
                  <pic:spPr>
                    <a:xfrm>
                      <a:off x="0" y="0"/>
                      <a:ext cx="5727700" cy="8160385"/>
                    </a:xfrm>
                    <a:prstGeom prst="rect">
                      <a:avLst/>
                    </a:prstGeom>
                  </pic:spPr>
                </pic:pic>
              </a:graphicData>
            </a:graphic>
          </wp:inline>
        </w:drawing>
      </w:r>
    </w:p>
    <w:p w14:paraId="18AE9185" w14:textId="305D12F9" w:rsidR="0070687F" w:rsidRDefault="0070687F" w:rsidP="006D3B56">
      <w:r>
        <w:rPr>
          <w:noProof/>
        </w:rPr>
        <w:lastRenderedPageBreak/>
        <w:drawing>
          <wp:inline distT="0" distB="0" distL="0" distR="0" wp14:anchorId="7ABE4115" wp14:editId="37690FBB">
            <wp:extent cx="5727700" cy="8202295"/>
            <wp:effectExtent l="0" t="0" r="6350" b="8255"/>
            <wp:docPr id="85" name="Picture 85" descr="P4821#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P4821#yIS1">
                      <a:extLst>
                        <a:ext uri="{C183D7F6-B498-43B3-948B-1728B52AA6E4}">
                          <adec:decorative xmlns:adec="http://schemas.microsoft.com/office/drawing/2017/decorative" val="1"/>
                        </a:ext>
                      </a:extLst>
                    </pic:cNvPr>
                    <pic:cNvPicPr/>
                  </pic:nvPicPr>
                  <pic:blipFill>
                    <a:blip r:embed="rId120"/>
                    <a:stretch>
                      <a:fillRect/>
                    </a:stretch>
                  </pic:blipFill>
                  <pic:spPr>
                    <a:xfrm>
                      <a:off x="0" y="0"/>
                      <a:ext cx="5727700" cy="8202295"/>
                    </a:xfrm>
                    <a:prstGeom prst="rect">
                      <a:avLst/>
                    </a:prstGeom>
                  </pic:spPr>
                </pic:pic>
              </a:graphicData>
            </a:graphic>
          </wp:inline>
        </w:drawing>
      </w:r>
      <w:r w:rsidRPr="0070687F">
        <w:rPr>
          <w:noProof/>
        </w:rPr>
        <w:t xml:space="preserve"> </w:t>
      </w:r>
      <w:r>
        <w:rPr>
          <w:noProof/>
        </w:rPr>
        <w:lastRenderedPageBreak/>
        <w:drawing>
          <wp:inline distT="0" distB="0" distL="0" distR="0" wp14:anchorId="0FFE843C" wp14:editId="29BAA898">
            <wp:extent cx="5727700" cy="8148955"/>
            <wp:effectExtent l="0" t="0" r="6350" b="4445"/>
            <wp:docPr id="86" name="Picture 86" descr="P4821#yIS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P4821#yIS2">
                      <a:extLst>
                        <a:ext uri="{C183D7F6-B498-43B3-948B-1728B52AA6E4}">
                          <adec:decorative xmlns:adec="http://schemas.microsoft.com/office/drawing/2017/decorative" val="1"/>
                        </a:ext>
                      </a:extLst>
                    </pic:cNvPr>
                    <pic:cNvPicPr/>
                  </pic:nvPicPr>
                  <pic:blipFill>
                    <a:blip r:embed="rId121"/>
                    <a:stretch>
                      <a:fillRect/>
                    </a:stretch>
                  </pic:blipFill>
                  <pic:spPr>
                    <a:xfrm>
                      <a:off x="0" y="0"/>
                      <a:ext cx="5727700" cy="8148955"/>
                    </a:xfrm>
                    <a:prstGeom prst="rect">
                      <a:avLst/>
                    </a:prstGeom>
                  </pic:spPr>
                </pic:pic>
              </a:graphicData>
            </a:graphic>
          </wp:inline>
        </w:drawing>
      </w:r>
      <w:r w:rsidRPr="0070687F">
        <w:rPr>
          <w:noProof/>
        </w:rPr>
        <w:t xml:space="preserve"> </w:t>
      </w:r>
      <w:r>
        <w:rPr>
          <w:noProof/>
        </w:rPr>
        <w:lastRenderedPageBreak/>
        <w:drawing>
          <wp:inline distT="0" distB="0" distL="0" distR="0" wp14:anchorId="2DCCCBD3" wp14:editId="78E28C48">
            <wp:extent cx="5727700" cy="8308340"/>
            <wp:effectExtent l="0" t="0" r="6350" b="0"/>
            <wp:docPr id="87" name="Picture 87" descr="P4821#yIS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P4821#yIS3">
                      <a:extLst>
                        <a:ext uri="{C183D7F6-B498-43B3-948B-1728B52AA6E4}">
                          <adec:decorative xmlns:adec="http://schemas.microsoft.com/office/drawing/2017/decorative" val="1"/>
                        </a:ext>
                      </a:extLst>
                    </pic:cNvPr>
                    <pic:cNvPicPr/>
                  </pic:nvPicPr>
                  <pic:blipFill>
                    <a:blip r:embed="rId122"/>
                    <a:stretch>
                      <a:fillRect/>
                    </a:stretch>
                  </pic:blipFill>
                  <pic:spPr>
                    <a:xfrm>
                      <a:off x="0" y="0"/>
                      <a:ext cx="5727700" cy="8308340"/>
                    </a:xfrm>
                    <a:prstGeom prst="rect">
                      <a:avLst/>
                    </a:prstGeom>
                  </pic:spPr>
                </pic:pic>
              </a:graphicData>
            </a:graphic>
          </wp:inline>
        </w:drawing>
      </w:r>
    </w:p>
    <w:p w14:paraId="5648A967" w14:textId="77777777" w:rsidR="00C75658" w:rsidRDefault="00C75658">
      <w:pPr>
        <w:rPr>
          <w:rFonts w:ascii="Arial" w:hAnsi="Arial"/>
          <w:b/>
          <w:iCs/>
          <w:sz w:val="22"/>
          <w:szCs w:val="18"/>
        </w:rPr>
      </w:pPr>
      <w:r>
        <w:br w:type="page"/>
      </w:r>
    </w:p>
    <w:p w14:paraId="406B36E0" w14:textId="6606DA9A" w:rsidR="00FC28CA" w:rsidRDefault="00FC28CA" w:rsidP="00FC28CA">
      <w:pPr>
        <w:pStyle w:val="Appendices"/>
        <w:rPr>
          <w:b w:val="0"/>
        </w:rPr>
      </w:pPr>
      <w:bookmarkStart w:id="531" w:name="_Toc46770996"/>
      <w:r w:rsidRPr="00451E87">
        <w:lastRenderedPageBreak/>
        <w:t xml:space="preserve">Appendix 3: </w:t>
      </w:r>
      <w:r w:rsidRPr="00FC28CA">
        <w:rPr>
          <w:b w:val="0"/>
        </w:rPr>
        <w:t>Burch, Preston and Bateup (2018)</w:t>
      </w:r>
      <w:bookmarkEnd w:id="531"/>
    </w:p>
    <w:p w14:paraId="2FFD43AD" w14:textId="77777777" w:rsidR="00EB19FD" w:rsidRDefault="00EB19FD" w:rsidP="00EB19FD"/>
    <w:p w14:paraId="42A1C8FA" w14:textId="238D2264" w:rsidR="00C75658" w:rsidRDefault="00C75658" w:rsidP="00EB19FD">
      <w:bookmarkStart w:id="532" w:name="_Toc28353660"/>
      <w:r>
        <w:rPr>
          <w:noProof/>
        </w:rPr>
        <w:drawing>
          <wp:inline distT="0" distB="0" distL="0" distR="0" wp14:anchorId="786D0DFF" wp14:editId="69BDFB71">
            <wp:extent cx="5727700" cy="7179945"/>
            <wp:effectExtent l="0" t="0" r="0" b="0"/>
            <wp:docPr id="113" name="Picture 113" descr="P482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descr="P4825#yIS1"/>
                    <pic:cNvPicPr/>
                  </pic:nvPicPr>
                  <pic:blipFill rotWithShape="1">
                    <a:blip r:embed="rId123"/>
                    <a:srcRect t="4376"/>
                    <a:stretch/>
                  </pic:blipFill>
                  <pic:spPr bwMode="auto">
                    <a:xfrm>
                      <a:off x="0" y="0"/>
                      <a:ext cx="5727700" cy="7179945"/>
                    </a:xfrm>
                    <a:prstGeom prst="rect">
                      <a:avLst/>
                    </a:prstGeom>
                    <a:ln>
                      <a:noFill/>
                    </a:ln>
                    <a:extLst>
                      <a:ext uri="{53640926-AAD7-44D8-BBD7-CCE9431645EC}">
                        <a14:shadowObscured xmlns:a14="http://schemas.microsoft.com/office/drawing/2010/main"/>
                      </a:ext>
                    </a:extLst>
                  </pic:spPr>
                </pic:pic>
              </a:graphicData>
            </a:graphic>
          </wp:inline>
        </w:drawing>
      </w:r>
      <w:bookmarkEnd w:id="532"/>
    </w:p>
    <w:p w14:paraId="6221CEDC" w14:textId="321A5CD9" w:rsidR="007476F8" w:rsidRPr="007476F8" w:rsidRDefault="00C75658" w:rsidP="007476F8">
      <w:r>
        <w:rPr>
          <w:noProof/>
        </w:rPr>
        <w:lastRenderedPageBreak/>
        <w:drawing>
          <wp:inline distT="0" distB="0" distL="0" distR="0" wp14:anchorId="2C766E64" wp14:editId="548D3BC5">
            <wp:extent cx="5727700" cy="7439025"/>
            <wp:effectExtent l="0" t="0" r="6350" b="9525"/>
            <wp:docPr id="88" name="Picture 88" descr="P4826#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P4826#yIS1">
                      <a:extLst>
                        <a:ext uri="{C183D7F6-B498-43B3-948B-1728B52AA6E4}">
                          <adec:decorative xmlns:adec="http://schemas.microsoft.com/office/drawing/2017/decorative" val="1"/>
                        </a:ext>
                      </a:extLst>
                    </pic:cNvPr>
                    <pic:cNvPicPr/>
                  </pic:nvPicPr>
                  <pic:blipFill>
                    <a:blip r:embed="rId124"/>
                    <a:stretch>
                      <a:fillRect/>
                    </a:stretch>
                  </pic:blipFill>
                  <pic:spPr>
                    <a:xfrm>
                      <a:off x="0" y="0"/>
                      <a:ext cx="5727700" cy="7439025"/>
                    </a:xfrm>
                    <a:prstGeom prst="rect">
                      <a:avLst/>
                    </a:prstGeom>
                  </pic:spPr>
                </pic:pic>
              </a:graphicData>
            </a:graphic>
          </wp:inline>
        </w:drawing>
      </w:r>
    </w:p>
    <w:p w14:paraId="48375051" w14:textId="2DF36ADE" w:rsidR="00CC551D" w:rsidRPr="005D264F" w:rsidRDefault="00CC551D" w:rsidP="00CC551D">
      <w:pPr>
        <w:spacing w:line="480" w:lineRule="auto"/>
        <w:rPr>
          <w:rFonts w:ascii="Arial" w:hAnsi="Arial" w:cs="Arial"/>
          <w:sz w:val="22"/>
          <w:szCs w:val="22"/>
        </w:rPr>
      </w:pPr>
    </w:p>
    <w:p w14:paraId="0D111390" w14:textId="77777777" w:rsidR="00CC551D" w:rsidRPr="005D264F" w:rsidRDefault="00CC551D" w:rsidP="00CC551D">
      <w:pPr>
        <w:spacing w:line="480" w:lineRule="auto"/>
        <w:jc w:val="center"/>
        <w:rPr>
          <w:rFonts w:ascii="Arial" w:hAnsi="Arial" w:cs="Arial"/>
          <w:b/>
          <w:sz w:val="22"/>
          <w:szCs w:val="22"/>
        </w:rPr>
      </w:pPr>
    </w:p>
    <w:p w14:paraId="2783F0E8" w14:textId="57FE314F" w:rsidR="008D15B4" w:rsidRDefault="008E0534" w:rsidP="008D15B4">
      <w:r>
        <w:rPr>
          <w:noProof/>
        </w:rPr>
        <w:lastRenderedPageBreak/>
        <w:drawing>
          <wp:inline distT="0" distB="0" distL="0" distR="0" wp14:anchorId="4DB6919E" wp14:editId="493ACF4E">
            <wp:extent cx="5727700" cy="7569200"/>
            <wp:effectExtent l="0" t="0" r="6350" b="0"/>
            <wp:docPr id="89" name="Picture 89" descr="P4829#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P4829#yIS1">
                      <a:extLst>
                        <a:ext uri="{C183D7F6-B498-43B3-948B-1728B52AA6E4}">
                          <adec:decorative xmlns:adec="http://schemas.microsoft.com/office/drawing/2017/decorative" val="1"/>
                        </a:ext>
                      </a:extLst>
                    </pic:cNvPr>
                    <pic:cNvPicPr/>
                  </pic:nvPicPr>
                  <pic:blipFill>
                    <a:blip r:embed="rId125"/>
                    <a:stretch>
                      <a:fillRect/>
                    </a:stretch>
                  </pic:blipFill>
                  <pic:spPr>
                    <a:xfrm>
                      <a:off x="0" y="0"/>
                      <a:ext cx="5727700" cy="7569200"/>
                    </a:xfrm>
                    <a:prstGeom prst="rect">
                      <a:avLst/>
                    </a:prstGeom>
                  </pic:spPr>
                </pic:pic>
              </a:graphicData>
            </a:graphic>
          </wp:inline>
        </w:drawing>
      </w:r>
    </w:p>
    <w:p w14:paraId="267D6CC3" w14:textId="5AC4D51D" w:rsidR="00AE5934" w:rsidRPr="00AE5934" w:rsidRDefault="00AE5934">
      <w:r>
        <w:t>[  Article under CC-BY-NC-ND license</w:t>
      </w:r>
      <w:r w:rsidR="00FE1945">
        <w:t xml:space="preserve"> on publisher’s website. Accessible HTML and PDF versions available</w:t>
      </w:r>
      <w:r>
        <w:t xml:space="preserve"> at </w:t>
      </w:r>
      <w:hyperlink r:id="rId126" w:history="1">
        <w:r w:rsidR="00561643" w:rsidRPr="00D23A7F">
          <w:rPr>
            <w:rStyle w:val="Hyperlink"/>
          </w:rPr>
          <w:t>http://dx.doi.org</w:t>
        </w:r>
        <w:r w:rsidR="00561643" w:rsidRPr="00D23A7F">
          <w:rPr>
            <w:rStyle w:val="Hyperlink"/>
          </w:rPr>
          <w:t>/</w:t>
        </w:r>
        <w:r w:rsidR="00561643" w:rsidRPr="00D23A7F">
          <w:rPr>
            <w:rStyle w:val="Hyperlink"/>
          </w:rPr>
          <w:t>10.21037/mhealth.2018.08.02</w:t>
        </w:r>
      </w:hyperlink>
      <w:r w:rsidR="00561643">
        <w:t xml:space="preserve"> </w:t>
      </w:r>
      <w:r>
        <w:t>]</w:t>
      </w:r>
    </w:p>
    <w:p w14:paraId="4590E5FA" w14:textId="77777777" w:rsidR="00B65984" w:rsidRDefault="00B65984">
      <w:pPr>
        <w:rPr>
          <w:rFonts w:ascii="Arial" w:hAnsi="Arial"/>
          <w:b/>
          <w:iCs/>
          <w:sz w:val="22"/>
          <w:szCs w:val="18"/>
        </w:rPr>
      </w:pPr>
      <w:r>
        <w:br w:type="page"/>
      </w:r>
    </w:p>
    <w:p w14:paraId="18FE6F71" w14:textId="77384A8C" w:rsidR="00FC28CA" w:rsidRDefault="00FC28CA" w:rsidP="00FC28CA">
      <w:pPr>
        <w:pStyle w:val="Appendices"/>
      </w:pPr>
      <w:bookmarkStart w:id="533" w:name="_Toc46770997"/>
      <w:r w:rsidRPr="006B28FB">
        <w:lastRenderedPageBreak/>
        <w:t xml:space="preserve">Appendix 4: </w:t>
      </w:r>
      <w:r w:rsidRPr="00FC28CA">
        <w:rPr>
          <w:b w:val="0"/>
        </w:rPr>
        <w:t>Burch, Preston, Bateup and Hina (2017)</w:t>
      </w:r>
      <w:bookmarkEnd w:id="533"/>
    </w:p>
    <w:p w14:paraId="59D2FC51" w14:textId="3B0A6C68" w:rsidR="00127C64" w:rsidRDefault="007D6F85" w:rsidP="008D15B4">
      <w:r>
        <w:rPr>
          <w:noProof/>
        </w:rPr>
        <w:t xml:space="preserve">[ Redacted in this version due to copyright. Available at the publisher’s website: </w:t>
      </w:r>
      <w:hyperlink r:id="rId127" w:history="1">
        <w:r>
          <w:rPr>
            <w:rStyle w:val="Hyperlink"/>
          </w:rPr>
          <w:t>https://doi.org/10.18848/2576-5310/CGP/v08i01/1-11</w:t>
        </w:r>
      </w:hyperlink>
      <w:r>
        <w:rPr>
          <w:u w:val="single"/>
        </w:rPr>
        <w:t xml:space="preserve"> ]</w:t>
      </w:r>
    </w:p>
    <w:p w14:paraId="1EF8C77C" w14:textId="19EDB763" w:rsidR="00127C64" w:rsidRDefault="00127C64" w:rsidP="008D15B4"/>
    <w:p w14:paraId="25CBD32C" w14:textId="77777777" w:rsidR="007D6F85" w:rsidRDefault="007D6F85">
      <w:pPr>
        <w:rPr>
          <w:rFonts w:ascii="Arial" w:hAnsi="Arial" w:cs="Arial"/>
          <w:b/>
          <w:bCs/>
          <w:sz w:val="22"/>
          <w:szCs w:val="22"/>
        </w:rPr>
      </w:pPr>
      <w:bookmarkStart w:id="534" w:name="_Toc46770998"/>
      <w:r>
        <w:rPr>
          <w:rFonts w:ascii="Arial" w:hAnsi="Arial" w:cs="Arial"/>
          <w:b/>
          <w:bCs/>
          <w:sz w:val="22"/>
          <w:szCs w:val="22"/>
        </w:rPr>
        <w:br w:type="page"/>
      </w:r>
    </w:p>
    <w:p w14:paraId="7FBC16E8" w14:textId="687A9C9C" w:rsidR="007F596B" w:rsidRDefault="00FC28CA" w:rsidP="007D6F85">
      <w:pPr>
        <w:rPr>
          <w:rFonts w:ascii="Arial" w:hAnsi="Arial" w:cs="Arial"/>
          <w:sz w:val="22"/>
          <w:szCs w:val="22"/>
        </w:rPr>
      </w:pPr>
      <w:r w:rsidRPr="007D6F85">
        <w:rPr>
          <w:rFonts w:ascii="Arial" w:hAnsi="Arial" w:cs="Arial"/>
          <w:b/>
          <w:bCs/>
          <w:sz w:val="22"/>
          <w:szCs w:val="22"/>
        </w:rPr>
        <w:lastRenderedPageBreak/>
        <w:t>Appendix 5</w:t>
      </w:r>
      <w:r w:rsidRPr="007D6F85">
        <w:rPr>
          <w:rFonts w:ascii="Arial" w:hAnsi="Arial" w:cs="Arial"/>
          <w:sz w:val="22"/>
          <w:szCs w:val="22"/>
        </w:rPr>
        <w:t>: Ieso Digital Health Plain Language Information for Patients</w:t>
      </w:r>
      <w:bookmarkEnd w:id="534"/>
    </w:p>
    <w:p w14:paraId="42D7011C" w14:textId="77777777" w:rsidR="006A2558" w:rsidRPr="007D6F85" w:rsidRDefault="006A2558" w:rsidP="007D6F85">
      <w:pPr>
        <w:rPr>
          <w:rFonts w:ascii="Arial" w:hAnsi="Arial" w:cs="Arial"/>
          <w:noProof/>
          <w:sz w:val="22"/>
          <w:szCs w:val="22"/>
        </w:rPr>
      </w:pPr>
    </w:p>
    <w:p w14:paraId="556FA9EC" w14:textId="77777777" w:rsidR="00B664D2" w:rsidRPr="00A51B43" w:rsidRDefault="00B664D2" w:rsidP="00AF7FC5">
      <w:pPr>
        <w:rPr>
          <w:rFonts w:ascii="Arial" w:hAnsi="Arial" w:cs="Arial"/>
          <w:b/>
          <w:bCs/>
          <w:sz w:val="22"/>
          <w:szCs w:val="22"/>
          <w:lang w:eastAsia="en-GB"/>
        </w:rPr>
      </w:pPr>
      <w:bookmarkStart w:id="535" w:name="_Hlk25665358"/>
      <w:r w:rsidRPr="00A51B43">
        <w:rPr>
          <w:rFonts w:ascii="Arial" w:hAnsi="Arial" w:cs="Arial"/>
          <w:b/>
          <w:bCs/>
          <w:sz w:val="22"/>
          <w:szCs w:val="22"/>
          <w:lang w:eastAsia="en-GB"/>
        </w:rPr>
        <w:t>Why does health and care research use information from patients?</w:t>
      </w:r>
    </w:p>
    <w:bookmarkEnd w:id="535"/>
    <w:p w14:paraId="37D697A1" w14:textId="77777777" w:rsidR="00B664D2" w:rsidRPr="00AE33A9" w:rsidRDefault="00B664D2" w:rsidP="00B664D2">
      <w:pPr>
        <w:spacing w:after="120"/>
        <w:jc w:val="both"/>
        <w:rPr>
          <w:rFonts w:ascii="Arial" w:eastAsia="Times New Roman" w:hAnsi="Arial" w:cs="Arial"/>
          <w:color w:val="000000"/>
          <w:sz w:val="22"/>
          <w:lang w:eastAsia="en-GB"/>
        </w:rPr>
      </w:pPr>
      <w:r w:rsidRPr="00AE33A9">
        <w:rPr>
          <w:rFonts w:ascii="Arial" w:eastAsia="Times New Roman" w:hAnsi="Arial" w:cs="Arial"/>
          <w:color w:val="000000"/>
          <w:sz w:val="22"/>
          <w:lang w:eastAsia="en-GB"/>
        </w:rPr>
        <w:t xml:space="preserve">Researchers use data to establish if one treatment method is better or worse than another, or to see whether there are links between recovery rates, treatment methods, and patients’ personal circumstances. </w:t>
      </w:r>
    </w:p>
    <w:p w14:paraId="3E83CD9C" w14:textId="77777777" w:rsidR="00B664D2" w:rsidRPr="00AE33A9" w:rsidRDefault="00B664D2" w:rsidP="00B664D2">
      <w:pPr>
        <w:spacing w:after="120"/>
        <w:jc w:val="both"/>
        <w:rPr>
          <w:rFonts w:ascii="Arial" w:eastAsia="Times New Roman" w:hAnsi="Arial" w:cs="Arial"/>
          <w:color w:val="000000"/>
          <w:sz w:val="22"/>
          <w:lang w:eastAsia="en-GB"/>
        </w:rPr>
      </w:pPr>
      <w:r w:rsidRPr="00AE33A9">
        <w:rPr>
          <w:rFonts w:ascii="Arial" w:eastAsia="Times New Roman" w:hAnsi="Arial" w:cs="Arial"/>
          <w:color w:val="000000"/>
          <w:sz w:val="22"/>
          <w:lang w:eastAsia="en-GB"/>
        </w:rPr>
        <w:t>Different people can respond to therapy in different ways so by collecting information from lots of people, researchers can work out ways to get more people better.</w:t>
      </w:r>
    </w:p>
    <w:p w14:paraId="6173B682" w14:textId="77777777" w:rsidR="00B664D2" w:rsidRPr="00AE33A9" w:rsidRDefault="00B664D2" w:rsidP="00B664D2">
      <w:pPr>
        <w:spacing w:after="120"/>
        <w:jc w:val="both"/>
        <w:rPr>
          <w:rFonts w:ascii="Arial" w:eastAsia="Times New Roman" w:hAnsi="Arial" w:cs="Arial"/>
          <w:color w:val="000000"/>
          <w:sz w:val="22"/>
          <w:lang w:eastAsia="en-GB"/>
        </w:rPr>
      </w:pPr>
    </w:p>
    <w:p w14:paraId="2F2D7517" w14:textId="77777777" w:rsidR="00B664D2" w:rsidRPr="00AE33A9" w:rsidRDefault="00B664D2" w:rsidP="00B664D2">
      <w:pPr>
        <w:spacing w:after="120"/>
        <w:jc w:val="both"/>
        <w:rPr>
          <w:rFonts w:ascii="Arial" w:hAnsi="Arial" w:cs="Arial"/>
          <w:b/>
          <w:bCs/>
          <w:sz w:val="22"/>
        </w:rPr>
      </w:pPr>
      <w:r w:rsidRPr="00AE33A9">
        <w:rPr>
          <w:rFonts w:ascii="Arial" w:hAnsi="Arial" w:cs="Arial"/>
          <w:b/>
          <w:bCs/>
          <w:sz w:val="22"/>
        </w:rPr>
        <w:t>How does Ieso use my data for research?</w:t>
      </w:r>
    </w:p>
    <w:p w14:paraId="7DF1C15A" w14:textId="77777777" w:rsidR="00B664D2" w:rsidRPr="00AE33A9" w:rsidRDefault="00B664D2" w:rsidP="00B664D2">
      <w:pPr>
        <w:rPr>
          <w:rFonts w:ascii="Arial" w:eastAsia="Times New Roman" w:hAnsi="Arial" w:cs="Arial"/>
          <w:color w:val="000000"/>
          <w:sz w:val="22"/>
          <w:lang w:eastAsia="en-GB"/>
        </w:rPr>
      </w:pPr>
      <w:r w:rsidRPr="00AE33A9">
        <w:rPr>
          <w:rFonts w:ascii="Arial" w:eastAsia="Times New Roman" w:hAnsi="Arial" w:cs="Arial"/>
          <w:color w:val="000000"/>
          <w:sz w:val="22"/>
          <w:lang w:eastAsia="en-GB"/>
        </w:rPr>
        <w:t>When you sign up with us, we will collect information about you for two reasons:</w:t>
      </w:r>
    </w:p>
    <w:p w14:paraId="3E939D45" w14:textId="77777777" w:rsidR="00B664D2" w:rsidRPr="00AE33A9" w:rsidRDefault="00B664D2" w:rsidP="00B664D2">
      <w:pPr>
        <w:pStyle w:val="ListParagraph"/>
        <w:numPr>
          <w:ilvl w:val="0"/>
          <w:numId w:val="30"/>
        </w:numPr>
        <w:spacing w:before="100" w:beforeAutospacing="1" w:afterAutospacing="1"/>
        <w:contextualSpacing w:val="0"/>
        <w:rPr>
          <w:rFonts w:ascii="Arial" w:hAnsi="Arial" w:cs="Arial"/>
          <w:sz w:val="22"/>
        </w:rPr>
      </w:pPr>
      <w:r w:rsidRPr="00AE33A9">
        <w:rPr>
          <w:rFonts w:ascii="Arial" w:hAnsi="Arial" w:cs="Arial"/>
          <w:color w:val="000000"/>
          <w:sz w:val="22"/>
          <w:szCs w:val="22"/>
        </w:rPr>
        <w:t xml:space="preserve">The NHS requires that we collect information about our patient care so that they can monitor the quality of the service we provide. This information includes how well patients respond to treatment along with some personal statistics including gender, age and ethnicity. </w:t>
      </w:r>
      <w:r w:rsidRPr="00AE33A9">
        <w:rPr>
          <w:rFonts w:ascii="Arial" w:hAnsi="Arial" w:cs="Arial"/>
          <w:sz w:val="22"/>
          <w:szCs w:val="22"/>
        </w:rPr>
        <w:t>(</w:t>
      </w:r>
      <w:r w:rsidRPr="00AE33A9">
        <w:rPr>
          <w:rFonts w:ascii="Arial" w:hAnsi="Arial" w:cs="Arial"/>
          <w:b/>
          <w:bCs/>
          <w:sz w:val="22"/>
          <w:szCs w:val="22"/>
        </w:rPr>
        <w:t>see</w:t>
      </w:r>
      <w:r w:rsidRPr="00AE33A9">
        <w:rPr>
          <w:rFonts w:ascii="Arial" w:hAnsi="Arial" w:cs="Arial"/>
          <w:sz w:val="22"/>
          <w:szCs w:val="22"/>
        </w:rPr>
        <w:t xml:space="preserve"> </w:t>
      </w:r>
      <w:r w:rsidRPr="00AE33A9">
        <w:rPr>
          <w:rFonts w:ascii="Arial" w:hAnsi="Arial" w:cs="Arial"/>
          <w:b/>
          <w:bCs/>
          <w:sz w:val="22"/>
          <w:szCs w:val="22"/>
        </w:rPr>
        <w:t>IAPT Minimum Data Set [link]</w:t>
      </w:r>
      <w:r w:rsidRPr="00AE33A9">
        <w:rPr>
          <w:rFonts w:ascii="Arial" w:hAnsi="Arial" w:cs="Arial"/>
          <w:sz w:val="22"/>
          <w:szCs w:val="22"/>
        </w:rPr>
        <w:t>)</w:t>
      </w:r>
    </w:p>
    <w:p w14:paraId="7A256E75" w14:textId="0DDD0CCE" w:rsidR="00417879" w:rsidRPr="00417879" w:rsidRDefault="00B664D2" w:rsidP="00030708">
      <w:pPr>
        <w:pStyle w:val="ListParagraph"/>
        <w:numPr>
          <w:ilvl w:val="0"/>
          <w:numId w:val="30"/>
        </w:numPr>
        <w:spacing w:before="100" w:beforeAutospacing="1" w:after="120" w:afterAutospacing="1"/>
        <w:contextualSpacing w:val="0"/>
        <w:jc w:val="both"/>
        <w:rPr>
          <w:rFonts w:ascii="Arial" w:hAnsi="Arial" w:cs="Arial"/>
          <w:sz w:val="22"/>
        </w:rPr>
      </w:pPr>
      <w:r w:rsidRPr="00417879">
        <w:rPr>
          <w:rFonts w:ascii="Arial" w:hAnsi="Arial" w:cs="Arial"/>
          <w:sz w:val="22"/>
          <w:szCs w:val="22"/>
        </w:rPr>
        <w:t xml:space="preserve">To conduct research to understand what works in CBT and further improve treatment. Collecting information from the conversations that happen between patients and therapists helps us to build a greater understanding of the causes of mental illness and what makes treatment work. </w:t>
      </w:r>
      <w:r w:rsidRPr="00417879">
        <w:rPr>
          <w:rFonts w:ascii="Arial" w:hAnsi="Arial" w:cs="Arial"/>
          <w:color w:val="000000"/>
          <w:sz w:val="22"/>
          <w:szCs w:val="22"/>
        </w:rPr>
        <w:t xml:space="preserve">Click here to find out more. </w:t>
      </w:r>
      <w:hyperlink r:id="rId128" w:history="1">
        <w:r w:rsidR="00561643" w:rsidRPr="00D23A7F">
          <w:rPr>
            <w:rStyle w:val="Hyperlink"/>
            <w:rFonts w:ascii="Arial" w:hAnsi="Arial" w:cs="Arial"/>
            <w:sz w:val="22"/>
            <w:szCs w:val="22"/>
          </w:rPr>
          <w:t>https://www.iesohealth.com/en-gb/data-science</w:t>
        </w:r>
      </w:hyperlink>
    </w:p>
    <w:p w14:paraId="2351CD8B" w14:textId="14C58FAC" w:rsidR="00B664D2" w:rsidRPr="00417879" w:rsidRDefault="00B664D2" w:rsidP="00030708">
      <w:pPr>
        <w:pStyle w:val="ListParagraph"/>
        <w:numPr>
          <w:ilvl w:val="0"/>
          <w:numId w:val="30"/>
        </w:numPr>
        <w:spacing w:before="100" w:beforeAutospacing="1" w:after="120" w:afterAutospacing="1"/>
        <w:contextualSpacing w:val="0"/>
        <w:jc w:val="both"/>
        <w:rPr>
          <w:rFonts w:ascii="Arial" w:hAnsi="Arial" w:cs="Arial"/>
          <w:sz w:val="22"/>
        </w:rPr>
      </w:pPr>
      <w:r w:rsidRPr="00417879">
        <w:rPr>
          <w:rFonts w:ascii="Arial" w:hAnsi="Arial" w:cs="Arial"/>
          <w:color w:val="000000"/>
          <w:sz w:val="22"/>
          <w:shd w:val="clear" w:color="auto" w:fill="FFFFFF"/>
        </w:rPr>
        <w:t>W</w:t>
      </w:r>
      <w:r w:rsidRPr="00417879">
        <w:rPr>
          <w:rFonts w:ascii="Arial" w:hAnsi="Arial" w:cs="Arial"/>
          <w:sz w:val="22"/>
        </w:rPr>
        <w:t xml:space="preserve">e have processes in place to safeguard your privacy. </w:t>
      </w:r>
      <w:r w:rsidRPr="00417879">
        <w:rPr>
          <w:rFonts w:ascii="Arial" w:hAnsi="Arial" w:cs="Arial"/>
        </w:rPr>
        <w:t>This means that the most identifiable information, such as your name or address, is kept separate from the data we use for research.</w:t>
      </w:r>
    </w:p>
    <w:p w14:paraId="14470638" w14:textId="77777777" w:rsidR="00B664D2" w:rsidRPr="00AE33A9" w:rsidRDefault="00B664D2" w:rsidP="00B664D2">
      <w:pPr>
        <w:spacing w:after="120"/>
        <w:jc w:val="both"/>
        <w:rPr>
          <w:rFonts w:ascii="Arial" w:hAnsi="Arial" w:cs="Arial"/>
          <w:sz w:val="22"/>
        </w:rPr>
      </w:pPr>
    </w:p>
    <w:p w14:paraId="03C65914" w14:textId="77777777" w:rsidR="00B664D2" w:rsidRPr="00AE33A9" w:rsidRDefault="00B664D2" w:rsidP="00B664D2">
      <w:pPr>
        <w:spacing w:after="120"/>
        <w:jc w:val="both"/>
        <w:rPr>
          <w:rFonts w:ascii="Arial" w:hAnsi="Arial" w:cs="Arial"/>
          <w:b/>
          <w:bCs/>
          <w:sz w:val="22"/>
        </w:rPr>
      </w:pPr>
      <w:r w:rsidRPr="00AE33A9">
        <w:rPr>
          <w:rFonts w:ascii="Arial" w:hAnsi="Arial" w:cs="Arial"/>
          <w:b/>
          <w:bCs/>
          <w:sz w:val="22"/>
        </w:rPr>
        <w:t xml:space="preserve">How does Ieso use my communications with a therapist? </w:t>
      </w:r>
    </w:p>
    <w:p w14:paraId="6B5419B9" w14:textId="77777777" w:rsidR="00B664D2" w:rsidRPr="00AE33A9" w:rsidRDefault="00B664D2" w:rsidP="00B664D2">
      <w:pPr>
        <w:spacing w:after="120"/>
        <w:jc w:val="both"/>
        <w:rPr>
          <w:rFonts w:ascii="Arial" w:hAnsi="Arial" w:cs="Arial"/>
          <w:sz w:val="22"/>
        </w:rPr>
      </w:pPr>
      <w:r w:rsidRPr="00AE33A9">
        <w:rPr>
          <w:rFonts w:ascii="Arial" w:hAnsi="Arial" w:cs="Arial"/>
          <w:sz w:val="22"/>
        </w:rPr>
        <w:t xml:space="preserve">Being able to look at and analyse conversations between patients and therapists provides us with a unique opportunity to learn how therapy works and improve it. </w:t>
      </w:r>
    </w:p>
    <w:p w14:paraId="146BB6A9" w14:textId="77777777" w:rsidR="00B664D2" w:rsidRPr="00AE33A9" w:rsidRDefault="00B664D2" w:rsidP="00B664D2">
      <w:pPr>
        <w:spacing w:after="120"/>
        <w:jc w:val="both"/>
        <w:rPr>
          <w:rFonts w:ascii="Arial" w:hAnsi="Arial" w:cs="Arial"/>
          <w:sz w:val="22"/>
        </w:rPr>
      </w:pPr>
      <w:r w:rsidRPr="00AE33A9">
        <w:rPr>
          <w:rFonts w:ascii="Arial" w:hAnsi="Arial" w:cs="Arial"/>
          <w:sz w:val="22"/>
        </w:rPr>
        <w:t>We have treated over 30,000 patients and we use the data from this for research. We are training computer algorithms to find patterns in the therapy process – so we can see what aspects of therapy are most effective. An example of our research using this approach can be seen here [</w:t>
      </w:r>
      <w:r w:rsidRPr="00AE33A9">
        <w:rPr>
          <w:rFonts w:ascii="Arial" w:hAnsi="Arial" w:cs="Arial"/>
          <w:b/>
          <w:bCs/>
          <w:sz w:val="22"/>
        </w:rPr>
        <w:t>link to Ewbank et al., 2019</w:t>
      </w:r>
      <w:r w:rsidRPr="00AE33A9">
        <w:rPr>
          <w:rFonts w:ascii="Arial" w:hAnsi="Arial" w:cs="Arial"/>
          <w:sz w:val="22"/>
        </w:rPr>
        <w:t xml:space="preserve">]. </w:t>
      </w:r>
    </w:p>
    <w:p w14:paraId="034B2CF7" w14:textId="77777777" w:rsidR="00B664D2" w:rsidRPr="00AE33A9" w:rsidRDefault="00B664D2" w:rsidP="00B664D2">
      <w:pPr>
        <w:spacing w:after="120"/>
        <w:jc w:val="both"/>
        <w:rPr>
          <w:rFonts w:ascii="Arial" w:hAnsi="Arial" w:cs="Arial"/>
          <w:sz w:val="22"/>
        </w:rPr>
      </w:pPr>
    </w:p>
    <w:p w14:paraId="7608C2B7" w14:textId="77777777" w:rsidR="00B664D2" w:rsidRPr="00AE33A9" w:rsidRDefault="00B664D2" w:rsidP="00B664D2">
      <w:pPr>
        <w:spacing w:after="120"/>
        <w:jc w:val="both"/>
        <w:rPr>
          <w:rFonts w:ascii="Arial" w:hAnsi="Arial" w:cs="Arial"/>
          <w:b/>
          <w:bCs/>
          <w:sz w:val="22"/>
        </w:rPr>
      </w:pPr>
      <w:r w:rsidRPr="00AE33A9">
        <w:rPr>
          <w:rFonts w:ascii="Arial" w:hAnsi="Arial" w:cs="Arial"/>
          <w:b/>
          <w:bCs/>
          <w:sz w:val="22"/>
        </w:rPr>
        <w:t xml:space="preserve">Will a researcher read any of my conversations with my therapist? </w:t>
      </w:r>
    </w:p>
    <w:p w14:paraId="4922CF28" w14:textId="77777777" w:rsidR="00B664D2" w:rsidRPr="00AE33A9" w:rsidRDefault="00B664D2" w:rsidP="00B664D2">
      <w:pPr>
        <w:spacing w:after="120"/>
        <w:jc w:val="both"/>
        <w:rPr>
          <w:rFonts w:ascii="Arial" w:hAnsi="Arial" w:cs="Arial"/>
          <w:sz w:val="22"/>
        </w:rPr>
      </w:pPr>
      <w:r w:rsidRPr="00AE33A9">
        <w:rPr>
          <w:rFonts w:ascii="Arial" w:hAnsi="Arial" w:cs="Arial"/>
          <w:sz w:val="22"/>
        </w:rPr>
        <w:t xml:space="preserve">They might do, but very rarely. However, every conversation has directly identifiable information removed from it. This means the researcher reading it would never know your name or see any names or specific locations that you or your therapist mentions. The information that links directly to you is removed (see below).  </w:t>
      </w:r>
    </w:p>
    <w:p w14:paraId="577218DB" w14:textId="77777777" w:rsidR="00B664D2" w:rsidRPr="00AE33A9" w:rsidRDefault="00B664D2" w:rsidP="00B664D2">
      <w:pPr>
        <w:rPr>
          <w:rFonts w:ascii="Arial" w:eastAsia="Times New Roman" w:hAnsi="Arial" w:cs="Arial"/>
          <w:color w:val="000000"/>
          <w:sz w:val="22"/>
          <w:lang w:eastAsia="en-GB"/>
        </w:rPr>
      </w:pPr>
      <w:r w:rsidRPr="00AE33A9">
        <w:rPr>
          <w:rFonts w:ascii="Arial" w:eastAsia="Times New Roman" w:hAnsi="Arial" w:cs="Arial"/>
          <w:color w:val="000000"/>
          <w:sz w:val="22"/>
          <w:lang w:eastAsia="en-GB"/>
        </w:rPr>
        <w:t> </w:t>
      </w:r>
    </w:p>
    <w:p w14:paraId="4F3075E8" w14:textId="77777777" w:rsidR="00B664D2" w:rsidRPr="00AE33A9" w:rsidRDefault="00B664D2" w:rsidP="00B664D2">
      <w:pPr>
        <w:spacing w:after="120"/>
        <w:jc w:val="both"/>
        <w:rPr>
          <w:rFonts w:ascii="Arial" w:hAnsi="Arial" w:cs="Arial"/>
          <w:sz w:val="22"/>
        </w:rPr>
      </w:pPr>
    </w:p>
    <w:p w14:paraId="112811C9" w14:textId="77777777" w:rsidR="00B664D2" w:rsidRPr="00AE33A9" w:rsidRDefault="00B664D2" w:rsidP="00B664D2">
      <w:pPr>
        <w:spacing w:after="120"/>
        <w:jc w:val="center"/>
        <w:rPr>
          <w:rFonts w:ascii="Arial" w:hAnsi="Arial" w:cs="Arial"/>
          <w:sz w:val="22"/>
        </w:rPr>
      </w:pPr>
      <w:r w:rsidRPr="00AE33A9">
        <w:rPr>
          <w:rFonts w:ascii="Arial" w:hAnsi="Arial" w:cs="Arial"/>
          <w:noProof/>
          <w:sz w:val="22"/>
        </w:rPr>
        <w:lastRenderedPageBreak/>
        <w:drawing>
          <wp:inline distT="0" distB="0" distL="0" distR="0" wp14:anchorId="5FB3E2CE" wp14:editId="3F81F0A2">
            <wp:extent cx="3923646" cy="1994307"/>
            <wp:effectExtent l="0" t="0" r="1270" b="6350"/>
            <wp:docPr id="115" name="Picture 115" descr="P485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descr="P4856#yIS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971216" cy="2018486"/>
                    </a:xfrm>
                    <a:prstGeom prst="rect">
                      <a:avLst/>
                    </a:prstGeom>
                    <a:noFill/>
                  </pic:spPr>
                </pic:pic>
              </a:graphicData>
            </a:graphic>
          </wp:inline>
        </w:drawing>
      </w:r>
    </w:p>
    <w:p w14:paraId="493F10F4" w14:textId="77777777" w:rsidR="00B664D2" w:rsidRPr="00AE33A9" w:rsidRDefault="00B664D2" w:rsidP="00B664D2">
      <w:pPr>
        <w:spacing w:after="120"/>
        <w:jc w:val="center"/>
        <w:rPr>
          <w:rFonts w:ascii="Arial" w:hAnsi="Arial" w:cs="Arial"/>
          <w:sz w:val="22"/>
        </w:rPr>
      </w:pPr>
    </w:p>
    <w:p w14:paraId="137A3EAE" w14:textId="77777777" w:rsidR="00B664D2" w:rsidRPr="00AE33A9" w:rsidRDefault="00B664D2" w:rsidP="00B664D2">
      <w:pPr>
        <w:spacing w:after="120"/>
        <w:jc w:val="both"/>
        <w:rPr>
          <w:rFonts w:ascii="Arial" w:hAnsi="Arial" w:cs="Arial"/>
          <w:sz w:val="22"/>
        </w:rPr>
      </w:pPr>
      <w:r w:rsidRPr="00AE33A9">
        <w:rPr>
          <w:rFonts w:ascii="Arial" w:hAnsi="Arial" w:cs="Arial"/>
          <w:sz w:val="22"/>
        </w:rPr>
        <w:t xml:space="preserve">The reason why a research scientist might need to read through a therapy session, is that it is sometimes necessary for a small number of them to be manually “coded”. For example, we may need to tag a transcript to mark each time a therapist greets a patient, sets homework, or begins a specific therapy activity. </w:t>
      </w:r>
    </w:p>
    <w:p w14:paraId="53C34B1D" w14:textId="77777777" w:rsidR="00B664D2" w:rsidRPr="00AE33A9" w:rsidRDefault="00B664D2" w:rsidP="00B664D2">
      <w:pPr>
        <w:spacing w:after="120"/>
        <w:jc w:val="both"/>
        <w:rPr>
          <w:rFonts w:ascii="Arial" w:hAnsi="Arial" w:cs="Arial"/>
          <w:sz w:val="22"/>
        </w:rPr>
      </w:pPr>
    </w:p>
    <w:p w14:paraId="06257054" w14:textId="77777777" w:rsidR="00B664D2" w:rsidRPr="00AE33A9" w:rsidRDefault="00B664D2" w:rsidP="00B664D2">
      <w:pPr>
        <w:keepNext/>
        <w:spacing w:after="120"/>
        <w:jc w:val="both"/>
        <w:rPr>
          <w:rFonts w:ascii="Arial" w:hAnsi="Arial" w:cs="Arial"/>
          <w:b/>
          <w:bCs/>
          <w:sz w:val="22"/>
        </w:rPr>
      </w:pPr>
      <w:r w:rsidRPr="00AE33A9">
        <w:rPr>
          <w:rFonts w:ascii="Arial" w:hAnsi="Arial" w:cs="Arial"/>
          <w:b/>
          <w:bCs/>
          <w:sz w:val="22"/>
        </w:rPr>
        <w:t>Will my data be shared outside Ieso in a research context?</w:t>
      </w:r>
    </w:p>
    <w:p w14:paraId="6553035B" w14:textId="77777777" w:rsidR="00B664D2" w:rsidRPr="00AE33A9" w:rsidRDefault="00B664D2" w:rsidP="00B664D2">
      <w:pPr>
        <w:rPr>
          <w:rFonts w:ascii="Arial" w:eastAsia="Times New Roman" w:hAnsi="Arial" w:cs="Arial"/>
          <w:color w:val="000000" w:themeColor="text1"/>
          <w:sz w:val="22"/>
          <w:lang w:eastAsia="en-GB"/>
        </w:rPr>
      </w:pPr>
      <w:r w:rsidRPr="00AE33A9">
        <w:rPr>
          <w:rFonts w:ascii="Arial" w:hAnsi="Arial" w:cs="Arial"/>
          <w:sz w:val="22"/>
        </w:rPr>
        <w:t xml:space="preserve">Sometimes, but </w:t>
      </w:r>
      <w:r w:rsidRPr="00AE33A9">
        <w:rPr>
          <w:rFonts w:ascii="Arial" w:hAnsi="Arial" w:cs="Arial"/>
          <w:color w:val="000000" w:themeColor="text1"/>
          <w:sz w:val="22"/>
        </w:rPr>
        <w:t xml:space="preserve">with strict safeguards and </w:t>
      </w:r>
      <w:r w:rsidRPr="00AE33A9">
        <w:rPr>
          <w:rFonts w:ascii="Arial" w:eastAsia="Times New Roman" w:hAnsi="Arial" w:cs="Arial"/>
          <w:color w:val="000000" w:themeColor="text1"/>
          <w:sz w:val="22"/>
          <w:lang w:eastAsia="en-GB"/>
        </w:rPr>
        <w:t>we do not share conversations between a patient and therapist.</w:t>
      </w:r>
    </w:p>
    <w:p w14:paraId="3CB4A6C8" w14:textId="77777777" w:rsidR="00B664D2" w:rsidRPr="00AE33A9" w:rsidRDefault="00B664D2" w:rsidP="00B664D2">
      <w:pPr>
        <w:spacing w:after="120"/>
        <w:jc w:val="both"/>
        <w:rPr>
          <w:rFonts w:ascii="Arial" w:hAnsi="Arial" w:cs="Arial"/>
          <w:sz w:val="22"/>
        </w:rPr>
      </w:pPr>
      <w:r w:rsidRPr="00AE33A9">
        <w:rPr>
          <w:rFonts w:ascii="Arial" w:hAnsi="Arial" w:cs="Arial"/>
          <w:color w:val="000000" w:themeColor="text1"/>
          <w:sz w:val="22"/>
        </w:rPr>
        <w:t>In order to conduct research to improve treatment, we sometimes partner with researchers outside of Ieso</w:t>
      </w:r>
      <w:r w:rsidRPr="00AE33A9">
        <w:rPr>
          <w:rFonts w:ascii="Arial" w:hAnsi="Arial" w:cs="Arial"/>
          <w:sz w:val="22"/>
        </w:rPr>
        <w:t xml:space="preserve">, e.g. university research groups. </w:t>
      </w:r>
    </w:p>
    <w:p w14:paraId="796F0FA2" w14:textId="77777777" w:rsidR="00B664D2" w:rsidRPr="00AE33A9" w:rsidRDefault="00B664D2" w:rsidP="00B664D2">
      <w:pPr>
        <w:spacing w:after="120"/>
        <w:jc w:val="both"/>
        <w:rPr>
          <w:rFonts w:ascii="Arial" w:hAnsi="Arial" w:cs="Arial"/>
          <w:sz w:val="22"/>
        </w:rPr>
      </w:pPr>
      <w:r w:rsidRPr="00AE33A9">
        <w:rPr>
          <w:rFonts w:ascii="Arial" w:hAnsi="Arial" w:cs="Arial"/>
          <w:sz w:val="22"/>
        </w:rPr>
        <w:t>When this happens, we remove directly identifiable information (including any names and locations) from the data we share with them, so they will be unable to identify anyone personally.</w:t>
      </w:r>
    </w:p>
    <w:p w14:paraId="34B7B6E8" w14:textId="77777777" w:rsidR="00B664D2" w:rsidRPr="00AE33A9" w:rsidRDefault="00B664D2" w:rsidP="00B664D2">
      <w:pPr>
        <w:spacing w:after="120"/>
        <w:jc w:val="both"/>
        <w:rPr>
          <w:rFonts w:ascii="Arial" w:hAnsi="Arial" w:cs="Arial"/>
          <w:sz w:val="22"/>
        </w:rPr>
      </w:pPr>
      <w:r w:rsidRPr="00AE33A9">
        <w:rPr>
          <w:rFonts w:ascii="Arial" w:hAnsi="Arial" w:cs="Arial"/>
          <w:sz w:val="22"/>
        </w:rPr>
        <w:t xml:space="preserve">All partners also sign a legal agreement that any data they receive is kept confidential and secure.  </w:t>
      </w:r>
    </w:p>
    <w:p w14:paraId="06F0C245" w14:textId="77777777" w:rsidR="00B664D2" w:rsidRPr="00AE33A9" w:rsidRDefault="00B664D2" w:rsidP="00B664D2">
      <w:pPr>
        <w:spacing w:after="120"/>
        <w:jc w:val="both"/>
        <w:rPr>
          <w:rFonts w:ascii="Arial" w:hAnsi="Arial" w:cs="Arial"/>
          <w:sz w:val="22"/>
        </w:rPr>
      </w:pPr>
    </w:p>
    <w:p w14:paraId="5D597854" w14:textId="77777777" w:rsidR="00B664D2" w:rsidRPr="00AE33A9" w:rsidRDefault="00B664D2" w:rsidP="00B664D2">
      <w:pPr>
        <w:keepNext/>
        <w:spacing w:after="120"/>
        <w:jc w:val="both"/>
        <w:rPr>
          <w:rFonts w:ascii="Arial" w:hAnsi="Arial" w:cs="Arial"/>
          <w:b/>
          <w:bCs/>
          <w:sz w:val="22"/>
        </w:rPr>
      </w:pPr>
      <w:r w:rsidRPr="00AE33A9">
        <w:rPr>
          <w:rFonts w:ascii="Arial" w:hAnsi="Arial" w:cs="Arial"/>
          <w:b/>
          <w:bCs/>
          <w:sz w:val="22"/>
        </w:rPr>
        <w:t>Will my data be made public?</w:t>
      </w:r>
    </w:p>
    <w:p w14:paraId="4C6A0F3F" w14:textId="77777777" w:rsidR="00B664D2" w:rsidRPr="00AE33A9" w:rsidRDefault="00B664D2" w:rsidP="00B664D2">
      <w:pPr>
        <w:spacing w:after="120"/>
        <w:jc w:val="both"/>
        <w:rPr>
          <w:rFonts w:ascii="Arial" w:hAnsi="Arial" w:cs="Arial"/>
          <w:sz w:val="22"/>
        </w:rPr>
      </w:pPr>
      <w:r w:rsidRPr="00AE33A9">
        <w:rPr>
          <w:rFonts w:ascii="Arial" w:hAnsi="Arial" w:cs="Arial"/>
          <w:sz w:val="22"/>
        </w:rPr>
        <w:t xml:space="preserve">Never in a way that could identify you. </w:t>
      </w:r>
    </w:p>
    <w:p w14:paraId="1BD7D0D6" w14:textId="77777777" w:rsidR="00B664D2" w:rsidRPr="00AE33A9" w:rsidRDefault="00B664D2" w:rsidP="00B664D2">
      <w:pPr>
        <w:spacing w:after="120"/>
        <w:jc w:val="both"/>
        <w:rPr>
          <w:rFonts w:ascii="Arial" w:hAnsi="Arial" w:cs="Arial"/>
          <w:sz w:val="22"/>
        </w:rPr>
      </w:pPr>
      <w:r w:rsidRPr="00AE33A9">
        <w:rPr>
          <w:rFonts w:ascii="Arial" w:hAnsi="Arial" w:cs="Arial"/>
          <w:sz w:val="22"/>
        </w:rPr>
        <w:t xml:space="preserve">In order to increase the number of people who recover with online CBT, it is important to share our findings with the research community. We publish our findings in peer reviewed journals and present them at academic conferences. </w:t>
      </w:r>
    </w:p>
    <w:p w14:paraId="41735944" w14:textId="77777777" w:rsidR="00B664D2" w:rsidRPr="00AE33A9" w:rsidRDefault="00B664D2" w:rsidP="00B664D2">
      <w:pPr>
        <w:spacing w:after="120"/>
        <w:jc w:val="both"/>
        <w:rPr>
          <w:rFonts w:ascii="Arial" w:hAnsi="Arial" w:cs="Arial"/>
          <w:sz w:val="22"/>
        </w:rPr>
      </w:pPr>
      <w:r w:rsidRPr="00AE33A9">
        <w:rPr>
          <w:rFonts w:ascii="Arial" w:hAnsi="Arial" w:cs="Arial"/>
          <w:sz w:val="22"/>
        </w:rPr>
        <w:t>However, we only report statistics, patterns and our conclusions – we don’t include details about individuals’ treatment or condition. You can see a list of all our published research here</w:t>
      </w:r>
      <w:r w:rsidRPr="00AE33A9">
        <w:rPr>
          <w:rFonts w:ascii="Arial" w:hAnsi="Arial" w:cs="Arial"/>
          <w:b/>
          <w:bCs/>
          <w:sz w:val="22"/>
        </w:rPr>
        <w:t xml:space="preserve"> [link to data science page].</w:t>
      </w:r>
    </w:p>
    <w:p w14:paraId="01345009" w14:textId="77777777" w:rsidR="00B664D2" w:rsidRPr="00AE33A9" w:rsidRDefault="00B664D2" w:rsidP="00B664D2">
      <w:pPr>
        <w:spacing w:after="120"/>
        <w:jc w:val="both"/>
        <w:rPr>
          <w:rFonts w:ascii="Arial" w:hAnsi="Arial" w:cs="Arial"/>
          <w:sz w:val="22"/>
        </w:rPr>
      </w:pPr>
    </w:p>
    <w:p w14:paraId="4EEF23F0" w14:textId="77777777" w:rsidR="00B664D2" w:rsidRPr="00AE33A9" w:rsidRDefault="00B664D2" w:rsidP="00B664D2">
      <w:pPr>
        <w:jc w:val="both"/>
        <w:rPr>
          <w:rFonts w:ascii="Arial" w:hAnsi="Arial" w:cs="Arial"/>
          <w:b/>
          <w:bCs/>
          <w:sz w:val="22"/>
        </w:rPr>
      </w:pPr>
      <w:r w:rsidRPr="00AE33A9">
        <w:rPr>
          <w:rFonts w:ascii="Arial" w:hAnsi="Arial" w:cs="Arial"/>
          <w:b/>
          <w:bCs/>
          <w:sz w:val="22"/>
        </w:rPr>
        <w:t xml:space="preserve">Still have questions? </w:t>
      </w:r>
    </w:p>
    <w:p w14:paraId="474290A5" w14:textId="77777777" w:rsidR="00B664D2" w:rsidRPr="00AE33A9" w:rsidRDefault="00B664D2" w:rsidP="00B664D2">
      <w:pPr>
        <w:rPr>
          <w:rFonts w:ascii="Arial" w:eastAsia="Times New Roman" w:hAnsi="Arial" w:cs="Arial"/>
          <w:color w:val="000000"/>
          <w:sz w:val="22"/>
          <w:lang w:eastAsia="en-GB"/>
        </w:rPr>
      </w:pPr>
      <w:r w:rsidRPr="00AE33A9">
        <w:rPr>
          <w:rFonts w:ascii="Arial" w:eastAsia="Times New Roman" w:hAnsi="Arial" w:cs="Arial"/>
          <w:color w:val="000000"/>
          <w:sz w:val="22"/>
          <w:lang w:eastAsia="en-GB"/>
        </w:rPr>
        <w:t xml:space="preserve">We're very happy to help if you have more questions. To get in touch please email us at </w:t>
      </w:r>
      <w:hyperlink r:id="rId130" w:history="1">
        <w:r w:rsidRPr="00AE33A9">
          <w:rPr>
            <w:rStyle w:val="Hyperlink"/>
            <w:rFonts w:ascii="Arial" w:hAnsi="Arial" w:cs="Arial"/>
            <w:sz w:val="22"/>
          </w:rPr>
          <w:t>info@iesohealth.com</w:t>
        </w:r>
      </w:hyperlink>
      <w:r w:rsidRPr="00AE33A9">
        <w:rPr>
          <w:rFonts w:ascii="Arial" w:hAnsi="Arial" w:cs="Arial"/>
          <w:sz w:val="22"/>
        </w:rPr>
        <w:t>.</w:t>
      </w:r>
    </w:p>
    <w:p w14:paraId="47B3BD3D" w14:textId="77777777" w:rsidR="00B664D2" w:rsidRPr="00AE33A9" w:rsidRDefault="00B664D2" w:rsidP="007F596B">
      <w:pPr>
        <w:spacing w:line="480" w:lineRule="auto"/>
        <w:rPr>
          <w:rFonts w:ascii="Arial" w:hAnsi="Arial" w:cs="Arial"/>
          <w:sz w:val="22"/>
          <w:szCs w:val="22"/>
        </w:rPr>
      </w:pPr>
    </w:p>
    <w:p w14:paraId="6DC7C361" w14:textId="77777777" w:rsidR="007F596B" w:rsidRPr="00AE33A9" w:rsidRDefault="007F596B" w:rsidP="007F596B">
      <w:pPr>
        <w:spacing w:line="480" w:lineRule="auto"/>
        <w:rPr>
          <w:rFonts w:ascii="Arial" w:hAnsi="Arial" w:cs="Arial"/>
          <w:sz w:val="22"/>
          <w:szCs w:val="22"/>
        </w:rPr>
      </w:pPr>
    </w:p>
    <w:p w14:paraId="239F5F3E" w14:textId="77777777" w:rsidR="007F596B" w:rsidRDefault="007F596B" w:rsidP="007F596B">
      <w:pPr>
        <w:spacing w:line="480" w:lineRule="auto"/>
        <w:rPr>
          <w:rFonts w:ascii="Arial" w:hAnsi="Arial" w:cs="Arial"/>
          <w:sz w:val="22"/>
          <w:szCs w:val="22"/>
        </w:rPr>
      </w:pPr>
    </w:p>
    <w:p w14:paraId="3415A2DE" w14:textId="77777777" w:rsidR="007F596B" w:rsidRPr="00736E86" w:rsidRDefault="007F596B" w:rsidP="007F596B">
      <w:pPr>
        <w:spacing w:line="480" w:lineRule="auto"/>
        <w:rPr>
          <w:rFonts w:ascii="Arial" w:hAnsi="Arial" w:cs="Arial"/>
          <w:sz w:val="22"/>
          <w:szCs w:val="22"/>
        </w:rPr>
      </w:pPr>
    </w:p>
    <w:p w14:paraId="3446C490" w14:textId="7EBD9C1E" w:rsidR="007F596B" w:rsidRDefault="00BC072F" w:rsidP="00FC28CA">
      <w:pPr>
        <w:pStyle w:val="Appendices"/>
      </w:pPr>
      <w:bookmarkStart w:id="536" w:name="_Toc46770999"/>
      <w:r w:rsidRPr="00BC072F">
        <w:lastRenderedPageBreak/>
        <w:t xml:space="preserve">Appendix 6: </w:t>
      </w:r>
      <w:r w:rsidRPr="00FC28CA">
        <w:rPr>
          <w:b w:val="0"/>
        </w:rPr>
        <w:t>The CTS-R</w:t>
      </w:r>
      <w:bookmarkEnd w:id="536"/>
    </w:p>
    <w:p w14:paraId="1E4F6841" w14:textId="77777777" w:rsidR="00DE03D4" w:rsidRPr="00DE03D4" w:rsidRDefault="00DE03D4" w:rsidP="00DE03D4"/>
    <w:p w14:paraId="675F59C1" w14:textId="1359E467" w:rsidR="00DE03D4" w:rsidRDefault="001B4949" w:rsidP="00DE03D4">
      <w:r>
        <w:rPr>
          <w:noProof/>
        </w:rPr>
        <w:drawing>
          <wp:inline distT="0" distB="0" distL="0" distR="0" wp14:anchorId="7B543FD9" wp14:editId="3CA0920D">
            <wp:extent cx="5727700" cy="8044815"/>
            <wp:effectExtent l="0" t="0" r="6350" b="0"/>
            <wp:docPr id="103" name="Picture 103" descr="P487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P4879#yIS1"/>
                    <pic:cNvPicPr/>
                  </pic:nvPicPr>
                  <pic:blipFill>
                    <a:blip r:embed="rId131"/>
                    <a:stretch>
                      <a:fillRect/>
                    </a:stretch>
                  </pic:blipFill>
                  <pic:spPr>
                    <a:xfrm>
                      <a:off x="0" y="0"/>
                      <a:ext cx="5727700" cy="8044815"/>
                    </a:xfrm>
                    <a:prstGeom prst="rect">
                      <a:avLst/>
                    </a:prstGeom>
                  </pic:spPr>
                </pic:pic>
              </a:graphicData>
            </a:graphic>
          </wp:inline>
        </w:drawing>
      </w:r>
    </w:p>
    <w:p w14:paraId="7A9BEFFF" w14:textId="17C1367E" w:rsidR="001B4949" w:rsidRDefault="0091432A" w:rsidP="00DE03D4">
      <w:pPr>
        <w:rPr>
          <w:noProof/>
        </w:rPr>
      </w:pPr>
      <w:r>
        <w:rPr>
          <w:noProof/>
        </w:rPr>
        <w:lastRenderedPageBreak/>
        <w:drawing>
          <wp:inline distT="0" distB="0" distL="0" distR="0" wp14:anchorId="4CC77279" wp14:editId="770FD476">
            <wp:extent cx="5727700" cy="8139430"/>
            <wp:effectExtent l="0" t="0" r="6350" b="0"/>
            <wp:docPr id="104" name="Picture 104" descr="P4880#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P4880#yIS1">
                      <a:extLst>
                        <a:ext uri="{C183D7F6-B498-43B3-948B-1728B52AA6E4}">
                          <adec:decorative xmlns:adec="http://schemas.microsoft.com/office/drawing/2017/decorative" val="1"/>
                        </a:ext>
                      </a:extLst>
                    </pic:cNvPr>
                    <pic:cNvPicPr/>
                  </pic:nvPicPr>
                  <pic:blipFill>
                    <a:blip r:embed="rId132"/>
                    <a:stretch>
                      <a:fillRect/>
                    </a:stretch>
                  </pic:blipFill>
                  <pic:spPr>
                    <a:xfrm>
                      <a:off x="0" y="0"/>
                      <a:ext cx="5727700" cy="8139430"/>
                    </a:xfrm>
                    <a:prstGeom prst="rect">
                      <a:avLst/>
                    </a:prstGeom>
                  </pic:spPr>
                </pic:pic>
              </a:graphicData>
            </a:graphic>
          </wp:inline>
        </w:drawing>
      </w:r>
      <w:r w:rsidRPr="0091432A">
        <w:rPr>
          <w:noProof/>
        </w:rPr>
        <w:t xml:space="preserve"> </w:t>
      </w:r>
      <w:r>
        <w:rPr>
          <w:noProof/>
        </w:rPr>
        <w:lastRenderedPageBreak/>
        <w:drawing>
          <wp:inline distT="0" distB="0" distL="0" distR="0" wp14:anchorId="3DB3B0C6" wp14:editId="3556A79B">
            <wp:extent cx="5727700" cy="8129905"/>
            <wp:effectExtent l="0" t="0" r="6350" b="4445"/>
            <wp:docPr id="105" name="Picture 105" descr="P4880#yIS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descr="P4880#yIS2">
                      <a:extLst>
                        <a:ext uri="{C183D7F6-B498-43B3-948B-1728B52AA6E4}">
                          <adec:decorative xmlns:adec="http://schemas.microsoft.com/office/drawing/2017/decorative" val="1"/>
                        </a:ext>
                      </a:extLst>
                    </pic:cNvPr>
                    <pic:cNvPicPr/>
                  </pic:nvPicPr>
                  <pic:blipFill>
                    <a:blip r:embed="rId133"/>
                    <a:stretch>
                      <a:fillRect/>
                    </a:stretch>
                  </pic:blipFill>
                  <pic:spPr>
                    <a:xfrm>
                      <a:off x="0" y="0"/>
                      <a:ext cx="5727700" cy="8129905"/>
                    </a:xfrm>
                    <a:prstGeom prst="rect">
                      <a:avLst/>
                    </a:prstGeom>
                  </pic:spPr>
                </pic:pic>
              </a:graphicData>
            </a:graphic>
          </wp:inline>
        </w:drawing>
      </w:r>
    </w:p>
    <w:p w14:paraId="6A544BF9" w14:textId="2368EF78" w:rsidR="0091432A" w:rsidRDefault="0091432A" w:rsidP="00DE03D4">
      <w:r>
        <w:rPr>
          <w:noProof/>
        </w:rPr>
        <w:lastRenderedPageBreak/>
        <w:drawing>
          <wp:inline distT="0" distB="0" distL="0" distR="0" wp14:anchorId="1C02CC1E" wp14:editId="5868BF25">
            <wp:extent cx="5727700" cy="8156575"/>
            <wp:effectExtent l="0" t="0" r="6350" b="0"/>
            <wp:docPr id="106" name="Picture 106" descr="P4881#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P4881#yIS1">
                      <a:extLst>
                        <a:ext uri="{C183D7F6-B498-43B3-948B-1728B52AA6E4}">
                          <adec:decorative xmlns:adec="http://schemas.microsoft.com/office/drawing/2017/decorative" val="1"/>
                        </a:ext>
                      </a:extLst>
                    </pic:cNvPr>
                    <pic:cNvPicPr/>
                  </pic:nvPicPr>
                  <pic:blipFill>
                    <a:blip r:embed="rId134"/>
                    <a:stretch>
                      <a:fillRect/>
                    </a:stretch>
                  </pic:blipFill>
                  <pic:spPr>
                    <a:xfrm>
                      <a:off x="0" y="0"/>
                      <a:ext cx="5727700" cy="8156575"/>
                    </a:xfrm>
                    <a:prstGeom prst="rect">
                      <a:avLst/>
                    </a:prstGeom>
                  </pic:spPr>
                </pic:pic>
              </a:graphicData>
            </a:graphic>
          </wp:inline>
        </w:drawing>
      </w:r>
    </w:p>
    <w:p w14:paraId="0BB78E5C" w14:textId="64E32813" w:rsidR="0091432A" w:rsidRDefault="0091432A" w:rsidP="00DE03D4">
      <w:r>
        <w:rPr>
          <w:noProof/>
        </w:rPr>
        <w:lastRenderedPageBreak/>
        <w:drawing>
          <wp:inline distT="0" distB="0" distL="0" distR="0" wp14:anchorId="329272DB" wp14:editId="4579E67A">
            <wp:extent cx="5629275" cy="8068310"/>
            <wp:effectExtent l="0" t="0" r="9525" b="8890"/>
            <wp:docPr id="107" name="Picture 107" descr="P4882#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P4882#yIS1">
                      <a:extLst>
                        <a:ext uri="{C183D7F6-B498-43B3-948B-1728B52AA6E4}">
                          <adec:decorative xmlns:adec="http://schemas.microsoft.com/office/drawing/2017/decorative" val="1"/>
                        </a:ext>
                      </a:extLst>
                    </pic:cNvPr>
                    <pic:cNvPicPr/>
                  </pic:nvPicPr>
                  <pic:blipFill rotWithShape="1">
                    <a:blip r:embed="rId135"/>
                    <a:srcRect r="1718"/>
                    <a:stretch/>
                  </pic:blipFill>
                  <pic:spPr bwMode="auto">
                    <a:xfrm>
                      <a:off x="0" y="0"/>
                      <a:ext cx="5629275" cy="8068310"/>
                    </a:xfrm>
                    <a:prstGeom prst="rect">
                      <a:avLst/>
                    </a:prstGeom>
                    <a:ln>
                      <a:noFill/>
                    </a:ln>
                    <a:extLst>
                      <a:ext uri="{53640926-AAD7-44D8-BBD7-CCE9431645EC}">
                        <a14:shadowObscured xmlns:a14="http://schemas.microsoft.com/office/drawing/2010/main"/>
                      </a:ext>
                    </a:extLst>
                  </pic:spPr>
                </pic:pic>
              </a:graphicData>
            </a:graphic>
          </wp:inline>
        </w:drawing>
      </w:r>
    </w:p>
    <w:p w14:paraId="79854A8C" w14:textId="740B0598" w:rsidR="0091432A" w:rsidRDefault="0091432A" w:rsidP="00DE03D4">
      <w:r>
        <w:rPr>
          <w:noProof/>
        </w:rPr>
        <w:lastRenderedPageBreak/>
        <w:drawing>
          <wp:inline distT="0" distB="0" distL="0" distR="0" wp14:anchorId="465E5DFF" wp14:editId="708BAFB5">
            <wp:extent cx="5727700" cy="8144510"/>
            <wp:effectExtent l="0" t="0" r="6350" b="8890"/>
            <wp:docPr id="108" name="Picture 108" descr="P4883#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P4883#yIS1">
                      <a:extLst>
                        <a:ext uri="{C183D7F6-B498-43B3-948B-1728B52AA6E4}">
                          <adec:decorative xmlns:adec="http://schemas.microsoft.com/office/drawing/2017/decorative" val="1"/>
                        </a:ext>
                      </a:extLst>
                    </pic:cNvPr>
                    <pic:cNvPicPr/>
                  </pic:nvPicPr>
                  <pic:blipFill>
                    <a:blip r:embed="rId136"/>
                    <a:stretch>
                      <a:fillRect/>
                    </a:stretch>
                  </pic:blipFill>
                  <pic:spPr>
                    <a:xfrm>
                      <a:off x="0" y="0"/>
                      <a:ext cx="5727700" cy="8144510"/>
                    </a:xfrm>
                    <a:prstGeom prst="rect">
                      <a:avLst/>
                    </a:prstGeom>
                  </pic:spPr>
                </pic:pic>
              </a:graphicData>
            </a:graphic>
          </wp:inline>
        </w:drawing>
      </w:r>
    </w:p>
    <w:p w14:paraId="65E28457" w14:textId="0D06ECAE" w:rsidR="0091432A" w:rsidRDefault="0091432A" w:rsidP="00DE03D4">
      <w:r>
        <w:rPr>
          <w:noProof/>
        </w:rPr>
        <w:lastRenderedPageBreak/>
        <w:drawing>
          <wp:inline distT="0" distB="0" distL="0" distR="0" wp14:anchorId="16489A2D" wp14:editId="39E0A758">
            <wp:extent cx="5727700" cy="8157210"/>
            <wp:effectExtent l="0" t="0" r="6350" b="0"/>
            <wp:docPr id="109" name="Picture 109" descr="P4884#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descr="P4884#yIS1">
                      <a:extLst>
                        <a:ext uri="{C183D7F6-B498-43B3-948B-1728B52AA6E4}">
                          <adec:decorative xmlns:adec="http://schemas.microsoft.com/office/drawing/2017/decorative" val="1"/>
                        </a:ext>
                      </a:extLst>
                    </pic:cNvPr>
                    <pic:cNvPicPr/>
                  </pic:nvPicPr>
                  <pic:blipFill>
                    <a:blip r:embed="rId137"/>
                    <a:stretch>
                      <a:fillRect/>
                    </a:stretch>
                  </pic:blipFill>
                  <pic:spPr>
                    <a:xfrm>
                      <a:off x="0" y="0"/>
                      <a:ext cx="5727700" cy="8157210"/>
                    </a:xfrm>
                    <a:prstGeom prst="rect">
                      <a:avLst/>
                    </a:prstGeom>
                  </pic:spPr>
                </pic:pic>
              </a:graphicData>
            </a:graphic>
          </wp:inline>
        </w:drawing>
      </w:r>
    </w:p>
    <w:p w14:paraId="5DB27E6A" w14:textId="0DBFC619" w:rsidR="0091432A" w:rsidRDefault="0091432A" w:rsidP="00DE03D4">
      <w:r>
        <w:rPr>
          <w:noProof/>
        </w:rPr>
        <w:lastRenderedPageBreak/>
        <w:drawing>
          <wp:inline distT="0" distB="0" distL="0" distR="0" wp14:anchorId="33BD74E9" wp14:editId="7A80A6B8">
            <wp:extent cx="5727700" cy="8283575"/>
            <wp:effectExtent l="0" t="0" r="6350" b="3175"/>
            <wp:docPr id="110" name="Picture 110" descr="P4885#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P4885#yIS1">
                      <a:extLst>
                        <a:ext uri="{C183D7F6-B498-43B3-948B-1728B52AA6E4}">
                          <adec:decorative xmlns:adec="http://schemas.microsoft.com/office/drawing/2017/decorative" val="1"/>
                        </a:ext>
                      </a:extLst>
                    </pic:cNvPr>
                    <pic:cNvPicPr/>
                  </pic:nvPicPr>
                  <pic:blipFill>
                    <a:blip r:embed="rId138"/>
                    <a:stretch>
                      <a:fillRect/>
                    </a:stretch>
                  </pic:blipFill>
                  <pic:spPr>
                    <a:xfrm>
                      <a:off x="0" y="0"/>
                      <a:ext cx="5727700" cy="8283575"/>
                    </a:xfrm>
                    <a:prstGeom prst="rect">
                      <a:avLst/>
                    </a:prstGeom>
                  </pic:spPr>
                </pic:pic>
              </a:graphicData>
            </a:graphic>
          </wp:inline>
        </w:drawing>
      </w:r>
    </w:p>
    <w:p w14:paraId="111F7311" w14:textId="502982D9" w:rsidR="0091432A" w:rsidRDefault="0091432A" w:rsidP="00DE03D4">
      <w:r>
        <w:rPr>
          <w:noProof/>
        </w:rPr>
        <w:lastRenderedPageBreak/>
        <w:drawing>
          <wp:inline distT="0" distB="0" distL="0" distR="0" wp14:anchorId="16CC8CB7" wp14:editId="3488D32F">
            <wp:extent cx="5727700" cy="8183245"/>
            <wp:effectExtent l="0" t="0" r="6350" b="8255"/>
            <wp:docPr id="111" name="Picture 111" descr="P4886#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P4886#yIS1">
                      <a:extLst>
                        <a:ext uri="{C183D7F6-B498-43B3-948B-1728B52AA6E4}">
                          <adec:decorative xmlns:adec="http://schemas.microsoft.com/office/drawing/2017/decorative" val="1"/>
                        </a:ext>
                      </a:extLst>
                    </pic:cNvPr>
                    <pic:cNvPicPr/>
                  </pic:nvPicPr>
                  <pic:blipFill>
                    <a:blip r:embed="rId139"/>
                    <a:stretch>
                      <a:fillRect/>
                    </a:stretch>
                  </pic:blipFill>
                  <pic:spPr>
                    <a:xfrm>
                      <a:off x="0" y="0"/>
                      <a:ext cx="5727700" cy="8183245"/>
                    </a:xfrm>
                    <a:prstGeom prst="rect">
                      <a:avLst/>
                    </a:prstGeom>
                  </pic:spPr>
                </pic:pic>
              </a:graphicData>
            </a:graphic>
          </wp:inline>
        </w:drawing>
      </w:r>
    </w:p>
    <w:p w14:paraId="638D8C9B" w14:textId="6B0859DB" w:rsidR="0091432A" w:rsidRDefault="0091432A" w:rsidP="00DE03D4">
      <w:r>
        <w:rPr>
          <w:noProof/>
        </w:rPr>
        <w:lastRenderedPageBreak/>
        <w:drawing>
          <wp:inline distT="0" distB="0" distL="0" distR="0" wp14:anchorId="52061669" wp14:editId="001A931C">
            <wp:extent cx="5727700" cy="8075930"/>
            <wp:effectExtent l="0" t="0" r="6350" b="1270"/>
            <wp:docPr id="117" name="Picture 117" descr="P4887#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descr="P4887#yIS1">
                      <a:extLst>
                        <a:ext uri="{C183D7F6-B498-43B3-948B-1728B52AA6E4}">
                          <adec:decorative xmlns:adec="http://schemas.microsoft.com/office/drawing/2017/decorative" val="1"/>
                        </a:ext>
                      </a:extLst>
                    </pic:cNvPr>
                    <pic:cNvPicPr/>
                  </pic:nvPicPr>
                  <pic:blipFill>
                    <a:blip r:embed="rId140"/>
                    <a:stretch>
                      <a:fillRect/>
                    </a:stretch>
                  </pic:blipFill>
                  <pic:spPr>
                    <a:xfrm>
                      <a:off x="0" y="0"/>
                      <a:ext cx="5727700" cy="8075930"/>
                    </a:xfrm>
                    <a:prstGeom prst="rect">
                      <a:avLst/>
                    </a:prstGeom>
                  </pic:spPr>
                </pic:pic>
              </a:graphicData>
            </a:graphic>
          </wp:inline>
        </w:drawing>
      </w:r>
    </w:p>
    <w:p w14:paraId="3A6C1B5F" w14:textId="0A83C00C" w:rsidR="0091432A" w:rsidRDefault="0091432A" w:rsidP="00DE03D4">
      <w:r>
        <w:rPr>
          <w:noProof/>
        </w:rPr>
        <w:lastRenderedPageBreak/>
        <w:drawing>
          <wp:inline distT="0" distB="0" distL="0" distR="0" wp14:anchorId="5C574A6E" wp14:editId="168A5544">
            <wp:extent cx="5727700" cy="8133080"/>
            <wp:effectExtent l="0" t="0" r="6350" b="1270"/>
            <wp:docPr id="118" name="Picture 118" descr="P4888#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descr="P4888#yIS1">
                      <a:extLst>
                        <a:ext uri="{C183D7F6-B498-43B3-948B-1728B52AA6E4}">
                          <adec:decorative xmlns:adec="http://schemas.microsoft.com/office/drawing/2017/decorative" val="1"/>
                        </a:ext>
                      </a:extLst>
                    </pic:cNvPr>
                    <pic:cNvPicPr/>
                  </pic:nvPicPr>
                  <pic:blipFill>
                    <a:blip r:embed="rId141"/>
                    <a:stretch>
                      <a:fillRect/>
                    </a:stretch>
                  </pic:blipFill>
                  <pic:spPr>
                    <a:xfrm>
                      <a:off x="0" y="0"/>
                      <a:ext cx="5727700" cy="8133080"/>
                    </a:xfrm>
                    <a:prstGeom prst="rect">
                      <a:avLst/>
                    </a:prstGeom>
                  </pic:spPr>
                </pic:pic>
              </a:graphicData>
            </a:graphic>
          </wp:inline>
        </w:drawing>
      </w:r>
    </w:p>
    <w:p w14:paraId="7B6B52F1" w14:textId="1B87437D" w:rsidR="0091432A" w:rsidRDefault="0091432A" w:rsidP="00DE03D4">
      <w:r>
        <w:rPr>
          <w:noProof/>
        </w:rPr>
        <w:lastRenderedPageBreak/>
        <w:drawing>
          <wp:inline distT="0" distB="0" distL="0" distR="0" wp14:anchorId="1DAB5B31" wp14:editId="53F5DF1B">
            <wp:extent cx="5727700" cy="8085455"/>
            <wp:effectExtent l="0" t="0" r="6350" b="0"/>
            <wp:docPr id="119" name="Picture 119" descr="P4889#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descr="P4889#yIS1">
                      <a:extLst>
                        <a:ext uri="{C183D7F6-B498-43B3-948B-1728B52AA6E4}">
                          <adec:decorative xmlns:adec="http://schemas.microsoft.com/office/drawing/2017/decorative" val="1"/>
                        </a:ext>
                      </a:extLst>
                    </pic:cNvPr>
                    <pic:cNvPicPr/>
                  </pic:nvPicPr>
                  <pic:blipFill>
                    <a:blip r:embed="rId142"/>
                    <a:stretch>
                      <a:fillRect/>
                    </a:stretch>
                  </pic:blipFill>
                  <pic:spPr>
                    <a:xfrm>
                      <a:off x="0" y="0"/>
                      <a:ext cx="5727700" cy="8085455"/>
                    </a:xfrm>
                    <a:prstGeom prst="rect">
                      <a:avLst/>
                    </a:prstGeom>
                  </pic:spPr>
                </pic:pic>
              </a:graphicData>
            </a:graphic>
          </wp:inline>
        </w:drawing>
      </w:r>
    </w:p>
    <w:p w14:paraId="2F34C61D" w14:textId="4EB311AC" w:rsidR="0091432A" w:rsidRDefault="0091432A" w:rsidP="00DE03D4">
      <w:r>
        <w:rPr>
          <w:noProof/>
        </w:rPr>
        <w:lastRenderedPageBreak/>
        <w:drawing>
          <wp:inline distT="0" distB="0" distL="0" distR="0" wp14:anchorId="6A9154BC" wp14:editId="1A7CE902">
            <wp:extent cx="5727700" cy="8155940"/>
            <wp:effectExtent l="0" t="0" r="6350" b="0"/>
            <wp:docPr id="120" name="Picture 120" descr="P4890#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descr="P4890#yIS1">
                      <a:extLst>
                        <a:ext uri="{C183D7F6-B498-43B3-948B-1728B52AA6E4}">
                          <adec:decorative xmlns:adec="http://schemas.microsoft.com/office/drawing/2017/decorative" val="1"/>
                        </a:ext>
                      </a:extLst>
                    </pic:cNvPr>
                    <pic:cNvPicPr/>
                  </pic:nvPicPr>
                  <pic:blipFill>
                    <a:blip r:embed="rId143"/>
                    <a:stretch>
                      <a:fillRect/>
                    </a:stretch>
                  </pic:blipFill>
                  <pic:spPr>
                    <a:xfrm>
                      <a:off x="0" y="0"/>
                      <a:ext cx="5727700" cy="8155940"/>
                    </a:xfrm>
                    <a:prstGeom prst="rect">
                      <a:avLst/>
                    </a:prstGeom>
                  </pic:spPr>
                </pic:pic>
              </a:graphicData>
            </a:graphic>
          </wp:inline>
        </w:drawing>
      </w:r>
    </w:p>
    <w:p w14:paraId="46B9BFFC" w14:textId="42182122" w:rsidR="0091432A" w:rsidRDefault="0091432A" w:rsidP="00DE03D4">
      <w:r>
        <w:rPr>
          <w:noProof/>
        </w:rPr>
        <w:lastRenderedPageBreak/>
        <w:drawing>
          <wp:inline distT="0" distB="0" distL="0" distR="0" wp14:anchorId="12F32E8A" wp14:editId="4503A162">
            <wp:extent cx="5727700" cy="8182610"/>
            <wp:effectExtent l="0" t="0" r="6350" b="8890"/>
            <wp:docPr id="121" name="Picture 121" descr="P4891#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P4891#yIS1">
                      <a:extLst>
                        <a:ext uri="{C183D7F6-B498-43B3-948B-1728B52AA6E4}">
                          <adec:decorative xmlns:adec="http://schemas.microsoft.com/office/drawing/2017/decorative" val="1"/>
                        </a:ext>
                      </a:extLst>
                    </pic:cNvPr>
                    <pic:cNvPicPr/>
                  </pic:nvPicPr>
                  <pic:blipFill>
                    <a:blip r:embed="rId144"/>
                    <a:stretch>
                      <a:fillRect/>
                    </a:stretch>
                  </pic:blipFill>
                  <pic:spPr>
                    <a:xfrm>
                      <a:off x="0" y="0"/>
                      <a:ext cx="5727700" cy="8182610"/>
                    </a:xfrm>
                    <a:prstGeom prst="rect">
                      <a:avLst/>
                    </a:prstGeom>
                  </pic:spPr>
                </pic:pic>
              </a:graphicData>
            </a:graphic>
          </wp:inline>
        </w:drawing>
      </w:r>
    </w:p>
    <w:p w14:paraId="32BBEFB8" w14:textId="6E444E55" w:rsidR="0091432A" w:rsidRPr="00DE03D4" w:rsidRDefault="0091432A" w:rsidP="00DE03D4">
      <w:r>
        <w:rPr>
          <w:noProof/>
        </w:rPr>
        <w:lastRenderedPageBreak/>
        <w:drawing>
          <wp:inline distT="0" distB="0" distL="0" distR="0" wp14:anchorId="4D7DFFC0" wp14:editId="3752F429">
            <wp:extent cx="5727700" cy="8043545"/>
            <wp:effectExtent l="0" t="0" r="6350" b="0"/>
            <wp:docPr id="122" name="Picture 122" descr="P4892#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descr="P4892#yIS1">
                      <a:extLst>
                        <a:ext uri="{C183D7F6-B498-43B3-948B-1728B52AA6E4}">
                          <adec:decorative xmlns:adec="http://schemas.microsoft.com/office/drawing/2017/decorative" val="1"/>
                        </a:ext>
                      </a:extLst>
                    </pic:cNvPr>
                    <pic:cNvPicPr/>
                  </pic:nvPicPr>
                  <pic:blipFill>
                    <a:blip r:embed="rId145"/>
                    <a:stretch>
                      <a:fillRect/>
                    </a:stretch>
                  </pic:blipFill>
                  <pic:spPr>
                    <a:xfrm>
                      <a:off x="0" y="0"/>
                      <a:ext cx="5727700" cy="8043545"/>
                    </a:xfrm>
                    <a:prstGeom prst="rect">
                      <a:avLst/>
                    </a:prstGeom>
                  </pic:spPr>
                </pic:pic>
              </a:graphicData>
            </a:graphic>
          </wp:inline>
        </w:drawing>
      </w:r>
    </w:p>
    <w:p w14:paraId="500340A4" w14:textId="77777777" w:rsidR="00DE03D4" w:rsidRPr="00DE03D4" w:rsidRDefault="00DE03D4" w:rsidP="00DE03D4"/>
    <w:p w14:paraId="2E80CC5B" w14:textId="77777777" w:rsidR="00BC072F" w:rsidRPr="00BC072F" w:rsidRDefault="00BC072F" w:rsidP="00BC072F"/>
    <w:p w14:paraId="2D7A119B" w14:textId="77777777" w:rsidR="007F596B" w:rsidRDefault="007F596B" w:rsidP="007F596B">
      <w:pPr>
        <w:spacing w:line="480" w:lineRule="auto"/>
        <w:rPr>
          <w:rFonts w:ascii="Arial" w:hAnsi="Arial" w:cs="Arial"/>
          <w:sz w:val="22"/>
          <w:szCs w:val="22"/>
        </w:rPr>
      </w:pPr>
    </w:p>
    <w:p w14:paraId="6977E72A" w14:textId="77777777" w:rsidR="00B65984" w:rsidRDefault="00894115">
      <w:pPr>
        <w:rPr>
          <w:rFonts w:ascii="Arial" w:hAnsi="Arial"/>
          <w:b/>
          <w:iCs/>
          <w:sz w:val="22"/>
          <w:szCs w:val="18"/>
        </w:rPr>
      </w:pPr>
      <w:r>
        <w:br w:type="page"/>
      </w:r>
      <w:r w:rsidR="00B65984">
        <w:lastRenderedPageBreak/>
        <w:br w:type="page"/>
      </w:r>
    </w:p>
    <w:p w14:paraId="11386CCA" w14:textId="4C758D48" w:rsidR="007F596B" w:rsidRPr="005D2C53" w:rsidRDefault="00535690" w:rsidP="00CF4FC6">
      <w:pPr>
        <w:pStyle w:val="Appendices"/>
      </w:pPr>
      <w:bookmarkStart w:id="537" w:name="_Toc46771000"/>
      <w:r w:rsidRPr="00EE7E67">
        <w:lastRenderedPageBreak/>
        <w:t xml:space="preserve">Appendix </w:t>
      </w:r>
      <w:r w:rsidR="001B71D4" w:rsidRPr="00EE7E67">
        <w:t xml:space="preserve">7: </w:t>
      </w:r>
      <w:r w:rsidR="001B71D4" w:rsidRPr="00CF4FC6">
        <w:rPr>
          <w:b w:val="0"/>
        </w:rPr>
        <w:t>The Participant Information Sheet</w:t>
      </w:r>
      <w:bookmarkEnd w:id="537"/>
    </w:p>
    <w:p w14:paraId="5011FA06" w14:textId="5CB188F3" w:rsidR="00EE7E67" w:rsidRDefault="00EE7E67" w:rsidP="00EE7E67"/>
    <w:p w14:paraId="0E53ED9F" w14:textId="77777777" w:rsidR="00BC38F6" w:rsidRPr="00BC38F6" w:rsidRDefault="00BC38F6" w:rsidP="00BC38F6">
      <w:r w:rsidRPr="00BC38F6">
        <w:rPr>
          <w:noProof/>
        </w:rPr>
        <w:drawing>
          <wp:inline distT="0" distB="0" distL="0" distR="0" wp14:anchorId="74D385E5" wp14:editId="046D8E48">
            <wp:extent cx="2044700" cy="685800"/>
            <wp:effectExtent l="0" t="0" r="12700" b="0"/>
            <wp:docPr id="116" name="Picture 116" descr="P4899#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descr="P4899#yIS1">
                      <a:extLst>
                        <a:ext uri="{C183D7F6-B498-43B3-948B-1728B52AA6E4}">
                          <adec:decorative xmlns:adec="http://schemas.microsoft.com/office/drawing/2017/decorative" val="1"/>
                        </a:ext>
                      </a:extLst>
                    </pic:cNvPr>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044700" cy="685800"/>
                    </a:xfrm>
                    <a:prstGeom prst="rect">
                      <a:avLst/>
                    </a:prstGeom>
                    <a:noFill/>
                    <a:ln>
                      <a:noFill/>
                    </a:ln>
                  </pic:spPr>
                </pic:pic>
              </a:graphicData>
            </a:graphic>
          </wp:inline>
        </w:drawing>
      </w:r>
    </w:p>
    <w:p w14:paraId="44CFB1D8" w14:textId="77777777" w:rsidR="00BC38F6" w:rsidRPr="00BC38F6" w:rsidRDefault="00BC38F6" w:rsidP="00BC38F6"/>
    <w:p w14:paraId="6EE69770" w14:textId="77777777" w:rsidR="00BC38F6" w:rsidRPr="00BC38F6" w:rsidRDefault="00BC38F6" w:rsidP="00BC38F6"/>
    <w:p w14:paraId="1F4C9A14" w14:textId="77777777" w:rsidR="00BC38F6" w:rsidRPr="00BC38F6" w:rsidRDefault="00BC38F6" w:rsidP="00BC38F6">
      <w:pPr>
        <w:rPr>
          <w:b/>
        </w:rPr>
      </w:pPr>
      <w:r w:rsidRPr="00BC38F6">
        <w:rPr>
          <w:b/>
        </w:rPr>
        <w:t>Participant Information Sheet</w:t>
      </w:r>
    </w:p>
    <w:p w14:paraId="58BFA471" w14:textId="77777777" w:rsidR="00BC38F6" w:rsidRPr="00BC38F6" w:rsidRDefault="00BC38F6" w:rsidP="00BC38F6"/>
    <w:p w14:paraId="4B145F36" w14:textId="77777777" w:rsidR="00BC38F6" w:rsidRPr="00BC38F6" w:rsidRDefault="00BC38F6" w:rsidP="00BC38F6"/>
    <w:p w14:paraId="6795847D" w14:textId="77777777" w:rsidR="00BC38F6" w:rsidRPr="00BC38F6" w:rsidRDefault="00BC38F6" w:rsidP="00BC38F6">
      <w:pPr>
        <w:rPr>
          <w:b/>
        </w:rPr>
      </w:pPr>
      <w:r w:rsidRPr="00BC38F6">
        <w:rPr>
          <w:b/>
        </w:rPr>
        <w:t>New Research Study</w:t>
      </w:r>
    </w:p>
    <w:p w14:paraId="6E08A27F" w14:textId="77777777" w:rsidR="00BC38F6" w:rsidRPr="00BC38F6" w:rsidRDefault="00BC38F6" w:rsidP="00BC38F6">
      <w:pPr>
        <w:rPr>
          <w:b/>
        </w:rPr>
      </w:pPr>
      <w:r w:rsidRPr="00BC38F6">
        <w:rPr>
          <w:b/>
        </w:rPr>
        <w:t>Understanding Therapist Variables</w:t>
      </w:r>
    </w:p>
    <w:p w14:paraId="5C4EE256" w14:textId="77777777" w:rsidR="00BC38F6" w:rsidRPr="00BC38F6" w:rsidRDefault="00BC38F6" w:rsidP="00BC38F6"/>
    <w:p w14:paraId="594DF55A" w14:textId="77777777" w:rsidR="00BC38F6" w:rsidRPr="00BC38F6" w:rsidRDefault="00BC38F6" w:rsidP="00BC38F6">
      <w:r w:rsidRPr="00BC38F6">
        <w:t>You are invited to take part in a research study</w:t>
      </w:r>
    </w:p>
    <w:p w14:paraId="1ECA5E0E" w14:textId="77777777" w:rsidR="00BC38F6" w:rsidRPr="00BC38F6" w:rsidRDefault="00BC38F6" w:rsidP="00BC38F6"/>
    <w:p w14:paraId="54870930" w14:textId="474E4371" w:rsidR="00BC38F6" w:rsidRPr="00BC38F6" w:rsidRDefault="00BC38F6" w:rsidP="00BC38F6">
      <w:r w:rsidRPr="00BC38F6">
        <w:t xml:space="preserve">My name is Sarah Bateup I am the Chief Clinical Officer at Ieso Digital Health and a Professional Doctorate student at Anglia Ruskin University in Cambridge. As part of my doctorate I am investigating the therapist variables that correlate with clinical outcomes within IAPT. </w:t>
      </w:r>
      <w:r w:rsidR="00030708" w:rsidRPr="00BC38F6">
        <w:rPr>
          <w:lang w:val="en-US"/>
        </w:rPr>
        <w:t>If you have any questions about this study</w:t>
      </w:r>
      <w:r w:rsidR="00030708">
        <w:rPr>
          <w:lang w:val="en-US"/>
        </w:rPr>
        <w:t>,</w:t>
      </w:r>
      <w:r w:rsidR="00030708" w:rsidRPr="00BC38F6">
        <w:rPr>
          <w:lang w:val="en-US"/>
        </w:rPr>
        <w:t xml:space="preserve"> you can contact me by telephone on 01954 230066 or email at </w:t>
      </w:r>
      <w:r w:rsidR="00030708" w:rsidRPr="00BC38F6">
        <w:t>sarah.bateup@pgr.anglia.ac.uk</w:t>
      </w:r>
    </w:p>
    <w:p w14:paraId="5B7868ED" w14:textId="77777777" w:rsidR="00BC38F6" w:rsidRPr="00BC38F6" w:rsidRDefault="00BC38F6" w:rsidP="00BC38F6">
      <w:pPr>
        <w:rPr>
          <w:lang w:val="en-US"/>
        </w:rPr>
      </w:pPr>
      <w:r w:rsidRPr="00BC38F6">
        <w:rPr>
          <w:lang w:val="en-US"/>
        </w:rPr>
        <w:t xml:space="preserve">Alternatively, you may contact my supervisor, Dr. Sarah Burch at Anglia Ruskin University by telephone on 01245 493131, or by email at sarah.burch@anglia.ac.uk. </w:t>
      </w:r>
    </w:p>
    <w:p w14:paraId="355E3AEB" w14:textId="77777777" w:rsidR="00BC38F6" w:rsidRPr="00BC38F6" w:rsidRDefault="00BC38F6" w:rsidP="00BC38F6">
      <w:pPr>
        <w:rPr>
          <w:lang w:val="en-US"/>
        </w:rPr>
      </w:pPr>
    </w:p>
    <w:p w14:paraId="7B0715A5" w14:textId="77777777" w:rsidR="00BC38F6" w:rsidRPr="00BC38F6" w:rsidRDefault="00BC38F6" w:rsidP="00BC38F6">
      <w:r w:rsidRPr="00BC38F6">
        <w:t xml:space="preserve">You are free to decide whether or not to take part in this study and if you decide to participate you may change your mind at any time.  </w:t>
      </w:r>
    </w:p>
    <w:p w14:paraId="59D657B2" w14:textId="77777777" w:rsidR="00BC38F6" w:rsidRPr="00BC38F6" w:rsidRDefault="00BC38F6" w:rsidP="00BC38F6"/>
    <w:p w14:paraId="0EEF3224" w14:textId="77777777" w:rsidR="00BC38F6" w:rsidRPr="00BC38F6" w:rsidRDefault="00BC38F6" w:rsidP="00BC38F6">
      <w:pPr>
        <w:rPr>
          <w:lang w:val="en-US"/>
        </w:rPr>
      </w:pPr>
    </w:p>
    <w:p w14:paraId="096346D4" w14:textId="77777777" w:rsidR="00BC38F6" w:rsidRPr="00BC38F6" w:rsidRDefault="00BC38F6" w:rsidP="00BC38F6">
      <w:pPr>
        <w:rPr>
          <w:b/>
          <w:bCs/>
          <w:lang w:val="en-US"/>
        </w:rPr>
      </w:pPr>
      <w:r w:rsidRPr="00BC38F6">
        <w:rPr>
          <w:b/>
          <w:bCs/>
          <w:lang w:val="en-US"/>
        </w:rPr>
        <w:t>Overview of the study</w:t>
      </w:r>
    </w:p>
    <w:p w14:paraId="40A0EBE3" w14:textId="77777777" w:rsidR="00BC38F6" w:rsidRPr="00BC38F6" w:rsidRDefault="00BC38F6" w:rsidP="00BC38F6"/>
    <w:p w14:paraId="78863821" w14:textId="77777777" w:rsidR="00BC38F6" w:rsidRPr="00BC38F6" w:rsidRDefault="00BC38F6" w:rsidP="00BC38F6">
      <w:r w:rsidRPr="00BC38F6">
        <w:t xml:space="preserve">The measurement and evaluation of clinical effectiveness has become routine practice within CBT services in the UK, particularly within IAPT. Therapists are routinely asked to use tools such as the CTS-R for the purposes of continuing professional development and all IAPT services record the clinical outcome data for each of its therapists. Whilst all IAPT services are mandated to report clinical outcomes to NHS England and IAPT has reported that good clinical outcomes correlate with adherence to NICE guidelines, very little is actually known about the therapist variables that correlate with clinical outcome. This is because it has never been possible to observe what therapists are doing in the therapy room in IAPT services. Delivering CBT using the Ieso Method offers, for the first time ever, the opportunity to understand what therapists are doing with their patients. </w:t>
      </w:r>
    </w:p>
    <w:p w14:paraId="502453EE" w14:textId="77777777" w:rsidR="00BC38F6" w:rsidRPr="00BC38F6" w:rsidRDefault="00BC38F6" w:rsidP="00BC38F6"/>
    <w:p w14:paraId="5C6CA001" w14:textId="1F753834" w:rsidR="00BC38F6" w:rsidRPr="00BC38F6" w:rsidRDefault="00BC38F6" w:rsidP="00BC38F6">
      <w:r w:rsidRPr="00BC38F6">
        <w:t xml:space="preserve">I am interested to understand which therapist variables correlate with clinical outcome. The findings from this study will help cognitive behavioural therapists learn more about effective clinical practice so that more patients can get better.  These findings will also enable supervisors to provide more effective support and training to therapists. </w:t>
      </w:r>
      <w:r w:rsidR="00030708" w:rsidRPr="00BC38F6">
        <w:rPr>
          <w:lang w:val="en-US"/>
        </w:rPr>
        <w:t>By participating in this study</w:t>
      </w:r>
      <w:r w:rsidR="00030708">
        <w:rPr>
          <w:lang w:val="en-US"/>
        </w:rPr>
        <w:t>,</w:t>
      </w:r>
      <w:r w:rsidR="00030708" w:rsidRPr="00BC38F6">
        <w:rPr>
          <w:lang w:val="en-US"/>
        </w:rPr>
        <w:t xml:space="preserve"> you are enabling others to learn more about how to enhance and improve the practice of CBT.</w:t>
      </w:r>
    </w:p>
    <w:p w14:paraId="4E431ACF" w14:textId="77777777" w:rsidR="00BC38F6" w:rsidRPr="00BC38F6" w:rsidRDefault="00BC38F6" w:rsidP="00BC38F6">
      <w:pPr>
        <w:rPr>
          <w:lang w:val="en-US"/>
        </w:rPr>
      </w:pPr>
    </w:p>
    <w:p w14:paraId="7F6845DF" w14:textId="77777777" w:rsidR="00BC38F6" w:rsidRPr="00BC38F6" w:rsidRDefault="00BC38F6" w:rsidP="00BC38F6">
      <w:pPr>
        <w:rPr>
          <w:b/>
          <w:lang w:val="en-US"/>
        </w:rPr>
      </w:pPr>
      <w:r w:rsidRPr="00BC38F6">
        <w:rPr>
          <w:b/>
          <w:lang w:val="en-US"/>
        </w:rPr>
        <w:lastRenderedPageBreak/>
        <w:t>Why am I being invited to participate in this study?</w:t>
      </w:r>
    </w:p>
    <w:p w14:paraId="5E4D7193" w14:textId="77777777" w:rsidR="00BC38F6" w:rsidRPr="00BC38F6" w:rsidRDefault="00BC38F6" w:rsidP="00BC38F6">
      <w:pPr>
        <w:rPr>
          <w:lang w:val="en-US"/>
        </w:rPr>
      </w:pPr>
    </w:p>
    <w:p w14:paraId="5C0AEE17" w14:textId="77777777" w:rsidR="00BC38F6" w:rsidRPr="00BC38F6" w:rsidRDefault="00BC38F6" w:rsidP="00BC38F6">
      <w:r w:rsidRPr="00BC38F6">
        <w:rPr>
          <w:lang w:val="en-US"/>
        </w:rPr>
        <w:t xml:space="preserve">All BABCP accredited therapists who have had at least 20 patients at Ieso Digital Health are being invited to participate in this study. </w:t>
      </w:r>
    </w:p>
    <w:p w14:paraId="2A5CD275" w14:textId="77777777" w:rsidR="00BC38F6" w:rsidRPr="00BC38F6" w:rsidRDefault="00BC38F6" w:rsidP="00BC38F6"/>
    <w:p w14:paraId="46028DC6" w14:textId="77777777" w:rsidR="00BC38F6" w:rsidRPr="00BC38F6" w:rsidRDefault="00BC38F6" w:rsidP="00BC38F6">
      <w:pPr>
        <w:rPr>
          <w:b/>
        </w:rPr>
      </w:pPr>
    </w:p>
    <w:p w14:paraId="6B05B267" w14:textId="77777777" w:rsidR="00BC38F6" w:rsidRPr="00BC38F6" w:rsidRDefault="00BC38F6" w:rsidP="00BC38F6">
      <w:pPr>
        <w:rPr>
          <w:b/>
          <w:bCs/>
        </w:rPr>
      </w:pPr>
      <w:r w:rsidRPr="00BC38F6">
        <w:rPr>
          <w:b/>
          <w:bCs/>
        </w:rPr>
        <w:t>What do you need to know about the methods that will be used in this study?</w:t>
      </w:r>
    </w:p>
    <w:p w14:paraId="549A1293" w14:textId="77777777" w:rsidR="00BC38F6" w:rsidRPr="00BC38F6" w:rsidRDefault="00BC38F6" w:rsidP="00BC38F6">
      <w:pPr>
        <w:rPr>
          <w:b/>
        </w:rPr>
      </w:pPr>
    </w:p>
    <w:p w14:paraId="35C786AB" w14:textId="048A2454" w:rsidR="00BC38F6" w:rsidRPr="00BC38F6" w:rsidRDefault="00030708" w:rsidP="00BC38F6">
      <w:r w:rsidRPr="00BC38F6">
        <w:t>If you decide to take part in this study</w:t>
      </w:r>
      <w:r>
        <w:t>,</w:t>
      </w:r>
      <w:r w:rsidRPr="00BC38F6">
        <w:t xml:space="preserve"> you will be asked to complete a short survey via the Ieso Digital Health ‘Hub’ (online learning management system). </w:t>
      </w:r>
      <w:r w:rsidR="00BC38F6" w:rsidRPr="00BC38F6">
        <w:t xml:space="preserve">This will take no more than 2 minutes of your time.  The survey will ask you 5 short questions that relate to your core profession, your training and years of experience. This information will be used to analyse whether there is a correlation between clinical outcomes and a therapist’s professional background or years of experience. </w:t>
      </w:r>
    </w:p>
    <w:p w14:paraId="42860BDD" w14:textId="77777777" w:rsidR="00BC38F6" w:rsidRPr="00BC38F6" w:rsidRDefault="00BC38F6" w:rsidP="00BC38F6"/>
    <w:p w14:paraId="2B81EA8A" w14:textId="201FBB81" w:rsidR="00BC38F6" w:rsidRPr="00BC38F6" w:rsidRDefault="00BC38F6" w:rsidP="00BC38F6">
      <w:r w:rsidRPr="00BC38F6">
        <w:t xml:space="preserve">If you decide to participate, I will use the clinical data that has already been collected by the clinical team at Ieso Digital Health relating to the patients you have treated. This data relates to the recovery rates of your patients.  I will use this data to understand if there is a correlation between clinical outcomes, professional experience and CTS-R scores.  As you know, Ieso Digital Health routinely undertakes CTS-Rs of randomly selected therapy sessions and reviews all of its </w:t>
      </w:r>
      <w:r w:rsidR="00030708" w:rsidRPr="00BC38F6">
        <w:t>therapists’</w:t>
      </w:r>
      <w:r w:rsidRPr="00BC38F6">
        <w:t xml:space="preserve"> clinical work.  If you consent to participate in the study this data will be used to understand the variables (CTS-R scores, attendance at supervision etc) that correlate with clinical outcome.</w:t>
      </w:r>
    </w:p>
    <w:p w14:paraId="7492D7F2" w14:textId="77777777" w:rsidR="00BC38F6" w:rsidRPr="00BC38F6" w:rsidRDefault="00BC38F6" w:rsidP="00BC38F6"/>
    <w:p w14:paraId="6047F790" w14:textId="77777777" w:rsidR="00BC38F6" w:rsidRPr="00BC38F6" w:rsidRDefault="00BC38F6" w:rsidP="00BC38F6">
      <w:r w:rsidRPr="00BC38F6">
        <w:t xml:space="preserve">If you agree to participate in this study your Clinical Supervisor will be informed. Your supervisor will be asked about how you use the supervision that is provided for you at Ieso Digital Health.  Your supervisor will be asked: whether you attend and prepare for supervision, whether you are able to reflect on your work and use any feedback that is provided in order to enhance your clinical skills.  Supervision in this context includes supervision in groups, individual supervision by phone or email and supervision provided by the Hub forums (Ieso Digital Health’s online learning management system).  </w:t>
      </w:r>
    </w:p>
    <w:p w14:paraId="43F14447" w14:textId="77777777" w:rsidR="00BC38F6" w:rsidRPr="00BC38F6" w:rsidRDefault="00BC38F6" w:rsidP="00BC38F6"/>
    <w:p w14:paraId="19D52007" w14:textId="77777777" w:rsidR="00BC38F6" w:rsidRPr="00BC38F6" w:rsidRDefault="00BC38F6" w:rsidP="00BC38F6"/>
    <w:p w14:paraId="203A63EB" w14:textId="53DA96CC" w:rsidR="00BC38F6" w:rsidRPr="00BC38F6" w:rsidRDefault="00BC38F6" w:rsidP="00BC38F6">
      <w:pPr>
        <w:rPr>
          <w:lang w:val="en-US"/>
        </w:rPr>
      </w:pPr>
      <w:r w:rsidRPr="00BC38F6">
        <w:rPr>
          <w:lang w:val="en-US"/>
        </w:rPr>
        <w:t xml:space="preserve">The findings from this study will be documented in my thesis, published in professional journals and presented at conferences.  You will not be identified at any time. </w:t>
      </w:r>
      <w:r w:rsidR="00030708" w:rsidRPr="00BC38F6">
        <w:rPr>
          <w:lang w:val="en-US"/>
        </w:rPr>
        <w:t>If you agree to participate in this study</w:t>
      </w:r>
      <w:r w:rsidR="00030708">
        <w:rPr>
          <w:lang w:val="en-US"/>
        </w:rPr>
        <w:t>,</w:t>
      </w:r>
      <w:r w:rsidR="00030708" w:rsidRPr="00BC38F6">
        <w:rPr>
          <w:lang w:val="en-US"/>
        </w:rPr>
        <w:t xml:space="preserve"> you will be given a unique identification number. </w:t>
      </w:r>
      <w:r w:rsidRPr="00BC38F6">
        <w:rPr>
          <w:lang w:val="en-US"/>
        </w:rPr>
        <w:t xml:space="preserve">I am interested in the collective themes drawn from the data of many therapists, not individual therapists. </w:t>
      </w:r>
    </w:p>
    <w:p w14:paraId="7B17EAC3" w14:textId="77777777" w:rsidR="00BC38F6" w:rsidRPr="00BC38F6" w:rsidRDefault="00BC38F6" w:rsidP="00BC38F6">
      <w:pPr>
        <w:rPr>
          <w:lang w:val="en-US"/>
        </w:rPr>
      </w:pPr>
    </w:p>
    <w:p w14:paraId="5F96241D" w14:textId="77777777" w:rsidR="00BC38F6" w:rsidRPr="00BC38F6" w:rsidRDefault="00BC38F6" w:rsidP="00BC38F6">
      <w:pPr>
        <w:rPr>
          <w:lang w:val="en-US"/>
        </w:rPr>
      </w:pPr>
      <w:r w:rsidRPr="00BC38F6">
        <w:rPr>
          <w:lang w:val="en-US"/>
        </w:rPr>
        <w:t xml:space="preserve">All data will be held in accordance with the Data Protection Act (1998). In addition, the data that is collected for the purposes of this study will be stored on a secure and encrypted computer that complies with Ieso Digital Health’s ISO27001 (data security and storage) certification. Your personal information is strictly confidential and will not be published, shared or discussed with anyone for the purposes of this study. </w:t>
      </w:r>
    </w:p>
    <w:p w14:paraId="186B9D90" w14:textId="77777777" w:rsidR="005D2C53" w:rsidRDefault="005D2C53" w:rsidP="00BC38F6">
      <w:pPr>
        <w:rPr>
          <w:b/>
          <w:lang w:val="en-US"/>
        </w:rPr>
      </w:pPr>
    </w:p>
    <w:p w14:paraId="3D5C86A9" w14:textId="2DE07EC2" w:rsidR="00BC38F6" w:rsidRPr="00BC38F6" w:rsidRDefault="00BC38F6" w:rsidP="00BC38F6">
      <w:pPr>
        <w:rPr>
          <w:b/>
          <w:lang w:val="en-US"/>
        </w:rPr>
      </w:pPr>
      <w:r w:rsidRPr="00BC38F6">
        <w:rPr>
          <w:b/>
          <w:lang w:val="en-US"/>
        </w:rPr>
        <w:t>What are the benefits of participating in this study?</w:t>
      </w:r>
    </w:p>
    <w:p w14:paraId="21A6D0F8" w14:textId="77777777" w:rsidR="00BC38F6" w:rsidRPr="00BC38F6" w:rsidRDefault="00BC38F6" w:rsidP="00BC38F6">
      <w:pPr>
        <w:rPr>
          <w:lang w:val="en-US"/>
        </w:rPr>
      </w:pPr>
    </w:p>
    <w:p w14:paraId="17AB9030" w14:textId="77777777" w:rsidR="00BC38F6" w:rsidRPr="00BC38F6" w:rsidRDefault="00BC38F6" w:rsidP="00BC38F6">
      <w:pPr>
        <w:rPr>
          <w:lang w:val="en-US"/>
        </w:rPr>
      </w:pPr>
      <w:r w:rsidRPr="00BC38F6">
        <w:rPr>
          <w:lang w:val="en-US"/>
        </w:rPr>
        <w:t>You are unlikely to gain personally from this study. However,</w:t>
      </w:r>
    </w:p>
    <w:p w14:paraId="2BC74FF7" w14:textId="0FC92356" w:rsidR="00BC38F6" w:rsidRPr="00BC38F6" w:rsidRDefault="00BC38F6" w:rsidP="00BC38F6">
      <w:pPr>
        <w:rPr>
          <w:lang w:val="en-US"/>
        </w:rPr>
      </w:pPr>
      <w:r w:rsidRPr="00BC38F6">
        <w:rPr>
          <w:lang w:val="en-US"/>
        </w:rPr>
        <w:lastRenderedPageBreak/>
        <w:t>t</w:t>
      </w:r>
      <w:r w:rsidRPr="00BC38F6">
        <w:t xml:space="preserve">he findings from this study will help cognitive behavioural therapists learn more about effective clinical practice so that more patients can get better.  These findings will also enable supervisors to provide more effective support and training to therapists. </w:t>
      </w:r>
      <w:r w:rsidR="00030708" w:rsidRPr="00BC38F6">
        <w:rPr>
          <w:lang w:val="en-US"/>
        </w:rPr>
        <w:t>By participating in this study</w:t>
      </w:r>
      <w:r w:rsidR="00030708">
        <w:rPr>
          <w:lang w:val="en-US"/>
        </w:rPr>
        <w:t>,</w:t>
      </w:r>
      <w:r w:rsidR="00030708" w:rsidRPr="00BC38F6">
        <w:rPr>
          <w:lang w:val="en-US"/>
        </w:rPr>
        <w:t xml:space="preserve"> you are enabling others to learn more about how to enhance and improve the practice of CBT.</w:t>
      </w:r>
    </w:p>
    <w:p w14:paraId="185377FF" w14:textId="77777777" w:rsidR="00BC38F6" w:rsidRPr="00BC38F6" w:rsidRDefault="00BC38F6" w:rsidP="00BC38F6">
      <w:pPr>
        <w:rPr>
          <w:lang w:val="en-US"/>
        </w:rPr>
      </w:pPr>
    </w:p>
    <w:p w14:paraId="764F728E" w14:textId="77777777" w:rsidR="00BC38F6" w:rsidRPr="00BC38F6" w:rsidRDefault="00BC38F6" w:rsidP="00BC38F6">
      <w:pPr>
        <w:rPr>
          <w:b/>
        </w:rPr>
      </w:pPr>
    </w:p>
    <w:p w14:paraId="1F68F891" w14:textId="77777777" w:rsidR="00BC38F6" w:rsidRPr="00BC38F6" w:rsidRDefault="00BC38F6" w:rsidP="00BC38F6">
      <w:pPr>
        <w:rPr>
          <w:b/>
        </w:rPr>
      </w:pPr>
      <w:r w:rsidRPr="00BC38F6">
        <w:rPr>
          <w:b/>
        </w:rPr>
        <w:t>What if I have questions about the data that is collected about me?</w:t>
      </w:r>
    </w:p>
    <w:p w14:paraId="1914A2ED" w14:textId="77777777" w:rsidR="00BC38F6" w:rsidRPr="00BC38F6" w:rsidRDefault="00BC38F6" w:rsidP="00BC38F6"/>
    <w:p w14:paraId="47BB262E" w14:textId="42B763C8" w:rsidR="00BC38F6" w:rsidRPr="00BC38F6" w:rsidRDefault="00BC38F6" w:rsidP="00BC38F6">
      <w:pPr>
        <w:rPr>
          <w:lang w:val="en-US"/>
        </w:rPr>
      </w:pPr>
      <w:r w:rsidRPr="00BC38F6">
        <w:rPr>
          <w:lang w:val="en-US"/>
        </w:rPr>
        <w:t xml:space="preserve">Ieso Digital Health routinely reviews the work of all its therapists and uses this data to drive a programme of continuing professional development. This is not undertaken as a punitive process but serves the function of supporting and enabling therapists to help more patients get better. This data can be requested by any therapist at any time. </w:t>
      </w:r>
      <w:r w:rsidR="00030708" w:rsidRPr="00BC38F6">
        <w:rPr>
          <w:lang w:val="en-US"/>
        </w:rPr>
        <w:t>If you would like to see a copy of your data or you have any questions about your data</w:t>
      </w:r>
      <w:r w:rsidR="00030708">
        <w:rPr>
          <w:lang w:val="en-US"/>
        </w:rPr>
        <w:t>,</w:t>
      </w:r>
      <w:r w:rsidR="00030708" w:rsidRPr="00BC38F6">
        <w:rPr>
          <w:lang w:val="en-US"/>
        </w:rPr>
        <w:t xml:space="preserve"> please contact me by telephone on 01954 230066 or by email at sarah.bateup@pgr.anglia.ac.uk</w:t>
      </w:r>
    </w:p>
    <w:p w14:paraId="71B48282" w14:textId="77777777" w:rsidR="00BC38F6" w:rsidRPr="00BC38F6" w:rsidRDefault="00BC38F6" w:rsidP="00BC38F6">
      <w:pPr>
        <w:rPr>
          <w:lang w:val="en-US"/>
        </w:rPr>
      </w:pPr>
    </w:p>
    <w:p w14:paraId="34FFA03A" w14:textId="77777777" w:rsidR="00BC38F6" w:rsidRPr="00BC38F6" w:rsidRDefault="00BC38F6" w:rsidP="00BC38F6">
      <w:pPr>
        <w:rPr>
          <w:b/>
          <w:bCs/>
          <w:lang w:val="en-US"/>
        </w:rPr>
      </w:pPr>
    </w:p>
    <w:p w14:paraId="31370D5E" w14:textId="77777777" w:rsidR="00BC38F6" w:rsidRPr="00BC38F6" w:rsidRDefault="00BC38F6" w:rsidP="00BC38F6">
      <w:pPr>
        <w:rPr>
          <w:b/>
          <w:bCs/>
          <w:lang w:val="en-US"/>
        </w:rPr>
      </w:pPr>
      <w:r w:rsidRPr="00BC38F6">
        <w:rPr>
          <w:b/>
          <w:bCs/>
          <w:lang w:val="en-US"/>
        </w:rPr>
        <w:t>What if I change my mind about participating in the study?</w:t>
      </w:r>
    </w:p>
    <w:p w14:paraId="28089A14" w14:textId="77777777" w:rsidR="00BC38F6" w:rsidRPr="00BC38F6" w:rsidRDefault="00BC38F6" w:rsidP="00BC38F6">
      <w:pPr>
        <w:rPr>
          <w:b/>
          <w:bCs/>
          <w:lang w:val="en-US"/>
        </w:rPr>
      </w:pPr>
    </w:p>
    <w:p w14:paraId="6D0BBD51" w14:textId="77777777" w:rsidR="00BC38F6" w:rsidRPr="00BC38F6" w:rsidRDefault="00BC38F6" w:rsidP="00BC38F6">
      <w:r w:rsidRPr="00BC38F6">
        <w:rPr>
          <w:bCs/>
          <w:lang w:val="en-US"/>
        </w:rPr>
        <w:t xml:space="preserve">You can change your mind about participating in this study at any time.  If you no longer wish to participate in this study you should contact me, or my supervisor, Dr. Sarah Burch. </w:t>
      </w:r>
      <w:r w:rsidRPr="00BC38F6">
        <w:rPr>
          <w:lang w:val="en-US"/>
        </w:rPr>
        <w:t xml:space="preserve">You can contact me by telephone on 01954 230066 or email at </w:t>
      </w:r>
      <w:hyperlink r:id="rId147" w:history="1">
        <w:r w:rsidRPr="00BC38F6">
          <w:rPr>
            <w:rStyle w:val="Hyperlink"/>
          </w:rPr>
          <w:t>sarah.bateup@pgr.anglia.ac.uk</w:t>
        </w:r>
      </w:hyperlink>
      <w:r w:rsidRPr="00BC38F6">
        <w:t xml:space="preserve">. </w:t>
      </w:r>
      <w:r w:rsidRPr="00BC38F6">
        <w:rPr>
          <w:lang w:val="en-US"/>
        </w:rPr>
        <w:t xml:space="preserve">Alternatively, you may contact my supervisor, Dr. Sarah Burch at Anglia Ruskin University by telephone on 01245 493131, or by email at </w:t>
      </w:r>
      <w:hyperlink r:id="rId148" w:history="1">
        <w:r w:rsidRPr="00BC38F6">
          <w:rPr>
            <w:rStyle w:val="Hyperlink"/>
            <w:lang w:val="en-US"/>
          </w:rPr>
          <w:t>sarah.burch@anglia.ac.uk</w:t>
        </w:r>
      </w:hyperlink>
      <w:r w:rsidRPr="00BC38F6">
        <w:rPr>
          <w:lang w:val="en-US"/>
        </w:rPr>
        <w:t>.</w:t>
      </w:r>
    </w:p>
    <w:p w14:paraId="766AB446" w14:textId="77777777" w:rsidR="00BC38F6" w:rsidRPr="00BC38F6" w:rsidRDefault="00BC38F6" w:rsidP="00BC38F6">
      <w:pPr>
        <w:rPr>
          <w:lang w:val="en-US"/>
        </w:rPr>
      </w:pPr>
    </w:p>
    <w:p w14:paraId="7692D856" w14:textId="77777777" w:rsidR="00BC38F6" w:rsidRPr="00BC38F6" w:rsidRDefault="00BC38F6" w:rsidP="00BC38F6">
      <w:pPr>
        <w:rPr>
          <w:bCs/>
          <w:lang w:val="en-US"/>
        </w:rPr>
      </w:pPr>
      <w:r w:rsidRPr="00BC38F6">
        <w:rPr>
          <w:lang w:val="en-US"/>
        </w:rPr>
        <w:t>If you change your mind your data will be removed from the analysis in this study.</w:t>
      </w:r>
    </w:p>
    <w:p w14:paraId="7A8265A2" w14:textId="77777777" w:rsidR="00BC38F6" w:rsidRPr="00BC38F6" w:rsidRDefault="00BC38F6" w:rsidP="00BC38F6">
      <w:pPr>
        <w:rPr>
          <w:b/>
          <w:bCs/>
          <w:lang w:val="en-US"/>
        </w:rPr>
      </w:pPr>
    </w:p>
    <w:p w14:paraId="7781E492" w14:textId="77777777" w:rsidR="00BC38F6" w:rsidRPr="00BC38F6" w:rsidRDefault="00BC38F6" w:rsidP="00BC38F6">
      <w:pPr>
        <w:rPr>
          <w:b/>
          <w:bCs/>
          <w:lang w:val="en-US"/>
        </w:rPr>
      </w:pPr>
      <w:r w:rsidRPr="00BC38F6">
        <w:rPr>
          <w:b/>
          <w:bCs/>
          <w:lang w:val="en-US"/>
        </w:rPr>
        <w:t>Who has reviewed this study?</w:t>
      </w:r>
    </w:p>
    <w:p w14:paraId="4D2AA475" w14:textId="77777777" w:rsidR="00BC38F6" w:rsidRPr="00BC38F6" w:rsidRDefault="00BC38F6" w:rsidP="00BC38F6">
      <w:pPr>
        <w:rPr>
          <w:b/>
        </w:rPr>
      </w:pPr>
    </w:p>
    <w:p w14:paraId="77F3FA3C" w14:textId="7C68FFCD" w:rsidR="00BC38F6" w:rsidRPr="00BC38F6" w:rsidRDefault="00BC38F6" w:rsidP="00BC38F6">
      <w:pPr>
        <w:rPr>
          <w:lang w:val="en-US"/>
        </w:rPr>
      </w:pPr>
      <w:r w:rsidRPr="00BC38F6">
        <w:rPr>
          <w:lang w:val="en-US"/>
        </w:rPr>
        <w:t xml:space="preserve">As you know, all research studies are reviewed by an independent group of people, called a research ethics committee, to protect your safety, rights, </w:t>
      </w:r>
      <w:r w:rsidR="00030708" w:rsidRPr="00BC38F6">
        <w:rPr>
          <w:lang w:val="en-US"/>
        </w:rPr>
        <w:t>wellbeing</w:t>
      </w:r>
      <w:r w:rsidRPr="00BC38F6">
        <w:rPr>
          <w:lang w:val="en-US"/>
        </w:rPr>
        <w:t xml:space="preserve"> and dignity.  The study has received ethical approval from the Departmental Research Ethics Panel in the Faculty of Health, Social Care and Education at Anglia Ruskin University, Cambridge.</w:t>
      </w:r>
    </w:p>
    <w:p w14:paraId="65D3D8EA" w14:textId="77777777" w:rsidR="00BC38F6" w:rsidRPr="00BC38F6" w:rsidRDefault="00BC38F6" w:rsidP="00BC38F6">
      <w:pPr>
        <w:rPr>
          <w:lang w:val="en-US"/>
        </w:rPr>
      </w:pPr>
    </w:p>
    <w:p w14:paraId="0B35726F" w14:textId="77777777" w:rsidR="00BC38F6" w:rsidRPr="00BC38F6" w:rsidRDefault="00BC38F6" w:rsidP="00BC38F6">
      <w:pPr>
        <w:rPr>
          <w:lang w:val="en-US"/>
        </w:rPr>
      </w:pPr>
      <w:r w:rsidRPr="00BC38F6">
        <w:rPr>
          <w:lang w:val="en-US"/>
        </w:rPr>
        <w:t>In addition, Ieso Digital Health has given their permission for me to use the data held by them for the purposes of this research study.</w:t>
      </w:r>
    </w:p>
    <w:p w14:paraId="22D66783" w14:textId="77777777" w:rsidR="00BC38F6" w:rsidRPr="00BC38F6" w:rsidRDefault="00BC38F6" w:rsidP="00BC38F6">
      <w:pPr>
        <w:rPr>
          <w:lang w:val="en-US"/>
        </w:rPr>
      </w:pPr>
    </w:p>
    <w:p w14:paraId="690EC036" w14:textId="77777777" w:rsidR="00BC38F6" w:rsidRPr="00BC38F6" w:rsidRDefault="00BC38F6" w:rsidP="00BC38F6">
      <w:pPr>
        <w:rPr>
          <w:b/>
          <w:lang w:val="en-US"/>
        </w:rPr>
      </w:pPr>
      <w:r w:rsidRPr="00BC38F6">
        <w:rPr>
          <w:b/>
          <w:lang w:val="en-US"/>
        </w:rPr>
        <w:t>Complaints</w:t>
      </w:r>
    </w:p>
    <w:p w14:paraId="75F0BCD8" w14:textId="77777777" w:rsidR="00BC38F6" w:rsidRPr="00BC38F6" w:rsidRDefault="00BC38F6" w:rsidP="00BC38F6">
      <w:pPr>
        <w:rPr>
          <w:b/>
          <w:lang w:val="en-US"/>
        </w:rPr>
      </w:pPr>
    </w:p>
    <w:p w14:paraId="2F899385" w14:textId="77777777" w:rsidR="00BC38F6" w:rsidRPr="00BC38F6" w:rsidRDefault="00BC38F6" w:rsidP="00BC38F6">
      <w:pPr>
        <w:rPr>
          <w:lang w:val="en-US"/>
        </w:rPr>
      </w:pPr>
      <w:r w:rsidRPr="00BC38F6">
        <w:rPr>
          <w:lang w:val="en-US"/>
        </w:rPr>
        <w:t xml:space="preserve">If you have any complaints about this study please speak to me, or my supervisor, in the first instance. You can contact me by telephone on 01954 230066 or email at </w:t>
      </w:r>
      <w:hyperlink r:id="rId149" w:history="1">
        <w:r w:rsidRPr="00BC38F6">
          <w:rPr>
            <w:rStyle w:val="Hyperlink"/>
          </w:rPr>
          <w:t>sarah.bateup@pgr.anglia.ac.uk</w:t>
        </w:r>
      </w:hyperlink>
      <w:r w:rsidRPr="00BC38F6">
        <w:t xml:space="preserve"> My supervisor is Dr. Sarah Burch and you can contact her </w:t>
      </w:r>
      <w:r w:rsidRPr="00BC38F6">
        <w:rPr>
          <w:lang w:val="en-US"/>
        </w:rPr>
        <w:t xml:space="preserve">at Anglia Ruskin University by telephone on 01245 493131, or by email at </w:t>
      </w:r>
      <w:hyperlink r:id="rId150" w:history="1">
        <w:r w:rsidRPr="00BC38F6">
          <w:rPr>
            <w:rStyle w:val="Hyperlink"/>
            <w:lang w:val="en-US"/>
          </w:rPr>
          <w:t>sarah.burch@anglia.ac.uk</w:t>
        </w:r>
      </w:hyperlink>
      <w:r w:rsidRPr="00BC38F6">
        <w:rPr>
          <w:lang w:val="en-US"/>
        </w:rPr>
        <w:t>.</w:t>
      </w:r>
    </w:p>
    <w:p w14:paraId="4BED2244" w14:textId="77777777" w:rsidR="00BC38F6" w:rsidRPr="00BC38F6" w:rsidRDefault="00BC38F6" w:rsidP="00BC38F6">
      <w:pPr>
        <w:rPr>
          <w:lang w:val="en-US"/>
        </w:rPr>
      </w:pPr>
      <w:r w:rsidRPr="00BC38F6">
        <w:rPr>
          <w:lang w:val="en-US"/>
        </w:rPr>
        <w:t>However, if you wish to make a formal complaint, the details below will help you.</w:t>
      </w:r>
    </w:p>
    <w:p w14:paraId="63487972" w14:textId="77777777" w:rsidR="00BC38F6" w:rsidRPr="00BC38F6" w:rsidRDefault="00BC38F6" w:rsidP="00BC38F6">
      <w:pPr>
        <w:rPr>
          <w:lang w:val="en-US"/>
        </w:rPr>
      </w:pPr>
      <w:r w:rsidRPr="00BC38F6">
        <w:rPr>
          <w:lang w:val="en-US"/>
        </w:rPr>
        <w:t xml:space="preserve">Email address: </w:t>
      </w:r>
      <w:hyperlink r:id="rId151" w:history="1">
        <w:r w:rsidRPr="00BC38F6">
          <w:rPr>
            <w:rStyle w:val="Hyperlink"/>
            <w:lang w:val="en-US"/>
          </w:rPr>
          <w:t>complaints@anglia.ac.uk</w:t>
        </w:r>
      </w:hyperlink>
    </w:p>
    <w:p w14:paraId="6E67F615" w14:textId="77777777" w:rsidR="00BC38F6" w:rsidRPr="00BC38F6" w:rsidRDefault="00BC38F6" w:rsidP="00BC38F6">
      <w:r w:rsidRPr="00BC38F6">
        <w:rPr>
          <w:lang w:val="en-US"/>
        </w:rPr>
        <w:lastRenderedPageBreak/>
        <w:t>Postal address: Office of the Secretary and Clerk, Anglia Ruskin University, Bishops Hall Lane, Chelmsford, Essex, CM12 1SQ.</w:t>
      </w:r>
    </w:p>
    <w:p w14:paraId="25588482" w14:textId="77777777" w:rsidR="00BC38F6" w:rsidRPr="00BC38F6" w:rsidRDefault="00BC38F6" w:rsidP="00BC38F6">
      <w:pPr>
        <w:rPr>
          <w:b/>
        </w:rPr>
      </w:pPr>
    </w:p>
    <w:p w14:paraId="670D0920" w14:textId="77777777" w:rsidR="00BC38F6" w:rsidRPr="00BC38F6" w:rsidRDefault="00BC38F6" w:rsidP="00BC38F6"/>
    <w:p w14:paraId="59D25353" w14:textId="77777777" w:rsidR="00BC38F6" w:rsidRPr="00BC38F6" w:rsidRDefault="00BC38F6" w:rsidP="00BC38F6">
      <w:r w:rsidRPr="00BC38F6">
        <w:t>Participant Information Sheet 10/01/2018 version 4</w:t>
      </w:r>
    </w:p>
    <w:p w14:paraId="21DFCB24" w14:textId="3790E714" w:rsidR="00022F29" w:rsidRDefault="00022F29">
      <w:r>
        <w:br w:type="page"/>
      </w:r>
    </w:p>
    <w:p w14:paraId="3E5071DE" w14:textId="284F101C" w:rsidR="00022F29" w:rsidRPr="005D2C53" w:rsidRDefault="00022F29" w:rsidP="00022F29">
      <w:pPr>
        <w:pStyle w:val="Appendices"/>
      </w:pPr>
      <w:bookmarkStart w:id="538" w:name="_Toc46771001"/>
      <w:r w:rsidRPr="00EE7E67">
        <w:lastRenderedPageBreak/>
        <w:t xml:space="preserve">Appendix </w:t>
      </w:r>
      <w:r>
        <w:t>8</w:t>
      </w:r>
      <w:r w:rsidRPr="00EE7E67">
        <w:t xml:space="preserve">: </w:t>
      </w:r>
      <w:r w:rsidRPr="00022F29">
        <w:rPr>
          <w:b w:val="0"/>
        </w:rPr>
        <w:t>SPSS output from hierarchical loglinear analysis</w:t>
      </w:r>
      <w:bookmarkEnd w:id="538"/>
    </w:p>
    <w:p w14:paraId="4CFDC3E1" w14:textId="77777777" w:rsidR="00EE7E67" w:rsidRPr="00EE7E67" w:rsidRDefault="00EE7E67" w:rsidP="00EE7E67"/>
    <w:p w14:paraId="77677AC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NEW FILE.</w:t>
      </w:r>
    </w:p>
    <w:p w14:paraId="57DE1BC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DATASET NAME DataSet3 WINDOW=FRONT.</w:t>
      </w:r>
    </w:p>
    <w:p w14:paraId="7EDD7CE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PRESERVE.</w:t>
      </w:r>
    </w:p>
    <w:p w14:paraId="120CDC2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SET DECIMAL DOT.</w:t>
      </w:r>
    </w:p>
    <w:p w14:paraId="12663C9A" w14:textId="77777777" w:rsidR="00022F29" w:rsidRPr="00022F29" w:rsidRDefault="00022F29" w:rsidP="00022F29">
      <w:pPr>
        <w:rPr>
          <w:rFonts w:ascii="Calibri" w:eastAsia="Calibri" w:hAnsi="Calibri" w:cs="Times New Roman"/>
        </w:rPr>
      </w:pPr>
    </w:p>
    <w:p w14:paraId="772FAC8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GET DATA  /TYPE=TXT</w:t>
      </w:r>
    </w:p>
    <w:p w14:paraId="7AFA5C9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/FILE="/Users/sbateup/Desktop/F.csv"</w:t>
      </w:r>
    </w:p>
    <w:p w14:paraId="71BE9A1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/ENCODING='UTF8'</w:t>
      </w:r>
    </w:p>
    <w:p w14:paraId="382B509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/DELCASE=LINE</w:t>
      </w:r>
    </w:p>
    <w:p w14:paraId="70BF3C5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/DELIMITERS=""</w:t>
      </w:r>
    </w:p>
    <w:p w14:paraId="7379E79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/ARRANGEMENT=DELIMITED</w:t>
      </w:r>
    </w:p>
    <w:p w14:paraId="26B7330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/FIRSTCASE=2</w:t>
      </w:r>
    </w:p>
    <w:p w14:paraId="5D2C4D0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/DATATYPEMIN PERCENTAGE=95.0</w:t>
      </w:r>
    </w:p>
    <w:p w14:paraId="07950BE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/VARIABLES=</w:t>
      </w:r>
    </w:p>
    <w:p w14:paraId="7BF71D8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F AUTO</w:t>
      </w:r>
    </w:p>
    <w:p w14:paraId="5235624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/MAP.</w:t>
      </w:r>
    </w:p>
    <w:p w14:paraId="6507C5C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RESTORE.</w:t>
      </w:r>
    </w:p>
    <w:p w14:paraId="763C80BF" w14:textId="77777777" w:rsidR="00022F29" w:rsidRPr="00022F29" w:rsidRDefault="00022F29" w:rsidP="00022F29">
      <w:pPr>
        <w:rPr>
          <w:rFonts w:ascii="Calibri" w:eastAsia="Calibri" w:hAnsi="Calibri" w:cs="Times New Roman"/>
        </w:rPr>
      </w:pPr>
    </w:p>
    <w:p w14:paraId="0A24047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CACHE.</w:t>
      </w:r>
    </w:p>
    <w:p w14:paraId="22CC246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EXECUTE.</w:t>
      </w:r>
    </w:p>
    <w:p w14:paraId="0C9DF8E3" w14:textId="77777777" w:rsidR="00022F29" w:rsidRPr="00022F29" w:rsidRDefault="00022F29" w:rsidP="00022F29">
      <w:pPr>
        <w:rPr>
          <w:rFonts w:ascii="Calibri" w:eastAsia="Calibri" w:hAnsi="Calibri" w:cs="Times New Roman"/>
        </w:rPr>
      </w:pPr>
    </w:p>
    <w:p w14:paraId="2361D20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Data written to the working file.</w:t>
      </w:r>
    </w:p>
    <w:p w14:paraId="7AC39E9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1 variables and 626 cases written.</w:t>
      </w:r>
    </w:p>
    <w:p w14:paraId="3DA8530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F                  Type: Number  Format : PCT6.3     One or more values were set to system-missing.</w:t>
      </w:r>
    </w:p>
    <w:p w14:paraId="7D86590E" w14:textId="77777777" w:rsidR="00022F29" w:rsidRPr="00022F29" w:rsidRDefault="00022F29" w:rsidP="00022F29">
      <w:pPr>
        <w:rPr>
          <w:rFonts w:ascii="Calibri" w:eastAsia="Calibri" w:hAnsi="Calibri" w:cs="Times New Roman"/>
        </w:rPr>
      </w:pPr>
    </w:p>
    <w:p w14:paraId="261377A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DATASET NAME DataSet4 WINDOW=FRONT.</w:t>
      </w:r>
    </w:p>
    <w:p w14:paraId="53E22E6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DESCRIPTIVES VARIABLES=F</w:t>
      </w:r>
    </w:p>
    <w:p w14:paraId="271A7B4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/STATISTICS=MEAN STDDEV MIN MAX KURTOSIS.</w:t>
      </w:r>
    </w:p>
    <w:p w14:paraId="3DF95C6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Descriptives</w:t>
      </w:r>
    </w:p>
    <w:p w14:paraId="225A483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Notes</w:t>
      </w:r>
      <w:r w:rsidRPr="00022F29">
        <w:rPr>
          <w:rFonts w:ascii="Calibri" w:eastAsia="Calibri" w:hAnsi="Calibri" w:cs="Times New Roman"/>
        </w:rPr>
        <w:tab/>
      </w:r>
      <w:r w:rsidRPr="00022F29">
        <w:rPr>
          <w:rFonts w:ascii="Calibri" w:eastAsia="Calibri" w:hAnsi="Calibri" w:cs="Times New Roman"/>
        </w:rPr>
        <w:tab/>
      </w:r>
    </w:p>
    <w:p w14:paraId="7C9212D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Output Created</w:t>
      </w:r>
      <w:r w:rsidRPr="00022F29">
        <w:rPr>
          <w:rFonts w:ascii="Calibri" w:eastAsia="Calibri" w:hAnsi="Calibri" w:cs="Times New Roman"/>
        </w:rPr>
        <w:tab/>
      </w:r>
      <w:r w:rsidRPr="00022F29">
        <w:rPr>
          <w:rFonts w:ascii="Calibri" w:eastAsia="Calibri" w:hAnsi="Calibri" w:cs="Times New Roman"/>
        </w:rPr>
        <w:tab/>
        <w:t>15-JAN-2019 18:36:12</w:t>
      </w:r>
    </w:p>
    <w:p w14:paraId="0AE8C0C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Comments</w:t>
      </w:r>
      <w:r w:rsidRPr="00022F29">
        <w:rPr>
          <w:rFonts w:ascii="Calibri" w:eastAsia="Calibri" w:hAnsi="Calibri" w:cs="Times New Roman"/>
        </w:rPr>
        <w:tab/>
      </w:r>
      <w:r w:rsidRPr="00022F29">
        <w:rPr>
          <w:rFonts w:ascii="Calibri" w:eastAsia="Calibri" w:hAnsi="Calibri" w:cs="Times New Roman"/>
        </w:rPr>
        <w:tab/>
      </w:r>
    </w:p>
    <w:p w14:paraId="1E387F0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Input</w:t>
      </w:r>
      <w:r w:rsidRPr="00022F29">
        <w:rPr>
          <w:rFonts w:ascii="Calibri" w:eastAsia="Calibri" w:hAnsi="Calibri" w:cs="Times New Roman"/>
        </w:rPr>
        <w:tab/>
        <w:t>Data</w:t>
      </w:r>
      <w:r w:rsidRPr="00022F29">
        <w:rPr>
          <w:rFonts w:ascii="Calibri" w:eastAsia="Calibri" w:hAnsi="Calibri" w:cs="Times New Roman"/>
        </w:rPr>
        <w:tab/>
        <w:t>/Users/sbateup/Desktop/F.csv</w:t>
      </w:r>
    </w:p>
    <w:p w14:paraId="786D856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Active Dataset</w:t>
      </w:r>
      <w:r w:rsidRPr="00022F29">
        <w:rPr>
          <w:rFonts w:ascii="Calibri" w:eastAsia="Calibri" w:hAnsi="Calibri" w:cs="Times New Roman"/>
        </w:rPr>
        <w:tab/>
        <w:t>DataSet4</w:t>
      </w:r>
    </w:p>
    <w:p w14:paraId="1CA4CA0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Filter</w:t>
      </w:r>
      <w:r w:rsidRPr="00022F29">
        <w:rPr>
          <w:rFonts w:ascii="Calibri" w:eastAsia="Calibri" w:hAnsi="Calibri" w:cs="Times New Roman"/>
        </w:rPr>
        <w:tab/>
        <w:t>&lt;none&gt;</w:t>
      </w:r>
    </w:p>
    <w:p w14:paraId="78E6DB6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Weight</w:t>
      </w:r>
      <w:r w:rsidRPr="00022F29">
        <w:rPr>
          <w:rFonts w:ascii="Calibri" w:eastAsia="Calibri" w:hAnsi="Calibri" w:cs="Times New Roman"/>
        </w:rPr>
        <w:tab/>
        <w:t>&lt;none&gt;</w:t>
      </w:r>
    </w:p>
    <w:p w14:paraId="4B7D255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Split File</w:t>
      </w:r>
      <w:r w:rsidRPr="00022F29">
        <w:rPr>
          <w:rFonts w:ascii="Calibri" w:eastAsia="Calibri" w:hAnsi="Calibri" w:cs="Times New Roman"/>
        </w:rPr>
        <w:tab/>
        <w:t>&lt;none&gt;</w:t>
      </w:r>
    </w:p>
    <w:p w14:paraId="1B0D4EC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N of Rows in Working Data File</w:t>
      </w:r>
      <w:r w:rsidRPr="00022F29">
        <w:rPr>
          <w:rFonts w:ascii="Calibri" w:eastAsia="Calibri" w:hAnsi="Calibri" w:cs="Times New Roman"/>
        </w:rPr>
        <w:tab/>
        <w:t>626</w:t>
      </w:r>
    </w:p>
    <w:p w14:paraId="6894AEB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Missing Value Handling</w:t>
      </w:r>
      <w:r w:rsidRPr="00022F29">
        <w:rPr>
          <w:rFonts w:ascii="Calibri" w:eastAsia="Calibri" w:hAnsi="Calibri" w:cs="Times New Roman"/>
        </w:rPr>
        <w:tab/>
        <w:t>Definition of Missing</w:t>
      </w:r>
      <w:r w:rsidRPr="00022F29">
        <w:rPr>
          <w:rFonts w:ascii="Calibri" w:eastAsia="Calibri" w:hAnsi="Calibri" w:cs="Times New Roman"/>
        </w:rPr>
        <w:tab/>
        <w:t>User defined missing values are treated as missing.</w:t>
      </w:r>
    </w:p>
    <w:p w14:paraId="2AFE9A3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Cases Used</w:t>
      </w:r>
      <w:r w:rsidRPr="00022F29">
        <w:rPr>
          <w:rFonts w:ascii="Calibri" w:eastAsia="Calibri" w:hAnsi="Calibri" w:cs="Times New Roman"/>
        </w:rPr>
        <w:tab/>
        <w:t>All non-missing data are used.</w:t>
      </w:r>
    </w:p>
    <w:p w14:paraId="046DEDC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Syntax</w:t>
      </w:r>
      <w:r w:rsidRPr="00022F29">
        <w:rPr>
          <w:rFonts w:ascii="Calibri" w:eastAsia="Calibri" w:hAnsi="Calibri" w:cs="Times New Roman"/>
        </w:rPr>
        <w:tab/>
      </w:r>
      <w:r w:rsidRPr="00022F29">
        <w:rPr>
          <w:rFonts w:ascii="Calibri" w:eastAsia="Calibri" w:hAnsi="Calibri" w:cs="Times New Roman"/>
        </w:rPr>
        <w:tab/>
        <w:t>DESCRIPTIVES VARIABLES=F</w:t>
      </w:r>
    </w:p>
    <w:p w14:paraId="0847593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/STATISTICS=MEAN STDDEV MIN MAX KURTOSIS.</w:t>
      </w:r>
    </w:p>
    <w:p w14:paraId="3437354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Resources</w:t>
      </w:r>
      <w:r w:rsidRPr="00022F29">
        <w:rPr>
          <w:rFonts w:ascii="Calibri" w:eastAsia="Calibri" w:hAnsi="Calibri" w:cs="Times New Roman"/>
        </w:rPr>
        <w:tab/>
        <w:t>Processor Time</w:t>
      </w:r>
      <w:r w:rsidRPr="00022F29">
        <w:rPr>
          <w:rFonts w:ascii="Calibri" w:eastAsia="Calibri" w:hAnsi="Calibri" w:cs="Times New Roman"/>
        </w:rPr>
        <w:tab/>
        <w:t>00:00:00.00</w:t>
      </w:r>
    </w:p>
    <w:p w14:paraId="4502CC0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b/>
        <w:t>Elapsed Time</w:t>
      </w:r>
      <w:r w:rsidRPr="00022F29">
        <w:rPr>
          <w:rFonts w:ascii="Calibri" w:eastAsia="Calibri" w:hAnsi="Calibri" w:cs="Times New Roman"/>
        </w:rPr>
        <w:tab/>
        <w:t>00:00:00.00</w:t>
      </w:r>
    </w:p>
    <w:p w14:paraId="17598149" w14:textId="77777777" w:rsidR="00022F29" w:rsidRPr="00022F29" w:rsidRDefault="00022F29" w:rsidP="00022F29">
      <w:pPr>
        <w:rPr>
          <w:rFonts w:ascii="Calibri" w:eastAsia="Calibri" w:hAnsi="Calibri" w:cs="Times New Roman"/>
        </w:rPr>
      </w:pPr>
    </w:p>
    <w:p w14:paraId="5FC17A1A" w14:textId="77777777" w:rsidR="00022F29" w:rsidRPr="00022F29" w:rsidRDefault="00022F29" w:rsidP="00022F29">
      <w:pPr>
        <w:rPr>
          <w:rFonts w:ascii="Calibri" w:eastAsia="Calibri" w:hAnsi="Calibri" w:cs="Times New Roman"/>
        </w:rPr>
      </w:pPr>
    </w:p>
    <w:p w14:paraId="1C761436" w14:textId="77777777" w:rsidR="00022F29" w:rsidRPr="00022F29" w:rsidRDefault="00022F29" w:rsidP="00022F29">
      <w:pPr>
        <w:rPr>
          <w:rFonts w:ascii="Calibri" w:eastAsia="Calibri" w:hAnsi="Calibri" w:cs="Times New Roman"/>
        </w:rPr>
      </w:pPr>
    </w:p>
    <w:p w14:paraId="78F20A2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[DataSet4] </w:t>
      </w:r>
    </w:p>
    <w:p w14:paraId="787C25E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Descriptive Statistics</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4DC7D1E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N</w:t>
      </w:r>
      <w:r w:rsidRPr="00022F29">
        <w:rPr>
          <w:rFonts w:ascii="Calibri" w:eastAsia="Calibri" w:hAnsi="Calibri" w:cs="Times New Roman"/>
        </w:rPr>
        <w:tab/>
        <w:t>Minimum</w:t>
      </w:r>
      <w:r w:rsidRPr="00022F29">
        <w:rPr>
          <w:rFonts w:ascii="Calibri" w:eastAsia="Calibri" w:hAnsi="Calibri" w:cs="Times New Roman"/>
        </w:rPr>
        <w:tab/>
        <w:t>Maximum</w:t>
      </w:r>
      <w:r w:rsidRPr="00022F29">
        <w:rPr>
          <w:rFonts w:ascii="Calibri" w:eastAsia="Calibri" w:hAnsi="Calibri" w:cs="Times New Roman"/>
        </w:rPr>
        <w:tab/>
        <w:t>Mean</w:t>
      </w:r>
      <w:r w:rsidRPr="00022F29">
        <w:rPr>
          <w:rFonts w:ascii="Calibri" w:eastAsia="Calibri" w:hAnsi="Calibri" w:cs="Times New Roman"/>
        </w:rPr>
        <w:tab/>
        <w:t>Std. Deviation</w:t>
      </w:r>
      <w:r w:rsidRPr="00022F29">
        <w:rPr>
          <w:rFonts w:ascii="Calibri" w:eastAsia="Calibri" w:hAnsi="Calibri" w:cs="Times New Roman"/>
        </w:rPr>
        <w:tab/>
        <w:t>Kurtosis</w:t>
      </w:r>
      <w:r w:rsidRPr="00022F29">
        <w:rPr>
          <w:rFonts w:ascii="Calibri" w:eastAsia="Calibri" w:hAnsi="Calibri" w:cs="Times New Roman"/>
        </w:rPr>
        <w:tab/>
      </w:r>
    </w:p>
    <w:p w14:paraId="05CD99C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Statistic</w:t>
      </w:r>
      <w:r w:rsidRPr="00022F29">
        <w:rPr>
          <w:rFonts w:ascii="Calibri" w:eastAsia="Calibri" w:hAnsi="Calibri" w:cs="Times New Roman"/>
        </w:rPr>
        <w:tab/>
        <w:t>Statistic</w:t>
      </w:r>
      <w:r w:rsidRPr="00022F29">
        <w:rPr>
          <w:rFonts w:ascii="Calibri" w:eastAsia="Calibri" w:hAnsi="Calibri" w:cs="Times New Roman"/>
        </w:rPr>
        <w:tab/>
        <w:t>Statistic</w:t>
      </w:r>
      <w:r w:rsidRPr="00022F29">
        <w:rPr>
          <w:rFonts w:ascii="Calibri" w:eastAsia="Calibri" w:hAnsi="Calibri" w:cs="Times New Roman"/>
        </w:rPr>
        <w:tab/>
        <w:t>Statistic</w:t>
      </w:r>
      <w:r w:rsidRPr="00022F29">
        <w:rPr>
          <w:rFonts w:ascii="Calibri" w:eastAsia="Calibri" w:hAnsi="Calibri" w:cs="Times New Roman"/>
        </w:rPr>
        <w:tab/>
        <w:t>Statistic</w:t>
      </w:r>
      <w:r w:rsidRPr="00022F29">
        <w:rPr>
          <w:rFonts w:ascii="Calibri" w:eastAsia="Calibri" w:hAnsi="Calibri" w:cs="Times New Roman"/>
        </w:rPr>
        <w:tab/>
        <w:t>Statistic</w:t>
      </w:r>
      <w:r w:rsidRPr="00022F29">
        <w:rPr>
          <w:rFonts w:ascii="Calibri" w:eastAsia="Calibri" w:hAnsi="Calibri" w:cs="Times New Roman"/>
        </w:rPr>
        <w:tab/>
        <w:t>Std. Error</w:t>
      </w:r>
    </w:p>
    <w:p w14:paraId="3B90A2C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w:t>
      </w:r>
      <w:r w:rsidRPr="00022F29">
        <w:rPr>
          <w:rFonts w:ascii="Calibri" w:eastAsia="Calibri" w:hAnsi="Calibri" w:cs="Times New Roman"/>
        </w:rPr>
        <w:tab/>
        <w:t>624</w:t>
      </w:r>
      <w:r w:rsidRPr="00022F29">
        <w:rPr>
          <w:rFonts w:ascii="Calibri" w:eastAsia="Calibri" w:hAnsi="Calibri" w:cs="Times New Roman"/>
        </w:rPr>
        <w:tab/>
        <w:t>5.000%</w:t>
      </w:r>
      <w:r w:rsidRPr="00022F29">
        <w:rPr>
          <w:rFonts w:ascii="Calibri" w:eastAsia="Calibri" w:hAnsi="Calibri" w:cs="Times New Roman"/>
        </w:rPr>
        <w:tab/>
        <w:t>81.900%</w:t>
      </w:r>
      <w:r w:rsidRPr="00022F29">
        <w:rPr>
          <w:rFonts w:ascii="Calibri" w:eastAsia="Calibri" w:hAnsi="Calibri" w:cs="Times New Roman"/>
        </w:rPr>
        <w:tab/>
        <w:t>40.17615%</w:t>
      </w:r>
      <w:r w:rsidRPr="00022F29">
        <w:rPr>
          <w:rFonts w:ascii="Calibri" w:eastAsia="Calibri" w:hAnsi="Calibri" w:cs="Times New Roman"/>
        </w:rPr>
        <w:tab/>
        <w:t>13.151269%</w:t>
      </w:r>
      <w:r w:rsidRPr="00022F29">
        <w:rPr>
          <w:rFonts w:ascii="Calibri" w:eastAsia="Calibri" w:hAnsi="Calibri" w:cs="Times New Roman"/>
        </w:rPr>
        <w:tab/>
        <w:t>-.043</w:t>
      </w:r>
      <w:r w:rsidRPr="00022F29">
        <w:rPr>
          <w:rFonts w:ascii="Calibri" w:eastAsia="Calibri" w:hAnsi="Calibri" w:cs="Times New Roman"/>
        </w:rPr>
        <w:tab/>
        <w:t>.195</w:t>
      </w:r>
    </w:p>
    <w:p w14:paraId="36C2B84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Valid N (listwise)</w:t>
      </w:r>
      <w:r w:rsidRPr="00022F29">
        <w:rPr>
          <w:rFonts w:ascii="Calibri" w:eastAsia="Calibri" w:hAnsi="Calibri" w:cs="Times New Roman"/>
        </w:rPr>
        <w:tab/>
        <w:t>624</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6724C799" w14:textId="77777777" w:rsidR="00022F29" w:rsidRPr="00022F29" w:rsidRDefault="00022F29" w:rsidP="00022F29">
      <w:pPr>
        <w:rPr>
          <w:rFonts w:ascii="Calibri" w:eastAsia="Calibri" w:hAnsi="Calibri" w:cs="Times New Roman"/>
        </w:rPr>
      </w:pPr>
    </w:p>
    <w:p w14:paraId="090A14D3" w14:textId="77777777" w:rsidR="00022F29" w:rsidRPr="00022F29" w:rsidRDefault="00022F29" w:rsidP="00022F29">
      <w:pPr>
        <w:rPr>
          <w:rFonts w:ascii="Calibri" w:eastAsia="Calibri" w:hAnsi="Calibri" w:cs="Times New Roman"/>
        </w:rPr>
      </w:pPr>
    </w:p>
    <w:p w14:paraId="62CD86C4" w14:textId="77777777" w:rsidR="00022F29" w:rsidRPr="00022F29" w:rsidRDefault="00022F29" w:rsidP="00022F29">
      <w:pPr>
        <w:rPr>
          <w:rFonts w:ascii="Calibri" w:eastAsia="Calibri" w:hAnsi="Calibri" w:cs="Times New Roman"/>
        </w:rPr>
      </w:pPr>
    </w:p>
    <w:p w14:paraId="01B7FC2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FREQUENCIES VARIABLES=F</w:t>
      </w:r>
    </w:p>
    <w:p w14:paraId="0A51FE3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/NTILES=4</w:t>
      </w:r>
    </w:p>
    <w:p w14:paraId="0691B8A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/NTILES=4</w:t>
      </w:r>
    </w:p>
    <w:p w14:paraId="1F66C6F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/STATISTICS=STDDEV MEAN MEDIAN MODE SKEWNESS SESKEW KURTOSIS SEKURT</w:t>
      </w:r>
    </w:p>
    <w:p w14:paraId="44ECB60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/HISTOGRAM NORMAL</w:t>
      </w:r>
    </w:p>
    <w:p w14:paraId="4810D10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/ORDER=ANALYSIS.</w:t>
      </w:r>
    </w:p>
    <w:p w14:paraId="482F341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Frequencies</w:t>
      </w:r>
    </w:p>
    <w:p w14:paraId="55EDFB3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Notes</w:t>
      </w:r>
      <w:r w:rsidRPr="00022F29">
        <w:rPr>
          <w:rFonts w:ascii="Calibri" w:eastAsia="Calibri" w:hAnsi="Calibri" w:cs="Times New Roman"/>
        </w:rPr>
        <w:tab/>
      </w:r>
      <w:r w:rsidRPr="00022F29">
        <w:rPr>
          <w:rFonts w:ascii="Calibri" w:eastAsia="Calibri" w:hAnsi="Calibri" w:cs="Times New Roman"/>
        </w:rPr>
        <w:tab/>
      </w:r>
    </w:p>
    <w:p w14:paraId="25CB7B4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Output Created</w:t>
      </w:r>
      <w:r w:rsidRPr="00022F29">
        <w:rPr>
          <w:rFonts w:ascii="Calibri" w:eastAsia="Calibri" w:hAnsi="Calibri" w:cs="Times New Roman"/>
        </w:rPr>
        <w:tab/>
      </w:r>
      <w:r w:rsidRPr="00022F29">
        <w:rPr>
          <w:rFonts w:ascii="Calibri" w:eastAsia="Calibri" w:hAnsi="Calibri" w:cs="Times New Roman"/>
        </w:rPr>
        <w:tab/>
        <w:t>15-JAN-2019 18:37:42</w:t>
      </w:r>
    </w:p>
    <w:p w14:paraId="0A44DD7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Comments</w:t>
      </w:r>
      <w:r w:rsidRPr="00022F29">
        <w:rPr>
          <w:rFonts w:ascii="Calibri" w:eastAsia="Calibri" w:hAnsi="Calibri" w:cs="Times New Roman"/>
        </w:rPr>
        <w:tab/>
      </w:r>
      <w:r w:rsidRPr="00022F29">
        <w:rPr>
          <w:rFonts w:ascii="Calibri" w:eastAsia="Calibri" w:hAnsi="Calibri" w:cs="Times New Roman"/>
        </w:rPr>
        <w:tab/>
      </w:r>
    </w:p>
    <w:p w14:paraId="0EEFBD3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Input</w:t>
      </w:r>
      <w:r w:rsidRPr="00022F29">
        <w:rPr>
          <w:rFonts w:ascii="Calibri" w:eastAsia="Calibri" w:hAnsi="Calibri" w:cs="Times New Roman"/>
        </w:rPr>
        <w:tab/>
        <w:t>Data</w:t>
      </w:r>
      <w:r w:rsidRPr="00022F29">
        <w:rPr>
          <w:rFonts w:ascii="Calibri" w:eastAsia="Calibri" w:hAnsi="Calibri" w:cs="Times New Roman"/>
        </w:rPr>
        <w:tab/>
        <w:t>/Users/sbateup/Desktop/F.csv</w:t>
      </w:r>
    </w:p>
    <w:p w14:paraId="1E3AFBA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Active Dataset</w:t>
      </w:r>
      <w:r w:rsidRPr="00022F29">
        <w:rPr>
          <w:rFonts w:ascii="Calibri" w:eastAsia="Calibri" w:hAnsi="Calibri" w:cs="Times New Roman"/>
        </w:rPr>
        <w:tab/>
        <w:t>DataSet4</w:t>
      </w:r>
    </w:p>
    <w:p w14:paraId="57D4847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Filter</w:t>
      </w:r>
      <w:r w:rsidRPr="00022F29">
        <w:rPr>
          <w:rFonts w:ascii="Calibri" w:eastAsia="Calibri" w:hAnsi="Calibri" w:cs="Times New Roman"/>
        </w:rPr>
        <w:tab/>
        <w:t>&lt;none&gt;</w:t>
      </w:r>
    </w:p>
    <w:p w14:paraId="0EE9AFE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Weight</w:t>
      </w:r>
      <w:r w:rsidRPr="00022F29">
        <w:rPr>
          <w:rFonts w:ascii="Calibri" w:eastAsia="Calibri" w:hAnsi="Calibri" w:cs="Times New Roman"/>
        </w:rPr>
        <w:tab/>
        <w:t>&lt;none&gt;</w:t>
      </w:r>
    </w:p>
    <w:p w14:paraId="360EFEE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Split File</w:t>
      </w:r>
      <w:r w:rsidRPr="00022F29">
        <w:rPr>
          <w:rFonts w:ascii="Calibri" w:eastAsia="Calibri" w:hAnsi="Calibri" w:cs="Times New Roman"/>
        </w:rPr>
        <w:tab/>
        <w:t>&lt;none&gt;</w:t>
      </w:r>
    </w:p>
    <w:p w14:paraId="7854A0C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N of Rows in Working Data File</w:t>
      </w:r>
      <w:r w:rsidRPr="00022F29">
        <w:rPr>
          <w:rFonts w:ascii="Calibri" w:eastAsia="Calibri" w:hAnsi="Calibri" w:cs="Times New Roman"/>
        </w:rPr>
        <w:tab/>
        <w:t>626</w:t>
      </w:r>
    </w:p>
    <w:p w14:paraId="61A9D8F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Missing Value Handling</w:t>
      </w:r>
      <w:r w:rsidRPr="00022F29">
        <w:rPr>
          <w:rFonts w:ascii="Calibri" w:eastAsia="Calibri" w:hAnsi="Calibri" w:cs="Times New Roman"/>
        </w:rPr>
        <w:tab/>
        <w:t>Definition of Missing</w:t>
      </w:r>
      <w:r w:rsidRPr="00022F29">
        <w:rPr>
          <w:rFonts w:ascii="Calibri" w:eastAsia="Calibri" w:hAnsi="Calibri" w:cs="Times New Roman"/>
        </w:rPr>
        <w:tab/>
        <w:t>User-defined missing values are treated as missing.</w:t>
      </w:r>
    </w:p>
    <w:p w14:paraId="4BF5B61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Cases Used</w:t>
      </w:r>
      <w:r w:rsidRPr="00022F29">
        <w:rPr>
          <w:rFonts w:ascii="Calibri" w:eastAsia="Calibri" w:hAnsi="Calibri" w:cs="Times New Roman"/>
        </w:rPr>
        <w:tab/>
        <w:t>Statistics are based on all cases with valid data.</w:t>
      </w:r>
    </w:p>
    <w:p w14:paraId="2C56ED2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Syntax</w:t>
      </w:r>
      <w:r w:rsidRPr="00022F29">
        <w:rPr>
          <w:rFonts w:ascii="Calibri" w:eastAsia="Calibri" w:hAnsi="Calibri" w:cs="Times New Roman"/>
        </w:rPr>
        <w:tab/>
      </w:r>
      <w:r w:rsidRPr="00022F29">
        <w:rPr>
          <w:rFonts w:ascii="Calibri" w:eastAsia="Calibri" w:hAnsi="Calibri" w:cs="Times New Roman"/>
        </w:rPr>
        <w:tab/>
        <w:t>FREQUENCIES VARIABLES=F</w:t>
      </w:r>
    </w:p>
    <w:p w14:paraId="1DD449A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/NTILES=4</w:t>
      </w:r>
    </w:p>
    <w:p w14:paraId="741B7C9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/NTILES=4</w:t>
      </w:r>
    </w:p>
    <w:p w14:paraId="5D887C2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/STATISTICS=STDDEV MEAN MEDIAN MODE SKEWNESS SESKEW KURTOSIS SEKURT</w:t>
      </w:r>
    </w:p>
    <w:p w14:paraId="581004B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/HISTOGRAM NORMAL</w:t>
      </w:r>
    </w:p>
    <w:p w14:paraId="7992AA5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/ORDER=ANALYSIS.</w:t>
      </w:r>
    </w:p>
    <w:p w14:paraId="0A9CAF3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Resources</w:t>
      </w:r>
      <w:r w:rsidRPr="00022F29">
        <w:rPr>
          <w:rFonts w:ascii="Calibri" w:eastAsia="Calibri" w:hAnsi="Calibri" w:cs="Times New Roman"/>
        </w:rPr>
        <w:tab/>
        <w:t>Processor Time</w:t>
      </w:r>
      <w:r w:rsidRPr="00022F29">
        <w:rPr>
          <w:rFonts w:ascii="Calibri" w:eastAsia="Calibri" w:hAnsi="Calibri" w:cs="Times New Roman"/>
        </w:rPr>
        <w:tab/>
        <w:t>00:00:01.81</w:t>
      </w:r>
    </w:p>
    <w:p w14:paraId="37FB412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Elapsed Time</w:t>
      </w:r>
      <w:r w:rsidRPr="00022F29">
        <w:rPr>
          <w:rFonts w:ascii="Calibri" w:eastAsia="Calibri" w:hAnsi="Calibri" w:cs="Times New Roman"/>
        </w:rPr>
        <w:tab/>
        <w:t>00:00:01.00</w:t>
      </w:r>
    </w:p>
    <w:p w14:paraId="3CFE4889" w14:textId="77777777" w:rsidR="00022F29" w:rsidRPr="00022F29" w:rsidRDefault="00022F29" w:rsidP="00022F29">
      <w:pPr>
        <w:rPr>
          <w:rFonts w:ascii="Calibri" w:eastAsia="Calibri" w:hAnsi="Calibri" w:cs="Times New Roman"/>
        </w:rPr>
      </w:pPr>
    </w:p>
    <w:p w14:paraId="0231766E" w14:textId="77777777" w:rsidR="00022F29" w:rsidRPr="00022F29" w:rsidRDefault="00022F29" w:rsidP="00022F29">
      <w:pPr>
        <w:rPr>
          <w:rFonts w:ascii="Calibri" w:eastAsia="Calibri" w:hAnsi="Calibri" w:cs="Times New Roman"/>
        </w:rPr>
      </w:pPr>
    </w:p>
    <w:p w14:paraId="3E991874" w14:textId="77777777" w:rsidR="00022F29" w:rsidRPr="00022F29" w:rsidRDefault="00022F29" w:rsidP="00022F29">
      <w:pPr>
        <w:rPr>
          <w:rFonts w:ascii="Calibri" w:eastAsia="Calibri" w:hAnsi="Calibri" w:cs="Times New Roman"/>
        </w:rPr>
      </w:pPr>
    </w:p>
    <w:p w14:paraId="124BE05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Statistics</w:t>
      </w:r>
      <w:r w:rsidRPr="00022F29">
        <w:rPr>
          <w:rFonts w:ascii="Calibri" w:eastAsia="Calibri" w:hAnsi="Calibri" w:cs="Times New Roman"/>
        </w:rPr>
        <w:tab/>
      </w:r>
      <w:r w:rsidRPr="00022F29">
        <w:rPr>
          <w:rFonts w:ascii="Calibri" w:eastAsia="Calibri" w:hAnsi="Calibri" w:cs="Times New Roman"/>
        </w:rPr>
        <w:tab/>
      </w:r>
    </w:p>
    <w:p w14:paraId="03EAAEB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F </w:t>
      </w:r>
    </w:p>
    <w:p w14:paraId="5D3E84E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N</w:t>
      </w:r>
      <w:r w:rsidRPr="00022F29">
        <w:rPr>
          <w:rFonts w:ascii="Calibri" w:eastAsia="Calibri" w:hAnsi="Calibri" w:cs="Times New Roman"/>
        </w:rPr>
        <w:tab/>
        <w:t>Valid</w:t>
      </w:r>
      <w:r w:rsidRPr="00022F29">
        <w:rPr>
          <w:rFonts w:ascii="Calibri" w:eastAsia="Calibri" w:hAnsi="Calibri" w:cs="Times New Roman"/>
        </w:rPr>
        <w:tab/>
        <w:t>624</w:t>
      </w:r>
    </w:p>
    <w:p w14:paraId="427CFED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b/>
        <w:t>Missing</w:t>
      </w:r>
      <w:r w:rsidRPr="00022F29">
        <w:rPr>
          <w:rFonts w:ascii="Calibri" w:eastAsia="Calibri" w:hAnsi="Calibri" w:cs="Times New Roman"/>
        </w:rPr>
        <w:tab/>
        <w:t>2</w:t>
      </w:r>
    </w:p>
    <w:p w14:paraId="50483F3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Mean</w:t>
      </w:r>
      <w:r w:rsidRPr="00022F29">
        <w:rPr>
          <w:rFonts w:ascii="Calibri" w:eastAsia="Calibri" w:hAnsi="Calibri" w:cs="Times New Roman"/>
        </w:rPr>
        <w:tab/>
      </w:r>
      <w:r w:rsidRPr="00022F29">
        <w:rPr>
          <w:rFonts w:ascii="Calibri" w:eastAsia="Calibri" w:hAnsi="Calibri" w:cs="Times New Roman"/>
        </w:rPr>
        <w:tab/>
        <w:t>40.17615%</w:t>
      </w:r>
    </w:p>
    <w:p w14:paraId="7EACF52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Median</w:t>
      </w:r>
      <w:r w:rsidRPr="00022F29">
        <w:rPr>
          <w:rFonts w:ascii="Calibri" w:eastAsia="Calibri" w:hAnsi="Calibri" w:cs="Times New Roman"/>
        </w:rPr>
        <w:tab/>
      </w:r>
      <w:r w:rsidRPr="00022F29">
        <w:rPr>
          <w:rFonts w:ascii="Calibri" w:eastAsia="Calibri" w:hAnsi="Calibri" w:cs="Times New Roman"/>
        </w:rPr>
        <w:tab/>
        <w:t>40.28000%</w:t>
      </w:r>
    </w:p>
    <w:p w14:paraId="4C465F9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Mode</w:t>
      </w:r>
      <w:r w:rsidRPr="00022F29">
        <w:rPr>
          <w:rFonts w:ascii="Calibri" w:eastAsia="Calibri" w:hAnsi="Calibri" w:cs="Times New Roman"/>
        </w:rPr>
        <w:tab/>
      </w:r>
      <w:r w:rsidRPr="00022F29">
        <w:rPr>
          <w:rFonts w:ascii="Calibri" w:eastAsia="Calibri" w:hAnsi="Calibri" w:cs="Times New Roman"/>
        </w:rPr>
        <w:tab/>
        <w:t>50.000%</w:t>
      </w:r>
    </w:p>
    <w:p w14:paraId="42CD1BB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Std. Deviation</w:t>
      </w:r>
      <w:r w:rsidRPr="00022F29">
        <w:rPr>
          <w:rFonts w:ascii="Calibri" w:eastAsia="Calibri" w:hAnsi="Calibri" w:cs="Times New Roman"/>
        </w:rPr>
        <w:tab/>
      </w:r>
      <w:r w:rsidRPr="00022F29">
        <w:rPr>
          <w:rFonts w:ascii="Calibri" w:eastAsia="Calibri" w:hAnsi="Calibri" w:cs="Times New Roman"/>
        </w:rPr>
        <w:tab/>
        <w:t>13.151269%</w:t>
      </w:r>
    </w:p>
    <w:p w14:paraId="51ACED6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Skewness</w:t>
      </w:r>
      <w:r w:rsidRPr="00022F29">
        <w:rPr>
          <w:rFonts w:ascii="Calibri" w:eastAsia="Calibri" w:hAnsi="Calibri" w:cs="Times New Roman"/>
        </w:rPr>
        <w:tab/>
      </w:r>
      <w:r w:rsidRPr="00022F29">
        <w:rPr>
          <w:rFonts w:ascii="Calibri" w:eastAsia="Calibri" w:hAnsi="Calibri" w:cs="Times New Roman"/>
        </w:rPr>
        <w:tab/>
        <w:t>.201</w:t>
      </w:r>
    </w:p>
    <w:p w14:paraId="721BA16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Std. Error of Skewness</w:t>
      </w:r>
      <w:r w:rsidRPr="00022F29">
        <w:rPr>
          <w:rFonts w:ascii="Calibri" w:eastAsia="Calibri" w:hAnsi="Calibri" w:cs="Times New Roman"/>
        </w:rPr>
        <w:tab/>
      </w:r>
      <w:r w:rsidRPr="00022F29">
        <w:rPr>
          <w:rFonts w:ascii="Calibri" w:eastAsia="Calibri" w:hAnsi="Calibri" w:cs="Times New Roman"/>
        </w:rPr>
        <w:tab/>
        <w:t>.098</w:t>
      </w:r>
    </w:p>
    <w:p w14:paraId="290B5C8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Kurtosis</w:t>
      </w:r>
      <w:r w:rsidRPr="00022F29">
        <w:rPr>
          <w:rFonts w:ascii="Calibri" w:eastAsia="Calibri" w:hAnsi="Calibri" w:cs="Times New Roman"/>
        </w:rPr>
        <w:tab/>
      </w:r>
      <w:r w:rsidRPr="00022F29">
        <w:rPr>
          <w:rFonts w:ascii="Calibri" w:eastAsia="Calibri" w:hAnsi="Calibri" w:cs="Times New Roman"/>
        </w:rPr>
        <w:tab/>
        <w:t>-.043</w:t>
      </w:r>
    </w:p>
    <w:p w14:paraId="33E9BA2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Std. Error of Kurtosis</w:t>
      </w:r>
      <w:r w:rsidRPr="00022F29">
        <w:rPr>
          <w:rFonts w:ascii="Calibri" w:eastAsia="Calibri" w:hAnsi="Calibri" w:cs="Times New Roman"/>
        </w:rPr>
        <w:tab/>
      </w:r>
      <w:r w:rsidRPr="00022F29">
        <w:rPr>
          <w:rFonts w:ascii="Calibri" w:eastAsia="Calibri" w:hAnsi="Calibri" w:cs="Times New Roman"/>
        </w:rPr>
        <w:tab/>
        <w:t>.195</w:t>
      </w:r>
    </w:p>
    <w:p w14:paraId="28964CF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Percentiles</w:t>
      </w:r>
      <w:r w:rsidRPr="00022F29">
        <w:rPr>
          <w:rFonts w:ascii="Calibri" w:eastAsia="Calibri" w:hAnsi="Calibri" w:cs="Times New Roman"/>
        </w:rPr>
        <w:tab/>
        <w:t>25</w:t>
      </w:r>
      <w:r w:rsidRPr="00022F29">
        <w:rPr>
          <w:rFonts w:ascii="Calibri" w:eastAsia="Calibri" w:hAnsi="Calibri" w:cs="Times New Roman"/>
        </w:rPr>
        <w:tab/>
        <w:t>30.60000%</w:t>
      </w:r>
    </w:p>
    <w:p w14:paraId="29139CC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50</w:t>
      </w:r>
      <w:r w:rsidRPr="00022F29">
        <w:rPr>
          <w:rFonts w:ascii="Calibri" w:eastAsia="Calibri" w:hAnsi="Calibri" w:cs="Times New Roman"/>
        </w:rPr>
        <w:tab/>
        <w:t>40.28000%</w:t>
      </w:r>
    </w:p>
    <w:p w14:paraId="7072AAE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75</w:t>
      </w:r>
      <w:r w:rsidRPr="00022F29">
        <w:rPr>
          <w:rFonts w:ascii="Calibri" w:eastAsia="Calibri" w:hAnsi="Calibri" w:cs="Times New Roman"/>
        </w:rPr>
        <w:tab/>
        <w:t>48.61000%</w:t>
      </w:r>
    </w:p>
    <w:p w14:paraId="7A14331D" w14:textId="77777777" w:rsidR="00022F29" w:rsidRPr="00022F29" w:rsidRDefault="00022F29" w:rsidP="00022F29">
      <w:pPr>
        <w:rPr>
          <w:rFonts w:ascii="Calibri" w:eastAsia="Calibri" w:hAnsi="Calibri" w:cs="Times New Roman"/>
        </w:rPr>
      </w:pPr>
    </w:p>
    <w:p w14:paraId="73F9EAD3" w14:textId="77777777" w:rsidR="00022F29" w:rsidRPr="00022F29" w:rsidRDefault="00022F29" w:rsidP="00022F29">
      <w:pPr>
        <w:rPr>
          <w:rFonts w:ascii="Calibri" w:eastAsia="Calibri" w:hAnsi="Calibri" w:cs="Times New Roman"/>
        </w:rPr>
      </w:pPr>
    </w:p>
    <w:p w14:paraId="55B29444" w14:textId="77777777" w:rsidR="00022F29" w:rsidRPr="00022F29" w:rsidRDefault="00022F29" w:rsidP="00022F29">
      <w:pPr>
        <w:rPr>
          <w:rFonts w:ascii="Calibri" w:eastAsia="Calibri" w:hAnsi="Calibri" w:cs="Times New Roman"/>
        </w:rPr>
      </w:pPr>
    </w:p>
    <w:p w14:paraId="3EEED90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6C08EA0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Frequency</w:t>
      </w:r>
      <w:r w:rsidRPr="00022F29">
        <w:rPr>
          <w:rFonts w:ascii="Calibri" w:eastAsia="Calibri" w:hAnsi="Calibri" w:cs="Times New Roman"/>
        </w:rPr>
        <w:tab/>
        <w:t>Percent</w:t>
      </w:r>
      <w:r w:rsidRPr="00022F29">
        <w:rPr>
          <w:rFonts w:ascii="Calibri" w:eastAsia="Calibri" w:hAnsi="Calibri" w:cs="Times New Roman"/>
        </w:rPr>
        <w:tab/>
        <w:t>Valid Percent</w:t>
      </w:r>
      <w:r w:rsidRPr="00022F29">
        <w:rPr>
          <w:rFonts w:ascii="Calibri" w:eastAsia="Calibri" w:hAnsi="Calibri" w:cs="Times New Roman"/>
        </w:rPr>
        <w:tab/>
        <w:t>Cumulative Percent</w:t>
      </w:r>
    </w:p>
    <w:p w14:paraId="2D083FB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Valid</w:t>
      </w:r>
      <w:r w:rsidRPr="00022F29">
        <w:rPr>
          <w:rFonts w:ascii="Calibri" w:eastAsia="Calibri" w:hAnsi="Calibri" w:cs="Times New Roman"/>
        </w:rPr>
        <w:tab/>
        <w:t>5.000%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.2</w:t>
      </w:r>
    </w:p>
    <w:p w14:paraId="3080B8C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6.000%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.3</w:t>
      </w:r>
    </w:p>
    <w:p w14:paraId="553D82B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8.000%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.5</w:t>
      </w:r>
    </w:p>
    <w:p w14:paraId="33CC407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11.000%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.6</w:t>
      </w:r>
    </w:p>
    <w:p w14:paraId="3DD289A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12.500%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1.0</w:t>
      </w:r>
    </w:p>
    <w:p w14:paraId="50F76C6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13.890%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1.1</w:t>
      </w:r>
    </w:p>
    <w:p w14:paraId="3F06E07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15.000%</w:t>
      </w:r>
      <w:r w:rsidRPr="00022F29">
        <w:rPr>
          <w:rFonts w:ascii="Calibri" w:eastAsia="Calibri" w:hAnsi="Calibri" w:cs="Times New Roman"/>
        </w:rPr>
        <w:tab/>
        <w:t>4</w:t>
      </w:r>
      <w:r w:rsidRPr="00022F29">
        <w:rPr>
          <w:rFonts w:ascii="Calibri" w:eastAsia="Calibri" w:hAnsi="Calibri" w:cs="Times New Roman"/>
        </w:rPr>
        <w:tab/>
        <w:t>.6</w:t>
      </w:r>
      <w:r w:rsidRPr="00022F29">
        <w:rPr>
          <w:rFonts w:ascii="Calibri" w:eastAsia="Calibri" w:hAnsi="Calibri" w:cs="Times New Roman"/>
        </w:rPr>
        <w:tab/>
        <w:t>.6</w:t>
      </w:r>
      <w:r w:rsidRPr="00022F29">
        <w:rPr>
          <w:rFonts w:ascii="Calibri" w:eastAsia="Calibri" w:hAnsi="Calibri" w:cs="Times New Roman"/>
        </w:rPr>
        <w:tab/>
        <w:t>1.8</w:t>
      </w:r>
    </w:p>
    <w:p w14:paraId="05DD494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15.280%</w:t>
      </w:r>
      <w:r w:rsidRPr="00022F29">
        <w:rPr>
          <w:rFonts w:ascii="Calibri" w:eastAsia="Calibri" w:hAnsi="Calibri" w:cs="Times New Roman"/>
        </w:rPr>
        <w:tab/>
        <w:t>3</w:t>
      </w:r>
      <w:r w:rsidRPr="00022F29">
        <w:rPr>
          <w:rFonts w:ascii="Calibri" w:eastAsia="Calibri" w:hAnsi="Calibri" w:cs="Times New Roman"/>
        </w:rPr>
        <w:tab/>
        <w:t>.5</w:t>
      </w:r>
      <w:r w:rsidRPr="00022F29">
        <w:rPr>
          <w:rFonts w:ascii="Calibri" w:eastAsia="Calibri" w:hAnsi="Calibri" w:cs="Times New Roman"/>
        </w:rPr>
        <w:tab/>
        <w:t>.5</w:t>
      </w:r>
      <w:r w:rsidRPr="00022F29">
        <w:rPr>
          <w:rFonts w:ascii="Calibri" w:eastAsia="Calibri" w:hAnsi="Calibri" w:cs="Times New Roman"/>
        </w:rPr>
        <w:tab/>
        <w:t>2.2</w:t>
      </w:r>
    </w:p>
    <w:p w14:paraId="15504CA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16.600%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2.4</w:t>
      </w:r>
    </w:p>
    <w:p w14:paraId="4498ACA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16.670%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2.6</w:t>
      </w:r>
    </w:p>
    <w:p w14:paraId="30247FA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16.700%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2.9</w:t>
      </w:r>
    </w:p>
    <w:p w14:paraId="0341DC4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17.000%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3.0</w:t>
      </w:r>
    </w:p>
    <w:p w14:paraId="10AB27A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18.000%</w:t>
      </w:r>
      <w:r w:rsidRPr="00022F29">
        <w:rPr>
          <w:rFonts w:ascii="Calibri" w:eastAsia="Calibri" w:hAnsi="Calibri" w:cs="Times New Roman"/>
        </w:rPr>
        <w:tab/>
        <w:t>6</w:t>
      </w:r>
      <w:r w:rsidRPr="00022F29">
        <w:rPr>
          <w:rFonts w:ascii="Calibri" w:eastAsia="Calibri" w:hAnsi="Calibri" w:cs="Times New Roman"/>
        </w:rPr>
        <w:tab/>
        <w:t>1.0</w:t>
      </w:r>
      <w:r w:rsidRPr="00022F29">
        <w:rPr>
          <w:rFonts w:ascii="Calibri" w:eastAsia="Calibri" w:hAnsi="Calibri" w:cs="Times New Roman"/>
        </w:rPr>
        <w:tab/>
        <w:t>1.0</w:t>
      </w:r>
      <w:r w:rsidRPr="00022F29">
        <w:rPr>
          <w:rFonts w:ascii="Calibri" w:eastAsia="Calibri" w:hAnsi="Calibri" w:cs="Times New Roman"/>
        </w:rPr>
        <w:tab/>
        <w:t>4.0</w:t>
      </w:r>
    </w:p>
    <w:p w14:paraId="111D893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18.060%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4.3</w:t>
      </w:r>
    </w:p>
    <w:p w14:paraId="3526C9E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18.100%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4.6</w:t>
      </w:r>
    </w:p>
    <w:p w14:paraId="2C1C1CC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19.000%</w:t>
      </w:r>
      <w:r w:rsidRPr="00022F29">
        <w:rPr>
          <w:rFonts w:ascii="Calibri" w:eastAsia="Calibri" w:hAnsi="Calibri" w:cs="Times New Roman"/>
        </w:rPr>
        <w:tab/>
        <w:t>4</w:t>
      </w:r>
      <w:r w:rsidRPr="00022F29">
        <w:rPr>
          <w:rFonts w:ascii="Calibri" w:eastAsia="Calibri" w:hAnsi="Calibri" w:cs="Times New Roman"/>
        </w:rPr>
        <w:tab/>
        <w:t>.6</w:t>
      </w:r>
      <w:r w:rsidRPr="00022F29">
        <w:rPr>
          <w:rFonts w:ascii="Calibri" w:eastAsia="Calibri" w:hAnsi="Calibri" w:cs="Times New Roman"/>
        </w:rPr>
        <w:tab/>
        <w:t>.6</w:t>
      </w:r>
      <w:r w:rsidRPr="00022F29">
        <w:rPr>
          <w:rFonts w:ascii="Calibri" w:eastAsia="Calibri" w:hAnsi="Calibri" w:cs="Times New Roman"/>
        </w:rPr>
        <w:tab/>
        <w:t>5.3</w:t>
      </w:r>
    </w:p>
    <w:p w14:paraId="4D88B5D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19.400%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5.6</w:t>
      </w:r>
    </w:p>
    <w:p w14:paraId="10B3DD4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19.440%</w:t>
      </w:r>
      <w:r w:rsidRPr="00022F29">
        <w:rPr>
          <w:rFonts w:ascii="Calibri" w:eastAsia="Calibri" w:hAnsi="Calibri" w:cs="Times New Roman"/>
        </w:rPr>
        <w:tab/>
        <w:t>4</w:t>
      </w:r>
      <w:r w:rsidRPr="00022F29">
        <w:rPr>
          <w:rFonts w:ascii="Calibri" w:eastAsia="Calibri" w:hAnsi="Calibri" w:cs="Times New Roman"/>
        </w:rPr>
        <w:tab/>
        <w:t>.6</w:t>
      </w:r>
      <w:r w:rsidRPr="00022F29">
        <w:rPr>
          <w:rFonts w:ascii="Calibri" w:eastAsia="Calibri" w:hAnsi="Calibri" w:cs="Times New Roman"/>
        </w:rPr>
        <w:tab/>
        <w:t>.6</w:t>
      </w:r>
      <w:r w:rsidRPr="00022F29">
        <w:rPr>
          <w:rFonts w:ascii="Calibri" w:eastAsia="Calibri" w:hAnsi="Calibri" w:cs="Times New Roman"/>
        </w:rPr>
        <w:tab/>
        <w:t>6.3</w:t>
      </w:r>
    </w:p>
    <w:p w14:paraId="5F3BE7A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20.000%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6.6</w:t>
      </w:r>
    </w:p>
    <w:p w14:paraId="1832876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20.800%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6.9</w:t>
      </w:r>
    </w:p>
    <w:p w14:paraId="6581217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20.830%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7.2</w:t>
      </w:r>
    </w:p>
    <w:p w14:paraId="25ED515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21.000%</w:t>
      </w:r>
      <w:r w:rsidRPr="00022F29">
        <w:rPr>
          <w:rFonts w:ascii="Calibri" w:eastAsia="Calibri" w:hAnsi="Calibri" w:cs="Times New Roman"/>
        </w:rPr>
        <w:tab/>
        <w:t>5</w:t>
      </w:r>
      <w:r w:rsidRPr="00022F29">
        <w:rPr>
          <w:rFonts w:ascii="Calibri" w:eastAsia="Calibri" w:hAnsi="Calibri" w:cs="Times New Roman"/>
        </w:rPr>
        <w:tab/>
        <w:t>.8</w:t>
      </w:r>
      <w:r w:rsidRPr="00022F29">
        <w:rPr>
          <w:rFonts w:ascii="Calibri" w:eastAsia="Calibri" w:hAnsi="Calibri" w:cs="Times New Roman"/>
        </w:rPr>
        <w:tab/>
        <w:t>.8</w:t>
      </w:r>
      <w:r w:rsidRPr="00022F29">
        <w:rPr>
          <w:rFonts w:ascii="Calibri" w:eastAsia="Calibri" w:hAnsi="Calibri" w:cs="Times New Roman"/>
        </w:rPr>
        <w:tab/>
        <w:t>8.0</w:t>
      </w:r>
    </w:p>
    <w:p w14:paraId="1C55FCD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22.000%</w:t>
      </w:r>
      <w:r w:rsidRPr="00022F29">
        <w:rPr>
          <w:rFonts w:ascii="Calibri" w:eastAsia="Calibri" w:hAnsi="Calibri" w:cs="Times New Roman"/>
        </w:rPr>
        <w:tab/>
        <w:t>8</w:t>
      </w:r>
      <w:r w:rsidRPr="00022F29">
        <w:rPr>
          <w:rFonts w:ascii="Calibri" w:eastAsia="Calibri" w:hAnsi="Calibri" w:cs="Times New Roman"/>
        </w:rPr>
        <w:tab/>
        <w:t>1.3</w:t>
      </w:r>
      <w:r w:rsidRPr="00022F29">
        <w:rPr>
          <w:rFonts w:ascii="Calibri" w:eastAsia="Calibri" w:hAnsi="Calibri" w:cs="Times New Roman"/>
        </w:rPr>
        <w:tab/>
        <w:t>1.3</w:t>
      </w:r>
      <w:r w:rsidRPr="00022F29">
        <w:rPr>
          <w:rFonts w:ascii="Calibri" w:eastAsia="Calibri" w:hAnsi="Calibri" w:cs="Times New Roman"/>
        </w:rPr>
        <w:tab/>
        <w:t>9.3</w:t>
      </w:r>
    </w:p>
    <w:p w14:paraId="29D1076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22.200%</w:t>
      </w:r>
      <w:r w:rsidRPr="00022F29">
        <w:rPr>
          <w:rFonts w:ascii="Calibri" w:eastAsia="Calibri" w:hAnsi="Calibri" w:cs="Times New Roman"/>
        </w:rPr>
        <w:tab/>
        <w:t>3</w:t>
      </w:r>
      <w:r w:rsidRPr="00022F29">
        <w:rPr>
          <w:rFonts w:ascii="Calibri" w:eastAsia="Calibri" w:hAnsi="Calibri" w:cs="Times New Roman"/>
        </w:rPr>
        <w:tab/>
        <w:t>.5</w:t>
      </w:r>
      <w:r w:rsidRPr="00022F29">
        <w:rPr>
          <w:rFonts w:ascii="Calibri" w:eastAsia="Calibri" w:hAnsi="Calibri" w:cs="Times New Roman"/>
        </w:rPr>
        <w:tab/>
        <w:t>.5</w:t>
      </w:r>
      <w:r w:rsidRPr="00022F29">
        <w:rPr>
          <w:rFonts w:ascii="Calibri" w:eastAsia="Calibri" w:hAnsi="Calibri" w:cs="Times New Roman"/>
        </w:rPr>
        <w:tab/>
        <w:t>9.8</w:t>
      </w:r>
    </w:p>
    <w:p w14:paraId="5316426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22.220%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10.1</w:t>
      </w:r>
    </w:p>
    <w:p w14:paraId="17FE3B8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22.920%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10.3</w:t>
      </w:r>
    </w:p>
    <w:p w14:paraId="0F3EF9F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23.600%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10.6</w:t>
      </w:r>
    </w:p>
    <w:p w14:paraId="7E087AF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23.610%</w:t>
      </w:r>
      <w:r w:rsidRPr="00022F29">
        <w:rPr>
          <w:rFonts w:ascii="Calibri" w:eastAsia="Calibri" w:hAnsi="Calibri" w:cs="Times New Roman"/>
        </w:rPr>
        <w:tab/>
        <w:t>3</w:t>
      </w:r>
      <w:r w:rsidRPr="00022F29">
        <w:rPr>
          <w:rFonts w:ascii="Calibri" w:eastAsia="Calibri" w:hAnsi="Calibri" w:cs="Times New Roman"/>
        </w:rPr>
        <w:tab/>
        <w:t>.5</w:t>
      </w:r>
      <w:r w:rsidRPr="00022F29">
        <w:rPr>
          <w:rFonts w:ascii="Calibri" w:eastAsia="Calibri" w:hAnsi="Calibri" w:cs="Times New Roman"/>
        </w:rPr>
        <w:tab/>
        <w:t>.5</w:t>
      </w:r>
      <w:r w:rsidRPr="00022F29">
        <w:rPr>
          <w:rFonts w:ascii="Calibri" w:eastAsia="Calibri" w:hAnsi="Calibri" w:cs="Times New Roman"/>
        </w:rPr>
        <w:tab/>
        <w:t>11.1</w:t>
      </w:r>
    </w:p>
    <w:p w14:paraId="2661D70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24.000%</w:t>
      </w:r>
      <w:r w:rsidRPr="00022F29">
        <w:rPr>
          <w:rFonts w:ascii="Calibri" w:eastAsia="Calibri" w:hAnsi="Calibri" w:cs="Times New Roman"/>
        </w:rPr>
        <w:tab/>
        <w:t>3</w:t>
      </w:r>
      <w:r w:rsidRPr="00022F29">
        <w:rPr>
          <w:rFonts w:ascii="Calibri" w:eastAsia="Calibri" w:hAnsi="Calibri" w:cs="Times New Roman"/>
        </w:rPr>
        <w:tab/>
        <w:t>.5</w:t>
      </w:r>
      <w:r w:rsidRPr="00022F29">
        <w:rPr>
          <w:rFonts w:ascii="Calibri" w:eastAsia="Calibri" w:hAnsi="Calibri" w:cs="Times New Roman"/>
        </w:rPr>
        <w:tab/>
        <w:t>.5</w:t>
      </w:r>
      <w:r w:rsidRPr="00022F29">
        <w:rPr>
          <w:rFonts w:ascii="Calibri" w:eastAsia="Calibri" w:hAnsi="Calibri" w:cs="Times New Roman"/>
        </w:rPr>
        <w:tab/>
        <w:t>11.5</w:t>
      </w:r>
    </w:p>
    <w:p w14:paraId="12821EA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25.000%</w:t>
      </w:r>
      <w:r w:rsidRPr="00022F29">
        <w:rPr>
          <w:rFonts w:ascii="Calibri" w:eastAsia="Calibri" w:hAnsi="Calibri" w:cs="Times New Roman"/>
        </w:rPr>
        <w:tab/>
        <w:t>14</w:t>
      </w:r>
      <w:r w:rsidRPr="00022F29">
        <w:rPr>
          <w:rFonts w:ascii="Calibri" w:eastAsia="Calibri" w:hAnsi="Calibri" w:cs="Times New Roman"/>
        </w:rPr>
        <w:tab/>
        <w:t>2.2</w:t>
      </w:r>
      <w:r w:rsidRPr="00022F29">
        <w:rPr>
          <w:rFonts w:ascii="Calibri" w:eastAsia="Calibri" w:hAnsi="Calibri" w:cs="Times New Roman"/>
        </w:rPr>
        <w:tab/>
        <w:t>2.2</w:t>
      </w:r>
      <w:r w:rsidRPr="00022F29">
        <w:rPr>
          <w:rFonts w:ascii="Calibri" w:eastAsia="Calibri" w:hAnsi="Calibri" w:cs="Times New Roman"/>
        </w:rPr>
        <w:tab/>
        <w:t>13.8</w:t>
      </w:r>
    </w:p>
    <w:p w14:paraId="24DEA59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b/>
        <w:t>25.700%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13.9</w:t>
      </w:r>
    </w:p>
    <w:p w14:paraId="0C8453A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26.000%</w:t>
      </w:r>
      <w:r w:rsidRPr="00022F29">
        <w:rPr>
          <w:rFonts w:ascii="Calibri" w:eastAsia="Calibri" w:hAnsi="Calibri" w:cs="Times New Roman"/>
        </w:rPr>
        <w:tab/>
        <w:t>11</w:t>
      </w:r>
      <w:r w:rsidRPr="00022F29">
        <w:rPr>
          <w:rFonts w:ascii="Calibri" w:eastAsia="Calibri" w:hAnsi="Calibri" w:cs="Times New Roman"/>
        </w:rPr>
        <w:tab/>
        <w:t>1.8</w:t>
      </w:r>
      <w:r w:rsidRPr="00022F29">
        <w:rPr>
          <w:rFonts w:ascii="Calibri" w:eastAsia="Calibri" w:hAnsi="Calibri" w:cs="Times New Roman"/>
        </w:rPr>
        <w:tab/>
        <w:t>1.8</w:t>
      </w:r>
      <w:r w:rsidRPr="00022F29">
        <w:rPr>
          <w:rFonts w:ascii="Calibri" w:eastAsia="Calibri" w:hAnsi="Calibri" w:cs="Times New Roman"/>
        </w:rPr>
        <w:tab/>
        <w:t>15.7</w:t>
      </w:r>
    </w:p>
    <w:p w14:paraId="4B8ACCF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26.390%</w:t>
      </w:r>
      <w:r w:rsidRPr="00022F29">
        <w:rPr>
          <w:rFonts w:ascii="Calibri" w:eastAsia="Calibri" w:hAnsi="Calibri" w:cs="Times New Roman"/>
        </w:rPr>
        <w:tab/>
        <w:t>6</w:t>
      </w:r>
      <w:r w:rsidRPr="00022F29">
        <w:rPr>
          <w:rFonts w:ascii="Calibri" w:eastAsia="Calibri" w:hAnsi="Calibri" w:cs="Times New Roman"/>
        </w:rPr>
        <w:tab/>
        <w:t>1.0</w:t>
      </w:r>
      <w:r w:rsidRPr="00022F29">
        <w:rPr>
          <w:rFonts w:ascii="Calibri" w:eastAsia="Calibri" w:hAnsi="Calibri" w:cs="Times New Roman"/>
        </w:rPr>
        <w:tab/>
        <w:t>1.0</w:t>
      </w:r>
      <w:r w:rsidRPr="00022F29">
        <w:rPr>
          <w:rFonts w:ascii="Calibri" w:eastAsia="Calibri" w:hAnsi="Calibri" w:cs="Times New Roman"/>
        </w:rPr>
        <w:tab/>
        <w:t>16.7</w:t>
      </w:r>
    </w:p>
    <w:p w14:paraId="26E5232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26.400%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16.8</w:t>
      </w:r>
    </w:p>
    <w:p w14:paraId="3F8159D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27.000%</w:t>
      </w:r>
      <w:r w:rsidRPr="00022F29">
        <w:rPr>
          <w:rFonts w:ascii="Calibri" w:eastAsia="Calibri" w:hAnsi="Calibri" w:cs="Times New Roman"/>
        </w:rPr>
        <w:tab/>
        <w:t>3</w:t>
      </w:r>
      <w:r w:rsidRPr="00022F29">
        <w:rPr>
          <w:rFonts w:ascii="Calibri" w:eastAsia="Calibri" w:hAnsi="Calibri" w:cs="Times New Roman"/>
        </w:rPr>
        <w:tab/>
        <w:t>.5</w:t>
      </w:r>
      <w:r w:rsidRPr="00022F29">
        <w:rPr>
          <w:rFonts w:ascii="Calibri" w:eastAsia="Calibri" w:hAnsi="Calibri" w:cs="Times New Roman"/>
        </w:rPr>
        <w:tab/>
        <w:t>.5</w:t>
      </w:r>
      <w:r w:rsidRPr="00022F29">
        <w:rPr>
          <w:rFonts w:ascii="Calibri" w:eastAsia="Calibri" w:hAnsi="Calibri" w:cs="Times New Roman"/>
        </w:rPr>
        <w:tab/>
        <w:t>17.3</w:t>
      </w:r>
    </w:p>
    <w:p w14:paraId="6060776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27.780%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17.6</w:t>
      </w:r>
    </w:p>
    <w:p w14:paraId="6FD2872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27.800%</w:t>
      </w:r>
      <w:r w:rsidRPr="00022F29">
        <w:rPr>
          <w:rFonts w:ascii="Calibri" w:eastAsia="Calibri" w:hAnsi="Calibri" w:cs="Times New Roman"/>
        </w:rPr>
        <w:tab/>
        <w:t>4</w:t>
      </w:r>
      <w:r w:rsidRPr="00022F29">
        <w:rPr>
          <w:rFonts w:ascii="Calibri" w:eastAsia="Calibri" w:hAnsi="Calibri" w:cs="Times New Roman"/>
        </w:rPr>
        <w:tab/>
        <w:t>.6</w:t>
      </w:r>
      <w:r w:rsidRPr="00022F29">
        <w:rPr>
          <w:rFonts w:ascii="Calibri" w:eastAsia="Calibri" w:hAnsi="Calibri" w:cs="Times New Roman"/>
        </w:rPr>
        <w:tab/>
        <w:t>.6</w:t>
      </w:r>
      <w:r w:rsidRPr="00022F29">
        <w:rPr>
          <w:rFonts w:ascii="Calibri" w:eastAsia="Calibri" w:hAnsi="Calibri" w:cs="Times New Roman"/>
        </w:rPr>
        <w:tab/>
        <w:t>18.3</w:t>
      </w:r>
    </w:p>
    <w:p w14:paraId="7A970AD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28.000%</w:t>
      </w:r>
      <w:r w:rsidRPr="00022F29">
        <w:rPr>
          <w:rFonts w:ascii="Calibri" w:eastAsia="Calibri" w:hAnsi="Calibri" w:cs="Times New Roman"/>
        </w:rPr>
        <w:tab/>
        <w:t>6</w:t>
      </w:r>
      <w:r w:rsidRPr="00022F29">
        <w:rPr>
          <w:rFonts w:ascii="Calibri" w:eastAsia="Calibri" w:hAnsi="Calibri" w:cs="Times New Roman"/>
        </w:rPr>
        <w:tab/>
        <w:t>1.0</w:t>
      </w:r>
      <w:r w:rsidRPr="00022F29">
        <w:rPr>
          <w:rFonts w:ascii="Calibri" w:eastAsia="Calibri" w:hAnsi="Calibri" w:cs="Times New Roman"/>
        </w:rPr>
        <w:tab/>
        <w:t>1.0</w:t>
      </w:r>
      <w:r w:rsidRPr="00022F29">
        <w:rPr>
          <w:rFonts w:ascii="Calibri" w:eastAsia="Calibri" w:hAnsi="Calibri" w:cs="Times New Roman"/>
        </w:rPr>
        <w:tab/>
        <w:t>19.2</w:t>
      </w:r>
    </w:p>
    <w:p w14:paraId="0F873B0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28.470%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19.6</w:t>
      </w:r>
    </w:p>
    <w:p w14:paraId="51EFAD6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28.500%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19.7</w:t>
      </w:r>
    </w:p>
    <w:p w14:paraId="72DBC43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29.000%</w:t>
      </w:r>
      <w:r w:rsidRPr="00022F29">
        <w:rPr>
          <w:rFonts w:ascii="Calibri" w:eastAsia="Calibri" w:hAnsi="Calibri" w:cs="Times New Roman"/>
        </w:rPr>
        <w:tab/>
        <w:t>9</w:t>
      </w:r>
      <w:r w:rsidRPr="00022F29">
        <w:rPr>
          <w:rFonts w:ascii="Calibri" w:eastAsia="Calibri" w:hAnsi="Calibri" w:cs="Times New Roman"/>
        </w:rPr>
        <w:tab/>
        <w:t>1.4</w:t>
      </w:r>
      <w:r w:rsidRPr="00022F29">
        <w:rPr>
          <w:rFonts w:ascii="Calibri" w:eastAsia="Calibri" w:hAnsi="Calibri" w:cs="Times New Roman"/>
        </w:rPr>
        <w:tab/>
        <w:t>1.4</w:t>
      </w:r>
      <w:r w:rsidRPr="00022F29">
        <w:rPr>
          <w:rFonts w:ascii="Calibri" w:eastAsia="Calibri" w:hAnsi="Calibri" w:cs="Times New Roman"/>
        </w:rPr>
        <w:tab/>
        <w:t>21.2</w:t>
      </w:r>
    </w:p>
    <w:p w14:paraId="740391F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29.170%</w:t>
      </w:r>
      <w:r w:rsidRPr="00022F29">
        <w:rPr>
          <w:rFonts w:ascii="Calibri" w:eastAsia="Calibri" w:hAnsi="Calibri" w:cs="Times New Roman"/>
        </w:rPr>
        <w:tab/>
        <w:t>4</w:t>
      </w:r>
      <w:r w:rsidRPr="00022F29">
        <w:rPr>
          <w:rFonts w:ascii="Calibri" w:eastAsia="Calibri" w:hAnsi="Calibri" w:cs="Times New Roman"/>
        </w:rPr>
        <w:tab/>
        <w:t>.6</w:t>
      </w:r>
      <w:r w:rsidRPr="00022F29">
        <w:rPr>
          <w:rFonts w:ascii="Calibri" w:eastAsia="Calibri" w:hAnsi="Calibri" w:cs="Times New Roman"/>
        </w:rPr>
        <w:tab/>
        <w:t>.6</w:t>
      </w:r>
      <w:r w:rsidRPr="00022F29">
        <w:rPr>
          <w:rFonts w:ascii="Calibri" w:eastAsia="Calibri" w:hAnsi="Calibri" w:cs="Times New Roman"/>
        </w:rPr>
        <w:tab/>
        <w:t>21.8</w:t>
      </w:r>
    </w:p>
    <w:p w14:paraId="48030FF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29.200%</w:t>
      </w:r>
      <w:r w:rsidRPr="00022F29">
        <w:rPr>
          <w:rFonts w:ascii="Calibri" w:eastAsia="Calibri" w:hAnsi="Calibri" w:cs="Times New Roman"/>
        </w:rPr>
        <w:tab/>
        <w:t>3</w:t>
      </w:r>
      <w:r w:rsidRPr="00022F29">
        <w:rPr>
          <w:rFonts w:ascii="Calibri" w:eastAsia="Calibri" w:hAnsi="Calibri" w:cs="Times New Roman"/>
        </w:rPr>
        <w:tab/>
        <w:t>.5</w:t>
      </w:r>
      <w:r w:rsidRPr="00022F29">
        <w:rPr>
          <w:rFonts w:ascii="Calibri" w:eastAsia="Calibri" w:hAnsi="Calibri" w:cs="Times New Roman"/>
        </w:rPr>
        <w:tab/>
        <w:t>.5</w:t>
      </w:r>
      <w:r w:rsidRPr="00022F29">
        <w:rPr>
          <w:rFonts w:ascii="Calibri" w:eastAsia="Calibri" w:hAnsi="Calibri" w:cs="Times New Roman"/>
        </w:rPr>
        <w:tab/>
        <w:t>22.3</w:t>
      </w:r>
    </w:p>
    <w:p w14:paraId="3889285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30.000%</w:t>
      </w:r>
      <w:r w:rsidRPr="00022F29">
        <w:rPr>
          <w:rFonts w:ascii="Calibri" w:eastAsia="Calibri" w:hAnsi="Calibri" w:cs="Times New Roman"/>
        </w:rPr>
        <w:tab/>
        <w:t>10</w:t>
      </w:r>
      <w:r w:rsidRPr="00022F29">
        <w:rPr>
          <w:rFonts w:ascii="Calibri" w:eastAsia="Calibri" w:hAnsi="Calibri" w:cs="Times New Roman"/>
        </w:rPr>
        <w:tab/>
        <w:t>1.6</w:t>
      </w:r>
      <w:r w:rsidRPr="00022F29">
        <w:rPr>
          <w:rFonts w:ascii="Calibri" w:eastAsia="Calibri" w:hAnsi="Calibri" w:cs="Times New Roman"/>
        </w:rPr>
        <w:tab/>
        <w:t>1.6</w:t>
      </w:r>
      <w:r w:rsidRPr="00022F29">
        <w:rPr>
          <w:rFonts w:ascii="Calibri" w:eastAsia="Calibri" w:hAnsi="Calibri" w:cs="Times New Roman"/>
        </w:rPr>
        <w:tab/>
        <w:t>23.9</w:t>
      </w:r>
    </w:p>
    <w:p w14:paraId="00DE4E4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30.560%</w:t>
      </w:r>
      <w:r w:rsidRPr="00022F29">
        <w:rPr>
          <w:rFonts w:ascii="Calibri" w:eastAsia="Calibri" w:hAnsi="Calibri" w:cs="Times New Roman"/>
        </w:rPr>
        <w:tab/>
        <w:t>5</w:t>
      </w:r>
      <w:r w:rsidRPr="00022F29">
        <w:rPr>
          <w:rFonts w:ascii="Calibri" w:eastAsia="Calibri" w:hAnsi="Calibri" w:cs="Times New Roman"/>
        </w:rPr>
        <w:tab/>
        <w:t>.8</w:t>
      </w:r>
      <w:r w:rsidRPr="00022F29">
        <w:rPr>
          <w:rFonts w:ascii="Calibri" w:eastAsia="Calibri" w:hAnsi="Calibri" w:cs="Times New Roman"/>
        </w:rPr>
        <w:tab/>
        <w:t>.8</w:t>
      </w:r>
      <w:r w:rsidRPr="00022F29">
        <w:rPr>
          <w:rFonts w:ascii="Calibri" w:eastAsia="Calibri" w:hAnsi="Calibri" w:cs="Times New Roman"/>
        </w:rPr>
        <w:tab/>
        <w:t>24.7</w:t>
      </w:r>
    </w:p>
    <w:p w14:paraId="6B6CDE9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30.600%</w:t>
      </w:r>
      <w:r w:rsidRPr="00022F29">
        <w:rPr>
          <w:rFonts w:ascii="Calibri" w:eastAsia="Calibri" w:hAnsi="Calibri" w:cs="Times New Roman"/>
        </w:rPr>
        <w:tab/>
        <w:t>3</w:t>
      </w:r>
      <w:r w:rsidRPr="00022F29">
        <w:rPr>
          <w:rFonts w:ascii="Calibri" w:eastAsia="Calibri" w:hAnsi="Calibri" w:cs="Times New Roman"/>
        </w:rPr>
        <w:tab/>
        <w:t>.5</w:t>
      </w:r>
      <w:r w:rsidRPr="00022F29">
        <w:rPr>
          <w:rFonts w:ascii="Calibri" w:eastAsia="Calibri" w:hAnsi="Calibri" w:cs="Times New Roman"/>
        </w:rPr>
        <w:tab/>
        <w:t>.5</w:t>
      </w:r>
      <w:r w:rsidRPr="00022F29">
        <w:rPr>
          <w:rFonts w:ascii="Calibri" w:eastAsia="Calibri" w:hAnsi="Calibri" w:cs="Times New Roman"/>
        </w:rPr>
        <w:tab/>
        <w:t>25.2</w:t>
      </w:r>
    </w:p>
    <w:p w14:paraId="4AA5266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31.000%</w:t>
      </w:r>
      <w:r w:rsidRPr="00022F29">
        <w:rPr>
          <w:rFonts w:ascii="Calibri" w:eastAsia="Calibri" w:hAnsi="Calibri" w:cs="Times New Roman"/>
        </w:rPr>
        <w:tab/>
        <w:t>7</w:t>
      </w:r>
      <w:r w:rsidRPr="00022F29">
        <w:rPr>
          <w:rFonts w:ascii="Calibri" w:eastAsia="Calibri" w:hAnsi="Calibri" w:cs="Times New Roman"/>
        </w:rPr>
        <w:tab/>
        <w:t>1.1</w:t>
      </w:r>
      <w:r w:rsidRPr="00022F29">
        <w:rPr>
          <w:rFonts w:ascii="Calibri" w:eastAsia="Calibri" w:hAnsi="Calibri" w:cs="Times New Roman"/>
        </w:rPr>
        <w:tab/>
        <w:t>1.1</w:t>
      </w:r>
      <w:r w:rsidRPr="00022F29">
        <w:rPr>
          <w:rFonts w:ascii="Calibri" w:eastAsia="Calibri" w:hAnsi="Calibri" w:cs="Times New Roman"/>
        </w:rPr>
        <w:tab/>
        <w:t>26.3</w:t>
      </w:r>
    </w:p>
    <w:p w14:paraId="3CBFC62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31.300%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26.4</w:t>
      </w:r>
    </w:p>
    <w:p w14:paraId="242122C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31.900%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26.8</w:t>
      </w:r>
    </w:p>
    <w:p w14:paraId="2640F68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31.940%</w:t>
      </w:r>
      <w:r w:rsidRPr="00022F29">
        <w:rPr>
          <w:rFonts w:ascii="Calibri" w:eastAsia="Calibri" w:hAnsi="Calibri" w:cs="Times New Roman"/>
        </w:rPr>
        <w:tab/>
        <w:t>5</w:t>
      </w:r>
      <w:r w:rsidRPr="00022F29">
        <w:rPr>
          <w:rFonts w:ascii="Calibri" w:eastAsia="Calibri" w:hAnsi="Calibri" w:cs="Times New Roman"/>
        </w:rPr>
        <w:tab/>
        <w:t>.8</w:t>
      </w:r>
      <w:r w:rsidRPr="00022F29">
        <w:rPr>
          <w:rFonts w:ascii="Calibri" w:eastAsia="Calibri" w:hAnsi="Calibri" w:cs="Times New Roman"/>
        </w:rPr>
        <w:tab/>
        <w:t>.8</w:t>
      </w:r>
      <w:r w:rsidRPr="00022F29">
        <w:rPr>
          <w:rFonts w:ascii="Calibri" w:eastAsia="Calibri" w:hAnsi="Calibri" w:cs="Times New Roman"/>
        </w:rPr>
        <w:tab/>
        <w:t>27.6</w:t>
      </w:r>
    </w:p>
    <w:p w14:paraId="253D792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32.000%</w:t>
      </w:r>
      <w:r w:rsidRPr="00022F29">
        <w:rPr>
          <w:rFonts w:ascii="Calibri" w:eastAsia="Calibri" w:hAnsi="Calibri" w:cs="Times New Roman"/>
        </w:rPr>
        <w:tab/>
        <w:t>12</w:t>
      </w:r>
      <w:r w:rsidRPr="00022F29">
        <w:rPr>
          <w:rFonts w:ascii="Calibri" w:eastAsia="Calibri" w:hAnsi="Calibri" w:cs="Times New Roman"/>
        </w:rPr>
        <w:tab/>
        <w:t>1.9</w:t>
      </w:r>
      <w:r w:rsidRPr="00022F29">
        <w:rPr>
          <w:rFonts w:ascii="Calibri" w:eastAsia="Calibri" w:hAnsi="Calibri" w:cs="Times New Roman"/>
        </w:rPr>
        <w:tab/>
        <w:t>1.9</w:t>
      </w:r>
      <w:r w:rsidRPr="00022F29">
        <w:rPr>
          <w:rFonts w:ascii="Calibri" w:eastAsia="Calibri" w:hAnsi="Calibri" w:cs="Times New Roman"/>
        </w:rPr>
        <w:tab/>
        <w:t>29.5</w:t>
      </w:r>
    </w:p>
    <w:p w14:paraId="425D68D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33.000%</w:t>
      </w:r>
      <w:r w:rsidRPr="00022F29">
        <w:rPr>
          <w:rFonts w:ascii="Calibri" w:eastAsia="Calibri" w:hAnsi="Calibri" w:cs="Times New Roman"/>
        </w:rPr>
        <w:tab/>
        <w:t>9</w:t>
      </w:r>
      <w:r w:rsidRPr="00022F29">
        <w:rPr>
          <w:rFonts w:ascii="Calibri" w:eastAsia="Calibri" w:hAnsi="Calibri" w:cs="Times New Roman"/>
        </w:rPr>
        <w:tab/>
        <w:t>1.4</w:t>
      </w:r>
      <w:r w:rsidRPr="00022F29">
        <w:rPr>
          <w:rFonts w:ascii="Calibri" w:eastAsia="Calibri" w:hAnsi="Calibri" w:cs="Times New Roman"/>
        </w:rPr>
        <w:tab/>
        <w:t>1.4</w:t>
      </w:r>
      <w:r w:rsidRPr="00022F29">
        <w:rPr>
          <w:rFonts w:ascii="Calibri" w:eastAsia="Calibri" w:hAnsi="Calibri" w:cs="Times New Roman"/>
        </w:rPr>
        <w:tab/>
        <w:t>30.9</w:t>
      </w:r>
    </w:p>
    <w:p w14:paraId="148AF4B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33.300%</w:t>
      </w:r>
      <w:r w:rsidRPr="00022F29">
        <w:rPr>
          <w:rFonts w:ascii="Calibri" w:eastAsia="Calibri" w:hAnsi="Calibri" w:cs="Times New Roman"/>
        </w:rPr>
        <w:tab/>
        <w:t>4</w:t>
      </w:r>
      <w:r w:rsidRPr="00022F29">
        <w:rPr>
          <w:rFonts w:ascii="Calibri" w:eastAsia="Calibri" w:hAnsi="Calibri" w:cs="Times New Roman"/>
        </w:rPr>
        <w:tab/>
        <w:t>.6</w:t>
      </w:r>
      <w:r w:rsidRPr="00022F29">
        <w:rPr>
          <w:rFonts w:ascii="Calibri" w:eastAsia="Calibri" w:hAnsi="Calibri" w:cs="Times New Roman"/>
        </w:rPr>
        <w:tab/>
        <w:t>.6</w:t>
      </w:r>
      <w:r w:rsidRPr="00022F29">
        <w:rPr>
          <w:rFonts w:ascii="Calibri" w:eastAsia="Calibri" w:hAnsi="Calibri" w:cs="Times New Roman"/>
        </w:rPr>
        <w:tab/>
        <w:t>31.6</w:t>
      </w:r>
    </w:p>
    <w:p w14:paraId="31DBD63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33.330%</w:t>
      </w:r>
      <w:r w:rsidRPr="00022F29">
        <w:rPr>
          <w:rFonts w:ascii="Calibri" w:eastAsia="Calibri" w:hAnsi="Calibri" w:cs="Times New Roman"/>
        </w:rPr>
        <w:tab/>
        <w:t>5</w:t>
      </w:r>
      <w:r w:rsidRPr="00022F29">
        <w:rPr>
          <w:rFonts w:ascii="Calibri" w:eastAsia="Calibri" w:hAnsi="Calibri" w:cs="Times New Roman"/>
        </w:rPr>
        <w:tab/>
        <w:t>.8</w:t>
      </w:r>
      <w:r w:rsidRPr="00022F29">
        <w:rPr>
          <w:rFonts w:ascii="Calibri" w:eastAsia="Calibri" w:hAnsi="Calibri" w:cs="Times New Roman"/>
        </w:rPr>
        <w:tab/>
        <w:t>.8</w:t>
      </w:r>
      <w:r w:rsidRPr="00022F29">
        <w:rPr>
          <w:rFonts w:ascii="Calibri" w:eastAsia="Calibri" w:hAnsi="Calibri" w:cs="Times New Roman"/>
        </w:rPr>
        <w:tab/>
        <w:t>32.4</w:t>
      </w:r>
    </w:p>
    <w:p w14:paraId="59B5065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34.000%</w:t>
      </w:r>
      <w:r w:rsidRPr="00022F29">
        <w:rPr>
          <w:rFonts w:ascii="Calibri" w:eastAsia="Calibri" w:hAnsi="Calibri" w:cs="Times New Roman"/>
        </w:rPr>
        <w:tab/>
        <w:t>6</w:t>
      </w:r>
      <w:r w:rsidRPr="00022F29">
        <w:rPr>
          <w:rFonts w:ascii="Calibri" w:eastAsia="Calibri" w:hAnsi="Calibri" w:cs="Times New Roman"/>
        </w:rPr>
        <w:tab/>
        <w:t>1.0</w:t>
      </w:r>
      <w:r w:rsidRPr="00022F29">
        <w:rPr>
          <w:rFonts w:ascii="Calibri" w:eastAsia="Calibri" w:hAnsi="Calibri" w:cs="Times New Roman"/>
        </w:rPr>
        <w:tab/>
        <w:t>1.0</w:t>
      </w:r>
      <w:r w:rsidRPr="00022F29">
        <w:rPr>
          <w:rFonts w:ascii="Calibri" w:eastAsia="Calibri" w:hAnsi="Calibri" w:cs="Times New Roman"/>
        </w:rPr>
        <w:tab/>
        <w:t>33.3</w:t>
      </w:r>
    </w:p>
    <w:p w14:paraId="10C1311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34.700%</w:t>
      </w:r>
      <w:r w:rsidRPr="00022F29">
        <w:rPr>
          <w:rFonts w:ascii="Calibri" w:eastAsia="Calibri" w:hAnsi="Calibri" w:cs="Times New Roman"/>
        </w:rPr>
        <w:tab/>
        <w:t>5</w:t>
      </w:r>
      <w:r w:rsidRPr="00022F29">
        <w:rPr>
          <w:rFonts w:ascii="Calibri" w:eastAsia="Calibri" w:hAnsi="Calibri" w:cs="Times New Roman"/>
        </w:rPr>
        <w:tab/>
        <w:t>.8</w:t>
      </w:r>
      <w:r w:rsidRPr="00022F29">
        <w:rPr>
          <w:rFonts w:ascii="Calibri" w:eastAsia="Calibri" w:hAnsi="Calibri" w:cs="Times New Roman"/>
        </w:rPr>
        <w:tab/>
        <w:t>.8</w:t>
      </w:r>
      <w:r w:rsidRPr="00022F29">
        <w:rPr>
          <w:rFonts w:ascii="Calibri" w:eastAsia="Calibri" w:hAnsi="Calibri" w:cs="Times New Roman"/>
        </w:rPr>
        <w:tab/>
        <w:t>34.1</w:t>
      </w:r>
    </w:p>
    <w:p w14:paraId="5E841D8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34.720%</w:t>
      </w:r>
      <w:r w:rsidRPr="00022F29">
        <w:rPr>
          <w:rFonts w:ascii="Calibri" w:eastAsia="Calibri" w:hAnsi="Calibri" w:cs="Times New Roman"/>
        </w:rPr>
        <w:tab/>
        <w:t>5</w:t>
      </w:r>
      <w:r w:rsidRPr="00022F29">
        <w:rPr>
          <w:rFonts w:ascii="Calibri" w:eastAsia="Calibri" w:hAnsi="Calibri" w:cs="Times New Roman"/>
        </w:rPr>
        <w:tab/>
        <w:t>.8</w:t>
      </w:r>
      <w:r w:rsidRPr="00022F29">
        <w:rPr>
          <w:rFonts w:ascii="Calibri" w:eastAsia="Calibri" w:hAnsi="Calibri" w:cs="Times New Roman"/>
        </w:rPr>
        <w:tab/>
        <w:t>.8</w:t>
      </w:r>
      <w:r w:rsidRPr="00022F29">
        <w:rPr>
          <w:rFonts w:ascii="Calibri" w:eastAsia="Calibri" w:hAnsi="Calibri" w:cs="Times New Roman"/>
        </w:rPr>
        <w:tab/>
        <w:t>34.9</w:t>
      </w:r>
    </w:p>
    <w:p w14:paraId="0D6CF73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35.000%</w:t>
      </w:r>
      <w:r w:rsidRPr="00022F29">
        <w:rPr>
          <w:rFonts w:ascii="Calibri" w:eastAsia="Calibri" w:hAnsi="Calibri" w:cs="Times New Roman"/>
        </w:rPr>
        <w:tab/>
        <w:t>7</w:t>
      </w:r>
      <w:r w:rsidRPr="00022F29">
        <w:rPr>
          <w:rFonts w:ascii="Calibri" w:eastAsia="Calibri" w:hAnsi="Calibri" w:cs="Times New Roman"/>
        </w:rPr>
        <w:tab/>
        <w:t>1.1</w:t>
      </w:r>
      <w:r w:rsidRPr="00022F29">
        <w:rPr>
          <w:rFonts w:ascii="Calibri" w:eastAsia="Calibri" w:hAnsi="Calibri" w:cs="Times New Roman"/>
        </w:rPr>
        <w:tab/>
        <w:t>1.1</w:t>
      </w:r>
      <w:r w:rsidRPr="00022F29">
        <w:rPr>
          <w:rFonts w:ascii="Calibri" w:eastAsia="Calibri" w:hAnsi="Calibri" w:cs="Times New Roman"/>
        </w:rPr>
        <w:tab/>
        <w:t>36.1</w:t>
      </w:r>
    </w:p>
    <w:p w14:paraId="2855D86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35.400%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36.2</w:t>
      </w:r>
    </w:p>
    <w:p w14:paraId="005B707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36.000%</w:t>
      </w:r>
      <w:r w:rsidRPr="00022F29">
        <w:rPr>
          <w:rFonts w:ascii="Calibri" w:eastAsia="Calibri" w:hAnsi="Calibri" w:cs="Times New Roman"/>
        </w:rPr>
        <w:tab/>
        <w:t>13</w:t>
      </w:r>
      <w:r w:rsidRPr="00022F29">
        <w:rPr>
          <w:rFonts w:ascii="Calibri" w:eastAsia="Calibri" w:hAnsi="Calibri" w:cs="Times New Roman"/>
        </w:rPr>
        <w:tab/>
        <w:t>2.1</w:t>
      </w:r>
      <w:r w:rsidRPr="00022F29">
        <w:rPr>
          <w:rFonts w:ascii="Calibri" w:eastAsia="Calibri" w:hAnsi="Calibri" w:cs="Times New Roman"/>
        </w:rPr>
        <w:tab/>
        <w:t>2.1</w:t>
      </w:r>
      <w:r w:rsidRPr="00022F29">
        <w:rPr>
          <w:rFonts w:ascii="Calibri" w:eastAsia="Calibri" w:hAnsi="Calibri" w:cs="Times New Roman"/>
        </w:rPr>
        <w:tab/>
        <w:t>38.3</w:t>
      </w:r>
    </w:p>
    <w:p w14:paraId="4EF71E1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36.100%</w:t>
      </w:r>
      <w:r w:rsidRPr="00022F29">
        <w:rPr>
          <w:rFonts w:ascii="Calibri" w:eastAsia="Calibri" w:hAnsi="Calibri" w:cs="Times New Roman"/>
        </w:rPr>
        <w:tab/>
        <w:t>7</w:t>
      </w:r>
      <w:r w:rsidRPr="00022F29">
        <w:rPr>
          <w:rFonts w:ascii="Calibri" w:eastAsia="Calibri" w:hAnsi="Calibri" w:cs="Times New Roman"/>
        </w:rPr>
        <w:tab/>
        <w:t>1.1</w:t>
      </w:r>
      <w:r w:rsidRPr="00022F29">
        <w:rPr>
          <w:rFonts w:ascii="Calibri" w:eastAsia="Calibri" w:hAnsi="Calibri" w:cs="Times New Roman"/>
        </w:rPr>
        <w:tab/>
        <w:t>1.1</w:t>
      </w:r>
      <w:r w:rsidRPr="00022F29">
        <w:rPr>
          <w:rFonts w:ascii="Calibri" w:eastAsia="Calibri" w:hAnsi="Calibri" w:cs="Times New Roman"/>
        </w:rPr>
        <w:tab/>
        <w:t>39.4</w:t>
      </w:r>
    </w:p>
    <w:p w14:paraId="79491D8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36.110%</w:t>
      </w:r>
      <w:r w:rsidRPr="00022F29">
        <w:rPr>
          <w:rFonts w:ascii="Calibri" w:eastAsia="Calibri" w:hAnsi="Calibri" w:cs="Times New Roman"/>
        </w:rPr>
        <w:tab/>
        <w:t>9</w:t>
      </w:r>
      <w:r w:rsidRPr="00022F29">
        <w:rPr>
          <w:rFonts w:ascii="Calibri" w:eastAsia="Calibri" w:hAnsi="Calibri" w:cs="Times New Roman"/>
        </w:rPr>
        <w:tab/>
        <w:t>1.4</w:t>
      </w:r>
      <w:r w:rsidRPr="00022F29">
        <w:rPr>
          <w:rFonts w:ascii="Calibri" w:eastAsia="Calibri" w:hAnsi="Calibri" w:cs="Times New Roman"/>
        </w:rPr>
        <w:tab/>
        <w:t>1.4</w:t>
      </w:r>
      <w:r w:rsidRPr="00022F29">
        <w:rPr>
          <w:rFonts w:ascii="Calibri" w:eastAsia="Calibri" w:hAnsi="Calibri" w:cs="Times New Roman"/>
        </w:rPr>
        <w:tab/>
        <w:t>40.9</w:t>
      </w:r>
    </w:p>
    <w:p w14:paraId="04FFE5B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36.800%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41.0</w:t>
      </w:r>
    </w:p>
    <w:p w14:paraId="681BA31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37.000%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41.2</w:t>
      </w:r>
    </w:p>
    <w:p w14:paraId="074DC4B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37.150%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41.3</w:t>
      </w:r>
    </w:p>
    <w:p w14:paraId="4D805BE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37.500%</w:t>
      </w:r>
      <w:r w:rsidRPr="00022F29">
        <w:rPr>
          <w:rFonts w:ascii="Calibri" w:eastAsia="Calibri" w:hAnsi="Calibri" w:cs="Times New Roman"/>
        </w:rPr>
        <w:tab/>
        <w:t>10</w:t>
      </w:r>
      <w:r w:rsidRPr="00022F29">
        <w:rPr>
          <w:rFonts w:ascii="Calibri" w:eastAsia="Calibri" w:hAnsi="Calibri" w:cs="Times New Roman"/>
        </w:rPr>
        <w:tab/>
        <w:t>1.6</w:t>
      </w:r>
      <w:r w:rsidRPr="00022F29">
        <w:rPr>
          <w:rFonts w:ascii="Calibri" w:eastAsia="Calibri" w:hAnsi="Calibri" w:cs="Times New Roman"/>
        </w:rPr>
        <w:tab/>
        <w:t>1.6</w:t>
      </w:r>
      <w:r w:rsidRPr="00022F29">
        <w:rPr>
          <w:rFonts w:ascii="Calibri" w:eastAsia="Calibri" w:hAnsi="Calibri" w:cs="Times New Roman"/>
        </w:rPr>
        <w:tab/>
        <w:t>42.9</w:t>
      </w:r>
    </w:p>
    <w:p w14:paraId="505261F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38.000%</w:t>
      </w:r>
      <w:r w:rsidRPr="00022F29">
        <w:rPr>
          <w:rFonts w:ascii="Calibri" w:eastAsia="Calibri" w:hAnsi="Calibri" w:cs="Times New Roman"/>
        </w:rPr>
        <w:tab/>
        <w:t>15</w:t>
      </w:r>
      <w:r w:rsidRPr="00022F29">
        <w:rPr>
          <w:rFonts w:ascii="Calibri" w:eastAsia="Calibri" w:hAnsi="Calibri" w:cs="Times New Roman"/>
        </w:rPr>
        <w:tab/>
        <w:t>2.4</w:t>
      </w:r>
      <w:r w:rsidRPr="00022F29">
        <w:rPr>
          <w:rFonts w:ascii="Calibri" w:eastAsia="Calibri" w:hAnsi="Calibri" w:cs="Times New Roman"/>
        </w:rPr>
        <w:tab/>
        <w:t>2.4</w:t>
      </w:r>
      <w:r w:rsidRPr="00022F29">
        <w:rPr>
          <w:rFonts w:ascii="Calibri" w:eastAsia="Calibri" w:hAnsi="Calibri" w:cs="Times New Roman"/>
        </w:rPr>
        <w:tab/>
        <w:t>45.4</w:t>
      </w:r>
    </w:p>
    <w:p w14:paraId="038531A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38.190%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45.5</w:t>
      </w:r>
    </w:p>
    <w:p w14:paraId="27CE7CE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38.890%</w:t>
      </w:r>
      <w:r w:rsidRPr="00022F29">
        <w:rPr>
          <w:rFonts w:ascii="Calibri" w:eastAsia="Calibri" w:hAnsi="Calibri" w:cs="Times New Roman"/>
        </w:rPr>
        <w:tab/>
        <w:t>7</w:t>
      </w:r>
      <w:r w:rsidRPr="00022F29">
        <w:rPr>
          <w:rFonts w:ascii="Calibri" w:eastAsia="Calibri" w:hAnsi="Calibri" w:cs="Times New Roman"/>
        </w:rPr>
        <w:tab/>
        <w:t>1.1</w:t>
      </w:r>
      <w:r w:rsidRPr="00022F29">
        <w:rPr>
          <w:rFonts w:ascii="Calibri" w:eastAsia="Calibri" w:hAnsi="Calibri" w:cs="Times New Roman"/>
        </w:rPr>
        <w:tab/>
        <w:t>1.1</w:t>
      </w:r>
      <w:r w:rsidRPr="00022F29">
        <w:rPr>
          <w:rFonts w:ascii="Calibri" w:eastAsia="Calibri" w:hAnsi="Calibri" w:cs="Times New Roman"/>
        </w:rPr>
        <w:tab/>
        <w:t>46.6</w:t>
      </w:r>
    </w:p>
    <w:p w14:paraId="379999D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38.900%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47.0</w:t>
      </w:r>
    </w:p>
    <w:p w14:paraId="1AAF4EE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39.000%</w:t>
      </w:r>
      <w:r w:rsidRPr="00022F29">
        <w:rPr>
          <w:rFonts w:ascii="Calibri" w:eastAsia="Calibri" w:hAnsi="Calibri" w:cs="Times New Roman"/>
        </w:rPr>
        <w:tab/>
        <w:t>7</w:t>
      </w:r>
      <w:r w:rsidRPr="00022F29">
        <w:rPr>
          <w:rFonts w:ascii="Calibri" w:eastAsia="Calibri" w:hAnsi="Calibri" w:cs="Times New Roman"/>
        </w:rPr>
        <w:tab/>
        <w:t>1.1</w:t>
      </w:r>
      <w:r w:rsidRPr="00022F29">
        <w:rPr>
          <w:rFonts w:ascii="Calibri" w:eastAsia="Calibri" w:hAnsi="Calibri" w:cs="Times New Roman"/>
        </w:rPr>
        <w:tab/>
        <w:t>1.1</w:t>
      </w:r>
      <w:r w:rsidRPr="00022F29">
        <w:rPr>
          <w:rFonts w:ascii="Calibri" w:eastAsia="Calibri" w:hAnsi="Calibri" w:cs="Times New Roman"/>
        </w:rPr>
        <w:tab/>
        <w:t>48.1</w:t>
      </w:r>
    </w:p>
    <w:p w14:paraId="5272DB8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40.000%</w:t>
      </w:r>
      <w:r w:rsidRPr="00022F29">
        <w:rPr>
          <w:rFonts w:ascii="Calibri" w:eastAsia="Calibri" w:hAnsi="Calibri" w:cs="Times New Roman"/>
        </w:rPr>
        <w:tab/>
        <w:t>11</w:t>
      </w:r>
      <w:r w:rsidRPr="00022F29">
        <w:rPr>
          <w:rFonts w:ascii="Calibri" w:eastAsia="Calibri" w:hAnsi="Calibri" w:cs="Times New Roman"/>
        </w:rPr>
        <w:tab/>
        <w:t>1.8</w:t>
      </w:r>
      <w:r w:rsidRPr="00022F29">
        <w:rPr>
          <w:rFonts w:ascii="Calibri" w:eastAsia="Calibri" w:hAnsi="Calibri" w:cs="Times New Roman"/>
        </w:rPr>
        <w:tab/>
        <w:t>1.8</w:t>
      </w:r>
      <w:r w:rsidRPr="00022F29">
        <w:rPr>
          <w:rFonts w:ascii="Calibri" w:eastAsia="Calibri" w:hAnsi="Calibri" w:cs="Times New Roman"/>
        </w:rPr>
        <w:tab/>
        <w:t>49.8</w:t>
      </w:r>
    </w:p>
    <w:p w14:paraId="1B5D455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40.280%</w:t>
      </w:r>
      <w:r w:rsidRPr="00022F29">
        <w:rPr>
          <w:rFonts w:ascii="Calibri" w:eastAsia="Calibri" w:hAnsi="Calibri" w:cs="Times New Roman"/>
        </w:rPr>
        <w:tab/>
        <w:t>6</w:t>
      </w:r>
      <w:r w:rsidRPr="00022F29">
        <w:rPr>
          <w:rFonts w:ascii="Calibri" w:eastAsia="Calibri" w:hAnsi="Calibri" w:cs="Times New Roman"/>
        </w:rPr>
        <w:tab/>
        <w:t>1.0</w:t>
      </w:r>
      <w:r w:rsidRPr="00022F29">
        <w:rPr>
          <w:rFonts w:ascii="Calibri" w:eastAsia="Calibri" w:hAnsi="Calibri" w:cs="Times New Roman"/>
        </w:rPr>
        <w:tab/>
        <w:t>1.0</w:t>
      </w:r>
      <w:r w:rsidRPr="00022F29">
        <w:rPr>
          <w:rFonts w:ascii="Calibri" w:eastAsia="Calibri" w:hAnsi="Calibri" w:cs="Times New Roman"/>
        </w:rPr>
        <w:tab/>
        <w:t>50.8</w:t>
      </w:r>
    </w:p>
    <w:p w14:paraId="643A701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40.300%</w:t>
      </w:r>
      <w:r w:rsidRPr="00022F29">
        <w:rPr>
          <w:rFonts w:ascii="Calibri" w:eastAsia="Calibri" w:hAnsi="Calibri" w:cs="Times New Roman"/>
        </w:rPr>
        <w:tab/>
        <w:t>4</w:t>
      </w:r>
      <w:r w:rsidRPr="00022F29">
        <w:rPr>
          <w:rFonts w:ascii="Calibri" w:eastAsia="Calibri" w:hAnsi="Calibri" w:cs="Times New Roman"/>
        </w:rPr>
        <w:tab/>
        <w:t>.6</w:t>
      </w:r>
      <w:r w:rsidRPr="00022F29">
        <w:rPr>
          <w:rFonts w:ascii="Calibri" w:eastAsia="Calibri" w:hAnsi="Calibri" w:cs="Times New Roman"/>
        </w:rPr>
        <w:tab/>
        <w:t>.6</w:t>
      </w:r>
      <w:r w:rsidRPr="00022F29">
        <w:rPr>
          <w:rFonts w:ascii="Calibri" w:eastAsia="Calibri" w:hAnsi="Calibri" w:cs="Times New Roman"/>
        </w:rPr>
        <w:tab/>
        <w:t>51.4</w:t>
      </w:r>
    </w:p>
    <w:p w14:paraId="30EA75B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40.970%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51.8</w:t>
      </w:r>
    </w:p>
    <w:p w14:paraId="2DB223F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41.000%</w:t>
      </w:r>
      <w:r w:rsidRPr="00022F29">
        <w:rPr>
          <w:rFonts w:ascii="Calibri" w:eastAsia="Calibri" w:hAnsi="Calibri" w:cs="Times New Roman"/>
        </w:rPr>
        <w:tab/>
        <w:t>4</w:t>
      </w:r>
      <w:r w:rsidRPr="00022F29">
        <w:rPr>
          <w:rFonts w:ascii="Calibri" w:eastAsia="Calibri" w:hAnsi="Calibri" w:cs="Times New Roman"/>
        </w:rPr>
        <w:tab/>
        <w:t>.6</w:t>
      </w:r>
      <w:r w:rsidRPr="00022F29">
        <w:rPr>
          <w:rFonts w:ascii="Calibri" w:eastAsia="Calibri" w:hAnsi="Calibri" w:cs="Times New Roman"/>
        </w:rPr>
        <w:tab/>
        <w:t>.6</w:t>
      </w:r>
      <w:r w:rsidRPr="00022F29">
        <w:rPr>
          <w:rFonts w:ascii="Calibri" w:eastAsia="Calibri" w:hAnsi="Calibri" w:cs="Times New Roman"/>
        </w:rPr>
        <w:tab/>
        <w:t>52.4</w:t>
      </w:r>
    </w:p>
    <w:p w14:paraId="261B006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41.200%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52.6</w:t>
      </w:r>
    </w:p>
    <w:p w14:paraId="74EADC9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b/>
        <w:t>41.670%</w:t>
      </w:r>
      <w:r w:rsidRPr="00022F29">
        <w:rPr>
          <w:rFonts w:ascii="Calibri" w:eastAsia="Calibri" w:hAnsi="Calibri" w:cs="Times New Roman"/>
        </w:rPr>
        <w:tab/>
        <w:t>9</w:t>
      </w:r>
      <w:r w:rsidRPr="00022F29">
        <w:rPr>
          <w:rFonts w:ascii="Calibri" w:eastAsia="Calibri" w:hAnsi="Calibri" w:cs="Times New Roman"/>
        </w:rPr>
        <w:tab/>
        <w:t>1.4</w:t>
      </w:r>
      <w:r w:rsidRPr="00022F29">
        <w:rPr>
          <w:rFonts w:ascii="Calibri" w:eastAsia="Calibri" w:hAnsi="Calibri" w:cs="Times New Roman"/>
        </w:rPr>
        <w:tab/>
        <w:t>1.4</w:t>
      </w:r>
      <w:r w:rsidRPr="00022F29">
        <w:rPr>
          <w:rFonts w:ascii="Calibri" w:eastAsia="Calibri" w:hAnsi="Calibri" w:cs="Times New Roman"/>
        </w:rPr>
        <w:tab/>
        <w:t>54.0</w:t>
      </w:r>
    </w:p>
    <w:p w14:paraId="711E362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41.700%</w:t>
      </w:r>
      <w:r w:rsidRPr="00022F29">
        <w:rPr>
          <w:rFonts w:ascii="Calibri" w:eastAsia="Calibri" w:hAnsi="Calibri" w:cs="Times New Roman"/>
        </w:rPr>
        <w:tab/>
        <w:t>8</w:t>
      </w:r>
      <w:r w:rsidRPr="00022F29">
        <w:rPr>
          <w:rFonts w:ascii="Calibri" w:eastAsia="Calibri" w:hAnsi="Calibri" w:cs="Times New Roman"/>
        </w:rPr>
        <w:tab/>
        <w:t>1.3</w:t>
      </w:r>
      <w:r w:rsidRPr="00022F29">
        <w:rPr>
          <w:rFonts w:ascii="Calibri" w:eastAsia="Calibri" w:hAnsi="Calibri" w:cs="Times New Roman"/>
        </w:rPr>
        <w:tab/>
        <w:t>1.3</w:t>
      </w:r>
      <w:r w:rsidRPr="00022F29">
        <w:rPr>
          <w:rFonts w:ascii="Calibri" w:eastAsia="Calibri" w:hAnsi="Calibri" w:cs="Times New Roman"/>
        </w:rPr>
        <w:tab/>
        <w:t>55.3</w:t>
      </w:r>
    </w:p>
    <w:p w14:paraId="2F11063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42.000%</w:t>
      </w:r>
      <w:r w:rsidRPr="00022F29">
        <w:rPr>
          <w:rFonts w:ascii="Calibri" w:eastAsia="Calibri" w:hAnsi="Calibri" w:cs="Times New Roman"/>
        </w:rPr>
        <w:tab/>
        <w:t>6</w:t>
      </w:r>
      <w:r w:rsidRPr="00022F29">
        <w:rPr>
          <w:rFonts w:ascii="Calibri" w:eastAsia="Calibri" w:hAnsi="Calibri" w:cs="Times New Roman"/>
        </w:rPr>
        <w:tab/>
        <w:t>1.0</w:t>
      </w:r>
      <w:r w:rsidRPr="00022F29">
        <w:rPr>
          <w:rFonts w:ascii="Calibri" w:eastAsia="Calibri" w:hAnsi="Calibri" w:cs="Times New Roman"/>
        </w:rPr>
        <w:tab/>
        <w:t>1.0</w:t>
      </w:r>
      <w:r w:rsidRPr="00022F29">
        <w:rPr>
          <w:rFonts w:ascii="Calibri" w:eastAsia="Calibri" w:hAnsi="Calibri" w:cs="Times New Roman"/>
        </w:rPr>
        <w:tab/>
        <w:t>56.3</w:t>
      </w:r>
    </w:p>
    <w:p w14:paraId="3B28F3F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43.000%</w:t>
      </w:r>
      <w:r w:rsidRPr="00022F29">
        <w:rPr>
          <w:rFonts w:ascii="Calibri" w:eastAsia="Calibri" w:hAnsi="Calibri" w:cs="Times New Roman"/>
        </w:rPr>
        <w:tab/>
        <w:t>10</w:t>
      </w:r>
      <w:r w:rsidRPr="00022F29">
        <w:rPr>
          <w:rFonts w:ascii="Calibri" w:eastAsia="Calibri" w:hAnsi="Calibri" w:cs="Times New Roman"/>
        </w:rPr>
        <w:tab/>
        <w:t>1.6</w:t>
      </w:r>
      <w:r w:rsidRPr="00022F29">
        <w:rPr>
          <w:rFonts w:ascii="Calibri" w:eastAsia="Calibri" w:hAnsi="Calibri" w:cs="Times New Roman"/>
        </w:rPr>
        <w:tab/>
        <w:t>1.6</w:t>
      </w:r>
      <w:r w:rsidRPr="00022F29">
        <w:rPr>
          <w:rFonts w:ascii="Calibri" w:eastAsia="Calibri" w:hAnsi="Calibri" w:cs="Times New Roman"/>
        </w:rPr>
        <w:tab/>
        <w:t>57.9</w:t>
      </w:r>
    </w:p>
    <w:p w14:paraId="2D23AE6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43.060%</w:t>
      </w:r>
      <w:r w:rsidRPr="00022F29">
        <w:rPr>
          <w:rFonts w:ascii="Calibri" w:eastAsia="Calibri" w:hAnsi="Calibri" w:cs="Times New Roman"/>
        </w:rPr>
        <w:tab/>
        <w:t>4</w:t>
      </w:r>
      <w:r w:rsidRPr="00022F29">
        <w:rPr>
          <w:rFonts w:ascii="Calibri" w:eastAsia="Calibri" w:hAnsi="Calibri" w:cs="Times New Roman"/>
        </w:rPr>
        <w:tab/>
        <w:t>.6</w:t>
      </w:r>
      <w:r w:rsidRPr="00022F29">
        <w:rPr>
          <w:rFonts w:ascii="Calibri" w:eastAsia="Calibri" w:hAnsi="Calibri" w:cs="Times New Roman"/>
        </w:rPr>
        <w:tab/>
        <w:t>.6</w:t>
      </w:r>
      <w:r w:rsidRPr="00022F29">
        <w:rPr>
          <w:rFonts w:ascii="Calibri" w:eastAsia="Calibri" w:hAnsi="Calibri" w:cs="Times New Roman"/>
        </w:rPr>
        <w:tab/>
        <w:t>58.5</w:t>
      </w:r>
    </w:p>
    <w:p w14:paraId="4CE6B2A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43.100%</w:t>
      </w:r>
      <w:r w:rsidRPr="00022F29">
        <w:rPr>
          <w:rFonts w:ascii="Calibri" w:eastAsia="Calibri" w:hAnsi="Calibri" w:cs="Times New Roman"/>
        </w:rPr>
        <w:tab/>
        <w:t>10</w:t>
      </w:r>
      <w:r w:rsidRPr="00022F29">
        <w:rPr>
          <w:rFonts w:ascii="Calibri" w:eastAsia="Calibri" w:hAnsi="Calibri" w:cs="Times New Roman"/>
        </w:rPr>
        <w:tab/>
        <w:t>1.6</w:t>
      </w:r>
      <w:r w:rsidRPr="00022F29">
        <w:rPr>
          <w:rFonts w:ascii="Calibri" w:eastAsia="Calibri" w:hAnsi="Calibri" w:cs="Times New Roman"/>
        </w:rPr>
        <w:tab/>
        <w:t>1.6</w:t>
      </w:r>
      <w:r w:rsidRPr="00022F29">
        <w:rPr>
          <w:rFonts w:ascii="Calibri" w:eastAsia="Calibri" w:hAnsi="Calibri" w:cs="Times New Roman"/>
        </w:rPr>
        <w:tab/>
        <w:t>60.1</w:t>
      </w:r>
    </w:p>
    <w:p w14:paraId="4960BFE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43.750%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60.4</w:t>
      </w:r>
    </w:p>
    <w:p w14:paraId="1FAFF2B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43.800%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60.6</w:t>
      </w:r>
    </w:p>
    <w:p w14:paraId="3BFE32F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44.000%</w:t>
      </w:r>
      <w:r w:rsidRPr="00022F29">
        <w:rPr>
          <w:rFonts w:ascii="Calibri" w:eastAsia="Calibri" w:hAnsi="Calibri" w:cs="Times New Roman"/>
        </w:rPr>
        <w:tab/>
        <w:t>9</w:t>
      </w:r>
      <w:r w:rsidRPr="00022F29">
        <w:rPr>
          <w:rFonts w:ascii="Calibri" w:eastAsia="Calibri" w:hAnsi="Calibri" w:cs="Times New Roman"/>
        </w:rPr>
        <w:tab/>
        <w:t>1.4</w:t>
      </w:r>
      <w:r w:rsidRPr="00022F29">
        <w:rPr>
          <w:rFonts w:ascii="Calibri" w:eastAsia="Calibri" w:hAnsi="Calibri" w:cs="Times New Roman"/>
        </w:rPr>
        <w:tab/>
        <w:t>1.4</w:t>
      </w:r>
      <w:r w:rsidRPr="00022F29">
        <w:rPr>
          <w:rFonts w:ascii="Calibri" w:eastAsia="Calibri" w:hAnsi="Calibri" w:cs="Times New Roman"/>
        </w:rPr>
        <w:tab/>
        <w:t>62.0</w:t>
      </w:r>
    </w:p>
    <w:p w14:paraId="21F6E0B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44.400%</w:t>
      </w:r>
      <w:r w:rsidRPr="00022F29">
        <w:rPr>
          <w:rFonts w:ascii="Calibri" w:eastAsia="Calibri" w:hAnsi="Calibri" w:cs="Times New Roman"/>
        </w:rPr>
        <w:tab/>
        <w:t>4</w:t>
      </w:r>
      <w:r w:rsidRPr="00022F29">
        <w:rPr>
          <w:rFonts w:ascii="Calibri" w:eastAsia="Calibri" w:hAnsi="Calibri" w:cs="Times New Roman"/>
        </w:rPr>
        <w:tab/>
        <w:t>.6</w:t>
      </w:r>
      <w:r w:rsidRPr="00022F29">
        <w:rPr>
          <w:rFonts w:ascii="Calibri" w:eastAsia="Calibri" w:hAnsi="Calibri" w:cs="Times New Roman"/>
        </w:rPr>
        <w:tab/>
        <w:t>.6</w:t>
      </w:r>
      <w:r w:rsidRPr="00022F29">
        <w:rPr>
          <w:rFonts w:ascii="Calibri" w:eastAsia="Calibri" w:hAnsi="Calibri" w:cs="Times New Roman"/>
        </w:rPr>
        <w:tab/>
        <w:t>62.7</w:t>
      </w:r>
    </w:p>
    <w:p w14:paraId="171786E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44.440%</w:t>
      </w:r>
      <w:r w:rsidRPr="00022F29">
        <w:rPr>
          <w:rFonts w:ascii="Calibri" w:eastAsia="Calibri" w:hAnsi="Calibri" w:cs="Times New Roman"/>
        </w:rPr>
        <w:tab/>
        <w:t>4</w:t>
      </w:r>
      <w:r w:rsidRPr="00022F29">
        <w:rPr>
          <w:rFonts w:ascii="Calibri" w:eastAsia="Calibri" w:hAnsi="Calibri" w:cs="Times New Roman"/>
        </w:rPr>
        <w:tab/>
        <w:t>.6</w:t>
      </w:r>
      <w:r w:rsidRPr="00022F29">
        <w:rPr>
          <w:rFonts w:ascii="Calibri" w:eastAsia="Calibri" w:hAnsi="Calibri" w:cs="Times New Roman"/>
        </w:rPr>
        <w:tab/>
        <w:t>.6</w:t>
      </w:r>
      <w:r w:rsidRPr="00022F29">
        <w:rPr>
          <w:rFonts w:ascii="Calibri" w:eastAsia="Calibri" w:hAnsi="Calibri" w:cs="Times New Roman"/>
        </w:rPr>
        <w:tab/>
        <w:t>63.3</w:t>
      </w:r>
    </w:p>
    <w:p w14:paraId="7C9FFFA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45.000%</w:t>
      </w:r>
      <w:r w:rsidRPr="00022F29">
        <w:rPr>
          <w:rFonts w:ascii="Calibri" w:eastAsia="Calibri" w:hAnsi="Calibri" w:cs="Times New Roman"/>
        </w:rPr>
        <w:tab/>
        <w:t>3</w:t>
      </w:r>
      <w:r w:rsidRPr="00022F29">
        <w:rPr>
          <w:rFonts w:ascii="Calibri" w:eastAsia="Calibri" w:hAnsi="Calibri" w:cs="Times New Roman"/>
        </w:rPr>
        <w:tab/>
        <w:t>.5</w:t>
      </w:r>
      <w:r w:rsidRPr="00022F29">
        <w:rPr>
          <w:rFonts w:ascii="Calibri" w:eastAsia="Calibri" w:hAnsi="Calibri" w:cs="Times New Roman"/>
        </w:rPr>
        <w:tab/>
        <w:t>.5</w:t>
      </w:r>
      <w:r w:rsidRPr="00022F29">
        <w:rPr>
          <w:rFonts w:ascii="Calibri" w:eastAsia="Calibri" w:hAnsi="Calibri" w:cs="Times New Roman"/>
        </w:rPr>
        <w:tab/>
        <w:t>63.8</w:t>
      </w:r>
    </w:p>
    <w:p w14:paraId="211F5D1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45.100%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64.1</w:t>
      </w:r>
    </w:p>
    <w:p w14:paraId="4B42466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45.140%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64.3</w:t>
      </w:r>
    </w:p>
    <w:p w14:paraId="489355C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45.800%</w:t>
      </w:r>
      <w:r w:rsidRPr="00022F29">
        <w:rPr>
          <w:rFonts w:ascii="Calibri" w:eastAsia="Calibri" w:hAnsi="Calibri" w:cs="Times New Roman"/>
        </w:rPr>
        <w:tab/>
        <w:t>4</w:t>
      </w:r>
      <w:r w:rsidRPr="00022F29">
        <w:rPr>
          <w:rFonts w:ascii="Calibri" w:eastAsia="Calibri" w:hAnsi="Calibri" w:cs="Times New Roman"/>
        </w:rPr>
        <w:tab/>
        <w:t>.6</w:t>
      </w:r>
      <w:r w:rsidRPr="00022F29">
        <w:rPr>
          <w:rFonts w:ascii="Calibri" w:eastAsia="Calibri" w:hAnsi="Calibri" w:cs="Times New Roman"/>
        </w:rPr>
        <w:tab/>
        <w:t>.6</w:t>
      </w:r>
      <w:r w:rsidRPr="00022F29">
        <w:rPr>
          <w:rFonts w:ascii="Calibri" w:eastAsia="Calibri" w:hAnsi="Calibri" w:cs="Times New Roman"/>
        </w:rPr>
        <w:tab/>
        <w:t>64.9</w:t>
      </w:r>
    </w:p>
    <w:p w14:paraId="574E78E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45.830%</w:t>
      </w:r>
      <w:r w:rsidRPr="00022F29">
        <w:rPr>
          <w:rFonts w:ascii="Calibri" w:eastAsia="Calibri" w:hAnsi="Calibri" w:cs="Times New Roman"/>
        </w:rPr>
        <w:tab/>
        <w:t>10</w:t>
      </w:r>
      <w:r w:rsidRPr="00022F29">
        <w:rPr>
          <w:rFonts w:ascii="Calibri" w:eastAsia="Calibri" w:hAnsi="Calibri" w:cs="Times New Roman"/>
        </w:rPr>
        <w:tab/>
        <w:t>1.6</w:t>
      </w:r>
      <w:r w:rsidRPr="00022F29">
        <w:rPr>
          <w:rFonts w:ascii="Calibri" w:eastAsia="Calibri" w:hAnsi="Calibri" w:cs="Times New Roman"/>
        </w:rPr>
        <w:tab/>
        <w:t>1.6</w:t>
      </w:r>
      <w:r w:rsidRPr="00022F29">
        <w:rPr>
          <w:rFonts w:ascii="Calibri" w:eastAsia="Calibri" w:hAnsi="Calibri" w:cs="Times New Roman"/>
        </w:rPr>
        <w:tab/>
        <w:t>66.5</w:t>
      </w:r>
    </w:p>
    <w:p w14:paraId="788105F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46.000%</w:t>
      </w:r>
      <w:r w:rsidRPr="00022F29">
        <w:rPr>
          <w:rFonts w:ascii="Calibri" w:eastAsia="Calibri" w:hAnsi="Calibri" w:cs="Times New Roman"/>
        </w:rPr>
        <w:tab/>
        <w:t>8</w:t>
      </w:r>
      <w:r w:rsidRPr="00022F29">
        <w:rPr>
          <w:rFonts w:ascii="Calibri" w:eastAsia="Calibri" w:hAnsi="Calibri" w:cs="Times New Roman"/>
        </w:rPr>
        <w:tab/>
        <w:t>1.3</w:t>
      </w:r>
      <w:r w:rsidRPr="00022F29">
        <w:rPr>
          <w:rFonts w:ascii="Calibri" w:eastAsia="Calibri" w:hAnsi="Calibri" w:cs="Times New Roman"/>
        </w:rPr>
        <w:tab/>
        <w:t>1.3</w:t>
      </w:r>
      <w:r w:rsidRPr="00022F29">
        <w:rPr>
          <w:rFonts w:ascii="Calibri" w:eastAsia="Calibri" w:hAnsi="Calibri" w:cs="Times New Roman"/>
        </w:rPr>
        <w:tab/>
        <w:t>67.8</w:t>
      </w:r>
    </w:p>
    <w:p w14:paraId="08CDC81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46.500%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67.9</w:t>
      </w:r>
    </w:p>
    <w:p w14:paraId="5981F69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46.530%</w:t>
      </w:r>
      <w:r w:rsidRPr="00022F29">
        <w:rPr>
          <w:rFonts w:ascii="Calibri" w:eastAsia="Calibri" w:hAnsi="Calibri" w:cs="Times New Roman"/>
        </w:rPr>
        <w:tab/>
        <w:t>4</w:t>
      </w:r>
      <w:r w:rsidRPr="00022F29">
        <w:rPr>
          <w:rFonts w:ascii="Calibri" w:eastAsia="Calibri" w:hAnsi="Calibri" w:cs="Times New Roman"/>
        </w:rPr>
        <w:tab/>
        <w:t>.6</w:t>
      </w:r>
      <w:r w:rsidRPr="00022F29">
        <w:rPr>
          <w:rFonts w:ascii="Calibri" w:eastAsia="Calibri" w:hAnsi="Calibri" w:cs="Times New Roman"/>
        </w:rPr>
        <w:tab/>
        <w:t>.6</w:t>
      </w:r>
      <w:r w:rsidRPr="00022F29">
        <w:rPr>
          <w:rFonts w:ascii="Calibri" w:eastAsia="Calibri" w:hAnsi="Calibri" w:cs="Times New Roman"/>
        </w:rPr>
        <w:tab/>
        <w:t>68.6</w:t>
      </w:r>
    </w:p>
    <w:p w14:paraId="69DDEFB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47.000%</w:t>
      </w:r>
      <w:r w:rsidRPr="00022F29">
        <w:rPr>
          <w:rFonts w:ascii="Calibri" w:eastAsia="Calibri" w:hAnsi="Calibri" w:cs="Times New Roman"/>
        </w:rPr>
        <w:tab/>
        <w:t>13</w:t>
      </w:r>
      <w:r w:rsidRPr="00022F29">
        <w:rPr>
          <w:rFonts w:ascii="Calibri" w:eastAsia="Calibri" w:hAnsi="Calibri" w:cs="Times New Roman"/>
        </w:rPr>
        <w:tab/>
        <w:t>2.1</w:t>
      </w:r>
      <w:r w:rsidRPr="00022F29">
        <w:rPr>
          <w:rFonts w:ascii="Calibri" w:eastAsia="Calibri" w:hAnsi="Calibri" w:cs="Times New Roman"/>
        </w:rPr>
        <w:tab/>
        <w:t>2.1</w:t>
      </w:r>
      <w:r w:rsidRPr="00022F29">
        <w:rPr>
          <w:rFonts w:ascii="Calibri" w:eastAsia="Calibri" w:hAnsi="Calibri" w:cs="Times New Roman"/>
        </w:rPr>
        <w:tab/>
        <w:t>70.7</w:t>
      </w:r>
    </w:p>
    <w:p w14:paraId="02416EA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47.200%</w:t>
      </w:r>
      <w:r w:rsidRPr="00022F29">
        <w:rPr>
          <w:rFonts w:ascii="Calibri" w:eastAsia="Calibri" w:hAnsi="Calibri" w:cs="Times New Roman"/>
        </w:rPr>
        <w:tab/>
        <w:t>5</w:t>
      </w:r>
      <w:r w:rsidRPr="00022F29">
        <w:rPr>
          <w:rFonts w:ascii="Calibri" w:eastAsia="Calibri" w:hAnsi="Calibri" w:cs="Times New Roman"/>
        </w:rPr>
        <w:tab/>
        <w:t>.8</w:t>
      </w:r>
      <w:r w:rsidRPr="00022F29">
        <w:rPr>
          <w:rFonts w:ascii="Calibri" w:eastAsia="Calibri" w:hAnsi="Calibri" w:cs="Times New Roman"/>
        </w:rPr>
        <w:tab/>
        <w:t>.8</w:t>
      </w:r>
      <w:r w:rsidRPr="00022F29">
        <w:rPr>
          <w:rFonts w:ascii="Calibri" w:eastAsia="Calibri" w:hAnsi="Calibri" w:cs="Times New Roman"/>
        </w:rPr>
        <w:tab/>
        <w:t>71.5</w:t>
      </w:r>
    </w:p>
    <w:p w14:paraId="233E171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47.220%</w:t>
      </w:r>
      <w:r w:rsidRPr="00022F29">
        <w:rPr>
          <w:rFonts w:ascii="Calibri" w:eastAsia="Calibri" w:hAnsi="Calibri" w:cs="Times New Roman"/>
        </w:rPr>
        <w:tab/>
        <w:t>4</w:t>
      </w:r>
      <w:r w:rsidRPr="00022F29">
        <w:rPr>
          <w:rFonts w:ascii="Calibri" w:eastAsia="Calibri" w:hAnsi="Calibri" w:cs="Times New Roman"/>
        </w:rPr>
        <w:tab/>
        <w:t>.6</w:t>
      </w:r>
      <w:r w:rsidRPr="00022F29">
        <w:rPr>
          <w:rFonts w:ascii="Calibri" w:eastAsia="Calibri" w:hAnsi="Calibri" w:cs="Times New Roman"/>
        </w:rPr>
        <w:tab/>
        <w:t>.6</w:t>
      </w:r>
      <w:r w:rsidRPr="00022F29">
        <w:rPr>
          <w:rFonts w:ascii="Calibri" w:eastAsia="Calibri" w:hAnsi="Calibri" w:cs="Times New Roman"/>
        </w:rPr>
        <w:tab/>
        <w:t>72.1</w:t>
      </w:r>
    </w:p>
    <w:p w14:paraId="2007B55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47.900%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72.3</w:t>
      </w:r>
    </w:p>
    <w:p w14:paraId="62C4334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47.920%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72.6</w:t>
      </w:r>
    </w:p>
    <w:p w14:paraId="1BF0FE5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48.000%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72.9</w:t>
      </w:r>
    </w:p>
    <w:p w14:paraId="075B3D7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48.600%</w:t>
      </w:r>
      <w:r w:rsidRPr="00022F29">
        <w:rPr>
          <w:rFonts w:ascii="Calibri" w:eastAsia="Calibri" w:hAnsi="Calibri" w:cs="Times New Roman"/>
        </w:rPr>
        <w:tab/>
        <w:t>5</w:t>
      </w:r>
      <w:r w:rsidRPr="00022F29">
        <w:rPr>
          <w:rFonts w:ascii="Calibri" w:eastAsia="Calibri" w:hAnsi="Calibri" w:cs="Times New Roman"/>
        </w:rPr>
        <w:tab/>
        <w:t>.8</w:t>
      </w:r>
      <w:r w:rsidRPr="00022F29">
        <w:rPr>
          <w:rFonts w:ascii="Calibri" w:eastAsia="Calibri" w:hAnsi="Calibri" w:cs="Times New Roman"/>
        </w:rPr>
        <w:tab/>
        <w:t>.8</w:t>
      </w:r>
      <w:r w:rsidRPr="00022F29">
        <w:rPr>
          <w:rFonts w:ascii="Calibri" w:eastAsia="Calibri" w:hAnsi="Calibri" w:cs="Times New Roman"/>
        </w:rPr>
        <w:tab/>
        <w:t>73.7</w:t>
      </w:r>
    </w:p>
    <w:p w14:paraId="52526FA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48.610%</w:t>
      </w:r>
      <w:r w:rsidRPr="00022F29">
        <w:rPr>
          <w:rFonts w:ascii="Calibri" w:eastAsia="Calibri" w:hAnsi="Calibri" w:cs="Times New Roman"/>
        </w:rPr>
        <w:tab/>
        <w:t>11</w:t>
      </w:r>
      <w:r w:rsidRPr="00022F29">
        <w:rPr>
          <w:rFonts w:ascii="Calibri" w:eastAsia="Calibri" w:hAnsi="Calibri" w:cs="Times New Roman"/>
        </w:rPr>
        <w:tab/>
        <w:t>1.8</w:t>
      </w:r>
      <w:r w:rsidRPr="00022F29">
        <w:rPr>
          <w:rFonts w:ascii="Calibri" w:eastAsia="Calibri" w:hAnsi="Calibri" w:cs="Times New Roman"/>
        </w:rPr>
        <w:tab/>
        <w:t>1.8</w:t>
      </w:r>
      <w:r w:rsidRPr="00022F29">
        <w:rPr>
          <w:rFonts w:ascii="Calibri" w:eastAsia="Calibri" w:hAnsi="Calibri" w:cs="Times New Roman"/>
        </w:rPr>
        <w:tab/>
        <w:t>75.5</w:t>
      </w:r>
    </w:p>
    <w:p w14:paraId="3F92169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49.000%</w:t>
      </w:r>
      <w:r w:rsidRPr="00022F29">
        <w:rPr>
          <w:rFonts w:ascii="Calibri" w:eastAsia="Calibri" w:hAnsi="Calibri" w:cs="Times New Roman"/>
        </w:rPr>
        <w:tab/>
        <w:t>6</w:t>
      </w:r>
      <w:r w:rsidRPr="00022F29">
        <w:rPr>
          <w:rFonts w:ascii="Calibri" w:eastAsia="Calibri" w:hAnsi="Calibri" w:cs="Times New Roman"/>
        </w:rPr>
        <w:tab/>
        <w:t>1.0</w:t>
      </w:r>
      <w:r w:rsidRPr="00022F29">
        <w:rPr>
          <w:rFonts w:ascii="Calibri" w:eastAsia="Calibri" w:hAnsi="Calibri" w:cs="Times New Roman"/>
        </w:rPr>
        <w:tab/>
        <w:t>1.0</w:t>
      </w:r>
      <w:r w:rsidRPr="00022F29">
        <w:rPr>
          <w:rFonts w:ascii="Calibri" w:eastAsia="Calibri" w:hAnsi="Calibri" w:cs="Times New Roman"/>
        </w:rPr>
        <w:tab/>
        <w:t>76.4</w:t>
      </w:r>
    </w:p>
    <w:p w14:paraId="627945D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49.300%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76.8</w:t>
      </w:r>
    </w:p>
    <w:p w14:paraId="61784E2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49.310%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77.1</w:t>
      </w:r>
    </w:p>
    <w:p w14:paraId="5F5ADED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50.000%</w:t>
      </w:r>
      <w:r w:rsidRPr="00022F29">
        <w:rPr>
          <w:rFonts w:ascii="Calibri" w:eastAsia="Calibri" w:hAnsi="Calibri" w:cs="Times New Roman"/>
        </w:rPr>
        <w:tab/>
        <w:t>18</w:t>
      </w:r>
      <w:r w:rsidRPr="00022F29">
        <w:rPr>
          <w:rFonts w:ascii="Calibri" w:eastAsia="Calibri" w:hAnsi="Calibri" w:cs="Times New Roman"/>
        </w:rPr>
        <w:tab/>
        <w:t>2.9</w:t>
      </w:r>
      <w:r w:rsidRPr="00022F29">
        <w:rPr>
          <w:rFonts w:ascii="Calibri" w:eastAsia="Calibri" w:hAnsi="Calibri" w:cs="Times New Roman"/>
        </w:rPr>
        <w:tab/>
        <w:t>2.9</w:t>
      </w:r>
      <w:r w:rsidRPr="00022F29">
        <w:rPr>
          <w:rFonts w:ascii="Calibri" w:eastAsia="Calibri" w:hAnsi="Calibri" w:cs="Times New Roman"/>
        </w:rPr>
        <w:tab/>
        <w:t>80.0</w:t>
      </w:r>
    </w:p>
    <w:p w14:paraId="3C24ED6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50.690%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80.1</w:t>
      </w:r>
    </w:p>
    <w:p w14:paraId="6FB43A7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51.000%</w:t>
      </w:r>
      <w:r w:rsidRPr="00022F29">
        <w:rPr>
          <w:rFonts w:ascii="Calibri" w:eastAsia="Calibri" w:hAnsi="Calibri" w:cs="Times New Roman"/>
        </w:rPr>
        <w:tab/>
        <w:t>6</w:t>
      </w:r>
      <w:r w:rsidRPr="00022F29">
        <w:rPr>
          <w:rFonts w:ascii="Calibri" w:eastAsia="Calibri" w:hAnsi="Calibri" w:cs="Times New Roman"/>
        </w:rPr>
        <w:tab/>
        <w:t>1.0</w:t>
      </w:r>
      <w:r w:rsidRPr="00022F29">
        <w:rPr>
          <w:rFonts w:ascii="Calibri" w:eastAsia="Calibri" w:hAnsi="Calibri" w:cs="Times New Roman"/>
        </w:rPr>
        <w:tab/>
        <w:t>1.0</w:t>
      </w:r>
      <w:r w:rsidRPr="00022F29">
        <w:rPr>
          <w:rFonts w:ascii="Calibri" w:eastAsia="Calibri" w:hAnsi="Calibri" w:cs="Times New Roman"/>
        </w:rPr>
        <w:tab/>
        <w:t>81.1</w:t>
      </w:r>
    </w:p>
    <w:p w14:paraId="7033F45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51.390%</w:t>
      </w:r>
      <w:r w:rsidRPr="00022F29">
        <w:rPr>
          <w:rFonts w:ascii="Calibri" w:eastAsia="Calibri" w:hAnsi="Calibri" w:cs="Times New Roman"/>
        </w:rPr>
        <w:tab/>
        <w:t>9</w:t>
      </w:r>
      <w:r w:rsidRPr="00022F29">
        <w:rPr>
          <w:rFonts w:ascii="Calibri" w:eastAsia="Calibri" w:hAnsi="Calibri" w:cs="Times New Roman"/>
        </w:rPr>
        <w:tab/>
        <w:t>1.4</w:t>
      </w:r>
      <w:r w:rsidRPr="00022F29">
        <w:rPr>
          <w:rFonts w:ascii="Calibri" w:eastAsia="Calibri" w:hAnsi="Calibri" w:cs="Times New Roman"/>
        </w:rPr>
        <w:tab/>
        <w:t>1.4</w:t>
      </w:r>
      <w:r w:rsidRPr="00022F29">
        <w:rPr>
          <w:rFonts w:ascii="Calibri" w:eastAsia="Calibri" w:hAnsi="Calibri" w:cs="Times New Roman"/>
        </w:rPr>
        <w:tab/>
        <w:t>82.5</w:t>
      </w:r>
    </w:p>
    <w:p w14:paraId="1430C8D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51.400%</w:t>
      </w:r>
      <w:r w:rsidRPr="00022F29">
        <w:rPr>
          <w:rFonts w:ascii="Calibri" w:eastAsia="Calibri" w:hAnsi="Calibri" w:cs="Times New Roman"/>
        </w:rPr>
        <w:tab/>
        <w:t>5</w:t>
      </w:r>
      <w:r w:rsidRPr="00022F29">
        <w:rPr>
          <w:rFonts w:ascii="Calibri" w:eastAsia="Calibri" w:hAnsi="Calibri" w:cs="Times New Roman"/>
        </w:rPr>
        <w:tab/>
        <w:t>.8</w:t>
      </w:r>
      <w:r w:rsidRPr="00022F29">
        <w:rPr>
          <w:rFonts w:ascii="Calibri" w:eastAsia="Calibri" w:hAnsi="Calibri" w:cs="Times New Roman"/>
        </w:rPr>
        <w:tab/>
        <w:t>.8</w:t>
      </w:r>
      <w:r w:rsidRPr="00022F29">
        <w:rPr>
          <w:rFonts w:ascii="Calibri" w:eastAsia="Calibri" w:hAnsi="Calibri" w:cs="Times New Roman"/>
        </w:rPr>
        <w:tab/>
        <w:t>83.3</w:t>
      </w:r>
    </w:p>
    <w:p w14:paraId="2E953B2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52.000%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83.5</w:t>
      </w:r>
    </w:p>
    <w:p w14:paraId="2E0BA56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52.080%</w:t>
      </w:r>
      <w:r w:rsidRPr="00022F29">
        <w:rPr>
          <w:rFonts w:ascii="Calibri" w:eastAsia="Calibri" w:hAnsi="Calibri" w:cs="Times New Roman"/>
        </w:rPr>
        <w:tab/>
        <w:t>4</w:t>
      </w:r>
      <w:r w:rsidRPr="00022F29">
        <w:rPr>
          <w:rFonts w:ascii="Calibri" w:eastAsia="Calibri" w:hAnsi="Calibri" w:cs="Times New Roman"/>
        </w:rPr>
        <w:tab/>
        <w:t>.6</w:t>
      </w:r>
      <w:r w:rsidRPr="00022F29">
        <w:rPr>
          <w:rFonts w:ascii="Calibri" w:eastAsia="Calibri" w:hAnsi="Calibri" w:cs="Times New Roman"/>
        </w:rPr>
        <w:tab/>
        <w:t>.6</w:t>
      </w:r>
      <w:r w:rsidRPr="00022F29">
        <w:rPr>
          <w:rFonts w:ascii="Calibri" w:eastAsia="Calibri" w:hAnsi="Calibri" w:cs="Times New Roman"/>
        </w:rPr>
        <w:tab/>
        <w:t>84.1</w:t>
      </w:r>
    </w:p>
    <w:p w14:paraId="0FD556E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52.100%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84.3</w:t>
      </w:r>
    </w:p>
    <w:p w14:paraId="0672D64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52.780%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84.6</w:t>
      </w:r>
    </w:p>
    <w:p w14:paraId="7E9206E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52.800%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84.9</w:t>
      </w:r>
    </w:p>
    <w:p w14:paraId="43209C5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53.000%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85.3</w:t>
      </w:r>
    </w:p>
    <w:p w14:paraId="551ACBB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54.000%</w:t>
      </w:r>
      <w:r w:rsidRPr="00022F29">
        <w:rPr>
          <w:rFonts w:ascii="Calibri" w:eastAsia="Calibri" w:hAnsi="Calibri" w:cs="Times New Roman"/>
        </w:rPr>
        <w:tab/>
        <w:t>6</w:t>
      </w:r>
      <w:r w:rsidRPr="00022F29">
        <w:rPr>
          <w:rFonts w:ascii="Calibri" w:eastAsia="Calibri" w:hAnsi="Calibri" w:cs="Times New Roman"/>
        </w:rPr>
        <w:tab/>
        <w:t>1.0</w:t>
      </w:r>
      <w:r w:rsidRPr="00022F29">
        <w:rPr>
          <w:rFonts w:ascii="Calibri" w:eastAsia="Calibri" w:hAnsi="Calibri" w:cs="Times New Roman"/>
        </w:rPr>
        <w:tab/>
        <w:t>1.0</w:t>
      </w:r>
      <w:r w:rsidRPr="00022F29">
        <w:rPr>
          <w:rFonts w:ascii="Calibri" w:eastAsia="Calibri" w:hAnsi="Calibri" w:cs="Times New Roman"/>
        </w:rPr>
        <w:tab/>
        <w:t>86.2</w:t>
      </w:r>
    </w:p>
    <w:p w14:paraId="0004F21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54.170%</w:t>
      </w:r>
      <w:r w:rsidRPr="00022F29">
        <w:rPr>
          <w:rFonts w:ascii="Calibri" w:eastAsia="Calibri" w:hAnsi="Calibri" w:cs="Times New Roman"/>
        </w:rPr>
        <w:tab/>
        <w:t>5</w:t>
      </w:r>
      <w:r w:rsidRPr="00022F29">
        <w:rPr>
          <w:rFonts w:ascii="Calibri" w:eastAsia="Calibri" w:hAnsi="Calibri" w:cs="Times New Roman"/>
        </w:rPr>
        <w:tab/>
        <w:t>.8</w:t>
      </w:r>
      <w:r w:rsidRPr="00022F29">
        <w:rPr>
          <w:rFonts w:ascii="Calibri" w:eastAsia="Calibri" w:hAnsi="Calibri" w:cs="Times New Roman"/>
        </w:rPr>
        <w:tab/>
        <w:t>.8</w:t>
      </w:r>
      <w:r w:rsidRPr="00022F29">
        <w:rPr>
          <w:rFonts w:ascii="Calibri" w:eastAsia="Calibri" w:hAnsi="Calibri" w:cs="Times New Roman"/>
        </w:rPr>
        <w:tab/>
        <w:t>87.0</w:t>
      </w:r>
    </w:p>
    <w:p w14:paraId="58C8E77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54.200%</w:t>
      </w:r>
      <w:r w:rsidRPr="00022F29">
        <w:rPr>
          <w:rFonts w:ascii="Calibri" w:eastAsia="Calibri" w:hAnsi="Calibri" w:cs="Times New Roman"/>
        </w:rPr>
        <w:tab/>
        <w:t>4</w:t>
      </w:r>
      <w:r w:rsidRPr="00022F29">
        <w:rPr>
          <w:rFonts w:ascii="Calibri" w:eastAsia="Calibri" w:hAnsi="Calibri" w:cs="Times New Roman"/>
        </w:rPr>
        <w:tab/>
        <w:t>.6</w:t>
      </w:r>
      <w:r w:rsidRPr="00022F29">
        <w:rPr>
          <w:rFonts w:ascii="Calibri" w:eastAsia="Calibri" w:hAnsi="Calibri" w:cs="Times New Roman"/>
        </w:rPr>
        <w:tab/>
        <w:t>.6</w:t>
      </w:r>
      <w:r w:rsidRPr="00022F29">
        <w:rPr>
          <w:rFonts w:ascii="Calibri" w:eastAsia="Calibri" w:hAnsi="Calibri" w:cs="Times New Roman"/>
        </w:rPr>
        <w:tab/>
        <w:t>87.7</w:t>
      </w:r>
    </w:p>
    <w:p w14:paraId="2E64FBD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54.860%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87.8</w:t>
      </w:r>
    </w:p>
    <w:p w14:paraId="731EBB4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55.000%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88.0</w:t>
      </w:r>
    </w:p>
    <w:p w14:paraId="7D04626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55.560%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88.1</w:t>
      </w:r>
    </w:p>
    <w:p w14:paraId="2C3FAC6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b/>
        <w:t>55.600%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88.5</w:t>
      </w:r>
    </w:p>
    <w:p w14:paraId="21C60B6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56.000%</w:t>
      </w:r>
      <w:r w:rsidRPr="00022F29">
        <w:rPr>
          <w:rFonts w:ascii="Calibri" w:eastAsia="Calibri" w:hAnsi="Calibri" w:cs="Times New Roman"/>
        </w:rPr>
        <w:tab/>
        <w:t>3</w:t>
      </w:r>
      <w:r w:rsidRPr="00022F29">
        <w:rPr>
          <w:rFonts w:ascii="Calibri" w:eastAsia="Calibri" w:hAnsi="Calibri" w:cs="Times New Roman"/>
        </w:rPr>
        <w:tab/>
        <w:t>.5</w:t>
      </w:r>
      <w:r w:rsidRPr="00022F29">
        <w:rPr>
          <w:rFonts w:ascii="Calibri" w:eastAsia="Calibri" w:hAnsi="Calibri" w:cs="Times New Roman"/>
        </w:rPr>
        <w:tab/>
        <w:t>.5</w:t>
      </w:r>
      <w:r w:rsidRPr="00022F29">
        <w:rPr>
          <w:rFonts w:ascii="Calibri" w:eastAsia="Calibri" w:hAnsi="Calibri" w:cs="Times New Roman"/>
        </w:rPr>
        <w:tab/>
        <w:t>88.9</w:t>
      </w:r>
    </w:p>
    <w:p w14:paraId="45AFCD9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56.300%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89.1</w:t>
      </w:r>
    </w:p>
    <w:p w14:paraId="046F515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56.900%</w:t>
      </w:r>
      <w:r w:rsidRPr="00022F29">
        <w:rPr>
          <w:rFonts w:ascii="Calibri" w:eastAsia="Calibri" w:hAnsi="Calibri" w:cs="Times New Roman"/>
        </w:rPr>
        <w:tab/>
        <w:t>4</w:t>
      </w:r>
      <w:r w:rsidRPr="00022F29">
        <w:rPr>
          <w:rFonts w:ascii="Calibri" w:eastAsia="Calibri" w:hAnsi="Calibri" w:cs="Times New Roman"/>
        </w:rPr>
        <w:tab/>
        <w:t>.6</w:t>
      </w:r>
      <w:r w:rsidRPr="00022F29">
        <w:rPr>
          <w:rFonts w:ascii="Calibri" w:eastAsia="Calibri" w:hAnsi="Calibri" w:cs="Times New Roman"/>
        </w:rPr>
        <w:tab/>
        <w:t>.6</w:t>
      </w:r>
      <w:r w:rsidRPr="00022F29">
        <w:rPr>
          <w:rFonts w:ascii="Calibri" w:eastAsia="Calibri" w:hAnsi="Calibri" w:cs="Times New Roman"/>
        </w:rPr>
        <w:tab/>
        <w:t>89.7</w:t>
      </w:r>
    </w:p>
    <w:p w14:paraId="3D90E3A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56.940%</w:t>
      </w:r>
      <w:r w:rsidRPr="00022F29">
        <w:rPr>
          <w:rFonts w:ascii="Calibri" w:eastAsia="Calibri" w:hAnsi="Calibri" w:cs="Times New Roman"/>
        </w:rPr>
        <w:tab/>
        <w:t>4</w:t>
      </w:r>
      <w:r w:rsidRPr="00022F29">
        <w:rPr>
          <w:rFonts w:ascii="Calibri" w:eastAsia="Calibri" w:hAnsi="Calibri" w:cs="Times New Roman"/>
        </w:rPr>
        <w:tab/>
        <w:t>.6</w:t>
      </w:r>
      <w:r w:rsidRPr="00022F29">
        <w:rPr>
          <w:rFonts w:ascii="Calibri" w:eastAsia="Calibri" w:hAnsi="Calibri" w:cs="Times New Roman"/>
        </w:rPr>
        <w:tab/>
        <w:t>.6</w:t>
      </w:r>
      <w:r w:rsidRPr="00022F29">
        <w:rPr>
          <w:rFonts w:ascii="Calibri" w:eastAsia="Calibri" w:hAnsi="Calibri" w:cs="Times New Roman"/>
        </w:rPr>
        <w:tab/>
        <w:t>90.4</w:t>
      </w:r>
    </w:p>
    <w:p w14:paraId="7A7B58F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57.000%</w:t>
      </w:r>
      <w:r w:rsidRPr="00022F29">
        <w:rPr>
          <w:rFonts w:ascii="Calibri" w:eastAsia="Calibri" w:hAnsi="Calibri" w:cs="Times New Roman"/>
        </w:rPr>
        <w:tab/>
        <w:t>3</w:t>
      </w:r>
      <w:r w:rsidRPr="00022F29">
        <w:rPr>
          <w:rFonts w:ascii="Calibri" w:eastAsia="Calibri" w:hAnsi="Calibri" w:cs="Times New Roman"/>
        </w:rPr>
        <w:tab/>
        <w:t>.5</w:t>
      </w:r>
      <w:r w:rsidRPr="00022F29">
        <w:rPr>
          <w:rFonts w:ascii="Calibri" w:eastAsia="Calibri" w:hAnsi="Calibri" w:cs="Times New Roman"/>
        </w:rPr>
        <w:tab/>
        <w:t>.5</w:t>
      </w:r>
      <w:r w:rsidRPr="00022F29">
        <w:rPr>
          <w:rFonts w:ascii="Calibri" w:eastAsia="Calibri" w:hAnsi="Calibri" w:cs="Times New Roman"/>
        </w:rPr>
        <w:tab/>
        <w:t>90.9</w:t>
      </w:r>
    </w:p>
    <w:p w14:paraId="6910AB8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58.000%</w:t>
      </w:r>
      <w:r w:rsidRPr="00022F29">
        <w:rPr>
          <w:rFonts w:ascii="Calibri" w:eastAsia="Calibri" w:hAnsi="Calibri" w:cs="Times New Roman"/>
        </w:rPr>
        <w:tab/>
        <w:t>6</w:t>
      </w:r>
      <w:r w:rsidRPr="00022F29">
        <w:rPr>
          <w:rFonts w:ascii="Calibri" w:eastAsia="Calibri" w:hAnsi="Calibri" w:cs="Times New Roman"/>
        </w:rPr>
        <w:tab/>
        <w:t>1.0</w:t>
      </w:r>
      <w:r w:rsidRPr="00022F29">
        <w:rPr>
          <w:rFonts w:ascii="Calibri" w:eastAsia="Calibri" w:hAnsi="Calibri" w:cs="Times New Roman"/>
        </w:rPr>
        <w:tab/>
        <w:t>1.0</w:t>
      </w:r>
      <w:r w:rsidRPr="00022F29">
        <w:rPr>
          <w:rFonts w:ascii="Calibri" w:eastAsia="Calibri" w:hAnsi="Calibri" w:cs="Times New Roman"/>
        </w:rPr>
        <w:tab/>
        <w:t>91.8</w:t>
      </w:r>
    </w:p>
    <w:p w14:paraId="3F917C6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58.300%</w:t>
      </w:r>
      <w:r w:rsidRPr="00022F29">
        <w:rPr>
          <w:rFonts w:ascii="Calibri" w:eastAsia="Calibri" w:hAnsi="Calibri" w:cs="Times New Roman"/>
        </w:rPr>
        <w:tab/>
        <w:t>3</w:t>
      </w:r>
      <w:r w:rsidRPr="00022F29">
        <w:rPr>
          <w:rFonts w:ascii="Calibri" w:eastAsia="Calibri" w:hAnsi="Calibri" w:cs="Times New Roman"/>
        </w:rPr>
        <w:tab/>
        <w:t>.5</w:t>
      </w:r>
      <w:r w:rsidRPr="00022F29">
        <w:rPr>
          <w:rFonts w:ascii="Calibri" w:eastAsia="Calibri" w:hAnsi="Calibri" w:cs="Times New Roman"/>
        </w:rPr>
        <w:tab/>
        <w:t>.5</w:t>
      </w:r>
      <w:r w:rsidRPr="00022F29">
        <w:rPr>
          <w:rFonts w:ascii="Calibri" w:eastAsia="Calibri" w:hAnsi="Calibri" w:cs="Times New Roman"/>
        </w:rPr>
        <w:tab/>
        <w:t>92.3</w:t>
      </w:r>
    </w:p>
    <w:p w14:paraId="4B5EB99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58.330%</w:t>
      </w:r>
      <w:r w:rsidRPr="00022F29">
        <w:rPr>
          <w:rFonts w:ascii="Calibri" w:eastAsia="Calibri" w:hAnsi="Calibri" w:cs="Times New Roman"/>
        </w:rPr>
        <w:tab/>
        <w:t>5</w:t>
      </w:r>
      <w:r w:rsidRPr="00022F29">
        <w:rPr>
          <w:rFonts w:ascii="Calibri" w:eastAsia="Calibri" w:hAnsi="Calibri" w:cs="Times New Roman"/>
        </w:rPr>
        <w:tab/>
        <w:t>.8</w:t>
      </w:r>
      <w:r w:rsidRPr="00022F29">
        <w:rPr>
          <w:rFonts w:ascii="Calibri" w:eastAsia="Calibri" w:hAnsi="Calibri" w:cs="Times New Roman"/>
        </w:rPr>
        <w:tab/>
        <w:t>.8</w:t>
      </w:r>
      <w:r w:rsidRPr="00022F29">
        <w:rPr>
          <w:rFonts w:ascii="Calibri" w:eastAsia="Calibri" w:hAnsi="Calibri" w:cs="Times New Roman"/>
        </w:rPr>
        <w:tab/>
        <w:t>93.1</w:t>
      </w:r>
    </w:p>
    <w:p w14:paraId="0C02897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59.700%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93.4</w:t>
      </w:r>
    </w:p>
    <w:p w14:paraId="5861134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59.720%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93.6</w:t>
      </w:r>
    </w:p>
    <w:p w14:paraId="1F2DF56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60.000%</w:t>
      </w:r>
      <w:r w:rsidRPr="00022F29">
        <w:rPr>
          <w:rFonts w:ascii="Calibri" w:eastAsia="Calibri" w:hAnsi="Calibri" w:cs="Times New Roman"/>
        </w:rPr>
        <w:tab/>
        <w:t>3</w:t>
      </w:r>
      <w:r w:rsidRPr="00022F29">
        <w:rPr>
          <w:rFonts w:ascii="Calibri" w:eastAsia="Calibri" w:hAnsi="Calibri" w:cs="Times New Roman"/>
        </w:rPr>
        <w:tab/>
        <w:t>.5</w:t>
      </w:r>
      <w:r w:rsidRPr="00022F29">
        <w:rPr>
          <w:rFonts w:ascii="Calibri" w:eastAsia="Calibri" w:hAnsi="Calibri" w:cs="Times New Roman"/>
        </w:rPr>
        <w:tab/>
        <w:t>.5</w:t>
      </w:r>
      <w:r w:rsidRPr="00022F29">
        <w:rPr>
          <w:rFonts w:ascii="Calibri" w:eastAsia="Calibri" w:hAnsi="Calibri" w:cs="Times New Roman"/>
        </w:rPr>
        <w:tab/>
        <w:t>94.1</w:t>
      </w:r>
    </w:p>
    <w:p w14:paraId="412BF2A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61.000%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94.2</w:t>
      </w:r>
    </w:p>
    <w:p w14:paraId="4E094ED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61.100%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94.4</w:t>
      </w:r>
    </w:p>
    <w:p w14:paraId="56220A8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61.110%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94.6</w:t>
      </w:r>
    </w:p>
    <w:p w14:paraId="72FA01D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62.500%</w:t>
      </w:r>
      <w:r w:rsidRPr="00022F29">
        <w:rPr>
          <w:rFonts w:ascii="Calibri" w:eastAsia="Calibri" w:hAnsi="Calibri" w:cs="Times New Roman"/>
        </w:rPr>
        <w:tab/>
        <w:t>3</w:t>
      </w:r>
      <w:r w:rsidRPr="00022F29">
        <w:rPr>
          <w:rFonts w:ascii="Calibri" w:eastAsia="Calibri" w:hAnsi="Calibri" w:cs="Times New Roman"/>
        </w:rPr>
        <w:tab/>
        <w:t>.5</w:t>
      </w:r>
      <w:r w:rsidRPr="00022F29">
        <w:rPr>
          <w:rFonts w:ascii="Calibri" w:eastAsia="Calibri" w:hAnsi="Calibri" w:cs="Times New Roman"/>
        </w:rPr>
        <w:tab/>
        <w:t>.5</w:t>
      </w:r>
      <w:r w:rsidRPr="00022F29">
        <w:rPr>
          <w:rFonts w:ascii="Calibri" w:eastAsia="Calibri" w:hAnsi="Calibri" w:cs="Times New Roman"/>
        </w:rPr>
        <w:tab/>
        <w:t>95.0</w:t>
      </w:r>
    </w:p>
    <w:p w14:paraId="7C26063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63.000%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95.2</w:t>
      </w:r>
    </w:p>
    <w:p w14:paraId="59C9A6A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63.890%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95.4</w:t>
      </w:r>
    </w:p>
    <w:p w14:paraId="280A33F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63.900%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95.5</w:t>
      </w:r>
    </w:p>
    <w:p w14:paraId="2A77B35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64.000%</w:t>
      </w:r>
      <w:r w:rsidRPr="00022F29">
        <w:rPr>
          <w:rFonts w:ascii="Calibri" w:eastAsia="Calibri" w:hAnsi="Calibri" w:cs="Times New Roman"/>
        </w:rPr>
        <w:tab/>
        <w:t>4</w:t>
      </w:r>
      <w:r w:rsidRPr="00022F29">
        <w:rPr>
          <w:rFonts w:ascii="Calibri" w:eastAsia="Calibri" w:hAnsi="Calibri" w:cs="Times New Roman"/>
        </w:rPr>
        <w:tab/>
        <w:t>.6</w:t>
      </w:r>
      <w:r w:rsidRPr="00022F29">
        <w:rPr>
          <w:rFonts w:ascii="Calibri" w:eastAsia="Calibri" w:hAnsi="Calibri" w:cs="Times New Roman"/>
        </w:rPr>
        <w:tab/>
        <w:t>.6</w:t>
      </w:r>
      <w:r w:rsidRPr="00022F29">
        <w:rPr>
          <w:rFonts w:ascii="Calibri" w:eastAsia="Calibri" w:hAnsi="Calibri" w:cs="Times New Roman"/>
        </w:rPr>
        <w:tab/>
        <w:t>96.2</w:t>
      </w:r>
    </w:p>
    <w:p w14:paraId="4D28D89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65.000%</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t>.3</w:t>
      </w:r>
      <w:r w:rsidRPr="00022F29">
        <w:rPr>
          <w:rFonts w:ascii="Calibri" w:eastAsia="Calibri" w:hAnsi="Calibri" w:cs="Times New Roman"/>
        </w:rPr>
        <w:tab/>
        <w:t>96.5</w:t>
      </w:r>
    </w:p>
    <w:p w14:paraId="33090E1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65.300%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96.6</w:t>
      </w:r>
    </w:p>
    <w:p w14:paraId="7D6E52E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66.700%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96.8</w:t>
      </w:r>
    </w:p>
    <w:p w14:paraId="0C6F843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68.000%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97.0</w:t>
      </w:r>
    </w:p>
    <w:p w14:paraId="2D302E9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68.100%</w:t>
      </w:r>
      <w:r w:rsidRPr="00022F29">
        <w:rPr>
          <w:rFonts w:ascii="Calibri" w:eastAsia="Calibri" w:hAnsi="Calibri" w:cs="Times New Roman"/>
        </w:rPr>
        <w:tab/>
        <w:t>3</w:t>
      </w:r>
      <w:r w:rsidRPr="00022F29">
        <w:rPr>
          <w:rFonts w:ascii="Calibri" w:eastAsia="Calibri" w:hAnsi="Calibri" w:cs="Times New Roman"/>
        </w:rPr>
        <w:tab/>
        <w:t>.5</w:t>
      </w:r>
      <w:r w:rsidRPr="00022F29">
        <w:rPr>
          <w:rFonts w:ascii="Calibri" w:eastAsia="Calibri" w:hAnsi="Calibri" w:cs="Times New Roman"/>
        </w:rPr>
        <w:tab/>
        <w:t>.5</w:t>
      </w:r>
      <w:r w:rsidRPr="00022F29">
        <w:rPr>
          <w:rFonts w:ascii="Calibri" w:eastAsia="Calibri" w:hAnsi="Calibri" w:cs="Times New Roman"/>
        </w:rPr>
        <w:tab/>
        <w:t>97.4</w:t>
      </w:r>
    </w:p>
    <w:p w14:paraId="2C780CF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69.400%</w:t>
      </w:r>
      <w:r w:rsidRPr="00022F29">
        <w:rPr>
          <w:rFonts w:ascii="Calibri" w:eastAsia="Calibri" w:hAnsi="Calibri" w:cs="Times New Roman"/>
        </w:rPr>
        <w:tab/>
        <w:t>4</w:t>
      </w:r>
      <w:r w:rsidRPr="00022F29">
        <w:rPr>
          <w:rFonts w:ascii="Calibri" w:eastAsia="Calibri" w:hAnsi="Calibri" w:cs="Times New Roman"/>
        </w:rPr>
        <w:tab/>
        <w:t>.6</w:t>
      </w:r>
      <w:r w:rsidRPr="00022F29">
        <w:rPr>
          <w:rFonts w:ascii="Calibri" w:eastAsia="Calibri" w:hAnsi="Calibri" w:cs="Times New Roman"/>
        </w:rPr>
        <w:tab/>
        <w:t>.6</w:t>
      </w:r>
      <w:r w:rsidRPr="00022F29">
        <w:rPr>
          <w:rFonts w:ascii="Calibri" w:eastAsia="Calibri" w:hAnsi="Calibri" w:cs="Times New Roman"/>
        </w:rPr>
        <w:tab/>
        <w:t>98.1</w:t>
      </w:r>
    </w:p>
    <w:p w14:paraId="1495CC0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70.800%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98.2</w:t>
      </w:r>
    </w:p>
    <w:p w14:paraId="51C0E4C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71.000%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98.4</w:t>
      </w:r>
    </w:p>
    <w:p w14:paraId="7015CE5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72.000%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98.6</w:t>
      </w:r>
    </w:p>
    <w:p w14:paraId="0F9A630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72.200%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98.7</w:t>
      </w:r>
    </w:p>
    <w:p w14:paraId="30D5179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72.220%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98.9</w:t>
      </w:r>
    </w:p>
    <w:p w14:paraId="79F61FB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73.600%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99.0</w:t>
      </w:r>
    </w:p>
    <w:p w14:paraId="722AB97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74.000%</w:t>
      </w:r>
      <w:r w:rsidRPr="00022F29">
        <w:rPr>
          <w:rFonts w:ascii="Calibri" w:eastAsia="Calibri" w:hAnsi="Calibri" w:cs="Times New Roman"/>
        </w:rPr>
        <w:tab/>
        <w:t>3</w:t>
      </w:r>
      <w:r w:rsidRPr="00022F29">
        <w:rPr>
          <w:rFonts w:ascii="Calibri" w:eastAsia="Calibri" w:hAnsi="Calibri" w:cs="Times New Roman"/>
        </w:rPr>
        <w:tab/>
        <w:t>.5</w:t>
      </w:r>
      <w:r w:rsidRPr="00022F29">
        <w:rPr>
          <w:rFonts w:ascii="Calibri" w:eastAsia="Calibri" w:hAnsi="Calibri" w:cs="Times New Roman"/>
        </w:rPr>
        <w:tab/>
        <w:t>.5</w:t>
      </w:r>
      <w:r w:rsidRPr="00022F29">
        <w:rPr>
          <w:rFonts w:ascii="Calibri" w:eastAsia="Calibri" w:hAnsi="Calibri" w:cs="Times New Roman"/>
        </w:rPr>
        <w:tab/>
        <w:t>99.5</w:t>
      </w:r>
    </w:p>
    <w:p w14:paraId="6C1A074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77.800%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99.7</w:t>
      </w:r>
    </w:p>
    <w:p w14:paraId="3D965B8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81.000%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99.8</w:t>
      </w:r>
    </w:p>
    <w:p w14:paraId="4C41319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81.900%</w:t>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.2</w:t>
      </w:r>
      <w:r w:rsidRPr="00022F29">
        <w:rPr>
          <w:rFonts w:ascii="Calibri" w:eastAsia="Calibri" w:hAnsi="Calibri" w:cs="Times New Roman"/>
        </w:rPr>
        <w:tab/>
        <w:t>100.0</w:t>
      </w:r>
    </w:p>
    <w:p w14:paraId="7C17490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Total</w:t>
      </w:r>
      <w:r w:rsidRPr="00022F29">
        <w:rPr>
          <w:rFonts w:ascii="Calibri" w:eastAsia="Calibri" w:hAnsi="Calibri" w:cs="Times New Roman"/>
        </w:rPr>
        <w:tab/>
        <w:t>624</w:t>
      </w:r>
      <w:r w:rsidRPr="00022F29">
        <w:rPr>
          <w:rFonts w:ascii="Calibri" w:eastAsia="Calibri" w:hAnsi="Calibri" w:cs="Times New Roman"/>
        </w:rPr>
        <w:tab/>
        <w:t>99.7</w:t>
      </w:r>
      <w:r w:rsidRPr="00022F29">
        <w:rPr>
          <w:rFonts w:ascii="Calibri" w:eastAsia="Calibri" w:hAnsi="Calibri" w:cs="Times New Roman"/>
        </w:rPr>
        <w:tab/>
        <w:t>100.0</w:t>
      </w:r>
      <w:r w:rsidRPr="00022F29">
        <w:rPr>
          <w:rFonts w:ascii="Calibri" w:eastAsia="Calibri" w:hAnsi="Calibri" w:cs="Times New Roman"/>
        </w:rPr>
        <w:tab/>
      </w:r>
    </w:p>
    <w:p w14:paraId="2458E0E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Missing</w:t>
      </w:r>
      <w:r w:rsidRPr="00022F29">
        <w:rPr>
          <w:rFonts w:ascii="Calibri" w:eastAsia="Calibri" w:hAnsi="Calibri" w:cs="Times New Roman"/>
        </w:rPr>
        <w:tab/>
        <w:t>System</w:t>
      </w:r>
      <w:r w:rsidRPr="00022F29">
        <w:rPr>
          <w:rFonts w:ascii="Calibri" w:eastAsia="Calibri" w:hAnsi="Calibri" w:cs="Times New Roman"/>
        </w:rPr>
        <w:tab/>
        <w:t>2</w:t>
      </w:r>
      <w:r w:rsidRPr="00022F29">
        <w:rPr>
          <w:rFonts w:ascii="Calibri" w:eastAsia="Calibri" w:hAnsi="Calibri" w:cs="Times New Roman"/>
        </w:rPr>
        <w:tab/>
        <w:t>.3</w:t>
      </w:r>
      <w:r w:rsidRPr="00022F29">
        <w:rPr>
          <w:rFonts w:ascii="Calibri" w:eastAsia="Calibri" w:hAnsi="Calibri" w:cs="Times New Roman"/>
        </w:rPr>
        <w:tab/>
      </w:r>
      <w:r w:rsidRPr="00022F29">
        <w:rPr>
          <w:rFonts w:ascii="Calibri" w:eastAsia="Calibri" w:hAnsi="Calibri" w:cs="Times New Roman"/>
        </w:rPr>
        <w:tab/>
      </w:r>
    </w:p>
    <w:p w14:paraId="00B94F5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Total</w:t>
      </w:r>
      <w:r w:rsidRPr="00022F29">
        <w:rPr>
          <w:rFonts w:ascii="Calibri" w:eastAsia="Calibri" w:hAnsi="Calibri" w:cs="Times New Roman"/>
        </w:rPr>
        <w:tab/>
      </w:r>
      <w:r w:rsidRPr="00022F29">
        <w:rPr>
          <w:rFonts w:ascii="Calibri" w:eastAsia="Calibri" w:hAnsi="Calibri" w:cs="Times New Roman"/>
        </w:rPr>
        <w:tab/>
        <w:t>626</w:t>
      </w:r>
      <w:r w:rsidRPr="00022F29">
        <w:rPr>
          <w:rFonts w:ascii="Calibri" w:eastAsia="Calibri" w:hAnsi="Calibri" w:cs="Times New Roman"/>
        </w:rPr>
        <w:tab/>
        <w:t>100.0</w:t>
      </w:r>
      <w:r w:rsidRPr="00022F29">
        <w:rPr>
          <w:rFonts w:ascii="Calibri" w:eastAsia="Calibri" w:hAnsi="Calibri" w:cs="Times New Roman"/>
        </w:rPr>
        <w:tab/>
      </w:r>
      <w:r w:rsidRPr="00022F29">
        <w:rPr>
          <w:rFonts w:ascii="Calibri" w:eastAsia="Calibri" w:hAnsi="Calibri" w:cs="Times New Roman"/>
        </w:rPr>
        <w:tab/>
      </w:r>
    </w:p>
    <w:p w14:paraId="6025B0BE" w14:textId="77777777" w:rsidR="00022F29" w:rsidRPr="00022F29" w:rsidRDefault="00022F29" w:rsidP="00022F29">
      <w:pPr>
        <w:rPr>
          <w:rFonts w:ascii="Calibri" w:eastAsia="Calibri" w:hAnsi="Calibri" w:cs="Times New Roman"/>
        </w:rPr>
      </w:pPr>
    </w:p>
    <w:p w14:paraId="20FA57B2" w14:textId="77777777" w:rsidR="00022F29" w:rsidRPr="00022F29" w:rsidRDefault="00022F29" w:rsidP="00022F29">
      <w:pPr>
        <w:rPr>
          <w:rFonts w:ascii="Calibri" w:eastAsia="Calibri" w:hAnsi="Calibri" w:cs="Times New Roman"/>
        </w:rPr>
      </w:pPr>
    </w:p>
    <w:p w14:paraId="3F031178" w14:textId="77777777" w:rsidR="00022F29" w:rsidRPr="00022F29" w:rsidRDefault="00022F29" w:rsidP="00022F29">
      <w:pPr>
        <w:rPr>
          <w:rFonts w:ascii="Calibri" w:eastAsia="Calibri" w:hAnsi="Calibri" w:cs="Times New Roman"/>
        </w:rPr>
      </w:pPr>
    </w:p>
    <w:p w14:paraId="73C1FF3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EXAMINE VARIABLES=F</w:t>
      </w:r>
    </w:p>
    <w:p w14:paraId="7468938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/PLOT BOXPLOT STEMLEAF HISTOGRAM</w:t>
      </w:r>
    </w:p>
    <w:p w14:paraId="6AF19FC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/COMPARE GROUPS</w:t>
      </w:r>
    </w:p>
    <w:p w14:paraId="528C66F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/PERCENTILES(5,10,25,50,75,90,95) HAVERAGE</w:t>
      </w:r>
    </w:p>
    <w:p w14:paraId="6F58114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/STATISTICS DESCRIPTIVES</w:t>
      </w:r>
    </w:p>
    <w:p w14:paraId="209C16C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 xml:space="preserve">  /CINTERVAL 95</w:t>
      </w:r>
    </w:p>
    <w:p w14:paraId="1F21C00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/MISSING LISTWISE</w:t>
      </w:r>
    </w:p>
    <w:p w14:paraId="6CD1C00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/NOTOTAL.</w:t>
      </w:r>
    </w:p>
    <w:p w14:paraId="45C1092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Explore</w:t>
      </w:r>
    </w:p>
    <w:p w14:paraId="198864E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Notes</w:t>
      </w:r>
      <w:r w:rsidRPr="00022F29">
        <w:rPr>
          <w:rFonts w:ascii="Calibri" w:eastAsia="Calibri" w:hAnsi="Calibri" w:cs="Times New Roman"/>
        </w:rPr>
        <w:tab/>
      </w:r>
      <w:r w:rsidRPr="00022F29">
        <w:rPr>
          <w:rFonts w:ascii="Calibri" w:eastAsia="Calibri" w:hAnsi="Calibri" w:cs="Times New Roman"/>
        </w:rPr>
        <w:tab/>
      </w:r>
    </w:p>
    <w:p w14:paraId="2093959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Output Created</w:t>
      </w:r>
      <w:r w:rsidRPr="00022F29">
        <w:rPr>
          <w:rFonts w:ascii="Calibri" w:eastAsia="Calibri" w:hAnsi="Calibri" w:cs="Times New Roman"/>
        </w:rPr>
        <w:tab/>
      </w:r>
      <w:r w:rsidRPr="00022F29">
        <w:rPr>
          <w:rFonts w:ascii="Calibri" w:eastAsia="Calibri" w:hAnsi="Calibri" w:cs="Times New Roman"/>
        </w:rPr>
        <w:tab/>
        <w:t>15-JAN-2019 18:51:55</w:t>
      </w:r>
    </w:p>
    <w:p w14:paraId="58DE60A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Comments</w:t>
      </w:r>
      <w:r w:rsidRPr="00022F29">
        <w:rPr>
          <w:rFonts w:ascii="Calibri" w:eastAsia="Calibri" w:hAnsi="Calibri" w:cs="Times New Roman"/>
        </w:rPr>
        <w:tab/>
      </w:r>
      <w:r w:rsidRPr="00022F29">
        <w:rPr>
          <w:rFonts w:ascii="Calibri" w:eastAsia="Calibri" w:hAnsi="Calibri" w:cs="Times New Roman"/>
        </w:rPr>
        <w:tab/>
      </w:r>
    </w:p>
    <w:p w14:paraId="662EB33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Input</w:t>
      </w:r>
      <w:r w:rsidRPr="00022F29">
        <w:rPr>
          <w:rFonts w:ascii="Calibri" w:eastAsia="Calibri" w:hAnsi="Calibri" w:cs="Times New Roman"/>
        </w:rPr>
        <w:tab/>
        <w:t>Data</w:t>
      </w:r>
      <w:r w:rsidRPr="00022F29">
        <w:rPr>
          <w:rFonts w:ascii="Calibri" w:eastAsia="Calibri" w:hAnsi="Calibri" w:cs="Times New Roman"/>
        </w:rPr>
        <w:tab/>
        <w:t>/Users/sbateup/Desktop/F.csv</w:t>
      </w:r>
    </w:p>
    <w:p w14:paraId="289F43C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Active Dataset</w:t>
      </w:r>
      <w:r w:rsidRPr="00022F29">
        <w:rPr>
          <w:rFonts w:ascii="Calibri" w:eastAsia="Calibri" w:hAnsi="Calibri" w:cs="Times New Roman"/>
        </w:rPr>
        <w:tab/>
        <w:t>DataSet4</w:t>
      </w:r>
    </w:p>
    <w:p w14:paraId="00F8764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Filter</w:t>
      </w:r>
      <w:r w:rsidRPr="00022F29">
        <w:rPr>
          <w:rFonts w:ascii="Calibri" w:eastAsia="Calibri" w:hAnsi="Calibri" w:cs="Times New Roman"/>
        </w:rPr>
        <w:tab/>
        <w:t>&lt;none&gt;</w:t>
      </w:r>
    </w:p>
    <w:p w14:paraId="56DF1A4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Weight</w:t>
      </w:r>
      <w:r w:rsidRPr="00022F29">
        <w:rPr>
          <w:rFonts w:ascii="Calibri" w:eastAsia="Calibri" w:hAnsi="Calibri" w:cs="Times New Roman"/>
        </w:rPr>
        <w:tab/>
        <w:t>&lt;none&gt;</w:t>
      </w:r>
    </w:p>
    <w:p w14:paraId="47FEDE8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Split File</w:t>
      </w:r>
      <w:r w:rsidRPr="00022F29">
        <w:rPr>
          <w:rFonts w:ascii="Calibri" w:eastAsia="Calibri" w:hAnsi="Calibri" w:cs="Times New Roman"/>
        </w:rPr>
        <w:tab/>
        <w:t>&lt;none&gt;</w:t>
      </w:r>
    </w:p>
    <w:p w14:paraId="17AB6E6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N of Rows in Working Data File</w:t>
      </w:r>
      <w:r w:rsidRPr="00022F29">
        <w:rPr>
          <w:rFonts w:ascii="Calibri" w:eastAsia="Calibri" w:hAnsi="Calibri" w:cs="Times New Roman"/>
        </w:rPr>
        <w:tab/>
        <w:t>626</w:t>
      </w:r>
    </w:p>
    <w:p w14:paraId="26B665D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Missing Value Handling</w:t>
      </w:r>
      <w:r w:rsidRPr="00022F29">
        <w:rPr>
          <w:rFonts w:ascii="Calibri" w:eastAsia="Calibri" w:hAnsi="Calibri" w:cs="Times New Roman"/>
        </w:rPr>
        <w:tab/>
        <w:t>Definition of Missing</w:t>
      </w:r>
      <w:r w:rsidRPr="00022F29">
        <w:rPr>
          <w:rFonts w:ascii="Calibri" w:eastAsia="Calibri" w:hAnsi="Calibri" w:cs="Times New Roman"/>
        </w:rPr>
        <w:tab/>
        <w:t>User-defined missing values for dependent variables are treated as missing.</w:t>
      </w:r>
    </w:p>
    <w:p w14:paraId="3E6CCFF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Cases Used</w:t>
      </w:r>
      <w:r w:rsidRPr="00022F29">
        <w:rPr>
          <w:rFonts w:ascii="Calibri" w:eastAsia="Calibri" w:hAnsi="Calibri" w:cs="Times New Roman"/>
        </w:rPr>
        <w:tab/>
        <w:t>Statistics are based on cases with no missing values for any dependent variable or factor used.</w:t>
      </w:r>
    </w:p>
    <w:p w14:paraId="6F7292F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Syntax</w:t>
      </w:r>
      <w:r w:rsidRPr="00022F29">
        <w:rPr>
          <w:rFonts w:ascii="Calibri" w:eastAsia="Calibri" w:hAnsi="Calibri" w:cs="Times New Roman"/>
        </w:rPr>
        <w:tab/>
      </w:r>
      <w:r w:rsidRPr="00022F29">
        <w:rPr>
          <w:rFonts w:ascii="Calibri" w:eastAsia="Calibri" w:hAnsi="Calibri" w:cs="Times New Roman"/>
        </w:rPr>
        <w:tab/>
        <w:t>EXAMINE VARIABLES=F</w:t>
      </w:r>
    </w:p>
    <w:p w14:paraId="197DDB7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/PLOT BOXPLOT STEMLEAF HISTOGRAM</w:t>
      </w:r>
    </w:p>
    <w:p w14:paraId="0C5918E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/COMPARE GROUPS</w:t>
      </w:r>
    </w:p>
    <w:p w14:paraId="511D4A5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/PERCENTILES(5,10,25,50,75,90,95) HAVERAGE</w:t>
      </w:r>
    </w:p>
    <w:p w14:paraId="6BBA693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/STATISTICS DESCRIPTIVES</w:t>
      </w:r>
    </w:p>
    <w:p w14:paraId="69641D6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/CINTERVAL 95</w:t>
      </w:r>
    </w:p>
    <w:p w14:paraId="40C7F25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/MISSING LISTWISE</w:t>
      </w:r>
    </w:p>
    <w:p w14:paraId="51AA021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/NOTOTAL.</w:t>
      </w:r>
    </w:p>
    <w:p w14:paraId="021E6B6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Resources</w:t>
      </w:r>
      <w:r w:rsidRPr="00022F29">
        <w:rPr>
          <w:rFonts w:ascii="Calibri" w:eastAsia="Calibri" w:hAnsi="Calibri" w:cs="Times New Roman"/>
        </w:rPr>
        <w:tab/>
        <w:t>Processor Time</w:t>
      </w:r>
      <w:r w:rsidRPr="00022F29">
        <w:rPr>
          <w:rFonts w:ascii="Calibri" w:eastAsia="Calibri" w:hAnsi="Calibri" w:cs="Times New Roman"/>
        </w:rPr>
        <w:tab/>
        <w:t>00:00:00.30</w:t>
      </w:r>
    </w:p>
    <w:p w14:paraId="640AC90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Elapsed Time</w:t>
      </w:r>
      <w:r w:rsidRPr="00022F29">
        <w:rPr>
          <w:rFonts w:ascii="Calibri" w:eastAsia="Calibri" w:hAnsi="Calibri" w:cs="Times New Roman"/>
        </w:rPr>
        <w:tab/>
        <w:t>00:00:01.00</w:t>
      </w:r>
    </w:p>
    <w:p w14:paraId="0CCEC207" w14:textId="77777777" w:rsidR="00022F29" w:rsidRPr="00022F29" w:rsidRDefault="00022F29" w:rsidP="00022F29">
      <w:pPr>
        <w:rPr>
          <w:rFonts w:ascii="Calibri" w:eastAsia="Calibri" w:hAnsi="Calibri" w:cs="Times New Roman"/>
        </w:rPr>
      </w:pPr>
    </w:p>
    <w:p w14:paraId="72F63EA9" w14:textId="77777777" w:rsidR="00022F29" w:rsidRPr="00022F29" w:rsidRDefault="00022F29" w:rsidP="00022F29">
      <w:pPr>
        <w:rPr>
          <w:rFonts w:ascii="Calibri" w:eastAsia="Calibri" w:hAnsi="Calibri" w:cs="Times New Roman"/>
        </w:rPr>
      </w:pPr>
    </w:p>
    <w:p w14:paraId="6BCEDB78" w14:textId="77777777" w:rsidR="00022F29" w:rsidRPr="00022F29" w:rsidRDefault="00022F29" w:rsidP="00022F29">
      <w:pPr>
        <w:rPr>
          <w:rFonts w:ascii="Calibri" w:eastAsia="Calibri" w:hAnsi="Calibri" w:cs="Times New Roman"/>
        </w:rPr>
      </w:pPr>
    </w:p>
    <w:p w14:paraId="79C6710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Case Processing Summary</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4CEAB25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Cases</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62C8B89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Valid</w:t>
      </w:r>
      <w:r w:rsidRPr="00022F29">
        <w:rPr>
          <w:rFonts w:ascii="Calibri" w:eastAsia="Calibri" w:hAnsi="Calibri" w:cs="Times New Roman"/>
        </w:rPr>
        <w:tab/>
      </w:r>
      <w:r w:rsidRPr="00022F29">
        <w:rPr>
          <w:rFonts w:ascii="Calibri" w:eastAsia="Calibri" w:hAnsi="Calibri" w:cs="Times New Roman"/>
        </w:rPr>
        <w:tab/>
        <w:t>Missing</w:t>
      </w:r>
      <w:r w:rsidRPr="00022F29">
        <w:rPr>
          <w:rFonts w:ascii="Calibri" w:eastAsia="Calibri" w:hAnsi="Calibri" w:cs="Times New Roman"/>
        </w:rPr>
        <w:tab/>
      </w:r>
      <w:r w:rsidRPr="00022F29">
        <w:rPr>
          <w:rFonts w:ascii="Calibri" w:eastAsia="Calibri" w:hAnsi="Calibri" w:cs="Times New Roman"/>
        </w:rPr>
        <w:tab/>
        <w:t>Total</w:t>
      </w:r>
      <w:r w:rsidRPr="00022F29">
        <w:rPr>
          <w:rFonts w:ascii="Calibri" w:eastAsia="Calibri" w:hAnsi="Calibri" w:cs="Times New Roman"/>
        </w:rPr>
        <w:tab/>
      </w:r>
    </w:p>
    <w:p w14:paraId="495ED59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N</w:t>
      </w:r>
      <w:r w:rsidRPr="00022F29">
        <w:rPr>
          <w:rFonts w:ascii="Calibri" w:eastAsia="Calibri" w:hAnsi="Calibri" w:cs="Times New Roman"/>
        </w:rPr>
        <w:tab/>
        <w:t>Percent</w:t>
      </w:r>
      <w:r w:rsidRPr="00022F29">
        <w:rPr>
          <w:rFonts w:ascii="Calibri" w:eastAsia="Calibri" w:hAnsi="Calibri" w:cs="Times New Roman"/>
        </w:rPr>
        <w:tab/>
        <w:t>N</w:t>
      </w:r>
      <w:r w:rsidRPr="00022F29">
        <w:rPr>
          <w:rFonts w:ascii="Calibri" w:eastAsia="Calibri" w:hAnsi="Calibri" w:cs="Times New Roman"/>
        </w:rPr>
        <w:tab/>
        <w:t>Percent</w:t>
      </w:r>
      <w:r w:rsidRPr="00022F29">
        <w:rPr>
          <w:rFonts w:ascii="Calibri" w:eastAsia="Calibri" w:hAnsi="Calibri" w:cs="Times New Roman"/>
        </w:rPr>
        <w:tab/>
        <w:t>N</w:t>
      </w:r>
      <w:r w:rsidRPr="00022F29">
        <w:rPr>
          <w:rFonts w:ascii="Calibri" w:eastAsia="Calibri" w:hAnsi="Calibri" w:cs="Times New Roman"/>
        </w:rPr>
        <w:tab/>
        <w:t>Percent</w:t>
      </w:r>
    </w:p>
    <w:p w14:paraId="5635066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w:t>
      </w:r>
      <w:r w:rsidRPr="00022F29">
        <w:rPr>
          <w:rFonts w:ascii="Calibri" w:eastAsia="Calibri" w:hAnsi="Calibri" w:cs="Times New Roman"/>
        </w:rPr>
        <w:tab/>
        <w:t>624</w:t>
      </w:r>
      <w:r w:rsidRPr="00022F29">
        <w:rPr>
          <w:rFonts w:ascii="Calibri" w:eastAsia="Calibri" w:hAnsi="Calibri" w:cs="Times New Roman"/>
        </w:rPr>
        <w:tab/>
        <w:t>99.7%</w:t>
      </w:r>
      <w:r w:rsidRPr="00022F29">
        <w:rPr>
          <w:rFonts w:ascii="Calibri" w:eastAsia="Calibri" w:hAnsi="Calibri" w:cs="Times New Roman"/>
        </w:rPr>
        <w:tab/>
        <w:t>2</w:t>
      </w:r>
      <w:r w:rsidRPr="00022F29">
        <w:rPr>
          <w:rFonts w:ascii="Calibri" w:eastAsia="Calibri" w:hAnsi="Calibri" w:cs="Times New Roman"/>
        </w:rPr>
        <w:tab/>
        <w:t>0.3%</w:t>
      </w:r>
      <w:r w:rsidRPr="00022F29">
        <w:rPr>
          <w:rFonts w:ascii="Calibri" w:eastAsia="Calibri" w:hAnsi="Calibri" w:cs="Times New Roman"/>
        </w:rPr>
        <w:tab/>
        <w:t>626</w:t>
      </w:r>
      <w:r w:rsidRPr="00022F29">
        <w:rPr>
          <w:rFonts w:ascii="Calibri" w:eastAsia="Calibri" w:hAnsi="Calibri" w:cs="Times New Roman"/>
        </w:rPr>
        <w:tab/>
        <w:t>100.0%</w:t>
      </w:r>
    </w:p>
    <w:p w14:paraId="4B43839F" w14:textId="77777777" w:rsidR="00022F29" w:rsidRPr="00022F29" w:rsidRDefault="00022F29" w:rsidP="00022F29">
      <w:pPr>
        <w:rPr>
          <w:rFonts w:ascii="Calibri" w:eastAsia="Calibri" w:hAnsi="Calibri" w:cs="Times New Roman"/>
        </w:rPr>
      </w:pPr>
    </w:p>
    <w:p w14:paraId="781D3B4E" w14:textId="77777777" w:rsidR="00022F29" w:rsidRPr="00022F29" w:rsidRDefault="00022F29" w:rsidP="00022F29">
      <w:pPr>
        <w:rPr>
          <w:rFonts w:ascii="Calibri" w:eastAsia="Calibri" w:hAnsi="Calibri" w:cs="Times New Roman"/>
        </w:rPr>
      </w:pPr>
    </w:p>
    <w:p w14:paraId="147929A8" w14:textId="77777777" w:rsidR="00022F29" w:rsidRPr="00022F29" w:rsidRDefault="00022F29" w:rsidP="00022F29">
      <w:pPr>
        <w:rPr>
          <w:rFonts w:ascii="Calibri" w:eastAsia="Calibri" w:hAnsi="Calibri" w:cs="Times New Roman"/>
        </w:rPr>
      </w:pPr>
    </w:p>
    <w:p w14:paraId="073FD18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Descriptives</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3654C93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Statistic</w:t>
      </w:r>
      <w:r w:rsidRPr="00022F29">
        <w:rPr>
          <w:rFonts w:ascii="Calibri" w:eastAsia="Calibri" w:hAnsi="Calibri" w:cs="Times New Roman"/>
        </w:rPr>
        <w:tab/>
        <w:t>Std. Error</w:t>
      </w:r>
    </w:p>
    <w:p w14:paraId="6DB7C87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w:t>
      </w:r>
      <w:r w:rsidRPr="00022F29">
        <w:rPr>
          <w:rFonts w:ascii="Calibri" w:eastAsia="Calibri" w:hAnsi="Calibri" w:cs="Times New Roman"/>
        </w:rPr>
        <w:tab/>
        <w:t>Mean</w:t>
      </w:r>
      <w:r w:rsidRPr="00022F29">
        <w:rPr>
          <w:rFonts w:ascii="Calibri" w:eastAsia="Calibri" w:hAnsi="Calibri" w:cs="Times New Roman"/>
        </w:rPr>
        <w:tab/>
      </w:r>
      <w:r w:rsidRPr="00022F29">
        <w:rPr>
          <w:rFonts w:ascii="Calibri" w:eastAsia="Calibri" w:hAnsi="Calibri" w:cs="Times New Roman"/>
        </w:rPr>
        <w:tab/>
        <w:t>40.17615%</w:t>
      </w:r>
      <w:r w:rsidRPr="00022F29">
        <w:rPr>
          <w:rFonts w:ascii="Calibri" w:eastAsia="Calibri" w:hAnsi="Calibri" w:cs="Times New Roman"/>
        </w:rPr>
        <w:tab/>
        <w:t>0.526472%</w:t>
      </w:r>
    </w:p>
    <w:p w14:paraId="3E91C79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95% Confidence Interval for Mean</w:t>
      </w:r>
      <w:r w:rsidRPr="00022F29">
        <w:rPr>
          <w:rFonts w:ascii="Calibri" w:eastAsia="Calibri" w:hAnsi="Calibri" w:cs="Times New Roman"/>
        </w:rPr>
        <w:tab/>
        <w:t>Lower Bound</w:t>
      </w:r>
      <w:r w:rsidRPr="00022F29">
        <w:rPr>
          <w:rFonts w:ascii="Calibri" w:eastAsia="Calibri" w:hAnsi="Calibri" w:cs="Times New Roman"/>
        </w:rPr>
        <w:tab/>
        <w:t>39.14228%</w:t>
      </w:r>
      <w:r w:rsidRPr="00022F29">
        <w:rPr>
          <w:rFonts w:ascii="Calibri" w:eastAsia="Calibri" w:hAnsi="Calibri" w:cs="Times New Roman"/>
        </w:rPr>
        <w:tab/>
      </w:r>
    </w:p>
    <w:p w14:paraId="79A276D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Upper Bound</w:t>
      </w:r>
      <w:r w:rsidRPr="00022F29">
        <w:rPr>
          <w:rFonts w:ascii="Calibri" w:eastAsia="Calibri" w:hAnsi="Calibri" w:cs="Times New Roman"/>
        </w:rPr>
        <w:tab/>
        <w:t>41.21003%</w:t>
      </w:r>
      <w:r w:rsidRPr="00022F29">
        <w:rPr>
          <w:rFonts w:ascii="Calibri" w:eastAsia="Calibri" w:hAnsi="Calibri" w:cs="Times New Roman"/>
        </w:rPr>
        <w:tab/>
      </w:r>
    </w:p>
    <w:p w14:paraId="68B7176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 Trimmed Mean</w:t>
      </w:r>
      <w:r w:rsidRPr="00022F29">
        <w:rPr>
          <w:rFonts w:ascii="Calibri" w:eastAsia="Calibri" w:hAnsi="Calibri" w:cs="Times New Roman"/>
        </w:rPr>
        <w:tab/>
      </w:r>
      <w:r w:rsidRPr="00022F29">
        <w:rPr>
          <w:rFonts w:ascii="Calibri" w:eastAsia="Calibri" w:hAnsi="Calibri" w:cs="Times New Roman"/>
        </w:rPr>
        <w:tab/>
        <w:t>39.92822%</w:t>
      </w:r>
      <w:r w:rsidRPr="00022F29">
        <w:rPr>
          <w:rFonts w:ascii="Calibri" w:eastAsia="Calibri" w:hAnsi="Calibri" w:cs="Times New Roman"/>
        </w:rPr>
        <w:tab/>
      </w:r>
    </w:p>
    <w:p w14:paraId="53090AC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Median</w:t>
      </w:r>
      <w:r w:rsidRPr="00022F29">
        <w:rPr>
          <w:rFonts w:ascii="Calibri" w:eastAsia="Calibri" w:hAnsi="Calibri" w:cs="Times New Roman"/>
        </w:rPr>
        <w:tab/>
      </w:r>
      <w:r w:rsidRPr="00022F29">
        <w:rPr>
          <w:rFonts w:ascii="Calibri" w:eastAsia="Calibri" w:hAnsi="Calibri" w:cs="Times New Roman"/>
        </w:rPr>
        <w:tab/>
        <w:t>40.28000%</w:t>
      </w:r>
      <w:r w:rsidRPr="00022F29">
        <w:rPr>
          <w:rFonts w:ascii="Calibri" w:eastAsia="Calibri" w:hAnsi="Calibri" w:cs="Times New Roman"/>
        </w:rPr>
        <w:tab/>
      </w:r>
    </w:p>
    <w:p w14:paraId="1CF0528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Variance</w:t>
      </w:r>
      <w:r w:rsidRPr="00022F29">
        <w:rPr>
          <w:rFonts w:ascii="Calibri" w:eastAsia="Calibri" w:hAnsi="Calibri" w:cs="Times New Roman"/>
        </w:rPr>
        <w:tab/>
      </w:r>
      <w:r w:rsidRPr="00022F29">
        <w:rPr>
          <w:rFonts w:ascii="Calibri" w:eastAsia="Calibri" w:hAnsi="Calibri" w:cs="Times New Roman"/>
        </w:rPr>
        <w:tab/>
        <w:t>172.956</w:t>
      </w:r>
      <w:r w:rsidRPr="00022F29">
        <w:rPr>
          <w:rFonts w:ascii="Calibri" w:eastAsia="Calibri" w:hAnsi="Calibri" w:cs="Times New Roman"/>
        </w:rPr>
        <w:tab/>
      </w:r>
    </w:p>
    <w:p w14:paraId="4A9A1E9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Std. Deviation</w:t>
      </w:r>
      <w:r w:rsidRPr="00022F29">
        <w:rPr>
          <w:rFonts w:ascii="Calibri" w:eastAsia="Calibri" w:hAnsi="Calibri" w:cs="Times New Roman"/>
        </w:rPr>
        <w:tab/>
      </w:r>
      <w:r w:rsidRPr="00022F29">
        <w:rPr>
          <w:rFonts w:ascii="Calibri" w:eastAsia="Calibri" w:hAnsi="Calibri" w:cs="Times New Roman"/>
        </w:rPr>
        <w:tab/>
        <w:t>13.151269%</w:t>
      </w:r>
      <w:r w:rsidRPr="00022F29">
        <w:rPr>
          <w:rFonts w:ascii="Calibri" w:eastAsia="Calibri" w:hAnsi="Calibri" w:cs="Times New Roman"/>
        </w:rPr>
        <w:tab/>
      </w:r>
    </w:p>
    <w:p w14:paraId="159561A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b/>
        <w:t>Minimum</w:t>
      </w:r>
      <w:r w:rsidRPr="00022F29">
        <w:rPr>
          <w:rFonts w:ascii="Calibri" w:eastAsia="Calibri" w:hAnsi="Calibri" w:cs="Times New Roman"/>
        </w:rPr>
        <w:tab/>
      </w:r>
      <w:r w:rsidRPr="00022F29">
        <w:rPr>
          <w:rFonts w:ascii="Calibri" w:eastAsia="Calibri" w:hAnsi="Calibri" w:cs="Times New Roman"/>
        </w:rPr>
        <w:tab/>
        <w:t>5.000%</w:t>
      </w:r>
      <w:r w:rsidRPr="00022F29">
        <w:rPr>
          <w:rFonts w:ascii="Calibri" w:eastAsia="Calibri" w:hAnsi="Calibri" w:cs="Times New Roman"/>
        </w:rPr>
        <w:tab/>
      </w:r>
    </w:p>
    <w:p w14:paraId="1ECF02E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Maximum</w:t>
      </w:r>
      <w:r w:rsidRPr="00022F29">
        <w:rPr>
          <w:rFonts w:ascii="Calibri" w:eastAsia="Calibri" w:hAnsi="Calibri" w:cs="Times New Roman"/>
        </w:rPr>
        <w:tab/>
      </w:r>
      <w:r w:rsidRPr="00022F29">
        <w:rPr>
          <w:rFonts w:ascii="Calibri" w:eastAsia="Calibri" w:hAnsi="Calibri" w:cs="Times New Roman"/>
        </w:rPr>
        <w:tab/>
        <w:t>81.900%</w:t>
      </w:r>
      <w:r w:rsidRPr="00022F29">
        <w:rPr>
          <w:rFonts w:ascii="Calibri" w:eastAsia="Calibri" w:hAnsi="Calibri" w:cs="Times New Roman"/>
        </w:rPr>
        <w:tab/>
      </w:r>
    </w:p>
    <w:p w14:paraId="06AE3DB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Range</w:t>
      </w:r>
      <w:r w:rsidRPr="00022F29">
        <w:rPr>
          <w:rFonts w:ascii="Calibri" w:eastAsia="Calibri" w:hAnsi="Calibri" w:cs="Times New Roman"/>
        </w:rPr>
        <w:tab/>
      </w:r>
      <w:r w:rsidRPr="00022F29">
        <w:rPr>
          <w:rFonts w:ascii="Calibri" w:eastAsia="Calibri" w:hAnsi="Calibri" w:cs="Times New Roman"/>
        </w:rPr>
        <w:tab/>
        <w:t>76.900%</w:t>
      </w:r>
      <w:r w:rsidRPr="00022F29">
        <w:rPr>
          <w:rFonts w:ascii="Calibri" w:eastAsia="Calibri" w:hAnsi="Calibri" w:cs="Times New Roman"/>
        </w:rPr>
        <w:tab/>
      </w:r>
    </w:p>
    <w:p w14:paraId="6582765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Interquartile Range</w:t>
      </w:r>
      <w:r w:rsidRPr="00022F29">
        <w:rPr>
          <w:rFonts w:ascii="Calibri" w:eastAsia="Calibri" w:hAnsi="Calibri" w:cs="Times New Roman"/>
        </w:rPr>
        <w:tab/>
      </w:r>
      <w:r w:rsidRPr="00022F29">
        <w:rPr>
          <w:rFonts w:ascii="Calibri" w:eastAsia="Calibri" w:hAnsi="Calibri" w:cs="Times New Roman"/>
        </w:rPr>
        <w:tab/>
        <w:t>18.010%</w:t>
      </w:r>
      <w:r w:rsidRPr="00022F29">
        <w:rPr>
          <w:rFonts w:ascii="Calibri" w:eastAsia="Calibri" w:hAnsi="Calibri" w:cs="Times New Roman"/>
        </w:rPr>
        <w:tab/>
      </w:r>
    </w:p>
    <w:p w14:paraId="5903A24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Skewness</w:t>
      </w:r>
      <w:r w:rsidRPr="00022F29">
        <w:rPr>
          <w:rFonts w:ascii="Calibri" w:eastAsia="Calibri" w:hAnsi="Calibri" w:cs="Times New Roman"/>
        </w:rPr>
        <w:tab/>
      </w:r>
      <w:r w:rsidRPr="00022F29">
        <w:rPr>
          <w:rFonts w:ascii="Calibri" w:eastAsia="Calibri" w:hAnsi="Calibri" w:cs="Times New Roman"/>
        </w:rPr>
        <w:tab/>
        <w:t>.201</w:t>
      </w:r>
      <w:r w:rsidRPr="00022F29">
        <w:rPr>
          <w:rFonts w:ascii="Calibri" w:eastAsia="Calibri" w:hAnsi="Calibri" w:cs="Times New Roman"/>
        </w:rPr>
        <w:tab/>
        <w:t>.098</w:t>
      </w:r>
    </w:p>
    <w:p w14:paraId="7B765FF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Kurtosis</w:t>
      </w:r>
      <w:r w:rsidRPr="00022F29">
        <w:rPr>
          <w:rFonts w:ascii="Calibri" w:eastAsia="Calibri" w:hAnsi="Calibri" w:cs="Times New Roman"/>
        </w:rPr>
        <w:tab/>
      </w:r>
      <w:r w:rsidRPr="00022F29">
        <w:rPr>
          <w:rFonts w:ascii="Calibri" w:eastAsia="Calibri" w:hAnsi="Calibri" w:cs="Times New Roman"/>
        </w:rPr>
        <w:tab/>
        <w:t>-.043</w:t>
      </w:r>
      <w:r w:rsidRPr="00022F29">
        <w:rPr>
          <w:rFonts w:ascii="Calibri" w:eastAsia="Calibri" w:hAnsi="Calibri" w:cs="Times New Roman"/>
        </w:rPr>
        <w:tab/>
        <w:t>.195</w:t>
      </w:r>
    </w:p>
    <w:p w14:paraId="074CEB44" w14:textId="77777777" w:rsidR="00022F29" w:rsidRPr="00022F29" w:rsidRDefault="00022F29" w:rsidP="00022F29">
      <w:pPr>
        <w:rPr>
          <w:rFonts w:ascii="Calibri" w:eastAsia="Calibri" w:hAnsi="Calibri" w:cs="Times New Roman"/>
        </w:rPr>
      </w:pPr>
    </w:p>
    <w:p w14:paraId="2CEA437B" w14:textId="77777777" w:rsidR="00022F29" w:rsidRPr="00022F29" w:rsidRDefault="00022F29" w:rsidP="00022F29">
      <w:pPr>
        <w:rPr>
          <w:rFonts w:ascii="Calibri" w:eastAsia="Calibri" w:hAnsi="Calibri" w:cs="Times New Roman"/>
        </w:rPr>
      </w:pPr>
    </w:p>
    <w:p w14:paraId="322B8CDE" w14:textId="77777777" w:rsidR="00022F29" w:rsidRPr="00022F29" w:rsidRDefault="00022F29" w:rsidP="00022F29">
      <w:pPr>
        <w:rPr>
          <w:rFonts w:ascii="Calibri" w:eastAsia="Calibri" w:hAnsi="Calibri" w:cs="Times New Roman"/>
        </w:rPr>
      </w:pPr>
    </w:p>
    <w:p w14:paraId="4BC7E98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Percentiles</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4F57BC4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Percentiles</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73E006B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5</w:t>
      </w:r>
      <w:r w:rsidRPr="00022F29">
        <w:rPr>
          <w:rFonts w:ascii="Calibri" w:eastAsia="Calibri" w:hAnsi="Calibri" w:cs="Times New Roman"/>
        </w:rPr>
        <w:tab/>
        <w:t>10</w:t>
      </w:r>
      <w:r w:rsidRPr="00022F29">
        <w:rPr>
          <w:rFonts w:ascii="Calibri" w:eastAsia="Calibri" w:hAnsi="Calibri" w:cs="Times New Roman"/>
        </w:rPr>
        <w:tab/>
        <w:t>25</w:t>
      </w:r>
      <w:r w:rsidRPr="00022F29">
        <w:rPr>
          <w:rFonts w:ascii="Calibri" w:eastAsia="Calibri" w:hAnsi="Calibri" w:cs="Times New Roman"/>
        </w:rPr>
        <w:tab/>
        <w:t>50</w:t>
      </w:r>
      <w:r w:rsidRPr="00022F29">
        <w:rPr>
          <w:rFonts w:ascii="Calibri" w:eastAsia="Calibri" w:hAnsi="Calibri" w:cs="Times New Roman"/>
        </w:rPr>
        <w:tab/>
        <w:t>75</w:t>
      </w:r>
      <w:r w:rsidRPr="00022F29">
        <w:rPr>
          <w:rFonts w:ascii="Calibri" w:eastAsia="Calibri" w:hAnsi="Calibri" w:cs="Times New Roman"/>
        </w:rPr>
        <w:tab/>
        <w:t>90</w:t>
      </w:r>
      <w:r w:rsidRPr="00022F29">
        <w:rPr>
          <w:rFonts w:ascii="Calibri" w:eastAsia="Calibri" w:hAnsi="Calibri" w:cs="Times New Roman"/>
        </w:rPr>
        <w:tab/>
        <w:t>95</w:t>
      </w:r>
    </w:p>
    <w:p w14:paraId="746EFA3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Weighted Average(Definition 1)</w:t>
      </w:r>
      <w:r w:rsidRPr="00022F29">
        <w:rPr>
          <w:rFonts w:ascii="Calibri" w:eastAsia="Calibri" w:hAnsi="Calibri" w:cs="Times New Roman"/>
        </w:rPr>
        <w:tab/>
        <w:t>F</w:t>
      </w:r>
      <w:r w:rsidRPr="00022F29">
        <w:rPr>
          <w:rFonts w:ascii="Calibri" w:eastAsia="Calibri" w:hAnsi="Calibri" w:cs="Times New Roman"/>
        </w:rPr>
        <w:tab/>
        <w:t>19.00000%</w:t>
      </w:r>
      <w:r w:rsidRPr="00022F29">
        <w:rPr>
          <w:rFonts w:ascii="Calibri" w:eastAsia="Calibri" w:hAnsi="Calibri" w:cs="Times New Roman"/>
        </w:rPr>
        <w:tab/>
        <w:t>22.22000%</w:t>
      </w:r>
      <w:r w:rsidRPr="00022F29">
        <w:rPr>
          <w:rFonts w:ascii="Calibri" w:eastAsia="Calibri" w:hAnsi="Calibri" w:cs="Times New Roman"/>
        </w:rPr>
        <w:tab/>
        <w:t>30.60000%</w:t>
      </w:r>
      <w:r w:rsidRPr="00022F29">
        <w:rPr>
          <w:rFonts w:ascii="Calibri" w:eastAsia="Calibri" w:hAnsi="Calibri" w:cs="Times New Roman"/>
        </w:rPr>
        <w:tab/>
        <w:t>40.28000%</w:t>
      </w:r>
      <w:r w:rsidRPr="00022F29">
        <w:rPr>
          <w:rFonts w:ascii="Calibri" w:eastAsia="Calibri" w:hAnsi="Calibri" w:cs="Times New Roman"/>
        </w:rPr>
        <w:tab/>
        <w:t>48.61000%</w:t>
      </w:r>
      <w:r w:rsidRPr="00022F29">
        <w:rPr>
          <w:rFonts w:ascii="Calibri" w:eastAsia="Calibri" w:hAnsi="Calibri" w:cs="Times New Roman"/>
        </w:rPr>
        <w:tab/>
        <w:t>56.94000%</w:t>
      </w:r>
      <w:r w:rsidRPr="00022F29">
        <w:rPr>
          <w:rFonts w:ascii="Calibri" w:eastAsia="Calibri" w:hAnsi="Calibri" w:cs="Times New Roman"/>
        </w:rPr>
        <w:tab/>
        <w:t>62.87500%</w:t>
      </w:r>
    </w:p>
    <w:p w14:paraId="6081F88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Tukey's Hinges</w:t>
      </w:r>
      <w:r w:rsidRPr="00022F29">
        <w:rPr>
          <w:rFonts w:ascii="Calibri" w:eastAsia="Calibri" w:hAnsi="Calibri" w:cs="Times New Roman"/>
        </w:rPr>
        <w:tab/>
        <w:t>F</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30.60000%</w:t>
      </w:r>
      <w:r w:rsidRPr="00022F29">
        <w:rPr>
          <w:rFonts w:ascii="Calibri" w:eastAsia="Calibri" w:hAnsi="Calibri" w:cs="Times New Roman"/>
        </w:rPr>
        <w:tab/>
        <w:t>40.28000%</w:t>
      </w:r>
      <w:r w:rsidRPr="00022F29">
        <w:rPr>
          <w:rFonts w:ascii="Calibri" w:eastAsia="Calibri" w:hAnsi="Calibri" w:cs="Times New Roman"/>
        </w:rPr>
        <w:tab/>
        <w:t>48.61000%</w:t>
      </w:r>
      <w:r w:rsidRPr="00022F29">
        <w:rPr>
          <w:rFonts w:ascii="Calibri" w:eastAsia="Calibri" w:hAnsi="Calibri" w:cs="Times New Roman"/>
        </w:rPr>
        <w:tab/>
      </w:r>
      <w:r w:rsidRPr="00022F29">
        <w:rPr>
          <w:rFonts w:ascii="Calibri" w:eastAsia="Calibri" w:hAnsi="Calibri" w:cs="Times New Roman"/>
        </w:rPr>
        <w:tab/>
      </w:r>
    </w:p>
    <w:p w14:paraId="752755AF" w14:textId="77777777" w:rsidR="00022F29" w:rsidRPr="00022F29" w:rsidRDefault="00022F29" w:rsidP="00022F29">
      <w:pPr>
        <w:rPr>
          <w:rFonts w:ascii="Calibri" w:eastAsia="Calibri" w:hAnsi="Calibri" w:cs="Times New Roman"/>
        </w:rPr>
      </w:pPr>
    </w:p>
    <w:p w14:paraId="010F1F34" w14:textId="77777777" w:rsidR="00022F29" w:rsidRPr="00022F29" w:rsidRDefault="00022F29" w:rsidP="00022F29">
      <w:pPr>
        <w:rPr>
          <w:rFonts w:ascii="Calibri" w:eastAsia="Calibri" w:hAnsi="Calibri" w:cs="Times New Roman"/>
        </w:rPr>
      </w:pPr>
    </w:p>
    <w:p w14:paraId="3C2CAE7C" w14:textId="77777777" w:rsidR="00022F29" w:rsidRPr="00022F29" w:rsidRDefault="00022F29" w:rsidP="00022F29">
      <w:pPr>
        <w:rPr>
          <w:rFonts w:ascii="Calibri" w:eastAsia="Calibri" w:hAnsi="Calibri" w:cs="Times New Roman"/>
        </w:rPr>
      </w:pPr>
    </w:p>
    <w:p w14:paraId="192EA56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w:t>
      </w:r>
    </w:p>
    <w:p w14:paraId="2D8C94B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 Stem-and-Leaf Plot</w:t>
      </w:r>
    </w:p>
    <w:p w14:paraId="05314B8E" w14:textId="77777777" w:rsidR="00022F29" w:rsidRPr="00022F29" w:rsidRDefault="00022F29" w:rsidP="00022F29">
      <w:pPr>
        <w:rPr>
          <w:rFonts w:ascii="Calibri" w:eastAsia="Calibri" w:hAnsi="Calibri" w:cs="Times New Roman"/>
        </w:rPr>
      </w:pPr>
    </w:p>
    <w:p w14:paraId="4F2C46B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Frequency    Stem &amp;  Leaf</w:t>
      </w:r>
    </w:p>
    <w:p w14:paraId="70A213A0" w14:textId="77777777" w:rsidR="00022F29" w:rsidRPr="00022F29" w:rsidRDefault="00022F29" w:rsidP="00022F29">
      <w:pPr>
        <w:rPr>
          <w:rFonts w:ascii="Calibri" w:eastAsia="Calibri" w:hAnsi="Calibri" w:cs="Times New Roman"/>
        </w:rPr>
      </w:pPr>
    </w:p>
    <w:p w14:paraId="14D7DAF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.00        0 .</w:t>
      </w:r>
    </w:p>
    <w:p w14:paraId="37F7D05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3.00        0 .  568</w:t>
      </w:r>
    </w:p>
    <w:p w14:paraId="390012D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4.00        1 .  1223</w:t>
      </w:r>
    </w:p>
    <w:p w14:paraId="52E074C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32.00        1 .  55555556666788888888889999999999</w:t>
      </w:r>
    </w:p>
    <w:p w14:paraId="07ED2E5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33.00        2 .  000000111112222222222222233333444</w:t>
      </w:r>
    </w:p>
    <w:p w14:paraId="3116B77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67.00        2 .  5555555555555556666666666666666667777777778888888889999999999999999</w:t>
      </w:r>
    </w:p>
    <w:p w14:paraId="4F89022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79.00        3 .  0000000000000000001111111111111112222222222223333333333333333334444444444444444</w:t>
      </w:r>
    </w:p>
    <w:p w14:paraId="5623AB2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82.00        3 .  5555555566666666666666666666666666666677777777777788888888888888888888888889999999</w:t>
      </w:r>
    </w:p>
    <w:p w14:paraId="3169674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95.00        4 .  00000000000000000000000111111111111111111111122222233333333333333333333333333344444444444444444</w:t>
      </w:r>
    </w:p>
    <w:p w14:paraId="33AC21E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86.00        4 .  55555555555555555555666666666666677777777777777777777777778888888888888888889999999999</w:t>
      </w:r>
    </w:p>
    <w:p w14:paraId="6D9C7DB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67.00        5 .  0000000000000000000111111111111111111112222222222334444444444444444</w:t>
      </w:r>
    </w:p>
    <w:p w14:paraId="278FD28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36.00        5 .  555566666666666677788888888888888999</w:t>
      </w:r>
    </w:p>
    <w:p w14:paraId="538CB1C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16.00        6 .  0001112223334444</w:t>
      </w:r>
    </w:p>
    <w:p w14:paraId="578C06B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12.00        6 .  555688889999</w:t>
      </w:r>
    </w:p>
    <w:p w14:paraId="31EB616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 xml:space="preserve">     9.00        7 .  012223444</w:t>
      </w:r>
    </w:p>
    <w:p w14:paraId="2E04264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3.00 Extremes    (&gt;=78)</w:t>
      </w:r>
    </w:p>
    <w:p w14:paraId="703D2950" w14:textId="77777777" w:rsidR="00022F29" w:rsidRPr="00022F29" w:rsidRDefault="00022F29" w:rsidP="00022F29">
      <w:pPr>
        <w:rPr>
          <w:rFonts w:ascii="Calibri" w:eastAsia="Calibri" w:hAnsi="Calibri" w:cs="Times New Roman"/>
        </w:rPr>
      </w:pPr>
    </w:p>
    <w:p w14:paraId="7566D2C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Stem width:  10.000</w:t>
      </w:r>
    </w:p>
    <w:p w14:paraId="04B0172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Each leaf:        1 case(s)</w:t>
      </w:r>
    </w:p>
    <w:p w14:paraId="7274C8F8" w14:textId="77777777" w:rsidR="00022F29" w:rsidRPr="00022F29" w:rsidRDefault="00022F29" w:rsidP="00022F29">
      <w:pPr>
        <w:rPr>
          <w:rFonts w:ascii="Calibri" w:eastAsia="Calibri" w:hAnsi="Calibri" w:cs="Times New Roman"/>
        </w:rPr>
      </w:pPr>
    </w:p>
    <w:p w14:paraId="054ECCD5" w14:textId="77777777" w:rsidR="00022F29" w:rsidRPr="00022F29" w:rsidRDefault="00022F29" w:rsidP="00022F29">
      <w:pPr>
        <w:rPr>
          <w:rFonts w:ascii="Calibri" w:eastAsia="Calibri" w:hAnsi="Calibri" w:cs="Times New Roman"/>
        </w:rPr>
      </w:pPr>
    </w:p>
    <w:p w14:paraId="3B14A8D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DATASET ACTIVATE DataSet1.</w:t>
      </w:r>
    </w:p>
    <w:p w14:paraId="229F544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DATASET CLOSE DataSet4.</w:t>
      </w:r>
    </w:p>
    <w:p w14:paraId="5570AC1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DATASET ACTIVATE DataSet3.</w:t>
      </w:r>
    </w:p>
    <w:p w14:paraId="5E85C93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DATASET CLOSE DataSet1.</w:t>
      </w:r>
    </w:p>
    <w:p w14:paraId="4D850FE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NEW FILE.</w:t>
      </w:r>
    </w:p>
    <w:p w14:paraId="04C10C3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DATASET NAME DataSet5 WINDOW=FRONT.</w:t>
      </w:r>
    </w:p>
    <w:p w14:paraId="7CFE128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PRESERVE.</w:t>
      </w:r>
    </w:p>
    <w:p w14:paraId="3A1AF8D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SET DECIMAL DOT.</w:t>
      </w:r>
    </w:p>
    <w:p w14:paraId="37C8A0AD" w14:textId="77777777" w:rsidR="00022F29" w:rsidRPr="00022F29" w:rsidRDefault="00022F29" w:rsidP="00022F29">
      <w:pPr>
        <w:rPr>
          <w:rFonts w:ascii="Calibri" w:eastAsia="Calibri" w:hAnsi="Calibri" w:cs="Times New Roman"/>
        </w:rPr>
      </w:pPr>
    </w:p>
    <w:p w14:paraId="26C8E78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GET DATA  /TYPE=TXT</w:t>
      </w:r>
    </w:p>
    <w:p w14:paraId="04665E3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/FILE="/Users/sbateup/Desktop/Loglinear data.csv"</w:t>
      </w:r>
    </w:p>
    <w:p w14:paraId="663829D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/ENCODING='UTF8'</w:t>
      </w:r>
    </w:p>
    <w:p w14:paraId="13AAAF4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/DELCASE=LINE</w:t>
      </w:r>
    </w:p>
    <w:p w14:paraId="1612B57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/DELIMITERS=" ,"</w:t>
      </w:r>
    </w:p>
    <w:p w14:paraId="66C7A5E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/ARRANGEMENT=DELIMITED</w:t>
      </w:r>
    </w:p>
    <w:p w14:paraId="1434D12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/FIRSTCASE=2</w:t>
      </w:r>
    </w:p>
    <w:p w14:paraId="4947D7F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/DATATYPEMIN PERCENTAGE=95.0</w:t>
      </w:r>
    </w:p>
    <w:p w14:paraId="643638E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/VARIABLES=</w:t>
      </w:r>
    </w:p>
    <w:p w14:paraId="0F3141D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﻿Ref AUTO</w:t>
      </w:r>
    </w:p>
    <w:p w14:paraId="6FB7CC1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A AUTO</w:t>
      </w:r>
    </w:p>
    <w:p w14:paraId="791D794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F AUTO</w:t>
      </w:r>
    </w:p>
    <w:p w14:paraId="7AC27A6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Quartile AUTO</w:t>
      </w:r>
    </w:p>
    <w:p w14:paraId="11DF752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T AUTO</w:t>
      </w:r>
    </w:p>
    <w:p w14:paraId="449E0CA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IAPT AUTO</w:t>
      </w:r>
    </w:p>
    <w:p w14:paraId="7E57E79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Recovery AUTO</w:t>
      </w:r>
    </w:p>
    <w:p w14:paraId="0D5D4B6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P_A AUTO</w:t>
      </w:r>
    </w:p>
    <w:p w14:paraId="4F2362E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Severity AUTO</w:t>
      </w:r>
    </w:p>
    <w:p w14:paraId="1B95E44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P AUTO</w:t>
      </w:r>
    </w:p>
    <w:p w14:paraId="60633FA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Gender AUTO</w:t>
      </w:r>
    </w:p>
    <w:p w14:paraId="5A8DA48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V12 AUTO</w:t>
      </w:r>
    </w:p>
    <w:p w14:paraId="06EEF95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V13 AUTO</w:t>
      </w:r>
    </w:p>
    <w:p w14:paraId="18DF331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V14 AUTO</w:t>
      </w:r>
    </w:p>
    <w:p w14:paraId="45B8396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V15 AUTO</w:t>
      </w:r>
    </w:p>
    <w:p w14:paraId="477EC66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V16 AUTO</w:t>
      </w:r>
    </w:p>
    <w:p w14:paraId="658F7BF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V17 AUTO</w:t>
      </w:r>
    </w:p>
    <w:p w14:paraId="4C94C02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V18 AUTO</w:t>
      </w:r>
    </w:p>
    <w:p w14:paraId="019C5BD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V19 AUTO</w:t>
      </w:r>
    </w:p>
    <w:p w14:paraId="667BAEA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V20 AUTO</w:t>
      </w:r>
    </w:p>
    <w:p w14:paraId="31E91AC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V21 AUTO</w:t>
      </w:r>
    </w:p>
    <w:p w14:paraId="56B6551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/MAP.</w:t>
      </w:r>
    </w:p>
    <w:p w14:paraId="2BEAF75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RESTORE.</w:t>
      </w:r>
    </w:p>
    <w:p w14:paraId="701EE5D2" w14:textId="77777777" w:rsidR="00022F29" w:rsidRPr="00022F29" w:rsidRDefault="00022F29" w:rsidP="00022F29">
      <w:pPr>
        <w:rPr>
          <w:rFonts w:ascii="Calibri" w:eastAsia="Calibri" w:hAnsi="Calibri" w:cs="Times New Roman"/>
        </w:rPr>
      </w:pPr>
    </w:p>
    <w:p w14:paraId="6C638BB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CACHE.</w:t>
      </w:r>
    </w:p>
    <w:p w14:paraId="41F4EBF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EXECUTE.</w:t>
      </w:r>
    </w:p>
    <w:p w14:paraId="6C0C3006" w14:textId="77777777" w:rsidR="00022F29" w:rsidRPr="00022F29" w:rsidRDefault="00022F29" w:rsidP="00022F29">
      <w:pPr>
        <w:rPr>
          <w:rFonts w:ascii="Calibri" w:eastAsia="Calibri" w:hAnsi="Calibri" w:cs="Times New Roman"/>
        </w:rPr>
      </w:pPr>
    </w:p>
    <w:p w14:paraId="2A9B4E3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Data written to the working file.</w:t>
      </w:r>
    </w:p>
    <w:p w14:paraId="23146D8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21 variables and 627 cases written.</w:t>
      </w:r>
    </w:p>
    <w:p w14:paraId="61BA637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﻿Ref             Type: String  Format : A12        One or more values were truncated.</w:t>
      </w:r>
    </w:p>
    <w:p w14:paraId="4687293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A                  Type: String  Format : A10        One or more values were truncated.</w:t>
      </w:r>
    </w:p>
    <w:p w14:paraId="4A442FE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F                  Type: String  Format : A10</w:t>
      </w:r>
    </w:p>
    <w:p w14:paraId="34EE17A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Quartile           Type: String  Format : A11</w:t>
      </w:r>
    </w:p>
    <w:p w14:paraId="2D0ECCC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T                  Type: String  Format : A8</w:t>
      </w:r>
    </w:p>
    <w:p w14:paraId="2BD3612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IAPT               Type: String  Format : A6</w:t>
      </w:r>
    </w:p>
    <w:p w14:paraId="674249F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Recovery           Type: String  Format : A6</w:t>
      </w:r>
    </w:p>
    <w:p w14:paraId="751B6E4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P_A                Type: Number  Format : F6.3       One or more values were set to system-missing.</w:t>
      </w:r>
    </w:p>
    <w:p w14:paraId="3863725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Severity           Type: Number  Format : F1         One or more values were set to system-missing.</w:t>
      </w:r>
    </w:p>
    <w:p w14:paraId="5A25481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P                  Type: Number  Format : F1         One or more values were set to system-missing.</w:t>
      </w:r>
    </w:p>
    <w:p w14:paraId="634BA32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Gender             Type: Number  Format : F1         One or more values were set to system-missing.</w:t>
      </w:r>
    </w:p>
    <w:p w14:paraId="67BFC2B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V12                Type: Number  Format : F2         One or more values were set to system-missing.</w:t>
      </w:r>
    </w:p>
    <w:p w14:paraId="429F0B9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V13                Type: Number  Format : F3         One or more values were set to system-missing.</w:t>
      </w:r>
    </w:p>
    <w:p w14:paraId="6A8BFFB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V14                Type: Number  Format : F9         One or more values were set to system-missing.</w:t>
      </w:r>
    </w:p>
    <w:p w14:paraId="17DDC5E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V15                Type: Number  Format : F9         One or more values were set to system-missing.</w:t>
      </w:r>
    </w:p>
    <w:p w14:paraId="31FD1DA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V16                Type: Number  Format : F4         One or more values were set to system-missing.</w:t>
      </w:r>
    </w:p>
    <w:p w14:paraId="5666A1F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V17                Type: Number  Format : F6.3       One or more values were set to system-missing.</w:t>
      </w:r>
    </w:p>
    <w:p w14:paraId="3A60AA4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V18                Type: Number  Format : F6.3       One or more values were set to system-missing.</w:t>
      </w:r>
    </w:p>
    <w:p w14:paraId="2971DB1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V19                Type: Number  Format : F1         One or more values were set to system-missing.</w:t>
      </w:r>
    </w:p>
    <w:p w14:paraId="0FEF8F2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V20                Type: Number  Format : F1         One or more values were set to system-missing.</w:t>
      </w:r>
    </w:p>
    <w:p w14:paraId="7454683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V21                Type: Number  Format : F1         One or more values were set to system-missing.</w:t>
      </w:r>
    </w:p>
    <w:p w14:paraId="652E1E81" w14:textId="77777777" w:rsidR="00022F29" w:rsidRPr="00022F29" w:rsidRDefault="00022F29" w:rsidP="00022F29">
      <w:pPr>
        <w:rPr>
          <w:rFonts w:ascii="Calibri" w:eastAsia="Calibri" w:hAnsi="Calibri" w:cs="Times New Roman"/>
        </w:rPr>
      </w:pPr>
    </w:p>
    <w:p w14:paraId="35551AB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DATASET NAME DataSet6 WINDOW=FRONT.</w:t>
      </w:r>
    </w:p>
    <w:p w14:paraId="1CEE04B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DATASET ACTIVATE DataSet3.</w:t>
      </w:r>
    </w:p>
    <w:p w14:paraId="7237C97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DATASET CLOSE DataSet6.</w:t>
      </w:r>
    </w:p>
    <w:p w14:paraId="6138535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NEW FILE.</w:t>
      </w:r>
    </w:p>
    <w:p w14:paraId="48E1EF2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DATASET NAME DataSet7 WINDOW=FRONT.</w:t>
      </w:r>
    </w:p>
    <w:p w14:paraId="1EA1382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PRESERVE.</w:t>
      </w:r>
    </w:p>
    <w:p w14:paraId="29F45A2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SET DECIMAL DOT.</w:t>
      </w:r>
    </w:p>
    <w:p w14:paraId="1E347606" w14:textId="77777777" w:rsidR="00022F29" w:rsidRPr="00022F29" w:rsidRDefault="00022F29" w:rsidP="00022F29">
      <w:pPr>
        <w:rPr>
          <w:rFonts w:ascii="Calibri" w:eastAsia="Calibri" w:hAnsi="Calibri" w:cs="Times New Roman"/>
        </w:rPr>
      </w:pPr>
    </w:p>
    <w:p w14:paraId="5DA0797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GET DATA  /TYPE=TXT</w:t>
      </w:r>
    </w:p>
    <w:p w14:paraId="7060369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/FILE="/Users/sbateup/Desktop/LogLinear_clean_240119.csv"</w:t>
      </w:r>
    </w:p>
    <w:p w14:paraId="361B752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/ENCODING='UTF8'</w:t>
      </w:r>
    </w:p>
    <w:p w14:paraId="566A56D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/DELCASE=LINE</w:t>
      </w:r>
    </w:p>
    <w:p w14:paraId="4891A79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/DELIMITERS=","</w:t>
      </w:r>
    </w:p>
    <w:p w14:paraId="16D6CB2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/ARRANGEMENT=DELIMITED</w:t>
      </w:r>
    </w:p>
    <w:p w14:paraId="493D8B9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/FIRSTCASE=1</w:t>
      </w:r>
    </w:p>
    <w:p w14:paraId="591FE3B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/DATATYPEMIN PERCENTAGE=95.0</w:t>
      </w:r>
    </w:p>
    <w:p w14:paraId="376F932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/VARIABLES=</w:t>
      </w:r>
    </w:p>
    <w:p w14:paraId="4E6C6D4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V1 AUTO</w:t>
      </w:r>
    </w:p>
    <w:p w14:paraId="30A8DBD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V2 AUTO</w:t>
      </w:r>
    </w:p>
    <w:p w14:paraId="59059C0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V3 AUTO</w:t>
      </w:r>
    </w:p>
    <w:p w14:paraId="474037E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V4 AUTO</w:t>
      </w:r>
    </w:p>
    <w:p w14:paraId="05AD4D9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V5 AUTO</w:t>
      </w:r>
    </w:p>
    <w:p w14:paraId="64868E4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V6 AUTO</w:t>
      </w:r>
    </w:p>
    <w:p w14:paraId="190DB76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V7 AUTO</w:t>
      </w:r>
    </w:p>
    <w:p w14:paraId="3E42A4D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V8 AUTO</w:t>
      </w:r>
    </w:p>
    <w:p w14:paraId="1DB9C61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V9 AUTO</w:t>
      </w:r>
    </w:p>
    <w:p w14:paraId="7AF0090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V10 AUTO</w:t>
      </w:r>
    </w:p>
    <w:p w14:paraId="6596909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V11 AUTO</w:t>
      </w:r>
    </w:p>
    <w:p w14:paraId="5C356B8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V12 AUTO</w:t>
      </w:r>
    </w:p>
    <w:p w14:paraId="086B449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V13 AUTO</w:t>
      </w:r>
    </w:p>
    <w:p w14:paraId="1632CB7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/MAP.</w:t>
      </w:r>
    </w:p>
    <w:p w14:paraId="35B55F90" w14:textId="77777777" w:rsidR="00022F29" w:rsidRPr="00022F29" w:rsidRDefault="00022F29" w:rsidP="00022F29">
      <w:pPr>
        <w:rPr>
          <w:rFonts w:ascii="Calibri" w:eastAsia="Calibri" w:hAnsi="Calibri" w:cs="Times New Roman"/>
        </w:rPr>
      </w:pPr>
    </w:p>
    <w:p w14:paraId="0A1FF96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&gt;Warning.  Command name: GET DATA</w:t>
      </w:r>
    </w:p>
    <w:p w14:paraId="07AF689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&gt;(2279) An unexpected/invalid character was encountered in case 131, at or</w:t>
      </w:r>
    </w:p>
    <w:p w14:paraId="6F4D2F7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&gt;around position 9.  This character was skipped.</w:t>
      </w:r>
    </w:p>
    <w:p w14:paraId="7F22DFAA" w14:textId="77777777" w:rsidR="00022F29" w:rsidRPr="00022F29" w:rsidRDefault="00022F29" w:rsidP="00022F29">
      <w:pPr>
        <w:rPr>
          <w:rFonts w:ascii="Calibri" w:eastAsia="Calibri" w:hAnsi="Calibri" w:cs="Times New Roman"/>
        </w:rPr>
      </w:pPr>
    </w:p>
    <w:p w14:paraId="77EB6B4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&gt;Warning.  Command name: GET DATA</w:t>
      </w:r>
    </w:p>
    <w:p w14:paraId="1D7F59A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&gt;(2279) An unexpected/invalid character was encountered in case 274, at or</w:t>
      </w:r>
    </w:p>
    <w:p w14:paraId="399E89C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&gt;around position 11.  This character was skipped.</w:t>
      </w:r>
    </w:p>
    <w:p w14:paraId="1218365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RESTORE.</w:t>
      </w:r>
    </w:p>
    <w:p w14:paraId="45E87C8B" w14:textId="77777777" w:rsidR="00022F29" w:rsidRPr="00022F29" w:rsidRDefault="00022F29" w:rsidP="00022F29">
      <w:pPr>
        <w:rPr>
          <w:rFonts w:ascii="Calibri" w:eastAsia="Calibri" w:hAnsi="Calibri" w:cs="Times New Roman"/>
        </w:rPr>
      </w:pPr>
    </w:p>
    <w:p w14:paraId="02FEC66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CACHE.</w:t>
      </w:r>
    </w:p>
    <w:p w14:paraId="030E121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EXECUTE.</w:t>
      </w:r>
    </w:p>
    <w:p w14:paraId="4DD8F0CC" w14:textId="77777777" w:rsidR="00022F29" w:rsidRPr="00022F29" w:rsidRDefault="00022F29" w:rsidP="00022F29">
      <w:pPr>
        <w:rPr>
          <w:rFonts w:ascii="Calibri" w:eastAsia="Calibri" w:hAnsi="Calibri" w:cs="Times New Roman"/>
        </w:rPr>
      </w:pPr>
    </w:p>
    <w:p w14:paraId="169A96E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&gt;Warning.  Command name: EXECUTE</w:t>
      </w:r>
    </w:p>
    <w:p w14:paraId="439CC59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&gt;(2279) An unexpected/invalid character was encountered in case 131, at or</w:t>
      </w:r>
    </w:p>
    <w:p w14:paraId="7055BE6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&gt;around position 9.  This character was skipped.</w:t>
      </w:r>
    </w:p>
    <w:p w14:paraId="247628E5" w14:textId="77777777" w:rsidR="00022F29" w:rsidRPr="00022F29" w:rsidRDefault="00022F29" w:rsidP="00022F29">
      <w:pPr>
        <w:rPr>
          <w:rFonts w:ascii="Calibri" w:eastAsia="Calibri" w:hAnsi="Calibri" w:cs="Times New Roman"/>
        </w:rPr>
      </w:pPr>
    </w:p>
    <w:p w14:paraId="640BAAF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&gt;Warning.  Command name: EXECUTE</w:t>
      </w:r>
    </w:p>
    <w:p w14:paraId="2EA9998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&gt;(2279) An unexpected/invalid character was encountered in case 274, at or</w:t>
      </w:r>
    </w:p>
    <w:p w14:paraId="3B7459F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&gt;around position 11.  This character was skipped.</w:t>
      </w:r>
    </w:p>
    <w:p w14:paraId="79AC24DB" w14:textId="77777777" w:rsidR="00022F29" w:rsidRPr="00022F29" w:rsidRDefault="00022F29" w:rsidP="00022F29">
      <w:pPr>
        <w:rPr>
          <w:rFonts w:ascii="Calibri" w:eastAsia="Calibri" w:hAnsi="Calibri" w:cs="Times New Roman"/>
        </w:rPr>
      </w:pPr>
    </w:p>
    <w:p w14:paraId="5C0ED46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Data written to the working file.</w:t>
      </w:r>
    </w:p>
    <w:p w14:paraId="3FF6599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13 variables and 610 cases written.</w:t>
      </w:r>
    </w:p>
    <w:p w14:paraId="68D7D33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V1                 Type: Number  Format : F3         One or more values were set to system-missing.</w:t>
      </w:r>
    </w:p>
    <w:p w14:paraId="3ACECB4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V2                 Type: String  Format : A12        One or more values were truncated.</w:t>
      </w:r>
    </w:p>
    <w:p w14:paraId="2A587A7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V3                 Type: Number  Format : F1         One or more values were set to system-missing.</w:t>
      </w:r>
    </w:p>
    <w:p w14:paraId="1F60139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V4                 Type: Number  Format : F4.2       One or more values were set to system-missing.</w:t>
      </w:r>
    </w:p>
    <w:p w14:paraId="43DD075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V5                 Type: Number  Format : F2         One or more values were set to system-missing.</w:t>
      </w:r>
    </w:p>
    <w:p w14:paraId="11703D6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V6                 Type: Number  Format : F2         One or more values were set to system-missing.</w:t>
      </w:r>
    </w:p>
    <w:p w14:paraId="19F037E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V7                 Type: Number  Format : F2         One or more values were set to system-missing.</w:t>
      </w:r>
    </w:p>
    <w:p w14:paraId="2F9CE46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V8                 Type: Number  Format : F1         One or more values were set to system-missing.</w:t>
      </w:r>
    </w:p>
    <w:p w14:paraId="30F2C3D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V9                 Type: Number  Format : F1         One or more values were set to system-missing.</w:t>
      </w:r>
    </w:p>
    <w:p w14:paraId="6C50F8E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V10                Type: Number  Format : F1         One or more values were set to system-missing.</w:t>
      </w:r>
    </w:p>
    <w:p w14:paraId="796AC82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V11                Type: Number  Format : F1         One or more values were set to system-missing.</w:t>
      </w:r>
    </w:p>
    <w:p w14:paraId="108C9BF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V12                Type: Number  Format : F1         One or more values were set to system-missing.</w:t>
      </w:r>
    </w:p>
    <w:p w14:paraId="7D49187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Variable: V13                Type: Number  Format : F1         One or more values were set to system-missing.</w:t>
      </w:r>
    </w:p>
    <w:p w14:paraId="783B9797" w14:textId="77777777" w:rsidR="00022F29" w:rsidRPr="00022F29" w:rsidRDefault="00022F29" w:rsidP="00022F29">
      <w:pPr>
        <w:rPr>
          <w:rFonts w:ascii="Calibri" w:eastAsia="Calibri" w:hAnsi="Calibri" w:cs="Times New Roman"/>
        </w:rPr>
      </w:pPr>
    </w:p>
    <w:p w14:paraId="2133757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DATASET NAME DataSet8 WINDOW=FRONT.</w:t>
      </w:r>
    </w:p>
    <w:p w14:paraId="4E2E2893" w14:textId="77777777" w:rsidR="00022F29" w:rsidRPr="00022F29" w:rsidRDefault="00022F29" w:rsidP="00022F29">
      <w:pPr>
        <w:rPr>
          <w:rFonts w:ascii="Calibri" w:eastAsia="Calibri" w:hAnsi="Calibri" w:cs="Times New Roman"/>
        </w:rPr>
      </w:pPr>
    </w:p>
    <w:p w14:paraId="5BD7812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SAVE OUTFILE='/Users/sbateup/Desktop/Loglinear.sav'</w:t>
      </w:r>
    </w:p>
    <w:p w14:paraId="758237F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/COMPRESSED.</w:t>
      </w:r>
    </w:p>
    <w:p w14:paraId="1FA8E7A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HILOGLINEAR A(0 1) FQuartile(1 4) AgeBinary(0 1) RevoveryD(0 1) RecoveryA(0 1) GenderX(0 1)</w:t>
      </w:r>
    </w:p>
    <w:p w14:paraId="2DCCAA7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/METHOD=BACKWARD</w:t>
      </w:r>
    </w:p>
    <w:p w14:paraId="1FB58B0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/CRITERIA MAXSTEPS(10) P(.05) ITERATION(20) DELTA(.5)</w:t>
      </w:r>
    </w:p>
    <w:p w14:paraId="12A34A9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/PRINT=FREQ RESID ASSOCIATION ESTIM</w:t>
      </w:r>
    </w:p>
    <w:p w14:paraId="1D70209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/DESIGN.</w:t>
      </w:r>
    </w:p>
    <w:p w14:paraId="719E6BF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Hierarchical Loglinear Analysis</w:t>
      </w:r>
    </w:p>
    <w:p w14:paraId="65A09DE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Notes</w:t>
      </w:r>
      <w:r w:rsidRPr="00022F29">
        <w:rPr>
          <w:rFonts w:ascii="Calibri" w:eastAsia="Calibri" w:hAnsi="Calibri" w:cs="Times New Roman"/>
        </w:rPr>
        <w:tab/>
      </w:r>
      <w:r w:rsidRPr="00022F29">
        <w:rPr>
          <w:rFonts w:ascii="Calibri" w:eastAsia="Calibri" w:hAnsi="Calibri" w:cs="Times New Roman"/>
        </w:rPr>
        <w:tab/>
      </w:r>
    </w:p>
    <w:p w14:paraId="5DD753C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Output Created</w:t>
      </w:r>
      <w:r w:rsidRPr="00022F29">
        <w:rPr>
          <w:rFonts w:ascii="Calibri" w:eastAsia="Calibri" w:hAnsi="Calibri" w:cs="Times New Roman"/>
        </w:rPr>
        <w:tab/>
      </w:r>
      <w:r w:rsidRPr="00022F29">
        <w:rPr>
          <w:rFonts w:ascii="Calibri" w:eastAsia="Calibri" w:hAnsi="Calibri" w:cs="Times New Roman"/>
        </w:rPr>
        <w:tab/>
        <w:t>25-JAN-2019 16:14:26</w:t>
      </w:r>
    </w:p>
    <w:p w14:paraId="28B4F7F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Comments</w:t>
      </w:r>
      <w:r w:rsidRPr="00022F29">
        <w:rPr>
          <w:rFonts w:ascii="Calibri" w:eastAsia="Calibri" w:hAnsi="Calibri" w:cs="Times New Roman"/>
        </w:rPr>
        <w:tab/>
      </w:r>
      <w:r w:rsidRPr="00022F29">
        <w:rPr>
          <w:rFonts w:ascii="Calibri" w:eastAsia="Calibri" w:hAnsi="Calibri" w:cs="Times New Roman"/>
        </w:rPr>
        <w:tab/>
      </w:r>
    </w:p>
    <w:p w14:paraId="4199AB4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Input</w:t>
      </w:r>
      <w:r w:rsidRPr="00022F29">
        <w:rPr>
          <w:rFonts w:ascii="Calibri" w:eastAsia="Calibri" w:hAnsi="Calibri" w:cs="Times New Roman"/>
        </w:rPr>
        <w:tab/>
        <w:t>Data</w:t>
      </w:r>
      <w:r w:rsidRPr="00022F29">
        <w:rPr>
          <w:rFonts w:ascii="Calibri" w:eastAsia="Calibri" w:hAnsi="Calibri" w:cs="Times New Roman"/>
        </w:rPr>
        <w:tab/>
        <w:t>/Users/sbateup/Desktop/Loglinear.sav</w:t>
      </w:r>
    </w:p>
    <w:p w14:paraId="3F4D8A6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Active Dataset</w:t>
      </w:r>
      <w:r w:rsidRPr="00022F29">
        <w:rPr>
          <w:rFonts w:ascii="Calibri" w:eastAsia="Calibri" w:hAnsi="Calibri" w:cs="Times New Roman"/>
        </w:rPr>
        <w:tab/>
        <w:t>DataSet8</w:t>
      </w:r>
    </w:p>
    <w:p w14:paraId="1CC28A2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Filter</w:t>
      </w:r>
      <w:r w:rsidRPr="00022F29">
        <w:rPr>
          <w:rFonts w:ascii="Calibri" w:eastAsia="Calibri" w:hAnsi="Calibri" w:cs="Times New Roman"/>
        </w:rPr>
        <w:tab/>
        <w:t>&lt;none&gt;</w:t>
      </w:r>
    </w:p>
    <w:p w14:paraId="6E3B992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Weight</w:t>
      </w:r>
      <w:r w:rsidRPr="00022F29">
        <w:rPr>
          <w:rFonts w:ascii="Calibri" w:eastAsia="Calibri" w:hAnsi="Calibri" w:cs="Times New Roman"/>
        </w:rPr>
        <w:tab/>
        <w:t>&lt;none&gt;</w:t>
      </w:r>
    </w:p>
    <w:p w14:paraId="7F6EEE2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b/>
        <w:t>Split File</w:t>
      </w:r>
      <w:r w:rsidRPr="00022F29">
        <w:rPr>
          <w:rFonts w:ascii="Calibri" w:eastAsia="Calibri" w:hAnsi="Calibri" w:cs="Times New Roman"/>
        </w:rPr>
        <w:tab/>
        <w:t>&lt;none&gt;</w:t>
      </w:r>
    </w:p>
    <w:p w14:paraId="5DB2C2D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N of Rows in Working Data File</w:t>
      </w:r>
      <w:r w:rsidRPr="00022F29">
        <w:rPr>
          <w:rFonts w:ascii="Calibri" w:eastAsia="Calibri" w:hAnsi="Calibri" w:cs="Times New Roman"/>
        </w:rPr>
        <w:tab/>
        <w:t>610</w:t>
      </w:r>
    </w:p>
    <w:p w14:paraId="2DEA151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Missing Value Handling</w:t>
      </w:r>
      <w:r w:rsidRPr="00022F29">
        <w:rPr>
          <w:rFonts w:ascii="Calibri" w:eastAsia="Calibri" w:hAnsi="Calibri" w:cs="Times New Roman"/>
        </w:rPr>
        <w:tab/>
        <w:t>Definition of Missing</w:t>
      </w:r>
      <w:r w:rsidRPr="00022F29">
        <w:rPr>
          <w:rFonts w:ascii="Calibri" w:eastAsia="Calibri" w:hAnsi="Calibri" w:cs="Times New Roman"/>
        </w:rPr>
        <w:tab/>
        <w:t>User-defined missing values are treated as missing.</w:t>
      </w:r>
    </w:p>
    <w:p w14:paraId="0836E7E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Cases Used</w:t>
      </w:r>
      <w:r w:rsidRPr="00022F29">
        <w:rPr>
          <w:rFonts w:ascii="Calibri" w:eastAsia="Calibri" w:hAnsi="Calibri" w:cs="Times New Roman"/>
        </w:rPr>
        <w:tab/>
        <w:t>Statistics are based on all cases with valid data for all variables in the model.</w:t>
      </w:r>
    </w:p>
    <w:p w14:paraId="3D6C0BC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Syntax</w:t>
      </w:r>
      <w:r w:rsidRPr="00022F29">
        <w:rPr>
          <w:rFonts w:ascii="Calibri" w:eastAsia="Calibri" w:hAnsi="Calibri" w:cs="Times New Roman"/>
        </w:rPr>
        <w:tab/>
      </w:r>
      <w:r w:rsidRPr="00022F29">
        <w:rPr>
          <w:rFonts w:ascii="Calibri" w:eastAsia="Calibri" w:hAnsi="Calibri" w:cs="Times New Roman"/>
        </w:rPr>
        <w:tab/>
        <w:t>HILOGLINEAR A(0 1) FQuartile(1 4) AgeBinary(0 1) RevoveryD(0 1) RecoveryA(0 1) GenderX(0 1)</w:t>
      </w:r>
    </w:p>
    <w:p w14:paraId="750D5A6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/METHOD=BACKWARD</w:t>
      </w:r>
    </w:p>
    <w:p w14:paraId="1C517A8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/CRITERIA MAXSTEPS(10) P(.05) ITERATION(20) DELTA(.5)</w:t>
      </w:r>
    </w:p>
    <w:p w14:paraId="7CD682E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/PRINT=FREQ RESID ASSOCIATION ESTIM</w:t>
      </w:r>
    </w:p>
    <w:p w14:paraId="4C68CD6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/DESIGN.</w:t>
      </w:r>
    </w:p>
    <w:p w14:paraId="6B9CE16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Resources</w:t>
      </w:r>
      <w:r w:rsidRPr="00022F29">
        <w:rPr>
          <w:rFonts w:ascii="Calibri" w:eastAsia="Calibri" w:hAnsi="Calibri" w:cs="Times New Roman"/>
        </w:rPr>
        <w:tab/>
        <w:t>Processor Time</w:t>
      </w:r>
      <w:r w:rsidRPr="00022F29">
        <w:rPr>
          <w:rFonts w:ascii="Calibri" w:eastAsia="Calibri" w:hAnsi="Calibri" w:cs="Times New Roman"/>
        </w:rPr>
        <w:tab/>
        <w:t>00:00:00.11</w:t>
      </w:r>
    </w:p>
    <w:p w14:paraId="7C80F9D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Elapsed Time</w:t>
      </w:r>
      <w:r w:rsidRPr="00022F29">
        <w:rPr>
          <w:rFonts w:ascii="Calibri" w:eastAsia="Calibri" w:hAnsi="Calibri" w:cs="Times New Roman"/>
        </w:rPr>
        <w:tab/>
        <w:t>00:00:00.00</w:t>
      </w:r>
    </w:p>
    <w:p w14:paraId="7AFDDF5B" w14:textId="77777777" w:rsidR="00022F29" w:rsidRPr="00022F29" w:rsidRDefault="00022F29" w:rsidP="00022F29">
      <w:pPr>
        <w:rPr>
          <w:rFonts w:ascii="Calibri" w:eastAsia="Calibri" w:hAnsi="Calibri" w:cs="Times New Roman"/>
        </w:rPr>
      </w:pPr>
    </w:p>
    <w:p w14:paraId="786EAB0E" w14:textId="77777777" w:rsidR="00022F29" w:rsidRPr="00022F29" w:rsidRDefault="00022F29" w:rsidP="00022F29">
      <w:pPr>
        <w:rPr>
          <w:rFonts w:ascii="Calibri" w:eastAsia="Calibri" w:hAnsi="Calibri" w:cs="Times New Roman"/>
        </w:rPr>
      </w:pPr>
    </w:p>
    <w:p w14:paraId="48A521CF" w14:textId="77777777" w:rsidR="00022F29" w:rsidRPr="00022F29" w:rsidRDefault="00022F29" w:rsidP="00022F29">
      <w:pPr>
        <w:rPr>
          <w:rFonts w:ascii="Calibri" w:eastAsia="Calibri" w:hAnsi="Calibri" w:cs="Times New Roman"/>
        </w:rPr>
      </w:pPr>
    </w:p>
    <w:p w14:paraId="020EE76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[DataSet8] /Users/sbateup/Desktop/Loglinear.sav</w:t>
      </w:r>
    </w:p>
    <w:p w14:paraId="10D129A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Warnings</w:t>
      </w:r>
    </w:p>
    <w:p w14:paraId="4337921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For Design 1, .500 has been added to all observed cells for this saturated model, This value may be changed by using the CRITERIA = DELTA subcommand.</w:t>
      </w:r>
    </w:p>
    <w:p w14:paraId="45ED0D9E" w14:textId="77777777" w:rsidR="00022F29" w:rsidRPr="00022F29" w:rsidRDefault="00022F29" w:rsidP="00022F29">
      <w:pPr>
        <w:rPr>
          <w:rFonts w:ascii="Calibri" w:eastAsia="Calibri" w:hAnsi="Calibri" w:cs="Times New Roman"/>
        </w:rPr>
      </w:pPr>
    </w:p>
    <w:p w14:paraId="3230513F" w14:textId="77777777" w:rsidR="00022F29" w:rsidRPr="00022F29" w:rsidRDefault="00022F29" w:rsidP="00022F29">
      <w:pPr>
        <w:rPr>
          <w:rFonts w:ascii="Calibri" w:eastAsia="Calibri" w:hAnsi="Calibri" w:cs="Times New Roman"/>
        </w:rPr>
      </w:pPr>
    </w:p>
    <w:p w14:paraId="02A9B87B" w14:textId="77777777" w:rsidR="00022F29" w:rsidRPr="00022F29" w:rsidRDefault="00022F29" w:rsidP="00022F29">
      <w:pPr>
        <w:rPr>
          <w:rFonts w:ascii="Calibri" w:eastAsia="Calibri" w:hAnsi="Calibri" w:cs="Times New Roman"/>
        </w:rPr>
      </w:pPr>
    </w:p>
    <w:p w14:paraId="4416EAF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Data Information</w:t>
      </w:r>
      <w:r w:rsidRPr="00022F29">
        <w:rPr>
          <w:rFonts w:ascii="Calibri" w:eastAsia="Calibri" w:hAnsi="Calibri" w:cs="Times New Roman"/>
        </w:rPr>
        <w:tab/>
      </w:r>
      <w:r w:rsidRPr="00022F29">
        <w:rPr>
          <w:rFonts w:ascii="Calibri" w:eastAsia="Calibri" w:hAnsi="Calibri" w:cs="Times New Roman"/>
        </w:rPr>
        <w:tab/>
      </w:r>
    </w:p>
    <w:p w14:paraId="3E4042D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N</w:t>
      </w:r>
    </w:p>
    <w:p w14:paraId="42505B4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Cases</w:t>
      </w:r>
      <w:r w:rsidRPr="00022F29">
        <w:rPr>
          <w:rFonts w:ascii="Calibri" w:eastAsia="Calibri" w:hAnsi="Calibri" w:cs="Times New Roman"/>
        </w:rPr>
        <w:tab/>
        <w:t>Valid</w:t>
      </w:r>
      <w:r w:rsidRPr="00022F29">
        <w:rPr>
          <w:rFonts w:ascii="Calibri" w:eastAsia="Calibri" w:hAnsi="Calibri" w:cs="Times New Roman"/>
        </w:rPr>
        <w:tab/>
        <w:t>591</w:t>
      </w:r>
    </w:p>
    <w:p w14:paraId="1FCA058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Out of Rangea</w:t>
      </w:r>
      <w:r w:rsidRPr="00022F29">
        <w:rPr>
          <w:rFonts w:ascii="Calibri" w:eastAsia="Calibri" w:hAnsi="Calibri" w:cs="Times New Roman"/>
        </w:rPr>
        <w:tab/>
        <w:t>0</w:t>
      </w:r>
    </w:p>
    <w:p w14:paraId="24433DB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Missing</w:t>
      </w:r>
      <w:r w:rsidRPr="00022F29">
        <w:rPr>
          <w:rFonts w:ascii="Calibri" w:eastAsia="Calibri" w:hAnsi="Calibri" w:cs="Times New Roman"/>
        </w:rPr>
        <w:tab/>
        <w:t>19</w:t>
      </w:r>
    </w:p>
    <w:p w14:paraId="42A2C93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Weighted Valid</w:t>
      </w:r>
      <w:r w:rsidRPr="00022F29">
        <w:rPr>
          <w:rFonts w:ascii="Calibri" w:eastAsia="Calibri" w:hAnsi="Calibri" w:cs="Times New Roman"/>
        </w:rPr>
        <w:tab/>
        <w:t>591</w:t>
      </w:r>
    </w:p>
    <w:p w14:paraId="7A0DAD2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Categories</w:t>
      </w:r>
      <w:r w:rsidRPr="00022F29">
        <w:rPr>
          <w:rFonts w:ascii="Calibri" w:eastAsia="Calibri" w:hAnsi="Calibri" w:cs="Times New Roman"/>
        </w:rPr>
        <w:tab/>
        <w:t>A</w:t>
      </w:r>
      <w:r w:rsidRPr="00022F29">
        <w:rPr>
          <w:rFonts w:ascii="Calibri" w:eastAsia="Calibri" w:hAnsi="Calibri" w:cs="Times New Roman"/>
        </w:rPr>
        <w:tab/>
        <w:t>2</w:t>
      </w:r>
    </w:p>
    <w:p w14:paraId="79B976A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FQuartile</w:t>
      </w:r>
      <w:r w:rsidRPr="00022F29">
        <w:rPr>
          <w:rFonts w:ascii="Calibri" w:eastAsia="Calibri" w:hAnsi="Calibri" w:cs="Times New Roman"/>
        </w:rPr>
        <w:tab/>
        <w:t>4</w:t>
      </w:r>
    </w:p>
    <w:p w14:paraId="5B09E6A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AgeBinary</w:t>
      </w:r>
      <w:r w:rsidRPr="00022F29">
        <w:rPr>
          <w:rFonts w:ascii="Calibri" w:eastAsia="Calibri" w:hAnsi="Calibri" w:cs="Times New Roman"/>
        </w:rPr>
        <w:tab/>
        <w:t>2</w:t>
      </w:r>
    </w:p>
    <w:p w14:paraId="25E30DA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RevoveryD</w:t>
      </w:r>
      <w:r w:rsidRPr="00022F29">
        <w:rPr>
          <w:rFonts w:ascii="Calibri" w:eastAsia="Calibri" w:hAnsi="Calibri" w:cs="Times New Roman"/>
        </w:rPr>
        <w:tab/>
        <w:t>2</w:t>
      </w:r>
    </w:p>
    <w:p w14:paraId="128FB03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RecoveryA</w:t>
      </w:r>
      <w:r w:rsidRPr="00022F29">
        <w:rPr>
          <w:rFonts w:ascii="Calibri" w:eastAsia="Calibri" w:hAnsi="Calibri" w:cs="Times New Roman"/>
        </w:rPr>
        <w:tab/>
        <w:t>2</w:t>
      </w:r>
    </w:p>
    <w:p w14:paraId="2D67DAB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GenderX</w:t>
      </w:r>
      <w:r w:rsidRPr="00022F29">
        <w:rPr>
          <w:rFonts w:ascii="Calibri" w:eastAsia="Calibri" w:hAnsi="Calibri" w:cs="Times New Roman"/>
        </w:rPr>
        <w:tab/>
        <w:t>2</w:t>
      </w:r>
    </w:p>
    <w:p w14:paraId="043E62D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 Cases rejected because of out of range factor values.</w:t>
      </w:r>
      <w:r w:rsidRPr="00022F29">
        <w:rPr>
          <w:rFonts w:ascii="Calibri" w:eastAsia="Calibri" w:hAnsi="Calibri" w:cs="Times New Roman"/>
        </w:rPr>
        <w:tab/>
      </w:r>
      <w:r w:rsidRPr="00022F29">
        <w:rPr>
          <w:rFonts w:ascii="Calibri" w:eastAsia="Calibri" w:hAnsi="Calibri" w:cs="Times New Roman"/>
        </w:rPr>
        <w:tab/>
      </w:r>
    </w:p>
    <w:p w14:paraId="6861B893" w14:textId="77777777" w:rsidR="00022F29" w:rsidRPr="00022F29" w:rsidRDefault="00022F29" w:rsidP="00022F29">
      <w:pPr>
        <w:rPr>
          <w:rFonts w:ascii="Calibri" w:eastAsia="Calibri" w:hAnsi="Calibri" w:cs="Times New Roman"/>
        </w:rPr>
      </w:pPr>
    </w:p>
    <w:p w14:paraId="07F2D8A4" w14:textId="77777777" w:rsidR="00022F29" w:rsidRPr="00022F29" w:rsidRDefault="00022F29" w:rsidP="00022F29">
      <w:pPr>
        <w:rPr>
          <w:rFonts w:ascii="Calibri" w:eastAsia="Calibri" w:hAnsi="Calibri" w:cs="Times New Roman"/>
        </w:rPr>
      </w:pPr>
    </w:p>
    <w:p w14:paraId="0A6DBB03" w14:textId="77777777" w:rsidR="00022F29" w:rsidRPr="00022F29" w:rsidRDefault="00022F29" w:rsidP="00022F29">
      <w:pPr>
        <w:rPr>
          <w:rFonts w:ascii="Calibri" w:eastAsia="Calibri" w:hAnsi="Calibri" w:cs="Times New Roman"/>
        </w:rPr>
      </w:pPr>
    </w:p>
    <w:p w14:paraId="2EAC14B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Design 1</w:t>
      </w:r>
    </w:p>
    <w:p w14:paraId="1AA48EC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Convergence Information</w:t>
      </w:r>
      <w:r w:rsidRPr="00022F29">
        <w:rPr>
          <w:rFonts w:ascii="Calibri" w:eastAsia="Calibri" w:hAnsi="Calibri" w:cs="Times New Roman"/>
        </w:rPr>
        <w:tab/>
      </w:r>
    </w:p>
    <w:p w14:paraId="3605FBE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Generating Class</w:t>
      </w:r>
      <w:r w:rsidRPr="00022F29">
        <w:rPr>
          <w:rFonts w:ascii="Calibri" w:eastAsia="Calibri" w:hAnsi="Calibri" w:cs="Times New Roman"/>
        </w:rPr>
        <w:tab/>
        <w:t>A*FQuartile*AgeBinary*RevoveryD*RecoveryA*GenderX</w:t>
      </w:r>
    </w:p>
    <w:p w14:paraId="1E9E7D3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Number of Iterations</w:t>
      </w:r>
      <w:r w:rsidRPr="00022F29">
        <w:rPr>
          <w:rFonts w:ascii="Calibri" w:eastAsia="Calibri" w:hAnsi="Calibri" w:cs="Times New Roman"/>
        </w:rPr>
        <w:tab/>
        <w:t>1</w:t>
      </w:r>
    </w:p>
    <w:p w14:paraId="4136000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Max. Difference between Observed and Fitted Marginals</w:t>
      </w:r>
      <w:r w:rsidRPr="00022F29">
        <w:rPr>
          <w:rFonts w:ascii="Calibri" w:eastAsia="Calibri" w:hAnsi="Calibri" w:cs="Times New Roman"/>
        </w:rPr>
        <w:tab/>
        <w:t>.000</w:t>
      </w:r>
    </w:p>
    <w:p w14:paraId="4FAB884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Convergence Criterion</w:t>
      </w:r>
      <w:r w:rsidRPr="00022F29">
        <w:rPr>
          <w:rFonts w:ascii="Calibri" w:eastAsia="Calibri" w:hAnsi="Calibri" w:cs="Times New Roman"/>
        </w:rPr>
        <w:tab/>
        <w:t>.250</w:t>
      </w:r>
    </w:p>
    <w:p w14:paraId="0297B1B6" w14:textId="77777777" w:rsidR="00022F29" w:rsidRPr="00022F29" w:rsidRDefault="00022F29" w:rsidP="00022F29">
      <w:pPr>
        <w:rPr>
          <w:rFonts w:ascii="Calibri" w:eastAsia="Calibri" w:hAnsi="Calibri" w:cs="Times New Roman"/>
        </w:rPr>
      </w:pPr>
    </w:p>
    <w:p w14:paraId="10894326" w14:textId="77777777" w:rsidR="00022F29" w:rsidRPr="00022F29" w:rsidRDefault="00022F29" w:rsidP="00022F29">
      <w:pPr>
        <w:rPr>
          <w:rFonts w:ascii="Calibri" w:eastAsia="Calibri" w:hAnsi="Calibri" w:cs="Times New Roman"/>
        </w:rPr>
      </w:pPr>
    </w:p>
    <w:p w14:paraId="7CE1CCD7" w14:textId="77777777" w:rsidR="00022F29" w:rsidRPr="00022F29" w:rsidRDefault="00022F29" w:rsidP="00022F29">
      <w:pPr>
        <w:rPr>
          <w:rFonts w:ascii="Calibri" w:eastAsia="Calibri" w:hAnsi="Calibri" w:cs="Times New Roman"/>
        </w:rPr>
      </w:pPr>
    </w:p>
    <w:p w14:paraId="7D7C423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Cell Counts and Residuals</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23066BB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w:t>
      </w:r>
      <w:r w:rsidRPr="00022F29">
        <w:rPr>
          <w:rFonts w:ascii="Calibri" w:eastAsia="Calibri" w:hAnsi="Calibri" w:cs="Times New Roman"/>
        </w:rPr>
        <w:tab/>
        <w:t>FQuartile</w:t>
      </w:r>
      <w:r w:rsidRPr="00022F29">
        <w:rPr>
          <w:rFonts w:ascii="Calibri" w:eastAsia="Calibri" w:hAnsi="Calibri" w:cs="Times New Roman"/>
        </w:rPr>
        <w:tab/>
        <w:t>AgeBinary</w:t>
      </w:r>
      <w:r w:rsidRPr="00022F29">
        <w:rPr>
          <w:rFonts w:ascii="Calibri" w:eastAsia="Calibri" w:hAnsi="Calibri" w:cs="Times New Roman"/>
        </w:rPr>
        <w:tab/>
        <w:t>RevoveryD</w:t>
      </w:r>
      <w:r w:rsidRPr="00022F29">
        <w:rPr>
          <w:rFonts w:ascii="Calibri" w:eastAsia="Calibri" w:hAnsi="Calibri" w:cs="Times New Roman"/>
        </w:rPr>
        <w:tab/>
        <w:t>RecoveryA</w:t>
      </w:r>
      <w:r w:rsidRPr="00022F29">
        <w:rPr>
          <w:rFonts w:ascii="Calibri" w:eastAsia="Calibri" w:hAnsi="Calibri" w:cs="Times New Roman"/>
        </w:rPr>
        <w:tab/>
        <w:t>GenderX</w:t>
      </w:r>
      <w:r w:rsidRPr="00022F29">
        <w:rPr>
          <w:rFonts w:ascii="Calibri" w:eastAsia="Calibri" w:hAnsi="Calibri" w:cs="Times New Roman"/>
        </w:rPr>
        <w:tab/>
        <w:t>Observed</w:t>
      </w:r>
      <w:r w:rsidRPr="00022F29">
        <w:rPr>
          <w:rFonts w:ascii="Calibri" w:eastAsia="Calibri" w:hAnsi="Calibri" w:cs="Times New Roman"/>
        </w:rPr>
        <w:tab/>
      </w:r>
      <w:r w:rsidRPr="00022F29">
        <w:rPr>
          <w:rFonts w:ascii="Calibri" w:eastAsia="Calibri" w:hAnsi="Calibri" w:cs="Times New Roman"/>
        </w:rPr>
        <w:tab/>
        <w:t>Expected</w:t>
      </w:r>
      <w:r w:rsidRPr="00022F29">
        <w:rPr>
          <w:rFonts w:ascii="Calibri" w:eastAsia="Calibri" w:hAnsi="Calibri" w:cs="Times New Roman"/>
        </w:rPr>
        <w:tab/>
      </w:r>
      <w:r w:rsidRPr="00022F29">
        <w:rPr>
          <w:rFonts w:ascii="Calibri" w:eastAsia="Calibri" w:hAnsi="Calibri" w:cs="Times New Roman"/>
        </w:rPr>
        <w:tab/>
        <w:t>Residuals</w:t>
      </w:r>
      <w:r w:rsidRPr="00022F29">
        <w:rPr>
          <w:rFonts w:ascii="Calibri" w:eastAsia="Calibri" w:hAnsi="Calibri" w:cs="Times New Roman"/>
        </w:rPr>
        <w:tab/>
        <w:t>Std. Residuals</w:t>
      </w:r>
    </w:p>
    <w:p w14:paraId="485E221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Counta</w:t>
      </w:r>
      <w:r w:rsidRPr="00022F29">
        <w:rPr>
          <w:rFonts w:ascii="Calibri" w:eastAsia="Calibri" w:hAnsi="Calibri" w:cs="Times New Roman"/>
        </w:rPr>
        <w:tab/>
        <w:t>%</w:t>
      </w:r>
      <w:r w:rsidRPr="00022F29">
        <w:rPr>
          <w:rFonts w:ascii="Calibri" w:eastAsia="Calibri" w:hAnsi="Calibri" w:cs="Times New Roman"/>
        </w:rPr>
        <w:tab/>
        <w:t>Count</w:t>
      </w:r>
      <w:r w:rsidRPr="00022F29">
        <w:rPr>
          <w:rFonts w:ascii="Calibri" w:eastAsia="Calibri" w:hAnsi="Calibri" w:cs="Times New Roman"/>
        </w:rPr>
        <w:tab/>
        <w:t>%</w:t>
      </w:r>
      <w:r w:rsidRPr="00022F29">
        <w:rPr>
          <w:rFonts w:ascii="Calibri" w:eastAsia="Calibri" w:hAnsi="Calibri" w:cs="Times New Roman"/>
        </w:rPr>
        <w:tab/>
      </w:r>
      <w:r w:rsidRPr="00022F29">
        <w:rPr>
          <w:rFonts w:ascii="Calibri" w:eastAsia="Calibri" w:hAnsi="Calibri" w:cs="Times New Roman"/>
        </w:rPr>
        <w:tab/>
      </w:r>
    </w:p>
    <w:p w14:paraId="5E4DCBE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11.500</w:t>
      </w:r>
      <w:r w:rsidRPr="00022F29">
        <w:rPr>
          <w:rFonts w:ascii="Calibri" w:eastAsia="Calibri" w:hAnsi="Calibri" w:cs="Times New Roman"/>
        </w:rPr>
        <w:tab/>
        <w:t>1.9%</w:t>
      </w:r>
      <w:r w:rsidRPr="00022F29">
        <w:rPr>
          <w:rFonts w:ascii="Calibri" w:eastAsia="Calibri" w:hAnsi="Calibri" w:cs="Times New Roman"/>
        </w:rPr>
        <w:tab/>
        <w:t>11.500</w:t>
      </w:r>
      <w:r w:rsidRPr="00022F29">
        <w:rPr>
          <w:rFonts w:ascii="Calibri" w:eastAsia="Calibri" w:hAnsi="Calibri" w:cs="Times New Roman"/>
        </w:rPr>
        <w:tab/>
        <w:t>1.9%</w:t>
      </w:r>
      <w:r w:rsidRPr="00022F29">
        <w:rPr>
          <w:rFonts w:ascii="Calibri" w:eastAsia="Calibri" w:hAnsi="Calibri" w:cs="Times New Roman"/>
        </w:rPr>
        <w:tab/>
        <w:t>.000</w:t>
      </w:r>
      <w:r w:rsidRPr="00022F29">
        <w:rPr>
          <w:rFonts w:ascii="Calibri" w:eastAsia="Calibri" w:hAnsi="Calibri" w:cs="Times New Roman"/>
        </w:rPr>
        <w:tab/>
        <w:t>.000</w:t>
      </w:r>
    </w:p>
    <w:p w14:paraId="6995368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21.500</w:t>
      </w:r>
      <w:r w:rsidRPr="00022F29">
        <w:rPr>
          <w:rFonts w:ascii="Calibri" w:eastAsia="Calibri" w:hAnsi="Calibri" w:cs="Times New Roman"/>
        </w:rPr>
        <w:tab/>
        <w:t>3.6%</w:t>
      </w:r>
      <w:r w:rsidRPr="00022F29">
        <w:rPr>
          <w:rFonts w:ascii="Calibri" w:eastAsia="Calibri" w:hAnsi="Calibri" w:cs="Times New Roman"/>
        </w:rPr>
        <w:tab/>
        <w:t>21.500</w:t>
      </w:r>
      <w:r w:rsidRPr="00022F29">
        <w:rPr>
          <w:rFonts w:ascii="Calibri" w:eastAsia="Calibri" w:hAnsi="Calibri" w:cs="Times New Roman"/>
        </w:rPr>
        <w:tab/>
        <w:t>3.6%</w:t>
      </w:r>
      <w:r w:rsidRPr="00022F29">
        <w:rPr>
          <w:rFonts w:ascii="Calibri" w:eastAsia="Calibri" w:hAnsi="Calibri" w:cs="Times New Roman"/>
        </w:rPr>
        <w:tab/>
        <w:t>.000</w:t>
      </w:r>
      <w:r w:rsidRPr="00022F29">
        <w:rPr>
          <w:rFonts w:ascii="Calibri" w:eastAsia="Calibri" w:hAnsi="Calibri" w:cs="Times New Roman"/>
        </w:rPr>
        <w:tab/>
        <w:t>.000</w:t>
      </w:r>
    </w:p>
    <w:p w14:paraId="1C5B08A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6B66EBE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5.500</w:t>
      </w:r>
      <w:r w:rsidRPr="00022F29">
        <w:rPr>
          <w:rFonts w:ascii="Calibri" w:eastAsia="Calibri" w:hAnsi="Calibri" w:cs="Times New Roman"/>
        </w:rPr>
        <w:tab/>
        <w:t>0.9%</w:t>
      </w:r>
      <w:r w:rsidRPr="00022F29">
        <w:rPr>
          <w:rFonts w:ascii="Calibri" w:eastAsia="Calibri" w:hAnsi="Calibri" w:cs="Times New Roman"/>
        </w:rPr>
        <w:tab/>
        <w:t>5.500</w:t>
      </w:r>
      <w:r w:rsidRPr="00022F29">
        <w:rPr>
          <w:rFonts w:ascii="Calibri" w:eastAsia="Calibri" w:hAnsi="Calibri" w:cs="Times New Roman"/>
        </w:rPr>
        <w:tab/>
        <w:t>0.9%</w:t>
      </w:r>
      <w:r w:rsidRPr="00022F29">
        <w:rPr>
          <w:rFonts w:ascii="Calibri" w:eastAsia="Calibri" w:hAnsi="Calibri" w:cs="Times New Roman"/>
        </w:rPr>
        <w:tab/>
        <w:t>.000</w:t>
      </w:r>
      <w:r w:rsidRPr="00022F29">
        <w:rPr>
          <w:rFonts w:ascii="Calibri" w:eastAsia="Calibri" w:hAnsi="Calibri" w:cs="Times New Roman"/>
        </w:rPr>
        <w:tab/>
        <w:t>.000</w:t>
      </w:r>
    </w:p>
    <w:p w14:paraId="667571A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.000</w:t>
      </w:r>
      <w:r w:rsidRPr="00022F29">
        <w:rPr>
          <w:rFonts w:ascii="Calibri" w:eastAsia="Calibri" w:hAnsi="Calibri" w:cs="Times New Roman"/>
        </w:rPr>
        <w:tab/>
        <w:t>.000</w:t>
      </w:r>
    </w:p>
    <w:p w14:paraId="429536F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6.500</w:t>
      </w:r>
      <w:r w:rsidRPr="00022F29">
        <w:rPr>
          <w:rFonts w:ascii="Calibri" w:eastAsia="Calibri" w:hAnsi="Calibri" w:cs="Times New Roman"/>
        </w:rPr>
        <w:tab/>
        <w:t>1.1%</w:t>
      </w:r>
      <w:r w:rsidRPr="00022F29">
        <w:rPr>
          <w:rFonts w:ascii="Calibri" w:eastAsia="Calibri" w:hAnsi="Calibri" w:cs="Times New Roman"/>
        </w:rPr>
        <w:tab/>
        <w:t>6.500</w:t>
      </w:r>
      <w:r w:rsidRPr="00022F29">
        <w:rPr>
          <w:rFonts w:ascii="Calibri" w:eastAsia="Calibri" w:hAnsi="Calibri" w:cs="Times New Roman"/>
        </w:rPr>
        <w:tab/>
        <w:t>1.1%</w:t>
      </w:r>
      <w:r w:rsidRPr="00022F29">
        <w:rPr>
          <w:rFonts w:ascii="Calibri" w:eastAsia="Calibri" w:hAnsi="Calibri" w:cs="Times New Roman"/>
        </w:rPr>
        <w:tab/>
        <w:t>.000</w:t>
      </w:r>
      <w:r w:rsidRPr="00022F29">
        <w:rPr>
          <w:rFonts w:ascii="Calibri" w:eastAsia="Calibri" w:hAnsi="Calibri" w:cs="Times New Roman"/>
        </w:rPr>
        <w:tab/>
        <w:t>.000</w:t>
      </w:r>
    </w:p>
    <w:p w14:paraId="716B20E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10.500</w:t>
      </w:r>
      <w:r w:rsidRPr="00022F29">
        <w:rPr>
          <w:rFonts w:ascii="Calibri" w:eastAsia="Calibri" w:hAnsi="Calibri" w:cs="Times New Roman"/>
        </w:rPr>
        <w:tab/>
        <w:t>1.8%</w:t>
      </w:r>
      <w:r w:rsidRPr="00022F29">
        <w:rPr>
          <w:rFonts w:ascii="Calibri" w:eastAsia="Calibri" w:hAnsi="Calibri" w:cs="Times New Roman"/>
        </w:rPr>
        <w:tab/>
        <w:t>10.500</w:t>
      </w:r>
      <w:r w:rsidRPr="00022F29">
        <w:rPr>
          <w:rFonts w:ascii="Calibri" w:eastAsia="Calibri" w:hAnsi="Calibri" w:cs="Times New Roman"/>
        </w:rPr>
        <w:tab/>
        <w:t>1.8%</w:t>
      </w:r>
      <w:r w:rsidRPr="00022F29">
        <w:rPr>
          <w:rFonts w:ascii="Calibri" w:eastAsia="Calibri" w:hAnsi="Calibri" w:cs="Times New Roman"/>
        </w:rPr>
        <w:tab/>
        <w:t>.000</w:t>
      </w:r>
      <w:r w:rsidRPr="00022F29">
        <w:rPr>
          <w:rFonts w:ascii="Calibri" w:eastAsia="Calibri" w:hAnsi="Calibri" w:cs="Times New Roman"/>
        </w:rPr>
        <w:tab/>
        <w:t>.000</w:t>
      </w:r>
    </w:p>
    <w:p w14:paraId="35DB644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17.500</w:t>
      </w:r>
      <w:r w:rsidRPr="00022F29">
        <w:rPr>
          <w:rFonts w:ascii="Calibri" w:eastAsia="Calibri" w:hAnsi="Calibri" w:cs="Times New Roman"/>
        </w:rPr>
        <w:tab/>
        <w:t>3.0%</w:t>
      </w:r>
      <w:r w:rsidRPr="00022F29">
        <w:rPr>
          <w:rFonts w:ascii="Calibri" w:eastAsia="Calibri" w:hAnsi="Calibri" w:cs="Times New Roman"/>
        </w:rPr>
        <w:tab/>
        <w:t>17.500</w:t>
      </w:r>
      <w:r w:rsidRPr="00022F29">
        <w:rPr>
          <w:rFonts w:ascii="Calibri" w:eastAsia="Calibri" w:hAnsi="Calibri" w:cs="Times New Roman"/>
        </w:rPr>
        <w:tab/>
        <w:t>3.0%</w:t>
      </w:r>
      <w:r w:rsidRPr="00022F29">
        <w:rPr>
          <w:rFonts w:ascii="Calibri" w:eastAsia="Calibri" w:hAnsi="Calibri" w:cs="Times New Roman"/>
        </w:rPr>
        <w:tab/>
        <w:t>.000</w:t>
      </w:r>
      <w:r w:rsidRPr="00022F29">
        <w:rPr>
          <w:rFonts w:ascii="Calibri" w:eastAsia="Calibri" w:hAnsi="Calibri" w:cs="Times New Roman"/>
        </w:rPr>
        <w:tab/>
        <w:t>.000</w:t>
      </w:r>
    </w:p>
    <w:p w14:paraId="3CA3414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10.500</w:t>
      </w:r>
      <w:r w:rsidRPr="00022F29">
        <w:rPr>
          <w:rFonts w:ascii="Calibri" w:eastAsia="Calibri" w:hAnsi="Calibri" w:cs="Times New Roman"/>
        </w:rPr>
        <w:tab/>
        <w:t>1.8%</w:t>
      </w:r>
      <w:r w:rsidRPr="00022F29">
        <w:rPr>
          <w:rFonts w:ascii="Calibri" w:eastAsia="Calibri" w:hAnsi="Calibri" w:cs="Times New Roman"/>
        </w:rPr>
        <w:tab/>
        <w:t>10.500</w:t>
      </w:r>
      <w:r w:rsidRPr="00022F29">
        <w:rPr>
          <w:rFonts w:ascii="Calibri" w:eastAsia="Calibri" w:hAnsi="Calibri" w:cs="Times New Roman"/>
        </w:rPr>
        <w:tab/>
        <w:t>1.8%</w:t>
      </w:r>
      <w:r w:rsidRPr="00022F29">
        <w:rPr>
          <w:rFonts w:ascii="Calibri" w:eastAsia="Calibri" w:hAnsi="Calibri" w:cs="Times New Roman"/>
        </w:rPr>
        <w:tab/>
        <w:t>.000</w:t>
      </w:r>
      <w:r w:rsidRPr="00022F29">
        <w:rPr>
          <w:rFonts w:ascii="Calibri" w:eastAsia="Calibri" w:hAnsi="Calibri" w:cs="Times New Roman"/>
        </w:rPr>
        <w:tab/>
        <w:t>.000</w:t>
      </w:r>
    </w:p>
    <w:p w14:paraId="5E0C04D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5.500</w:t>
      </w:r>
      <w:r w:rsidRPr="00022F29">
        <w:rPr>
          <w:rFonts w:ascii="Calibri" w:eastAsia="Calibri" w:hAnsi="Calibri" w:cs="Times New Roman"/>
        </w:rPr>
        <w:tab/>
        <w:t>0.9%</w:t>
      </w:r>
      <w:r w:rsidRPr="00022F29">
        <w:rPr>
          <w:rFonts w:ascii="Calibri" w:eastAsia="Calibri" w:hAnsi="Calibri" w:cs="Times New Roman"/>
        </w:rPr>
        <w:tab/>
        <w:t>5.500</w:t>
      </w:r>
      <w:r w:rsidRPr="00022F29">
        <w:rPr>
          <w:rFonts w:ascii="Calibri" w:eastAsia="Calibri" w:hAnsi="Calibri" w:cs="Times New Roman"/>
        </w:rPr>
        <w:tab/>
        <w:t>0.9%</w:t>
      </w:r>
      <w:r w:rsidRPr="00022F29">
        <w:rPr>
          <w:rFonts w:ascii="Calibri" w:eastAsia="Calibri" w:hAnsi="Calibri" w:cs="Times New Roman"/>
        </w:rPr>
        <w:tab/>
        <w:t>.000</w:t>
      </w:r>
      <w:r w:rsidRPr="00022F29">
        <w:rPr>
          <w:rFonts w:ascii="Calibri" w:eastAsia="Calibri" w:hAnsi="Calibri" w:cs="Times New Roman"/>
        </w:rPr>
        <w:tab/>
        <w:t>.000</w:t>
      </w:r>
    </w:p>
    <w:p w14:paraId="0E22102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4.500</w:t>
      </w:r>
      <w:r w:rsidRPr="00022F29">
        <w:rPr>
          <w:rFonts w:ascii="Calibri" w:eastAsia="Calibri" w:hAnsi="Calibri" w:cs="Times New Roman"/>
        </w:rPr>
        <w:tab/>
        <w:t>0.8%</w:t>
      </w:r>
      <w:r w:rsidRPr="00022F29">
        <w:rPr>
          <w:rFonts w:ascii="Calibri" w:eastAsia="Calibri" w:hAnsi="Calibri" w:cs="Times New Roman"/>
        </w:rPr>
        <w:tab/>
        <w:t>4.500</w:t>
      </w:r>
      <w:r w:rsidRPr="00022F29">
        <w:rPr>
          <w:rFonts w:ascii="Calibri" w:eastAsia="Calibri" w:hAnsi="Calibri" w:cs="Times New Roman"/>
        </w:rPr>
        <w:tab/>
        <w:t>0.8%</w:t>
      </w:r>
      <w:r w:rsidRPr="00022F29">
        <w:rPr>
          <w:rFonts w:ascii="Calibri" w:eastAsia="Calibri" w:hAnsi="Calibri" w:cs="Times New Roman"/>
        </w:rPr>
        <w:tab/>
        <w:t>.000</w:t>
      </w:r>
      <w:r w:rsidRPr="00022F29">
        <w:rPr>
          <w:rFonts w:ascii="Calibri" w:eastAsia="Calibri" w:hAnsi="Calibri" w:cs="Times New Roman"/>
        </w:rPr>
        <w:tab/>
        <w:t>.000</w:t>
      </w:r>
    </w:p>
    <w:p w14:paraId="4BD2B1E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12.500</w:t>
      </w:r>
      <w:r w:rsidRPr="00022F29">
        <w:rPr>
          <w:rFonts w:ascii="Calibri" w:eastAsia="Calibri" w:hAnsi="Calibri" w:cs="Times New Roman"/>
        </w:rPr>
        <w:tab/>
        <w:t>2.1%</w:t>
      </w:r>
      <w:r w:rsidRPr="00022F29">
        <w:rPr>
          <w:rFonts w:ascii="Calibri" w:eastAsia="Calibri" w:hAnsi="Calibri" w:cs="Times New Roman"/>
        </w:rPr>
        <w:tab/>
        <w:t>12.500</w:t>
      </w:r>
      <w:r w:rsidRPr="00022F29">
        <w:rPr>
          <w:rFonts w:ascii="Calibri" w:eastAsia="Calibri" w:hAnsi="Calibri" w:cs="Times New Roman"/>
        </w:rPr>
        <w:tab/>
        <w:t>2.1%</w:t>
      </w:r>
      <w:r w:rsidRPr="00022F29">
        <w:rPr>
          <w:rFonts w:ascii="Calibri" w:eastAsia="Calibri" w:hAnsi="Calibri" w:cs="Times New Roman"/>
        </w:rPr>
        <w:tab/>
        <w:t>.000</w:t>
      </w:r>
      <w:r w:rsidRPr="00022F29">
        <w:rPr>
          <w:rFonts w:ascii="Calibri" w:eastAsia="Calibri" w:hAnsi="Calibri" w:cs="Times New Roman"/>
        </w:rPr>
        <w:tab/>
        <w:t>.000</w:t>
      </w:r>
    </w:p>
    <w:p w14:paraId="6CFF25C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.000</w:t>
      </w:r>
      <w:r w:rsidRPr="00022F29">
        <w:rPr>
          <w:rFonts w:ascii="Calibri" w:eastAsia="Calibri" w:hAnsi="Calibri" w:cs="Times New Roman"/>
        </w:rPr>
        <w:tab/>
        <w:t>.000</w:t>
      </w:r>
    </w:p>
    <w:p w14:paraId="13586A9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2.500</w:t>
      </w:r>
      <w:r w:rsidRPr="00022F29">
        <w:rPr>
          <w:rFonts w:ascii="Calibri" w:eastAsia="Calibri" w:hAnsi="Calibri" w:cs="Times New Roman"/>
        </w:rPr>
        <w:tab/>
        <w:t>0.4%</w:t>
      </w:r>
      <w:r w:rsidRPr="00022F29">
        <w:rPr>
          <w:rFonts w:ascii="Calibri" w:eastAsia="Calibri" w:hAnsi="Calibri" w:cs="Times New Roman"/>
        </w:rPr>
        <w:tab/>
        <w:t>2.500</w:t>
      </w:r>
      <w:r w:rsidRPr="00022F29">
        <w:rPr>
          <w:rFonts w:ascii="Calibri" w:eastAsia="Calibri" w:hAnsi="Calibri" w:cs="Times New Roman"/>
        </w:rPr>
        <w:tab/>
        <w:t>0.4%</w:t>
      </w:r>
      <w:r w:rsidRPr="00022F29">
        <w:rPr>
          <w:rFonts w:ascii="Calibri" w:eastAsia="Calibri" w:hAnsi="Calibri" w:cs="Times New Roman"/>
        </w:rPr>
        <w:tab/>
        <w:t>.000</w:t>
      </w:r>
      <w:r w:rsidRPr="00022F29">
        <w:rPr>
          <w:rFonts w:ascii="Calibri" w:eastAsia="Calibri" w:hAnsi="Calibri" w:cs="Times New Roman"/>
        </w:rPr>
        <w:tab/>
        <w:t>.000</w:t>
      </w:r>
    </w:p>
    <w:p w14:paraId="41FD873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4.500</w:t>
      </w:r>
      <w:r w:rsidRPr="00022F29">
        <w:rPr>
          <w:rFonts w:ascii="Calibri" w:eastAsia="Calibri" w:hAnsi="Calibri" w:cs="Times New Roman"/>
        </w:rPr>
        <w:tab/>
        <w:t>0.8%</w:t>
      </w:r>
      <w:r w:rsidRPr="00022F29">
        <w:rPr>
          <w:rFonts w:ascii="Calibri" w:eastAsia="Calibri" w:hAnsi="Calibri" w:cs="Times New Roman"/>
        </w:rPr>
        <w:tab/>
        <w:t>4.500</w:t>
      </w:r>
      <w:r w:rsidRPr="00022F29">
        <w:rPr>
          <w:rFonts w:ascii="Calibri" w:eastAsia="Calibri" w:hAnsi="Calibri" w:cs="Times New Roman"/>
        </w:rPr>
        <w:tab/>
        <w:t>0.8%</w:t>
      </w:r>
      <w:r w:rsidRPr="00022F29">
        <w:rPr>
          <w:rFonts w:ascii="Calibri" w:eastAsia="Calibri" w:hAnsi="Calibri" w:cs="Times New Roman"/>
        </w:rPr>
        <w:tab/>
        <w:t>.000</w:t>
      </w:r>
      <w:r w:rsidRPr="00022F29">
        <w:rPr>
          <w:rFonts w:ascii="Calibri" w:eastAsia="Calibri" w:hAnsi="Calibri" w:cs="Times New Roman"/>
        </w:rPr>
        <w:tab/>
        <w:t>.000</w:t>
      </w:r>
    </w:p>
    <w:p w14:paraId="3638D51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17.500</w:t>
      </w:r>
      <w:r w:rsidRPr="00022F29">
        <w:rPr>
          <w:rFonts w:ascii="Calibri" w:eastAsia="Calibri" w:hAnsi="Calibri" w:cs="Times New Roman"/>
        </w:rPr>
        <w:tab/>
        <w:t>3.0%</w:t>
      </w:r>
      <w:r w:rsidRPr="00022F29">
        <w:rPr>
          <w:rFonts w:ascii="Calibri" w:eastAsia="Calibri" w:hAnsi="Calibri" w:cs="Times New Roman"/>
        </w:rPr>
        <w:tab/>
        <w:t>17.500</w:t>
      </w:r>
      <w:r w:rsidRPr="00022F29">
        <w:rPr>
          <w:rFonts w:ascii="Calibri" w:eastAsia="Calibri" w:hAnsi="Calibri" w:cs="Times New Roman"/>
        </w:rPr>
        <w:tab/>
        <w:t>3.0%</w:t>
      </w:r>
      <w:r w:rsidRPr="00022F29">
        <w:rPr>
          <w:rFonts w:ascii="Calibri" w:eastAsia="Calibri" w:hAnsi="Calibri" w:cs="Times New Roman"/>
        </w:rPr>
        <w:tab/>
        <w:t>.000</w:t>
      </w:r>
      <w:r w:rsidRPr="00022F29">
        <w:rPr>
          <w:rFonts w:ascii="Calibri" w:eastAsia="Calibri" w:hAnsi="Calibri" w:cs="Times New Roman"/>
        </w:rPr>
        <w:tab/>
        <w:t>.000</w:t>
      </w:r>
    </w:p>
    <w:p w14:paraId="3D54CA1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2.500</w:t>
      </w:r>
      <w:r w:rsidRPr="00022F29">
        <w:rPr>
          <w:rFonts w:ascii="Calibri" w:eastAsia="Calibri" w:hAnsi="Calibri" w:cs="Times New Roman"/>
        </w:rPr>
        <w:tab/>
        <w:t>0.4%</w:t>
      </w:r>
      <w:r w:rsidRPr="00022F29">
        <w:rPr>
          <w:rFonts w:ascii="Calibri" w:eastAsia="Calibri" w:hAnsi="Calibri" w:cs="Times New Roman"/>
        </w:rPr>
        <w:tab/>
        <w:t>2.500</w:t>
      </w:r>
      <w:r w:rsidRPr="00022F29">
        <w:rPr>
          <w:rFonts w:ascii="Calibri" w:eastAsia="Calibri" w:hAnsi="Calibri" w:cs="Times New Roman"/>
        </w:rPr>
        <w:tab/>
        <w:t>0.4%</w:t>
      </w:r>
      <w:r w:rsidRPr="00022F29">
        <w:rPr>
          <w:rFonts w:ascii="Calibri" w:eastAsia="Calibri" w:hAnsi="Calibri" w:cs="Times New Roman"/>
        </w:rPr>
        <w:tab/>
        <w:t>.000</w:t>
      </w:r>
      <w:r w:rsidRPr="00022F29">
        <w:rPr>
          <w:rFonts w:ascii="Calibri" w:eastAsia="Calibri" w:hAnsi="Calibri" w:cs="Times New Roman"/>
        </w:rPr>
        <w:tab/>
        <w:t>.000</w:t>
      </w:r>
    </w:p>
    <w:p w14:paraId="78D8FD2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11.500</w:t>
      </w:r>
      <w:r w:rsidRPr="00022F29">
        <w:rPr>
          <w:rFonts w:ascii="Calibri" w:eastAsia="Calibri" w:hAnsi="Calibri" w:cs="Times New Roman"/>
        </w:rPr>
        <w:tab/>
        <w:t>1.9%</w:t>
      </w:r>
      <w:r w:rsidRPr="00022F29">
        <w:rPr>
          <w:rFonts w:ascii="Calibri" w:eastAsia="Calibri" w:hAnsi="Calibri" w:cs="Times New Roman"/>
        </w:rPr>
        <w:tab/>
        <w:t>11.500</w:t>
      </w:r>
      <w:r w:rsidRPr="00022F29">
        <w:rPr>
          <w:rFonts w:ascii="Calibri" w:eastAsia="Calibri" w:hAnsi="Calibri" w:cs="Times New Roman"/>
        </w:rPr>
        <w:tab/>
        <w:t>1.9%</w:t>
      </w:r>
      <w:r w:rsidRPr="00022F29">
        <w:rPr>
          <w:rFonts w:ascii="Calibri" w:eastAsia="Calibri" w:hAnsi="Calibri" w:cs="Times New Roman"/>
        </w:rPr>
        <w:tab/>
        <w:t>.000</w:t>
      </w:r>
      <w:r w:rsidRPr="00022F29">
        <w:rPr>
          <w:rFonts w:ascii="Calibri" w:eastAsia="Calibri" w:hAnsi="Calibri" w:cs="Times New Roman"/>
        </w:rPr>
        <w:tab/>
        <w:t>.000</w:t>
      </w:r>
    </w:p>
    <w:p w14:paraId="3774176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2.500</w:t>
      </w:r>
      <w:r w:rsidRPr="00022F29">
        <w:rPr>
          <w:rFonts w:ascii="Calibri" w:eastAsia="Calibri" w:hAnsi="Calibri" w:cs="Times New Roman"/>
        </w:rPr>
        <w:tab/>
        <w:t>0.4%</w:t>
      </w:r>
      <w:r w:rsidRPr="00022F29">
        <w:rPr>
          <w:rFonts w:ascii="Calibri" w:eastAsia="Calibri" w:hAnsi="Calibri" w:cs="Times New Roman"/>
        </w:rPr>
        <w:tab/>
        <w:t>2.500</w:t>
      </w:r>
      <w:r w:rsidRPr="00022F29">
        <w:rPr>
          <w:rFonts w:ascii="Calibri" w:eastAsia="Calibri" w:hAnsi="Calibri" w:cs="Times New Roman"/>
        </w:rPr>
        <w:tab/>
        <w:t>0.4%</w:t>
      </w:r>
      <w:r w:rsidRPr="00022F29">
        <w:rPr>
          <w:rFonts w:ascii="Calibri" w:eastAsia="Calibri" w:hAnsi="Calibri" w:cs="Times New Roman"/>
        </w:rPr>
        <w:tab/>
        <w:t>.000</w:t>
      </w:r>
      <w:r w:rsidRPr="00022F29">
        <w:rPr>
          <w:rFonts w:ascii="Calibri" w:eastAsia="Calibri" w:hAnsi="Calibri" w:cs="Times New Roman"/>
        </w:rPr>
        <w:tab/>
        <w:t>.000</w:t>
      </w:r>
    </w:p>
    <w:p w14:paraId="7BB3D09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4.500</w:t>
      </w:r>
      <w:r w:rsidRPr="00022F29">
        <w:rPr>
          <w:rFonts w:ascii="Calibri" w:eastAsia="Calibri" w:hAnsi="Calibri" w:cs="Times New Roman"/>
        </w:rPr>
        <w:tab/>
        <w:t>0.8%</w:t>
      </w:r>
      <w:r w:rsidRPr="00022F29">
        <w:rPr>
          <w:rFonts w:ascii="Calibri" w:eastAsia="Calibri" w:hAnsi="Calibri" w:cs="Times New Roman"/>
        </w:rPr>
        <w:tab/>
        <w:t>4.500</w:t>
      </w:r>
      <w:r w:rsidRPr="00022F29">
        <w:rPr>
          <w:rFonts w:ascii="Calibri" w:eastAsia="Calibri" w:hAnsi="Calibri" w:cs="Times New Roman"/>
        </w:rPr>
        <w:tab/>
        <w:t>0.8%</w:t>
      </w:r>
      <w:r w:rsidRPr="00022F29">
        <w:rPr>
          <w:rFonts w:ascii="Calibri" w:eastAsia="Calibri" w:hAnsi="Calibri" w:cs="Times New Roman"/>
        </w:rPr>
        <w:tab/>
        <w:t>.000</w:t>
      </w:r>
      <w:r w:rsidRPr="00022F29">
        <w:rPr>
          <w:rFonts w:ascii="Calibri" w:eastAsia="Calibri" w:hAnsi="Calibri" w:cs="Times New Roman"/>
        </w:rPr>
        <w:tab/>
        <w:t>.000</w:t>
      </w:r>
    </w:p>
    <w:p w14:paraId="3C55435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2E0418A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.000</w:t>
      </w:r>
      <w:r w:rsidRPr="00022F29">
        <w:rPr>
          <w:rFonts w:ascii="Calibri" w:eastAsia="Calibri" w:hAnsi="Calibri" w:cs="Times New Roman"/>
        </w:rPr>
        <w:tab/>
        <w:t>.000</w:t>
      </w:r>
    </w:p>
    <w:p w14:paraId="6E316D5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6.500</w:t>
      </w:r>
      <w:r w:rsidRPr="00022F29">
        <w:rPr>
          <w:rFonts w:ascii="Calibri" w:eastAsia="Calibri" w:hAnsi="Calibri" w:cs="Times New Roman"/>
        </w:rPr>
        <w:tab/>
        <w:t>1.1%</w:t>
      </w:r>
      <w:r w:rsidRPr="00022F29">
        <w:rPr>
          <w:rFonts w:ascii="Calibri" w:eastAsia="Calibri" w:hAnsi="Calibri" w:cs="Times New Roman"/>
        </w:rPr>
        <w:tab/>
        <w:t>6.500</w:t>
      </w:r>
      <w:r w:rsidRPr="00022F29">
        <w:rPr>
          <w:rFonts w:ascii="Calibri" w:eastAsia="Calibri" w:hAnsi="Calibri" w:cs="Times New Roman"/>
        </w:rPr>
        <w:tab/>
        <w:t>1.1%</w:t>
      </w:r>
      <w:r w:rsidRPr="00022F29">
        <w:rPr>
          <w:rFonts w:ascii="Calibri" w:eastAsia="Calibri" w:hAnsi="Calibri" w:cs="Times New Roman"/>
        </w:rPr>
        <w:tab/>
        <w:t>.000</w:t>
      </w:r>
      <w:r w:rsidRPr="00022F29">
        <w:rPr>
          <w:rFonts w:ascii="Calibri" w:eastAsia="Calibri" w:hAnsi="Calibri" w:cs="Times New Roman"/>
        </w:rPr>
        <w:tab/>
        <w:t>.000</w:t>
      </w:r>
    </w:p>
    <w:p w14:paraId="793BA94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16.500</w:t>
      </w:r>
      <w:r w:rsidRPr="00022F29">
        <w:rPr>
          <w:rFonts w:ascii="Calibri" w:eastAsia="Calibri" w:hAnsi="Calibri" w:cs="Times New Roman"/>
        </w:rPr>
        <w:tab/>
        <w:t>2.8%</w:t>
      </w:r>
      <w:r w:rsidRPr="00022F29">
        <w:rPr>
          <w:rFonts w:ascii="Calibri" w:eastAsia="Calibri" w:hAnsi="Calibri" w:cs="Times New Roman"/>
        </w:rPr>
        <w:tab/>
        <w:t>16.500</w:t>
      </w:r>
      <w:r w:rsidRPr="00022F29">
        <w:rPr>
          <w:rFonts w:ascii="Calibri" w:eastAsia="Calibri" w:hAnsi="Calibri" w:cs="Times New Roman"/>
        </w:rPr>
        <w:tab/>
        <w:t>2.8%</w:t>
      </w:r>
      <w:r w:rsidRPr="00022F29">
        <w:rPr>
          <w:rFonts w:ascii="Calibri" w:eastAsia="Calibri" w:hAnsi="Calibri" w:cs="Times New Roman"/>
        </w:rPr>
        <w:tab/>
        <w:t>.000</w:t>
      </w:r>
      <w:r w:rsidRPr="00022F29">
        <w:rPr>
          <w:rFonts w:ascii="Calibri" w:eastAsia="Calibri" w:hAnsi="Calibri" w:cs="Times New Roman"/>
        </w:rPr>
        <w:tab/>
        <w:t>.000</w:t>
      </w:r>
    </w:p>
    <w:p w14:paraId="00DA9F9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.000</w:t>
      </w:r>
      <w:r w:rsidRPr="00022F29">
        <w:rPr>
          <w:rFonts w:ascii="Calibri" w:eastAsia="Calibri" w:hAnsi="Calibri" w:cs="Times New Roman"/>
        </w:rPr>
        <w:tab/>
        <w:t>.000</w:t>
      </w:r>
    </w:p>
    <w:p w14:paraId="5E29AC7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11.500</w:t>
      </w:r>
      <w:r w:rsidRPr="00022F29">
        <w:rPr>
          <w:rFonts w:ascii="Calibri" w:eastAsia="Calibri" w:hAnsi="Calibri" w:cs="Times New Roman"/>
        </w:rPr>
        <w:tab/>
        <w:t>1.9%</w:t>
      </w:r>
      <w:r w:rsidRPr="00022F29">
        <w:rPr>
          <w:rFonts w:ascii="Calibri" w:eastAsia="Calibri" w:hAnsi="Calibri" w:cs="Times New Roman"/>
        </w:rPr>
        <w:tab/>
        <w:t>11.500</w:t>
      </w:r>
      <w:r w:rsidRPr="00022F29">
        <w:rPr>
          <w:rFonts w:ascii="Calibri" w:eastAsia="Calibri" w:hAnsi="Calibri" w:cs="Times New Roman"/>
        </w:rPr>
        <w:tab/>
        <w:t>1.9%</w:t>
      </w:r>
      <w:r w:rsidRPr="00022F29">
        <w:rPr>
          <w:rFonts w:ascii="Calibri" w:eastAsia="Calibri" w:hAnsi="Calibri" w:cs="Times New Roman"/>
        </w:rPr>
        <w:tab/>
        <w:t>.000</w:t>
      </w:r>
      <w:r w:rsidRPr="00022F29">
        <w:rPr>
          <w:rFonts w:ascii="Calibri" w:eastAsia="Calibri" w:hAnsi="Calibri" w:cs="Times New Roman"/>
        </w:rPr>
        <w:tab/>
        <w:t>.000</w:t>
      </w:r>
    </w:p>
    <w:p w14:paraId="7FC9283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.000</w:t>
      </w:r>
      <w:r w:rsidRPr="00022F29">
        <w:rPr>
          <w:rFonts w:ascii="Calibri" w:eastAsia="Calibri" w:hAnsi="Calibri" w:cs="Times New Roman"/>
        </w:rPr>
        <w:tab/>
        <w:t>.000</w:t>
      </w:r>
    </w:p>
    <w:p w14:paraId="6317CD7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.000</w:t>
      </w:r>
      <w:r w:rsidRPr="00022F29">
        <w:rPr>
          <w:rFonts w:ascii="Calibri" w:eastAsia="Calibri" w:hAnsi="Calibri" w:cs="Times New Roman"/>
        </w:rPr>
        <w:tab/>
        <w:t>.000</w:t>
      </w:r>
    </w:p>
    <w:p w14:paraId="233357F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.000</w:t>
      </w:r>
      <w:r w:rsidRPr="00022F29">
        <w:rPr>
          <w:rFonts w:ascii="Calibri" w:eastAsia="Calibri" w:hAnsi="Calibri" w:cs="Times New Roman"/>
        </w:rPr>
        <w:tab/>
        <w:t>.000</w:t>
      </w:r>
    </w:p>
    <w:p w14:paraId="03C2FFA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4.500</w:t>
      </w:r>
      <w:r w:rsidRPr="00022F29">
        <w:rPr>
          <w:rFonts w:ascii="Calibri" w:eastAsia="Calibri" w:hAnsi="Calibri" w:cs="Times New Roman"/>
        </w:rPr>
        <w:tab/>
        <w:t>0.8%</w:t>
      </w:r>
      <w:r w:rsidRPr="00022F29">
        <w:rPr>
          <w:rFonts w:ascii="Calibri" w:eastAsia="Calibri" w:hAnsi="Calibri" w:cs="Times New Roman"/>
        </w:rPr>
        <w:tab/>
        <w:t>4.500</w:t>
      </w:r>
      <w:r w:rsidRPr="00022F29">
        <w:rPr>
          <w:rFonts w:ascii="Calibri" w:eastAsia="Calibri" w:hAnsi="Calibri" w:cs="Times New Roman"/>
        </w:rPr>
        <w:tab/>
        <w:t>0.8%</w:t>
      </w:r>
      <w:r w:rsidRPr="00022F29">
        <w:rPr>
          <w:rFonts w:ascii="Calibri" w:eastAsia="Calibri" w:hAnsi="Calibri" w:cs="Times New Roman"/>
        </w:rPr>
        <w:tab/>
        <w:t>.000</w:t>
      </w:r>
      <w:r w:rsidRPr="00022F29">
        <w:rPr>
          <w:rFonts w:ascii="Calibri" w:eastAsia="Calibri" w:hAnsi="Calibri" w:cs="Times New Roman"/>
        </w:rPr>
        <w:tab/>
        <w:t>.000</w:t>
      </w:r>
    </w:p>
    <w:p w14:paraId="6AD7018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4.500</w:t>
      </w:r>
      <w:r w:rsidRPr="00022F29">
        <w:rPr>
          <w:rFonts w:ascii="Calibri" w:eastAsia="Calibri" w:hAnsi="Calibri" w:cs="Times New Roman"/>
        </w:rPr>
        <w:tab/>
        <w:t>0.8%</w:t>
      </w:r>
      <w:r w:rsidRPr="00022F29">
        <w:rPr>
          <w:rFonts w:ascii="Calibri" w:eastAsia="Calibri" w:hAnsi="Calibri" w:cs="Times New Roman"/>
        </w:rPr>
        <w:tab/>
        <w:t>4.500</w:t>
      </w:r>
      <w:r w:rsidRPr="00022F29">
        <w:rPr>
          <w:rFonts w:ascii="Calibri" w:eastAsia="Calibri" w:hAnsi="Calibri" w:cs="Times New Roman"/>
        </w:rPr>
        <w:tab/>
        <w:t>0.8%</w:t>
      </w:r>
      <w:r w:rsidRPr="00022F29">
        <w:rPr>
          <w:rFonts w:ascii="Calibri" w:eastAsia="Calibri" w:hAnsi="Calibri" w:cs="Times New Roman"/>
        </w:rPr>
        <w:tab/>
        <w:t>.000</w:t>
      </w:r>
      <w:r w:rsidRPr="00022F29">
        <w:rPr>
          <w:rFonts w:ascii="Calibri" w:eastAsia="Calibri" w:hAnsi="Calibri" w:cs="Times New Roman"/>
        </w:rPr>
        <w:tab/>
        <w:t>.000</w:t>
      </w:r>
    </w:p>
    <w:p w14:paraId="5562CA5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18.500</w:t>
      </w:r>
      <w:r w:rsidRPr="00022F29">
        <w:rPr>
          <w:rFonts w:ascii="Calibri" w:eastAsia="Calibri" w:hAnsi="Calibri" w:cs="Times New Roman"/>
        </w:rPr>
        <w:tab/>
        <w:t>3.1%</w:t>
      </w:r>
      <w:r w:rsidRPr="00022F29">
        <w:rPr>
          <w:rFonts w:ascii="Calibri" w:eastAsia="Calibri" w:hAnsi="Calibri" w:cs="Times New Roman"/>
        </w:rPr>
        <w:tab/>
        <w:t>18.500</w:t>
      </w:r>
      <w:r w:rsidRPr="00022F29">
        <w:rPr>
          <w:rFonts w:ascii="Calibri" w:eastAsia="Calibri" w:hAnsi="Calibri" w:cs="Times New Roman"/>
        </w:rPr>
        <w:tab/>
        <w:t>3.1%</w:t>
      </w:r>
      <w:r w:rsidRPr="00022F29">
        <w:rPr>
          <w:rFonts w:ascii="Calibri" w:eastAsia="Calibri" w:hAnsi="Calibri" w:cs="Times New Roman"/>
        </w:rPr>
        <w:tab/>
        <w:t>.000</w:t>
      </w:r>
      <w:r w:rsidRPr="00022F29">
        <w:rPr>
          <w:rFonts w:ascii="Calibri" w:eastAsia="Calibri" w:hAnsi="Calibri" w:cs="Times New Roman"/>
        </w:rPr>
        <w:tab/>
        <w:t>.000</w:t>
      </w:r>
    </w:p>
    <w:p w14:paraId="49FA840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.000</w:t>
      </w:r>
      <w:r w:rsidRPr="00022F29">
        <w:rPr>
          <w:rFonts w:ascii="Calibri" w:eastAsia="Calibri" w:hAnsi="Calibri" w:cs="Times New Roman"/>
        </w:rPr>
        <w:tab/>
        <w:t>.000</w:t>
      </w:r>
    </w:p>
    <w:p w14:paraId="2AA8523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7.500</w:t>
      </w:r>
      <w:r w:rsidRPr="00022F29">
        <w:rPr>
          <w:rFonts w:ascii="Calibri" w:eastAsia="Calibri" w:hAnsi="Calibri" w:cs="Times New Roman"/>
        </w:rPr>
        <w:tab/>
        <w:t>1.3%</w:t>
      </w:r>
      <w:r w:rsidRPr="00022F29">
        <w:rPr>
          <w:rFonts w:ascii="Calibri" w:eastAsia="Calibri" w:hAnsi="Calibri" w:cs="Times New Roman"/>
        </w:rPr>
        <w:tab/>
        <w:t>7.500</w:t>
      </w:r>
      <w:r w:rsidRPr="00022F29">
        <w:rPr>
          <w:rFonts w:ascii="Calibri" w:eastAsia="Calibri" w:hAnsi="Calibri" w:cs="Times New Roman"/>
        </w:rPr>
        <w:tab/>
        <w:t>1.3%</w:t>
      </w:r>
      <w:r w:rsidRPr="00022F29">
        <w:rPr>
          <w:rFonts w:ascii="Calibri" w:eastAsia="Calibri" w:hAnsi="Calibri" w:cs="Times New Roman"/>
        </w:rPr>
        <w:tab/>
        <w:t>.000</w:t>
      </w:r>
      <w:r w:rsidRPr="00022F29">
        <w:rPr>
          <w:rFonts w:ascii="Calibri" w:eastAsia="Calibri" w:hAnsi="Calibri" w:cs="Times New Roman"/>
        </w:rPr>
        <w:tab/>
        <w:t>.000</w:t>
      </w:r>
    </w:p>
    <w:p w14:paraId="1666047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62C6C4F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7E8003B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.000</w:t>
      </w:r>
      <w:r w:rsidRPr="00022F29">
        <w:rPr>
          <w:rFonts w:ascii="Calibri" w:eastAsia="Calibri" w:hAnsi="Calibri" w:cs="Times New Roman"/>
        </w:rPr>
        <w:tab/>
        <w:t>.000</w:t>
      </w:r>
    </w:p>
    <w:p w14:paraId="101C3DB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2.500</w:t>
      </w:r>
      <w:r w:rsidRPr="00022F29">
        <w:rPr>
          <w:rFonts w:ascii="Calibri" w:eastAsia="Calibri" w:hAnsi="Calibri" w:cs="Times New Roman"/>
        </w:rPr>
        <w:tab/>
        <w:t>0.4%</w:t>
      </w:r>
      <w:r w:rsidRPr="00022F29">
        <w:rPr>
          <w:rFonts w:ascii="Calibri" w:eastAsia="Calibri" w:hAnsi="Calibri" w:cs="Times New Roman"/>
        </w:rPr>
        <w:tab/>
        <w:t>2.500</w:t>
      </w:r>
      <w:r w:rsidRPr="00022F29">
        <w:rPr>
          <w:rFonts w:ascii="Calibri" w:eastAsia="Calibri" w:hAnsi="Calibri" w:cs="Times New Roman"/>
        </w:rPr>
        <w:tab/>
        <w:t>0.4%</w:t>
      </w:r>
      <w:r w:rsidRPr="00022F29">
        <w:rPr>
          <w:rFonts w:ascii="Calibri" w:eastAsia="Calibri" w:hAnsi="Calibri" w:cs="Times New Roman"/>
        </w:rPr>
        <w:tab/>
        <w:t>.000</w:t>
      </w:r>
      <w:r w:rsidRPr="00022F29">
        <w:rPr>
          <w:rFonts w:ascii="Calibri" w:eastAsia="Calibri" w:hAnsi="Calibri" w:cs="Times New Roman"/>
        </w:rPr>
        <w:tab/>
        <w:t>.000</w:t>
      </w:r>
    </w:p>
    <w:p w14:paraId="2679014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.000</w:t>
      </w:r>
      <w:r w:rsidRPr="00022F29">
        <w:rPr>
          <w:rFonts w:ascii="Calibri" w:eastAsia="Calibri" w:hAnsi="Calibri" w:cs="Times New Roman"/>
        </w:rPr>
        <w:tab/>
        <w:t>.000</w:t>
      </w:r>
    </w:p>
    <w:p w14:paraId="0B32F28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5.500</w:t>
      </w:r>
      <w:r w:rsidRPr="00022F29">
        <w:rPr>
          <w:rFonts w:ascii="Calibri" w:eastAsia="Calibri" w:hAnsi="Calibri" w:cs="Times New Roman"/>
        </w:rPr>
        <w:tab/>
        <w:t>0.9%</w:t>
      </w:r>
      <w:r w:rsidRPr="00022F29">
        <w:rPr>
          <w:rFonts w:ascii="Calibri" w:eastAsia="Calibri" w:hAnsi="Calibri" w:cs="Times New Roman"/>
        </w:rPr>
        <w:tab/>
        <w:t>5.500</w:t>
      </w:r>
      <w:r w:rsidRPr="00022F29">
        <w:rPr>
          <w:rFonts w:ascii="Calibri" w:eastAsia="Calibri" w:hAnsi="Calibri" w:cs="Times New Roman"/>
        </w:rPr>
        <w:tab/>
        <w:t>0.9%</w:t>
      </w:r>
      <w:r w:rsidRPr="00022F29">
        <w:rPr>
          <w:rFonts w:ascii="Calibri" w:eastAsia="Calibri" w:hAnsi="Calibri" w:cs="Times New Roman"/>
        </w:rPr>
        <w:tab/>
        <w:t>.000</w:t>
      </w:r>
      <w:r w:rsidRPr="00022F29">
        <w:rPr>
          <w:rFonts w:ascii="Calibri" w:eastAsia="Calibri" w:hAnsi="Calibri" w:cs="Times New Roman"/>
        </w:rPr>
        <w:tab/>
        <w:t>.000</w:t>
      </w:r>
    </w:p>
    <w:p w14:paraId="3C8F414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5EC7C33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3098017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527C59A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2.500</w:t>
      </w:r>
      <w:r w:rsidRPr="00022F29">
        <w:rPr>
          <w:rFonts w:ascii="Calibri" w:eastAsia="Calibri" w:hAnsi="Calibri" w:cs="Times New Roman"/>
        </w:rPr>
        <w:tab/>
        <w:t>0.4%</w:t>
      </w:r>
      <w:r w:rsidRPr="00022F29">
        <w:rPr>
          <w:rFonts w:ascii="Calibri" w:eastAsia="Calibri" w:hAnsi="Calibri" w:cs="Times New Roman"/>
        </w:rPr>
        <w:tab/>
        <w:t>2.500</w:t>
      </w:r>
      <w:r w:rsidRPr="00022F29">
        <w:rPr>
          <w:rFonts w:ascii="Calibri" w:eastAsia="Calibri" w:hAnsi="Calibri" w:cs="Times New Roman"/>
        </w:rPr>
        <w:tab/>
        <w:t>0.4%</w:t>
      </w:r>
      <w:r w:rsidRPr="00022F29">
        <w:rPr>
          <w:rFonts w:ascii="Calibri" w:eastAsia="Calibri" w:hAnsi="Calibri" w:cs="Times New Roman"/>
        </w:rPr>
        <w:tab/>
        <w:t>.000</w:t>
      </w:r>
      <w:r w:rsidRPr="00022F29">
        <w:rPr>
          <w:rFonts w:ascii="Calibri" w:eastAsia="Calibri" w:hAnsi="Calibri" w:cs="Times New Roman"/>
        </w:rPr>
        <w:tab/>
        <w:t>.000</w:t>
      </w:r>
    </w:p>
    <w:p w14:paraId="0788B42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2273735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421C952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.000</w:t>
      </w:r>
      <w:r w:rsidRPr="00022F29">
        <w:rPr>
          <w:rFonts w:ascii="Calibri" w:eastAsia="Calibri" w:hAnsi="Calibri" w:cs="Times New Roman"/>
        </w:rPr>
        <w:tab/>
        <w:t>.000</w:t>
      </w:r>
    </w:p>
    <w:p w14:paraId="5D934DD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9.500</w:t>
      </w:r>
      <w:r w:rsidRPr="00022F29">
        <w:rPr>
          <w:rFonts w:ascii="Calibri" w:eastAsia="Calibri" w:hAnsi="Calibri" w:cs="Times New Roman"/>
        </w:rPr>
        <w:tab/>
        <w:t>1.6%</w:t>
      </w:r>
      <w:r w:rsidRPr="00022F29">
        <w:rPr>
          <w:rFonts w:ascii="Calibri" w:eastAsia="Calibri" w:hAnsi="Calibri" w:cs="Times New Roman"/>
        </w:rPr>
        <w:tab/>
        <w:t>9.500</w:t>
      </w:r>
      <w:r w:rsidRPr="00022F29">
        <w:rPr>
          <w:rFonts w:ascii="Calibri" w:eastAsia="Calibri" w:hAnsi="Calibri" w:cs="Times New Roman"/>
        </w:rPr>
        <w:tab/>
        <w:t>1.6%</w:t>
      </w:r>
      <w:r w:rsidRPr="00022F29">
        <w:rPr>
          <w:rFonts w:ascii="Calibri" w:eastAsia="Calibri" w:hAnsi="Calibri" w:cs="Times New Roman"/>
        </w:rPr>
        <w:tab/>
        <w:t>.000</w:t>
      </w:r>
      <w:r w:rsidRPr="00022F29">
        <w:rPr>
          <w:rFonts w:ascii="Calibri" w:eastAsia="Calibri" w:hAnsi="Calibri" w:cs="Times New Roman"/>
        </w:rPr>
        <w:tab/>
        <w:t>.000</w:t>
      </w:r>
    </w:p>
    <w:p w14:paraId="771D116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.000</w:t>
      </w:r>
      <w:r w:rsidRPr="00022F29">
        <w:rPr>
          <w:rFonts w:ascii="Calibri" w:eastAsia="Calibri" w:hAnsi="Calibri" w:cs="Times New Roman"/>
        </w:rPr>
        <w:tab/>
        <w:t>.000</w:t>
      </w:r>
    </w:p>
    <w:p w14:paraId="3132A63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7.500</w:t>
      </w:r>
      <w:r w:rsidRPr="00022F29">
        <w:rPr>
          <w:rFonts w:ascii="Calibri" w:eastAsia="Calibri" w:hAnsi="Calibri" w:cs="Times New Roman"/>
        </w:rPr>
        <w:tab/>
        <w:t>1.3%</w:t>
      </w:r>
      <w:r w:rsidRPr="00022F29">
        <w:rPr>
          <w:rFonts w:ascii="Calibri" w:eastAsia="Calibri" w:hAnsi="Calibri" w:cs="Times New Roman"/>
        </w:rPr>
        <w:tab/>
        <w:t>7.500</w:t>
      </w:r>
      <w:r w:rsidRPr="00022F29">
        <w:rPr>
          <w:rFonts w:ascii="Calibri" w:eastAsia="Calibri" w:hAnsi="Calibri" w:cs="Times New Roman"/>
        </w:rPr>
        <w:tab/>
        <w:t>1.3%</w:t>
      </w:r>
      <w:r w:rsidRPr="00022F29">
        <w:rPr>
          <w:rFonts w:ascii="Calibri" w:eastAsia="Calibri" w:hAnsi="Calibri" w:cs="Times New Roman"/>
        </w:rPr>
        <w:tab/>
        <w:t>.000</w:t>
      </w:r>
      <w:r w:rsidRPr="00022F29">
        <w:rPr>
          <w:rFonts w:ascii="Calibri" w:eastAsia="Calibri" w:hAnsi="Calibri" w:cs="Times New Roman"/>
        </w:rPr>
        <w:tab/>
        <w:t>.000</w:t>
      </w:r>
    </w:p>
    <w:p w14:paraId="7F2066F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.000</w:t>
      </w:r>
      <w:r w:rsidRPr="00022F29">
        <w:rPr>
          <w:rFonts w:ascii="Calibri" w:eastAsia="Calibri" w:hAnsi="Calibri" w:cs="Times New Roman"/>
        </w:rPr>
        <w:tab/>
        <w:t>.000</w:t>
      </w:r>
    </w:p>
    <w:p w14:paraId="191B3F1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.000</w:t>
      </w:r>
      <w:r w:rsidRPr="00022F29">
        <w:rPr>
          <w:rFonts w:ascii="Calibri" w:eastAsia="Calibri" w:hAnsi="Calibri" w:cs="Times New Roman"/>
        </w:rPr>
        <w:tab/>
        <w:t>.000</w:t>
      </w:r>
    </w:p>
    <w:p w14:paraId="455121A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.000</w:t>
      </w:r>
      <w:r w:rsidRPr="00022F29">
        <w:rPr>
          <w:rFonts w:ascii="Calibri" w:eastAsia="Calibri" w:hAnsi="Calibri" w:cs="Times New Roman"/>
        </w:rPr>
        <w:tab/>
        <w:t>.000</w:t>
      </w:r>
    </w:p>
    <w:p w14:paraId="5485405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.000</w:t>
      </w:r>
      <w:r w:rsidRPr="00022F29">
        <w:rPr>
          <w:rFonts w:ascii="Calibri" w:eastAsia="Calibri" w:hAnsi="Calibri" w:cs="Times New Roman"/>
        </w:rPr>
        <w:tab/>
        <w:t>.000</w:t>
      </w:r>
    </w:p>
    <w:p w14:paraId="17020B5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447907B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6.500</w:t>
      </w:r>
      <w:r w:rsidRPr="00022F29">
        <w:rPr>
          <w:rFonts w:ascii="Calibri" w:eastAsia="Calibri" w:hAnsi="Calibri" w:cs="Times New Roman"/>
        </w:rPr>
        <w:tab/>
        <w:t>1.1%</w:t>
      </w:r>
      <w:r w:rsidRPr="00022F29">
        <w:rPr>
          <w:rFonts w:ascii="Calibri" w:eastAsia="Calibri" w:hAnsi="Calibri" w:cs="Times New Roman"/>
        </w:rPr>
        <w:tab/>
        <w:t>6.500</w:t>
      </w:r>
      <w:r w:rsidRPr="00022F29">
        <w:rPr>
          <w:rFonts w:ascii="Calibri" w:eastAsia="Calibri" w:hAnsi="Calibri" w:cs="Times New Roman"/>
        </w:rPr>
        <w:tab/>
        <w:t>1.1%</w:t>
      </w:r>
      <w:r w:rsidRPr="00022F29">
        <w:rPr>
          <w:rFonts w:ascii="Calibri" w:eastAsia="Calibri" w:hAnsi="Calibri" w:cs="Times New Roman"/>
        </w:rPr>
        <w:tab/>
        <w:t>.000</w:t>
      </w:r>
      <w:r w:rsidRPr="00022F29">
        <w:rPr>
          <w:rFonts w:ascii="Calibri" w:eastAsia="Calibri" w:hAnsi="Calibri" w:cs="Times New Roman"/>
        </w:rPr>
        <w:tab/>
        <w:t>.000</w:t>
      </w:r>
    </w:p>
    <w:p w14:paraId="722A5A9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5DE21B8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4.500</w:t>
      </w:r>
      <w:r w:rsidRPr="00022F29">
        <w:rPr>
          <w:rFonts w:ascii="Calibri" w:eastAsia="Calibri" w:hAnsi="Calibri" w:cs="Times New Roman"/>
        </w:rPr>
        <w:tab/>
        <w:t>0.8%</w:t>
      </w:r>
      <w:r w:rsidRPr="00022F29">
        <w:rPr>
          <w:rFonts w:ascii="Calibri" w:eastAsia="Calibri" w:hAnsi="Calibri" w:cs="Times New Roman"/>
        </w:rPr>
        <w:tab/>
        <w:t>4.500</w:t>
      </w:r>
      <w:r w:rsidRPr="00022F29">
        <w:rPr>
          <w:rFonts w:ascii="Calibri" w:eastAsia="Calibri" w:hAnsi="Calibri" w:cs="Times New Roman"/>
        </w:rPr>
        <w:tab/>
        <w:t>0.8%</w:t>
      </w:r>
      <w:r w:rsidRPr="00022F29">
        <w:rPr>
          <w:rFonts w:ascii="Calibri" w:eastAsia="Calibri" w:hAnsi="Calibri" w:cs="Times New Roman"/>
        </w:rPr>
        <w:tab/>
        <w:t>.000</w:t>
      </w:r>
      <w:r w:rsidRPr="00022F29">
        <w:rPr>
          <w:rFonts w:ascii="Calibri" w:eastAsia="Calibri" w:hAnsi="Calibri" w:cs="Times New Roman"/>
        </w:rPr>
        <w:tab/>
        <w:t>.000</w:t>
      </w:r>
    </w:p>
    <w:p w14:paraId="4647381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.000</w:t>
      </w:r>
      <w:r w:rsidRPr="00022F29">
        <w:rPr>
          <w:rFonts w:ascii="Calibri" w:eastAsia="Calibri" w:hAnsi="Calibri" w:cs="Times New Roman"/>
        </w:rPr>
        <w:tab/>
        <w:t>.000</w:t>
      </w:r>
    </w:p>
    <w:p w14:paraId="3540156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2.500</w:t>
      </w:r>
      <w:r w:rsidRPr="00022F29">
        <w:rPr>
          <w:rFonts w:ascii="Calibri" w:eastAsia="Calibri" w:hAnsi="Calibri" w:cs="Times New Roman"/>
        </w:rPr>
        <w:tab/>
        <w:t>0.4%</w:t>
      </w:r>
      <w:r w:rsidRPr="00022F29">
        <w:rPr>
          <w:rFonts w:ascii="Calibri" w:eastAsia="Calibri" w:hAnsi="Calibri" w:cs="Times New Roman"/>
        </w:rPr>
        <w:tab/>
        <w:t>2.500</w:t>
      </w:r>
      <w:r w:rsidRPr="00022F29">
        <w:rPr>
          <w:rFonts w:ascii="Calibri" w:eastAsia="Calibri" w:hAnsi="Calibri" w:cs="Times New Roman"/>
        </w:rPr>
        <w:tab/>
        <w:t>0.4%</w:t>
      </w:r>
      <w:r w:rsidRPr="00022F29">
        <w:rPr>
          <w:rFonts w:ascii="Calibri" w:eastAsia="Calibri" w:hAnsi="Calibri" w:cs="Times New Roman"/>
        </w:rPr>
        <w:tab/>
        <w:t>.000</w:t>
      </w:r>
      <w:r w:rsidRPr="00022F29">
        <w:rPr>
          <w:rFonts w:ascii="Calibri" w:eastAsia="Calibri" w:hAnsi="Calibri" w:cs="Times New Roman"/>
        </w:rPr>
        <w:tab/>
        <w:t>.000</w:t>
      </w:r>
    </w:p>
    <w:p w14:paraId="7682406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7DEE62E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3D55E2F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2.500</w:t>
      </w:r>
      <w:r w:rsidRPr="00022F29">
        <w:rPr>
          <w:rFonts w:ascii="Calibri" w:eastAsia="Calibri" w:hAnsi="Calibri" w:cs="Times New Roman"/>
        </w:rPr>
        <w:tab/>
        <w:t>0.4%</w:t>
      </w:r>
      <w:r w:rsidRPr="00022F29">
        <w:rPr>
          <w:rFonts w:ascii="Calibri" w:eastAsia="Calibri" w:hAnsi="Calibri" w:cs="Times New Roman"/>
        </w:rPr>
        <w:tab/>
        <w:t>2.500</w:t>
      </w:r>
      <w:r w:rsidRPr="00022F29">
        <w:rPr>
          <w:rFonts w:ascii="Calibri" w:eastAsia="Calibri" w:hAnsi="Calibri" w:cs="Times New Roman"/>
        </w:rPr>
        <w:tab/>
        <w:t>0.4%</w:t>
      </w:r>
      <w:r w:rsidRPr="00022F29">
        <w:rPr>
          <w:rFonts w:ascii="Calibri" w:eastAsia="Calibri" w:hAnsi="Calibri" w:cs="Times New Roman"/>
        </w:rPr>
        <w:tab/>
        <w:t>.000</w:t>
      </w:r>
      <w:r w:rsidRPr="00022F29">
        <w:rPr>
          <w:rFonts w:ascii="Calibri" w:eastAsia="Calibri" w:hAnsi="Calibri" w:cs="Times New Roman"/>
        </w:rPr>
        <w:tab/>
        <w:t>.000</w:t>
      </w:r>
    </w:p>
    <w:p w14:paraId="22F0A82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5.500</w:t>
      </w:r>
      <w:r w:rsidRPr="00022F29">
        <w:rPr>
          <w:rFonts w:ascii="Calibri" w:eastAsia="Calibri" w:hAnsi="Calibri" w:cs="Times New Roman"/>
        </w:rPr>
        <w:tab/>
        <w:t>0.9%</w:t>
      </w:r>
      <w:r w:rsidRPr="00022F29">
        <w:rPr>
          <w:rFonts w:ascii="Calibri" w:eastAsia="Calibri" w:hAnsi="Calibri" w:cs="Times New Roman"/>
        </w:rPr>
        <w:tab/>
        <w:t>5.500</w:t>
      </w:r>
      <w:r w:rsidRPr="00022F29">
        <w:rPr>
          <w:rFonts w:ascii="Calibri" w:eastAsia="Calibri" w:hAnsi="Calibri" w:cs="Times New Roman"/>
        </w:rPr>
        <w:tab/>
        <w:t>0.9%</w:t>
      </w:r>
      <w:r w:rsidRPr="00022F29">
        <w:rPr>
          <w:rFonts w:ascii="Calibri" w:eastAsia="Calibri" w:hAnsi="Calibri" w:cs="Times New Roman"/>
        </w:rPr>
        <w:tab/>
        <w:t>.000</w:t>
      </w:r>
      <w:r w:rsidRPr="00022F29">
        <w:rPr>
          <w:rFonts w:ascii="Calibri" w:eastAsia="Calibri" w:hAnsi="Calibri" w:cs="Times New Roman"/>
        </w:rPr>
        <w:tab/>
        <w:t>.000</w:t>
      </w:r>
    </w:p>
    <w:p w14:paraId="056F76C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.000</w:t>
      </w:r>
      <w:r w:rsidRPr="00022F29">
        <w:rPr>
          <w:rFonts w:ascii="Calibri" w:eastAsia="Calibri" w:hAnsi="Calibri" w:cs="Times New Roman"/>
        </w:rPr>
        <w:tab/>
        <w:t>.000</w:t>
      </w:r>
    </w:p>
    <w:p w14:paraId="202D446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.000</w:t>
      </w:r>
      <w:r w:rsidRPr="00022F29">
        <w:rPr>
          <w:rFonts w:ascii="Calibri" w:eastAsia="Calibri" w:hAnsi="Calibri" w:cs="Times New Roman"/>
        </w:rPr>
        <w:tab/>
        <w:t>.000</w:t>
      </w:r>
    </w:p>
    <w:p w14:paraId="03A60A8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.000</w:t>
      </w:r>
      <w:r w:rsidRPr="00022F29">
        <w:rPr>
          <w:rFonts w:ascii="Calibri" w:eastAsia="Calibri" w:hAnsi="Calibri" w:cs="Times New Roman"/>
        </w:rPr>
        <w:tab/>
        <w:t>.000</w:t>
      </w:r>
    </w:p>
    <w:p w14:paraId="13EE67C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3C0F565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337031C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.000</w:t>
      </w:r>
      <w:r w:rsidRPr="00022F29">
        <w:rPr>
          <w:rFonts w:ascii="Calibri" w:eastAsia="Calibri" w:hAnsi="Calibri" w:cs="Times New Roman"/>
        </w:rPr>
        <w:tab/>
        <w:t>.000</w:t>
      </w:r>
    </w:p>
    <w:p w14:paraId="723287E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.000</w:t>
      </w:r>
      <w:r w:rsidRPr="00022F29">
        <w:rPr>
          <w:rFonts w:ascii="Calibri" w:eastAsia="Calibri" w:hAnsi="Calibri" w:cs="Times New Roman"/>
        </w:rPr>
        <w:tab/>
        <w:t>.000</w:t>
      </w:r>
    </w:p>
    <w:p w14:paraId="1794258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4.500</w:t>
      </w:r>
      <w:r w:rsidRPr="00022F29">
        <w:rPr>
          <w:rFonts w:ascii="Calibri" w:eastAsia="Calibri" w:hAnsi="Calibri" w:cs="Times New Roman"/>
        </w:rPr>
        <w:tab/>
        <w:t>0.8%</w:t>
      </w:r>
      <w:r w:rsidRPr="00022F29">
        <w:rPr>
          <w:rFonts w:ascii="Calibri" w:eastAsia="Calibri" w:hAnsi="Calibri" w:cs="Times New Roman"/>
        </w:rPr>
        <w:tab/>
        <w:t>4.500</w:t>
      </w:r>
      <w:r w:rsidRPr="00022F29">
        <w:rPr>
          <w:rFonts w:ascii="Calibri" w:eastAsia="Calibri" w:hAnsi="Calibri" w:cs="Times New Roman"/>
        </w:rPr>
        <w:tab/>
        <w:t>0.8%</w:t>
      </w:r>
      <w:r w:rsidRPr="00022F29">
        <w:rPr>
          <w:rFonts w:ascii="Calibri" w:eastAsia="Calibri" w:hAnsi="Calibri" w:cs="Times New Roman"/>
        </w:rPr>
        <w:tab/>
        <w:t>.000</w:t>
      </w:r>
      <w:r w:rsidRPr="00022F29">
        <w:rPr>
          <w:rFonts w:ascii="Calibri" w:eastAsia="Calibri" w:hAnsi="Calibri" w:cs="Times New Roman"/>
        </w:rPr>
        <w:tab/>
        <w:t>.000</w:t>
      </w:r>
    </w:p>
    <w:p w14:paraId="29713F1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.000</w:t>
      </w:r>
      <w:r w:rsidRPr="00022F29">
        <w:rPr>
          <w:rFonts w:ascii="Calibri" w:eastAsia="Calibri" w:hAnsi="Calibri" w:cs="Times New Roman"/>
        </w:rPr>
        <w:tab/>
        <w:t>.000</w:t>
      </w:r>
    </w:p>
    <w:p w14:paraId="788EC11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1792070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5824DE5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.000</w:t>
      </w:r>
      <w:r w:rsidRPr="00022F29">
        <w:rPr>
          <w:rFonts w:ascii="Calibri" w:eastAsia="Calibri" w:hAnsi="Calibri" w:cs="Times New Roman"/>
        </w:rPr>
        <w:tab/>
        <w:t>.000</w:t>
      </w:r>
    </w:p>
    <w:p w14:paraId="1972123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.000</w:t>
      </w:r>
      <w:r w:rsidRPr="00022F29">
        <w:rPr>
          <w:rFonts w:ascii="Calibri" w:eastAsia="Calibri" w:hAnsi="Calibri" w:cs="Times New Roman"/>
        </w:rPr>
        <w:tab/>
        <w:t>.000</w:t>
      </w:r>
    </w:p>
    <w:p w14:paraId="483259D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.000</w:t>
      </w:r>
      <w:r w:rsidRPr="00022F29">
        <w:rPr>
          <w:rFonts w:ascii="Calibri" w:eastAsia="Calibri" w:hAnsi="Calibri" w:cs="Times New Roman"/>
        </w:rPr>
        <w:tab/>
        <w:t>.000</w:t>
      </w:r>
    </w:p>
    <w:p w14:paraId="4EAD895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.000</w:t>
      </w:r>
      <w:r w:rsidRPr="00022F29">
        <w:rPr>
          <w:rFonts w:ascii="Calibri" w:eastAsia="Calibri" w:hAnsi="Calibri" w:cs="Times New Roman"/>
        </w:rPr>
        <w:tab/>
        <w:t>.000</w:t>
      </w:r>
    </w:p>
    <w:p w14:paraId="727A883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61C8E6B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4.500</w:t>
      </w:r>
      <w:r w:rsidRPr="00022F29">
        <w:rPr>
          <w:rFonts w:ascii="Calibri" w:eastAsia="Calibri" w:hAnsi="Calibri" w:cs="Times New Roman"/>
        </w:rPr>
        <w:tab/>
        <w:t>0.8%</w:t>
      </w:r>
      <w:r w:rsidRPr="00022F29">
        <w:rPr>
          <w:rFonts w:ascii="Calibri" w:eastAsia="Calibri" w:hAnsi="Calibri" w:cs="Times New Roman"/>
        </w:rPr>
        <w:tab/>
        <w:t>4.500</w:t>
      </w:r>
      <w:r w:rsidRPr="00022F29">
        <w:rPr>
          <w:rFonts w:ascii="Calibri" w:eastAsia="Calibri" w:hAnsi="Calibri" w:cs="Times New Roman"/>
        </w:rPr>
        <w:tab/>
        <w:t>0.8%</w:t>
      </w:r>
      <w:r w:rsidRPr="00022F29">
        <w:rPr>
          <w:rFonts w:ascii="Calibri" w:eastAsia="Calibri" w:hAnsi="Calibri" w:cs="Times New Roman"/>
        </w:rPr>
        <w:tab/>
        <w:t>.000</w:t>
      </w:r>
      <w:r w:rsidRPr="00022F29">
        <w:rPr>
          <w:rFonts w:ascii="Calibri" w:eastAsia="Calibri" w:hAnsi="Calibri" w:cs="Times New Roman"/>
        </w:rPr>
        <w:tab/>
        <w:t>.000</w:t>
      </w:r>
    </w:p>
    <w:p w14:paraId="73471B6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11.500</w:t>
      </w:r>
      <w:r w:rsidRPr="00022F29">
        <w:rPr>
          <w:rFonts w:ascii="Calibri" w:eastAsia="Calibri" w:hAnsi="Calibri" w:cs="Times New Roman"/>
        </w:rPr>
        <w:tab/>
        <w:t>1.9%</w:t>
      </w:r>
      <w:r w:rsidRPr="00022F29">
        <w:rPr>
          <w:rFonts w:ascii="Calibri" w:eastAsia="Calibri" w:hAnsi="Calibri" w:cs="Times New Roman"/>
        </w:rPr>
        <w:tab/>
        <w:t>11.500</w:t>
      </w:r>
      <w:r w:rsidRPr="00022F29">
        <w:rPr>
          <w:rFonts w:ascii="Calibri" w:eastAsia="Calibri" w:hAnsi="Calibri" w:cs="Times New Roman"/>
        </w:rPr>
        <w:tab/>
        <w:t>1.9%</w:t>
      </w:r>
      <w:r w:rsidRPr="00022F29">
        <w:rPr>
          <w:rFonts w:ascii="Calibri" w:eastAsia="Calibri" w:hAnsi="Calibri" w:cs="Times New Roman"/>
        </w:rPr>
        <w:tab/>
        <w:t>.000</w:t>
      </w:r>
      <w:r w:rsidRPr="00022F29">
        <w:rPr>
          <w:rFonts w:ascii="Calibri" w:eastAsia="Calibri" w:hAnsi="Calibri" w:cs="Times New Roman"/>
        </w:rPr>
        <w:tab/>
        <w:t>.000</w:t>
      </w:r>
    </w:p>
    <w:p w14:paraId="09F2DEA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.000</w:t>
      </w:r>
      <w:r w:rsidRPr="00022F29">
        <w:rPr>
          <w:rFonts w:ascii="Calibri" w:eastAsia="Calibri" w:hAnsi="Calibri" w:cs="Times New Roman"/>
        </w:rPr>
        <w:tab/>
        <w:t>.000</w:t>
      </w:r>
    </w:p>
    <w:p w14:paraId="4553F14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2.500</w:t>
      </w:r>
      <w:r w:rsidRPr="00022F29">
        <w:rPr>
          <w:rFonts w:ascii="Calibri" w:eastAsia="Calibri" w:hAnsi="Calibri" w:cs="Times New Roman"/>
        </w:rPr>
        <w:tab/>
        <w:t>0.4%</w:t>
      </w:r>
      <w:r w:rsidRPr="00022F29">
        <w:rPr>
          <w:rFonts w:ascii="Calibri" w:eastAsia="Calibri" w:hAnsi="Calibri" w:cs="Times New Roman"/>
        </w:rPr>
        <w:tab/>
        <w:t>2.500</w:t>
      </w:r>
      <w:r w:rsidRPr="00022F29">
        <w:rPr>
          <w:rFonts w:ascii="Calibri" w:eastAsia="Calibri" w:hAnsi="Calibri" w:cs="Times New Roman"/>
        </w:rPr>
        <w:tab/>
        <w:t>0.4%</w:t>
      </w:r>
      <w:r w:rsidRPr="00022F29">
        <w:rPr>
          <w:rFonts w:ascii="Calibri" w:eastAsia="Calibri" w:hAnsi="Calibri" w:cs="Times New Roman"/>
        </w:rPr>
        <w:tab/>
        <w:t>.000</w:t>
      </w:r>
      <w:r w:rsidRPr="00022F29">
        <w:rPr>
          <w:rFonts w:ascii="Calibri" w:eastAsia="Calibri" w:hAnsi="Calibri" w:cs="Times New Roman"/>
        </w:rPr>
        <w:tab/>
        <w:t>.000</w:t>
      </w:r>
    </w:p>
    <w:p w14:paraId="405AFC8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.000</w:t>
      </w:r>
      <w:r w:rsidRPr="00022F29">
        <w:rPr>
          <w:rFonts w:ascii="Calibri" w:eastAsia="Calibri" w:hAnsi="Calibri" w:cs="Times New Roman"/>
        </w:rPr>
        <w:tab/>
        <w:t>.000</w:t>
      </w:r>
    </w:p>
    <w:p w14:paraId="7D962CB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5.500</w:t>
      </w:r>
      <w:r w:rsidRPr="00022F29">
        <w:rPr>
          <w:rFonts w:ascii="Calibri" w:eastAsia="Calibri" w:hAnsi="Calibri" w:cs="Times New Roman"/>
        </w:rPr>
        <w:tab/>
        <w:t>0.9%</w:t>
      </w:r>
      <w:r w:rsidRPr="00022F29">
        <w:rPr>
          <w:rFonts w:ascii="Calibri" w:eastAsia="Calibri" w:hAnsi="Calibri" w:cs="Times New Roman"/>
        </w:rPr>
        <w:tab/>
        <w:t>5.500</w:t>
      </w:r>
      <w:r w:rsidRPr="00022F29">
        <w:rPr>
          <w:rFonts w:ascii="Calibri" w:eastAsia="Calibri" w:hAnsi="Calibri" w:cs="Times New Roman"/>
        </w:rPr>
        <w:tab/>
        <w:t>0.9%</w:t>
      </w:r>
      <w:r w:rsidRPr="00022F29">
        <w:rPr>
          <w:rFonts w:ascii="Calibri" w:eastAsia="Calibri" w:hAnsi="Calibri" w:cs="Times New Roman"/>
        </w:rPr>
        <w:tab/>
        <w:t>.000</w:t>
      </w:r>
      <w:r w:rsidRPr="00022F29">
        <w:rPr>
          <w:rFonts w:ascii="Calibri" w:eastAsia="Calibri" w:hAnsi="Calibri" w:cs="Times New Roman"/>
        </w:rPr>
        <w:tab/>
        <w:t>.000</w:t>
      </w:r>
    </w:p>
    <w:p w14:paraId="053F583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.000</w:t>
      </w:r>
      <w:r w:rsidRPr="00022F29">
        <w:rPr>
          <w:rFonts w:ascii="Calibri" w:eastAsia="Calibri" w:hAnsi="Calibri" w:cs="Times New Roman"/>
        </w:rPr>
        <w:tab/>
        <w:t>.000</w:t>
      </w:r>
    </w:p>
    <w:p w14:paraId="6A2895C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6.500</w:t>
      </w:r>
      <w:r w:rsidRPr="00022F29">
        <w:rPr>
          <w:rFonts w:ascii="Calibri" w:eastAsia="Calibri" w:hAnsi="Calibri" w:cs="Times New Roman"/>
        </w:rPr>
        <w:tab/>
        <w:t>1.1%</w:t>
      </w:r>
      <w:r w:rsidRPr="00022F29">
        <w:rPr>
          <w:rFonts w:ascii="Calibri" w:eastAsia="Calibri" w:hAnsi="Calibri" w:cs="Times New Roman"/>
        </w:rPr>
        <w:tab/>
        <w:t>6.500</w:t>
      </w:r>
      <w:r w:rsidRPr="00022F29">
        <w:rPr>
          <w:rFonts w:ascii="Calibri" w:eastAsia="Calibri" w:hAnsi="Calibri" w:cs="Times New Roman"/>
        </w:rPr>
        <w:tab/>
        <w:t>1.1%</w:t>
      </w:r>
      <w:r w:rsidRPr="00022F29">
        <w:rPr>
          <w:rFonts w:ascii="Calibri" w:eastAsia="Calibri" w:hAnsi="Calibri" w:cs="Times New Roman"/>
        </w:rPr>
        <w:tab/>
        <w:t>.000</w:t>
      </w:r>
      <w:r w:rsidRPr="00022F29">
        <w:rPr>
          <w:rFonts w:ascii="Calibri" w:eastAsia="Calibri" w:hAnsi="Calibri" w:cs="Times New Roman"/>
        </w:rPr>
        <w:tab/>
        <w:t>.000</w:t>
      </w:r>
    </w:p>
    <w:p w14:paraId="320755B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5E70974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8.500</w:t>
      </w:r>
      <w:r w:rsidRPr="00022F29">
        <w:rPr>
          <w:rFonts w:ascii="Calibri" w:eastAsia="Calibri" w:hAnsi="Calibri" w:cs="Times New Roman"/>
        </w:rPr>
        <w:tab/>
        <w:t>1.4%</w:t>
      </w:r>
      <w:r w:rsidRPr="00022F29">
        <w:rPr>
          <w:rFonts w:ascii="Calibri" w:eastAsia="Calibri" w:hAnsi="Calibri" w:cs="Times New Roman"/>
        </w:rPr>
        <w:tab/>
        <w:t>8.500</w:t>
      </w:r>
      <w:r w:rsidRPr="00022F29">
        <w:rPr>
          <w:rFonts w:ascii="Calibri" w:eastAsia="Calibri" w:hAnsi="Calibri" w:cs="Times New Roman"/>
        </w:rPr>
        <w:tab/>
        <w:t>1.4%</w:t>
      </w:r>
      <w:r w:rsidRPr="00022F29">
        <w:rPr>
          <w:rFonts w:ascii="Calibri" w:eastAsia="Calibri" w:hAnsi="Calibri" w:cs="Times New Roman"/>
        </w:rPr>
        <w:tab/>
        <w:t>.000</w:t>
      </w:r>
      <w:r w:rsidRPr="00022F29">
        <w:rPr>
          <w:rFonts w:ascii="Calibri" w:eastAsia="Calibri" w:hAnsi="Calibri" w:cs="Times New Roman"/>
        </w:rPr>
        <w:tab/>
        <w:t>.000</w:t>
      </w:r>
    </w:p>
    <w:p w14:paraId="2067C54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4806EEE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.000</w:t>
      </w:r>
      <w:r w:rsidRPr="00022F29">
        <w:rPr>
          <w:rFonts w:ascii="Calibri" w:eastAsia="Calibri" w:hAnsi="Calibri" w:cs="Times New Roman"/>
        </w:rPr>
        <w:tab/>
        <w:t>.000</w:t>
      </w:r>
    </w:p>
    <w:p w14:paraId="4D081F2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4B9F47E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.500</w:t>
      </w:r>
      <w:r w:rsidRPr="00022F29">
        <w:rPr>
          <w:rFonts w:ascii="Calibri" w:eastAsia="Calibri" w:hAnsi="Calibri" w:cs="Times New Roman"/>
        </w:rPr>
        <w:tab/>
        <w:t>0.1%</w:t>
      </w:r>
      <w:r w:rsidRPr="00022F29">
        <w:rPr>
          <w:rFonts w:ascii="Calibri" w:eastAsia="Calibri" w:hAnsi="Calibri" w:cs="Times New Roman"/>
        </w:rPr>
        <w:tab/>
        <w:t>.000</w:t>
      </w:r>
      <w:r w:rsidRPr="00022F29">
        <w:rPr>
          <w:rFonts w:ascii="Calibri" w:eastAsia="Calibri" w:hAnsi="Calibri" w:cs="Times New Roman"/>
        </w:rPr>
        <w:tab/>
        <w:t>.000</w:t>
      </w:r>
    </w:p>
    <w:p w14:paraId="38970A2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156CE60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9.500</w:t>
      </w:r>
      <w:r w:rsidRPr="00022F29">
        <w:rPr>
          <w:rFonts w:ascii="Calibri" w:eastAsia="Calibri" w:hAnsi="Calibri" w:cs="Times New Roman"/>
        </w:rPr>
        <w:tab/>
        <w:t>1.6%</w:t>
      </w:r>
      <w:r w:rsidRPr="00022F29">
        <w:rPr>
          <w:rFonts w:ascii="Calibri" w:eastAsia="Calibri" w:hAnsi="Calibri" w:cs="Times New Roman"/>
        </w:rPr>
        <w:tab/>
        <w:t>9.500</w:t>
      </w:r>
      <w:r w:rsidRPr="00022F29">
        <w:rPr>
          <w:rFonts w:ascii="Calibri" w:eastAsia="Calibri" w:hAnsi="Calibri" w:cs="Times New Roman"/>
        </w:rPr>
        <w:tab/>
        <w:t>1.6%</w:t>
      </w:r>
      <w:r w:rsidRPr="00022F29">
        <w:rPr>
          <w:rFonts w:ascii="Calibri" w:eastAsia="Calibri" w:hAnsi="Calibri" w:cs="Times New Roman"/>
        </w:rPr>
        <w:tab/>
        <w:t>.000</w:t>
      </w:r>
      <w:r w:rsidRPr="00022F29">
        <w:rPr>
          <w:rFonts w:ascii="Calibri" w:eastAsia="Calibri" w:hAnsi="Calibri" w:cs="Times New Roman"/>
        </w:rPr>
        <w:tab/>
        <w:t>.000</w:t>
      </w:r>
    </w:p>
    <w:p w14:paraId="0DC0E04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4.500</w:t>
      </w:r>
      <w:r w:rsidRPr="00022F29">
        <w:rPr>
          <w:rFonts w:ascii="Calibri" w:eastAsia="Calibri" w:hAnsi="Calibri" w:cs="Times New Roman"/>
        </w:rPr>
        <w:tab/>
        <w:t>0.8%</w:t>
      </w:r>
      <w:r w:rsidRPr="00022F29">
        <w:rPr>
          <w:rFonts w:ascii="Calibri" w:eastAsia="Calibri" w:hAnsi="Calibri" w:cs="Times New Roman"/>
        </w:rPr>
        <w:tab/>
        <w:t>4.500</w:t>
      </w:r>
      <w:r w:rsidRPr="00022F29">
        <w:rPr>
          <w:rFonts w:ascii="Calibri" w:eastAsia="Calibri" w:hAnsi="Calibri" w:cs="Times New Roman"/>
        </w:rPr>
        <w:tab/>
        <w:t>0.8%</w:t>
      </w:r>
      <w:r w:rsidRPr="00022F29">
        <w:rPr>
          <w:rFonts w:ascii="Calibri" w:eastAsia="Calibri" w:hAnsi="Calibri" w:cs="Times New Roman"/>
        </w:rPr>
        <w:tab/>
        <w:t>.000</w:t>
      </w:r>
      <w:r w:rsidRPr="00022F29">
        <w:rPr>
          <w:rFonts w:ascii="Calibri" w:eastAsia="Calibri" w:hAnsi="Calibri" w:cs="Times New Roman"/>
        </w:rPr>
        <w:tab/>
        <w:t>.000</w:t>
      </w:r>
    </w:p>
    <w:p w14:paraId="3B67C4F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12.500</w:t>
      </w:r>
      <w:r w:rsidRPr="00022F29">
        <w:rPr>
          <w:rFonts w:ascii="Calibri" w:eastAsia="Calibri" w:hAnsi="Calibri" w:cs="Times New Roman"/>
        </w:rPr>
        <w:tab/>
        <w:t>2.1%</w:t>
      </w:r>
      <w:r w:rsidRPr="00022F29">
        <w:rPr>
          <w:rFonts w:ascii="Calibri" w:eastAsia="Calibri" w:hAnsi="Calibri" w:cs="Times New Roman"/>
        </w:rPr>
        <w:tab/>
        <w:t>12.500</w:t>
      </w:r>
      <w:r w:rsidRPr="00022F29">
        <w:rPr>
          <w:rFonts w:ascii="Calibri" w:eastAsia="Calibri" w:hAnsi="Calibri" w:cs="Times New Roman"/>
        </w:rPr>
        <w:tab/>
        <w:t>2.1%</w:t>
      </w:r>
      <w:r w:rsidRPr="00022F29">
        <w:rPr>
          <w:rFonts w:ascii="Calibri" w:eastAsia="Calibri" w:hAnsi="Calibri" w:cs="Times New Roman"/>
        </w:rPr>
        <w:tab/>
        <w:t>.000</w:t>
      </w:r>
      <w:r w:rsidRPr="00022F29">
        <w:rPr>
          <w:rFonts w:ascii="Calibri" w:eastAsia="Calibri" w:hAnsi="Calibri" w:cs="Times New Roman"/>
        </w:rPr>
        <w:tab/>
        <w:t>.000</w:t>
      </w:r>
    </w:p>
    <w:p w14:paraId="16FB85F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4A4FB0A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5.500</w:t>
      </w:r>
      <w:r w:rsidRPr="00022F29">
        <w:rPr>
          <w:rFonts w:ascii="Calibri" w:eastAsia="Calibri" w:hAnsi="Calibri" w:cs="Times New Roman"/>
        </w:rPr>
        <w:tab/>
        <w:t>0.9%</w:t>
      </w:r>
      <w:r w:rsidRPr="00022F29">
        <w:rPr>
          <w:rFonts w:ascii="Calibri" w:eastAsia="Calibri" w:hAnsi="Calibri" w:cs="Times New Roman"/>
        </w:rPr>
        <w:tab/>
        <w:t>5.500</w:t>
      </w:r>
      <w:r w:rsidRPr="00022F29">
        <w:rPr>
          <w:rFonts w:ascii="Calibri" w:eastAsia="Calibri" w:hAnsi="Calibri" w:cs="Times New Roman"/>
        </w:rPr>
        <w:tab/>
        <w:t>0.9%</w:t>
      </w:r>
      <w:r w:rsidRPr="00022F29">
        <w:rPr>
          <w:rFonts w:ascii="Calibri" w:eastAsia="Calibri" w:hAnsi="Calibri" w:cs="Times New Roman"/>
        </w:rPr>
        <w:tab/>
        <w:t>.000</w:t>
      </w:r>
      <w:r w:rsidRPr="00022F29">
        <w:rPr>
          <w:rFonts w:ascii="Calibri" w:eastAsia="Calibri" w:hAnsi="Calibri" w:cs="Times New Roman"/>
        </w:rPr>
        <w:tab/>
        <w:t>.000</w:t>
      </w:r>
    </w:p>
    <w:p w14:paraId="6E38883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.000</w:t>
      </w:r>
      <w:r w:rsidRPr="00022F29">
        <w:rPr>
          <w:rFonts w:ascii="Calibri" w:eastAsia="Calibri" w:hAnsi="Calibri" w:cs="Times New Roman"/>
        </w:rPr>
        <w:tab/>
        <w:t>.000</w:t>
      </w:r>
    </w:p>
    <w:p w14:paraId="09CDF9B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2.500</w:t>
      </w:r>
      <w:r w:rsidRPr="00022F29">
        <w:rPr>
          <w:rFonts w:ascii="Calibri" w:eastAsia="Calibri" w:hAnsi="Calibri" w:cs="Times New Roman"/>
        </w:rPr>
        <w:tab/>
        <w:t>0.4%</w:t>
      </w:r>
      <w:r w:rsidRPr="00022F29">
        <w:rPr>
          <w:rFonts w:ascii="Calibri" w:eastAsia="Calibri" w:hAnsi="Calibri" w:cs="Times New Roman"/>
        </w:rPr>
        <w:tab/>
        <w:t>2.500</w:t>
      </w:r>
      <w:r w:rsidRPr="00022F29">
        <w:rPr>
          <w:rFonts w:ascii="Calibri" w:eastAsia="Calibri" w:hAnsi="Calibri" w:cs="Times New Roman"/>
        </w:rPr>
        <w:tab/>
        <w:t>0.4%</w:t>
      </w:r>
      <w:r w:rsidRPr="00022F29">
        <w:rPr>
          <w:rFonts w:ascii="Calibri" w:eastAsia="Calibri" w:hAnsi="Calibri" w:cs="Times New Roman"/>
        </w:rPr>
        <w:tab/>
        <w:t>.000</w:t>
      </w:r>
      <w:r w:rsidRPr="00022F29">
        <w:rPr>
          <w:rFonts w:ascii="Calibri" w:eastAsia="Calibri" w:hAnsi="Calibri" w:cs="Times New Roman"/>
        </w:rPr>
        <w:tab/>
        <w:t>.000</w:t>
      </w:r>
    </w:p>
    <w:p w14:paraId="3DF1148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4.500</w:t>
      </w:r>
      <w:r w:rsidRPr="00022F29">
        <w:rPr>
          <w:rFonts w:ascii="Calibri" w:eastAsia="Calibri" w:hAnsi="Calibri" w:cs="Times New Roman"/>
        </w:rPr>
        <w:tab/>
        <w:t>0.8%</w:t>
      </w:r>
      <w:r w:rsidRPr="00022F29">
        <w:rPr>
          <w:rFonts w:ascii="Calibri" w:eastAsia="Calibri" w:hAnsi="Calibri" w:cs="Times New Roman"/>
        </w:rPr>
        <w:tab/>
        <w:t>4.500</w:t>
      </w:r>
      <w:r w:rsidRPr="00022F29">
        <w:rPr>
          <w:rFonts w:ascii="Calibri" w:eastAsia="Calibri" w:hAnsi="Calibri" w:cs="Times New Roman"/>
        </w:rPr>
        <w:tab/>
        <w:t>0.8%</w:t>
      </w:r>
      <w:r w:rsidRPr="00022F29">
        <w:rPr>
          <w:rFonts w:ascii="Calibri" w:eastAsia="Calibri" w:hAnsi="Calibri" w:cs="Times New Roman"/>
        </w:rPr>
        <w:tab/>
        <w:t>.000</w:t>
      </w:r>
      <w:r w:rsidRPr="00022F29">
        <w:rPr>
          <w:rFonts w:ascii="Calibri" w:eastAsia="Calibri" w:hAnsi="Calibri" w:cs="Times New Roman"/>
        </w:rPr>
        <w:tab/>
        <w:t>.000</w:t>
      </w:r>
    </w:p>
    <w:p w14:paraId="64AD6A5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19.500</w:t>
      </w:r>
      <w:r w:rsidRPr="00022F29">
        <w:rPr>
          <w:rFonts w:ascii="Calibri" w:eastAsia="Calibri" w:hAnsi="Calibri" w:cs="Times New Roman"/>
        </w:rPr>
        <w:tab/>
        <w:t>3.3%</w:t>
      </w:r>
      <w:r w:rsidRPr="00022F29">
        <w:rPr>
          <w:rFonts w:ascii="Calibri" w:eastAsia="Calibri" w:hAnsi="Calibri" w:cs="Times New Roman"/>
        </w:rPr>
        <w:tab/>
        <w:t>19.500</w:t>
      </w:r>
      <w:r w:rsidRPr="00022F29">
        <w:rPr>
          <w:rFonts w:ascii="Calibri" w:eastAsia="Calibri" w:hAnsi="Calibri" w:cs="Times New Roman"/>
        </w:rPr>
        <w:tab/>
        <w:t>3.3%</w:t>
      </w:r>
      <w:r w:rsidRPr="00022F29">
        <w:rPr>
          <w:rFonts w:ascii="Calibri" w:eastAsia="Calibri" w:hAnsi="Calibri" w:cs="Times New Roman"/>
        </w:rPr>
        <w:tab/>
        <w:t>.000</w:t>
      </w:r>
      <w:r w:rsidRPr="00022F29">
        <w:rPr>
          <w:rFonts w:ascii="Calibri" w:eastAsia="Calibri" w:hAnsi="Calibri" w:cs="Times New Roman"/>
        </w:rPr>
        <w:tab/>
        <w:t>.000</w:t>
      </w:r>
    </w:p>
    <w:p w14:paraId="6BD569A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.000</w:t>
      </w:r>
      <w:r w:rsidRPr="00022F29">
        <w:rPr>
          <w:rFonts w:ascii="Calibri" w:eastAsia="Calibri" w:hAnsi="Calibri" w:cs="Times New Roman"/>
        </w:rPr>
        <w:tab/>
        <w:t>.000</w:t>
      </w:r>
    </w:p>
    <w:p w14:paraId="754290D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8.500</w:t>
      </w:r>
      <w:r w:rsidRPr="00022F29">
        <w:rPr>
          <w:rFonts w:ascii="Calibri" w:eastAsia="Calibri" w:hAnsi="Calibri" w:cs="Times New Roman"/>
        </w:rPr>
        <w:tab/>
        <w:t>1.4%</w:t>
      </w:r>
      <w:r w:rsidRPr="00022F29">
        <w:rPr>
          <w:rFonts w:ascii="Calibri" w:eastAsia="Calibri" w:hAnsi="Calibri" w:cs="Times New Roman"/>
        </w:rPr>
        <w:tab/>
        <w:t>8.500</w:t>
      </w:r>
      <w:r w:rsidRPr="00022F29">
        <w:rPr>
          <w:rFonts w:ascii="Calibri" w:eastAsia="Calibri" w:hAnsi="Calibri" w:cs="Times New Roman"/>
        </w:rPr>
        <w:tab/>
        <w:t>1.4%</w:t>
      </w:r>
      <w:r w:rsidRPr="00022F29">
        <w:rPr>
          <w:rFonts w:ascii="Calibri" w:eastAsia="Calibri" w:hAnsi="Calibri" w:cs="Times New Roman"/>
        </w:rPr>
        <w:tab/>
        <w:t>.000</w:t>
      </w:r>
      <w:r w:rsidRPr="00022F29">
        <w:rPr>
          <w:rFonts w:ascii="Calibri" w:eastAsia="Calibri" w:hAnsi="Calibri" w:cs="Times New Roman"/>
        </w:rPr>
        <w:tab/>
        <w:t>.000</w:t>
      </w:r>
    </w:p>
    <w:p w14:paraId="15BB876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2.500</w:t>
      </w:r>
      <w:r w:rsidRPr="00022F29">
        <w:rPr>
          <w:rFonts w:ascii="Calibri" w:eastAsia="Calibri" w:hAnsi="Calibri" w:cs="Times New Roman"/>
        </w:rPr>
        <w:tab/>
        <w:t>0.4%</w:t>
      </w:r>
      <w:r w:rsidRPr="00022F29">
        <w:rPr>
          <w:rFonts w:ascii="Calibri" w:eastAsia="Calibri" w:hAnsi="Calibri" w:cs="Times New Roman"/>
        </w:rPr>
        <w:tab/>
        <w:t>2.500</w:t>
      </w:r>
      <w:r w:rsidRPr="00022F29">
        <w:rPr>
          <w:rFonts w:ascii="Calibri" w:eastAsia="Calibri" w:hAnsi="Calibri" w:cs="Times New Roman"/>
        </w:rPr>
        <w:tab/>
        <w:t>0.4%</w:t>
      </w:r>
      <w:r w:rsidRPr="00022F29">
        <w:rPr>
          <w:rFonts w:ascii="Calibri" w:eastAsia="Calibri" w:hAnsi="Calibri" w:cs="Times New Roman"/>
        </w:rPr>
        <w:tab/>
        <w:t>.000</w:t>
      </w:r>
      <w:r w:rsidRPr="00022F29">
        <w:rPr>
          <w:rFonts w:ascii="Calibri" w:eastAsia="Calibri" w:hAnsi="Calibri" w:cs="Times New Roman"/>
        </w:rPr>
        <w:tab/>
        <w:t>.000</w:t>
      </w:r>
    </w:p>
    <w:p w14:paraId="564691F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8.500</w:t>
      </w:r>
      <w:r w:rsidRPr="00022F29">
        <w:rPr>
          <w:rFonts w:ascii="Calibri" w:eastAsia="Calibri" w:hAnsi="Calibri" w:cs="Times New Roman"/>
        </w:rPr>
        <w:tab/>
        <w:t>1.4%</w:t>
      </w:r>
      <w:r w:rsidRPr="00022F29">
        <w:rPr>
          <w:rFonts w:ascii="Calibri" w:eastAsia="Calibri" w:hAnsi="Calibri" w:cs="Times New Roman"/>
        </w:rPr>
        <w:tab/>
        <w:t>8.500</w:t>
      </w:r>
      <w:r w:rsidRPr="00022F29">
        <w:rPr>
          <w:rFonts w:ascii="Calibri" w:eastAsia="Calibri" w:hAnsi="Calibri" w:cs="Times New Roman"/>
        </w:rPr>
        <w:tab/>
        <w:t>1.4%</w:t>
      </w:r>
      <w:r w:rsidRPr="00022F29">
        <w:rPr>
          <w:rFonts w:ascii="Calibri" w:eastAsia="Calibri" w:hAnsi="Calibri" w:cs="Times New Roman"/>
        </w:rPr>
        <w:tab/>
        <w:t>.000</w:t>
      </w:r>
      <w:r w:rsidRPr="00022F29">
        <w:rPr>
          <w:rFonts w:ascii="Calibri" w:eastAsia="Calibri" w:hAnsi="Calibri" w:cs="Times New Roman"/>
        </w:rPr>
        <w:tab/>
        <w:t>.000</w:t>
      </w:r>
    </w:p>
    <w:p w14:paraId="6C5BCF1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4.500</w:t>
      </w:r>
      <w:r w:rsidRPr="00022F29">
        <w:rPr>
          <w:rFonts w:ascii="Calibri" w:eastAsia="Calibri" w:hAnsi="Calibri" w:cs="Times New Roman"/>
        </w:rPr>
        <w:tab/>
        <w:t>0.8%</w:t>
      </w:r>
      <w:r w:rsidRPr="00022F29">
        <w:rPr>
          <w:rFonts w:ascii="Calibri" w:eastAsia="Calibri" w:hAnsi="Calibri" w:cs="Times New Roman"/>
        </w:rPr>
        <w:tab/>
        <w:t>4.500</w:t>
      </w:r>
      <w:r w:rsidRPr="00022F29">
        <w:rPr>
          <w:rFonts w:ascii="Calibri" w:eastAsia="Calibri" w:hAnsi="Calibri" w:cs="Times New Roman"/>
        </w:rPr>
        <w:tab/>
        <w:t>0.8%</w:t>
      </w:r>
      <w:r w:rsidRPr="00022F29">
        <w:rPr>
          <w:rFonts w:ascii="Calibri" w:eastAsia="Calibri" w:hAnsi="Calibri" w:cs="Times New Roman"/>
        </w:rPr>
        <w:tab/>
        <w:t>.000</w:t>
      </w:r>
      <w:r w:rsidRPr="00022F29">
        <w:rPr>
          <w:rFonts w:ascii="Calibri" w:eastAsia="Calibri" w:hAnsi="Calibri" w:cs="Times New Roman"/>
        </w:rPr>
        <w:tab/>
        <w:t>.000</w:t>
      </w:r>
    </w:p>
    <w:p w14:paraId="1924449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5.500</w:t>
      </w:r>
      <w:r w:rsidRPr="00022F29">
        <w:rPr>
          <w:rFonts w:ascii="Calibri" w:eastAsia="Calibri" w:hAnsi="Calibri" w:cs="Times New Roman"/>
        </w:rPr>
        <w:tab/>
        <w:t>0.9%</w:t>
      </w:r>
      <w:r w:rsidRPr="00022F29">
        <w:rPr>
          <w:rFonts w:ascii="Calibri" w:eastAsia="Calibri" w:hAnsi="Calibri" w:cs="Times New Roman"/>
        </w:rPr>
        <w:tab/>
        <w:t>5.500</w:t>
      </w:r>
      <w:r w:rsidRPr="00022F29">
        <w:rPr>
          <w:rFonts w:ascii="Calibri" w:eastAsia="Calibri" w:hAnsi="Calibri" w:cs="Times New Roman"/>
        </w:rPr>
        <w:tab/>
        <w:t>0.9%</w:t>
      </w:r>
      <w:r w:rsidRPr="00022F29">
        <w:rPr>
          <w:rFonts w:ascii="Calibri" w:eastAsia="Calibri" w:hAnsi="Calibri" w:cs="Times New Roman"/>
        </w:rPr>
        <w:tab/>
        <w:t>.000</w:t>
      </w:r>
      <w:r w:rsidRPr="00022F29">
        <w:rPr>
          <w:rFonts w:ascii="Calibri" w:eastAsia="Calibri" w:hAnsi="Calibri" w:cs="Times New Roman"/>
        </w:rPr>
        <w:tab/>
        <w:t>.000</w:t>
      </w:r>
    </w:p>
    <w:p w14:paraId="1F68980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5.500</w:t>
      </w:r>
      <w:r w:rsidRPr="00022F29">
        <w:rPr>
          <w:rFonts w:ascii="Calibri" w:eastAsia="Calibri" w:hAnsi="Calibri" w:cs="Times New Roman"/>
        </w:rPr>
        <w:tab/>
        <w:t>0.9%</w:t>
      </w:r>
      <w:r w:rsidRPr="00022F29">
        <w:rPr>
          <w:rFonts w:ascii="Calibri" w:eastAsia="Calibri" w:hAnsi="Calibri" w:cs="Times New Roman"/>
        </w:rPr>
        <w:tab/>
        <w:t>5.500</w:t>
      </w:r>
      <w:r w:rsidRPr="00022F29">
        <w:rPr>
          <w:rFonts w:ascii="Calibri" w:eastAsia="Calibri" w:hAnsi="Calibri" w:cs="Times New Roman"/>
        </w:rPr>
        <w:tab/>
        <w:t>0.9%</w:t>
      </w:r>
      <w:r w:rsidRPr="00022F29">
        <w:rPr>
          <w:rFonts w:ascii="Calibri" w:eastAsia="Calibri" w:hAnsi="Calibri" w:cs="Times New Roman"/>
        </w:rPr>
        <w:tab/>
        <w:t>.000</w:t>
      </w:r>
      <w:r w:rsidRPr="00022F29">
        <w:rPr>
          <w:rFonts w:ascii="Calibri" w:eastAsia="Calibri" w:hAnsi="Calibri" w:cs="Times New Roman"/>
        </w:rPr>
        <w:tab/>
        <w:t>.000</w:t>
      </w:r>
    </w:p>
    <w:p w14:paraId="0A9DBE8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17.500</w:t>
      </w:r>
      <w:r w:rsidRPr="00022F29">
        <w:rPr>
          <w:rFonts w:ascii="Calibri" w:eastAsia="Calibri" w:hAnsi="Calibri" w:cs="Times New Roman"/>
        </w:rPr>
        <w:tab/>
        <w:t>3.0%</w:t>
      </w:r>
      <w:r w:rsidRPr="00022F29">
        <w:rPr>
          <w:rFonts w:ascii="Calibri" w:eastAsia="Calibri" w:hAnsi="Calibri" w:cs="Times New Roman"/>
        </w:rPr>
        <w:tab/>
        <w:t>17.500</w:t>
      </w:r>
      <w:r w:rsidRPr="00022F29">
        <w:rPr>
          <w:rFonts w:ascii="Calibri" w:eastAsia="Calibri" w:hAnsi="Calibri" w:cs="Times New Roman"/>
        </w:rPr>
        <w:tab/>
        <w:t>3.0%</w:t>
      </w:r>
      <w:r w:rsidRPr="00022F29">
        <w:rPr>
          <w:rFonts w:ascii="Calibri" w:eastAsia="Calibri" w:hAnsi="Calibri" w:cs="Times New Roman"/>
        </w:rPr>
        <w:tab/>
        <w:t>.000</w:t>
      </w:r>
      <w:r w:rsidRPr="00022F29">
        <w:rPr>
          <w:rFonts w:ascii="Calibri" w:eastAsia="Calibri" w:hAnsi="Calibri" w:cs="Times New Roman"/>
        </w:rPr>
        <w:tab/>
        <w:t>.000</w:t>
      </w:r>
    </w:p>
    <w:p w14:paraId="60A232E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5.500</w:t>
      </w:r>
      <w:r w:rsidRPr="00022F29">
        <w:rPr>
          <w:rFonts w:ascii="Calibri" w:eastAsia="Calibri" w:hAnsi="Calibri" w:cs="Times New Roman"/>
        </w:rPr>
        <w:tab/>
        <w:t>0.9%</w:t>
      </w:r>
      <w:r w:rsidRPr="00022F29">
        <w:rPr>
          <w:rFonts w:ascii="Calibri" w:eastAsia="Calibri" w:hAnsi="Calibri" w:cs="Times New Roman"/>
        </w:rPr>
        <w:tab/>
        <w:t>5.500</w:t>
      </w:r>
      <w:r w:rsidRPr="00022F29">
        <w:rPr>
          <w:rFonts w:ascii="Calibri" w:eastAsia="Calibri" w:hAnsi="Calibri" w:cs="Times New Roman"/>
        </w:rPr>
        <w:tab/>
        <w:t>0.9%</w:t>
      </w:r>
      <w:r w:rsidRPr="00022F29">
        <w:rPr>
          <w:rFonts w:ascii="Calibri" w:eastAsia="Calibri" w:hAnsi="Calibri" w:cs="Times New Roman"/>
        </w:rPr>
        <w:tab/>
        <w:t>.000</w:t>
      </w:r>
      <w:r w:rsidRPr="00022F29">
        <w:rPr>
          <w:rFonts w:ascii="Calibri" w:eastAsia="Calibri" w:hAnsi="Calibri" w:cs="Times New Roman"/>
        </w:rPr>
        <w:tab/>
        <w:t>.000</w:t>
      </w:r>
    </w:p>
    <w:p w14:paraId="4987B22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16.500</w:t>
      </w:r>
      <w:r w:rsidRPr="00022F29">
        <w:rPr>
          <w:rFonts w:ascii="Calibri" w:eastAsia="Calibri" w:hAnsi="Calibri" w:cs="Times New Roman"/>
        </w:rPr>
        <w:tab/>
        <w:t>2.8%</w:t>
      </w:r>
      <w:r w:rsidRPr="00022F29">
        <w:rPr>
          <w:rFonts w:ascii="Calibri" w:eastAsia="Calibri" w:hAnsi="Calibri" w:cs="Times New Roman"/>
        </w:rPr>
        <w:tab/>
        <w:t>16.500</w:t>
      </w:r>
      <w:r w:rsidRPr="00022F29">
        <w:rPr>
          <w:rFonts w:ascii="Calibri" w:eastAsia="Calibri" w:hAnsi="Calibri" w:cs="Times New Roman"/>
        </w:rPr>
        <w:tab/>
        <w:t>2.8%</w:t>
      </w:r>
      <w:r w:rsidRPr="00022F29">
        <w:rPr>
          <w:rFonts w:ascii="Calibri" w:eastAsia="Calibri" w:hAnsi="Calibri" w:cs="Times New Roman"/>
        </w:rPr>
        <w:tab/>
        <w:t>.000</w:t>
      </w:r>
      <w:r w:rsidRPr="00022F29">
        <w:rPr>
          <w:rFonts w:ascii="Calibri" w:eastAsia="Calibri" w:hAnsi="Calibri" w:cs="Times New Roman"/>
        </w:rPr>
        <w:tab/>
        <w:t>.000</w:t>
      </w:r>
    </w:p>
    <w:p w14:paraId="75CAE4D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.000</w:t>
      </w:r>
      <w:r w:rsidRPr="00022F29">
        <w:rPr>
          <w:rFonts w:ascii="Calibri" w:eastAsia="Calibri" w:hAnsi="Calibri" w:cs="Times New Roman"/>
        </w:rPr>
        <w:tab/>
        <w:t>.000</w:t>
      </w:r>
    </w:p>
    <w:p w14:paraId="03B95E4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7.500</w:t>
      </w:r>
      <w:r w:rsidRPr="00022F29">
        <w:rPr>
          <w:rFonts w:ascii="Calibri" w:eastAsia="Calibri" w:hAnsi="Calibri" w:cs="Times New Roman"/>
        </w:rPr>
        <w:tab/>
        <w:t>1.3%</w:t>
      </w:r>
      <w:r w:rsidRPr="00022F29">
        <w:rPr>
          <w:rFonts w:ascii="Calibri" w:eastAsia="Calibri" w:hAnsi="Calibri" w:cs="Times New Roman"/>
        </w:rPr>
        <w:tab/>
        <w:t>7.500</w:t>
      </w:r>
      <w:r w:rsidRPr="00022F29">
        <w:rPr>
          <w:rFonts w:ascii="Calibri" w:eastAsia="Calibri" w:hAnsi="Calibri" w:cs="Times New Roman"/>
        </w:rPr>
        <w:tab/>
        <w:t>1.3%</w:t>
      </w:r>
      <w:r w:rsidRPr="00022F29">
        <w:rPr>
          <w:rFonts w:ascii="Calibri" w:eastAsia="Calibri" w:hAnsi="Calibri" w:cs="Times New Roman"/>
        </w:rPr>
        <w:tab/>
        <w:t>.000</w:t>
      </w:r>
      <w:r w:rsidRPr="00022F29">
        <w:rPr>
          <w:rFonts w:ascii="Calibri" w:eastAsia="Calibri" w:hAnsi="Calibri" w:cs="Times New Roman"/>
        </w:rPr>
        <w:tab/>
        <w:t>.000</w:t>
      </w:r>
    </w:p>
    <w:p w14:paraId="796190C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5.500</w:t>
      </w:r>
      <w:r w:rsidRPr="00022F29">
        <w:rPr>
          <w:rFonts w:ascii="Calibri" w:eastAsia="Calibri" w:hAnsi="Calibri" w:cs="Times New Roman"/>
        </w:rPr>
        <w:tab/>
        <w:t>0.9%</w:t>
      </w:r>
      <w:r w:rsidRPr="00022F29">
        <w:rPr>
          <w:rFonts w:ascii="Calibri" w:eastAsia="Calibri" w:hAnsi="Calibri" w:cs="Times New Roman"/>
        </w:rPr>
        <w:tab/>
        <w:t>5.500</w:t>
      </w:r>
      <w:r w:rsidRPr="00022F29">
        <w:rPr>
          <w:rFonts w:ascii="Calibri" w:eastAsia="Calibri" w:hAnsi="Calibri" w:cs="Times New Roman"/>
        </w:rPr>
        <w:tab/>
        <w:t>0.9%</w:t>
      </w:r>
      <w:r w:rsidRPr="00022F29">
        <w:rPr>
          <w:rFonts w:ascii="Calibri" w:eastAsia="Calibri" w:hAnsi="Calibri" w:cs="Times New Roman"/>
        </w:rPr>
        <w:tab/>
        <w:t>.000</w:t>
      </w:r>
      <w:r w:rsidRPr="00022F29">
        <w:rPr>
          <w:rFonts w:ascii="Calibri" w:eastAsia="Calibri" w:hAnsi="Calibri" w:cs="Times New Roman"/>
        </w:rPr>
        <w:tab/>
        <w:t>.000</w:t>
      </w:r>
    </w:p>
    <w:p w14:paraId="2EFCA9E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7.500</w:t>
      </w:r>
      <w:r w:rsidRPr="00022F29">
        <w:rPr>
          <w:rFonts w:ascii="Calibri" w:eastAsia="Calibri" w:hAnsi="Calibri" w:cs="Times New Roman"/>
        </w:rPr>
        <w:tab/>
        <w:t>1.3%</w:t>
      </w:r>
      <w:r w:rsidRPr="00022F29">
        <w:rPr>
          <w:rFonts w:ascii="Calibri" w:eastAsia="Calibri" w:hAnsi="Calibri" w:cs="Times New Roman"/>
        </w:rPr>
        <w:tab/>
        <w:t>7.500</w:t>
      </w:r>
      <w:r w:rsidRPr="00022F29">
        <w:rPr>
          <w:rFonts w:ascii="Calibri" w:eastAsia="Calibri" w:hAnsi="Calibri" w:cs="Times New Roman"/>
        </w:rPr>
        <w:tab/>
        <w:t>1.3%</w:t>
      </w:r>
      <w:r w:rsidRPr="00022F29">
        <w:rPr>
          <w:rFonts w:ascii="Calibri" w:eastAsia="Calibri" w:hAnsi="Calibri" w:cs="Times New Roman"/>
        </w:rPr>
        <w:tab/>
        <w:t>.000</w:t>
      </w:r>
      <w:r w:rsidRPr="00022F29">
        <w:rPr>
          <w:rFonts w:ascii="Calibri" w:eastAsia="Calibri" w:hAnsi="Calibri" w:cs="Times New Roman"/>
        </w:rPr>
        <w:tab/>
        <w:t>.000</w:t>
      </w:r>
    </w:p>
    <w:p w14:paraId="2E0E6A4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7.500</w:t>
      </w:r>
      <w:r w:rsidRPr="00022F29">
        <w:rPr>
          <w:rFonts w:ascii="Calibri" w:eastAsia="Calibri" w:hAnsi="Calibri" w:cs="Times New Roman"/>
        </w:rPr>
        <w:tab/>
        <w:t>1.3%</w:t>
      </w:r>
      <w:r w:rsidRPr="00022F29">
        <w:rPr>
          <w:rFonts w:ascii="Calibri" w:eastAsia="Calibri" w:hAnsi="Calibri" w:cs="Times New Roman"/>
        </w:rPr>
        <w:tab/>
        <w:t>7.500</w:t>
      </w:r>
      <w:r w:rsidRPr="00022F29">
        <w:rPr>
          <w:rFonts w:ascii="Calibri" w:eastAsia="Calibri" w:hAnsi="Calibri" w:cs="Times New Roman"/>
        </w:rPr>
        <w:tab/>
        <w:t>1.3%</w:t>
      </w:r>
      <w:r w:rsidRPr="00022F29">
        <w:rPr>
          <w:rFonts w:ascii="Calibri" w:eastAsia="Calibri" w:hAnsi="Calibri" w:cs="Times New Roman"/>
        </w:rPr>
        <w:tab/>
        <w:t>.000</w:t>
      </w:r>
      <w:r w:rsidRPr="00022F29">
        <w:rPr>
          <w:rFonts w:ascii="Calibri" w:eastAsia="Calibri" w:hAnsi="Calibri" w:cs="Times New Roman"/>
        </w:rPr>
        <w:tab/>
        <w:t>.000</w:t>
      </w:r>
    </w:p>
    <w:p w14:paraId="7A0F95C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15.500</w:t>
      </w:r>
      <w:r w:rsidRPr="00022F29">
        <w:rPr>
          <w:rFonts w:ascii="Calibri" w:eastAsia="Calibri" w:hAnsi="Calibri" w:cs="Times New Roman"/>
        </w:rPr>
        <w:tab/>
        <w:t>2.6%</w:t>
      </w:r>
      <w:r w:rsidRPr="00022F29">
        <w:rPr>
          <w:rFonts w:ascii="Calibri" w:eastAsia="Calibri" w:hAnsi="Calibri" w:cs="Times New Roman"/>
        </w:rPr>
        <w:tab/>
        <w:t>15.500</w:t>
      </w:r>
      <w:r w:rsidRPr="00022F29">
        <w:rPr>
          <w:rFonts w:ascii="Calibri" w:eastAsia="Calibri" w:hAnsi="Calibri" w:cs="Times New Roman"/>
        </w:rPr>
        <w:tab/>
        <w:t>2.6%</w:t>
      </w:r>
      <w:r w:rsidRPr="00022F29">
        <w:rPr>
          <w:rFonts w:ascii="Calibri" w:eastAsia="Calibri" w:hAnsi="Calibri" w:cs="Times New Roman"/>
        </w:rPr>
        <w:tab/>
        <w:t>.000</w:t>
      </w:r>
      <w:r w:rsidRPr="00022F29">
        <w:rPr>
          <w:rFonts w:ascii="Calibri" w:eastAsia="Calibri" w:hAnsi="Calibri" w:cs="Times New Roman"/>
        </w:rPr>
        <w:tab/>
        <w:t>.000</w:t>
      </w:r>
    </w:p>
    <w:p w14:paraId="42F1124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7.500</w:t>
      </w:r>
      <w:r w:rsidRPr="00022F29">
        <w:rPr>
          <w:rFonts w:ascii="Calibri" w:eastAsia="Calibri" w:hAnsi="Calibri" w:cs="Times New Roman"/>
        </w:rPr>
        <w:tab/>
        <w:t>1.3%</w:t>
      </w:r>
      <w:r w:rsidRPr="00022F29">
        <w:rPr>
          <w:rFonts w:ascii="Calibri" w:eastAsia="Calibri" w:hAnsi="Calibri" w:cs="Times New Roman"/>
        </w:rPr>
        <w:tab/>
        <w:t>7.500</w:t>
      </w:r>
      <w:r w:rsidRPr="00022F29">
        <w:rPr>
          <w:rFonts w:ascii="Calibri" w:eastAsia="Calibri" w:hAnsi="Calibri" w:cs="Times New Roman"/>
        </w:rPr>
        <w:tab/>
        <w:t>1.3%</w:t>
      </w:r>
      <w:r w:rsidRPr="00022F29">
        <w:rPr>
          <w:rFonts w:ascii="Calibri" w:eastAsia="Calibri" w:hAnsi="Calibri" w:cs="Times New Roman"/>
        </w:rPr>
        <w:tab/>
        <w:t>.000</w:t>
      </w:r>
      <w:r w:rsidRPr="00022F29">
        <w:rPr>
          <w:rFonts w:ascii="Calibri" w:eastAsia="Calibri" w:hAnsi="Calibri" w:cs="Times New Roman"/>
        </w:rPr>
        <w:tab/>
        <w:t>.000</w:t>
      </w:r>
    </w:p>
    <w:p w14:paraId="355665A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11.500</w:t>
      </w:r>
      <w:r w:rsidRPr="00022F29">
        <w:rPr>
          <w:rFonts w:ascii="Calibri" w:eastAsia="Calibri" w:hAnsi="Calibri" w:cs="Times New Roman"/>
        </w:rPr>
        <w:tab/>
        <w:t>1.9%</w:t>
      </w:r>
      <w:r w:rsidRPr="00022F29">
        <w:rPr>
          <w:rFonts w:ascii="Calibri" w:eastAsia="Calibri" w:hAnsi="Calibri" w:cs="Times New Roman"/>
        </w:rPr>
        <w:tab/>
        <w:t>11.500</w:t>
      </w:r>
      <w:r w:rsidRPr="00022F29">
        <w:rPr>
          <w:rFonts w:ascii="Calibri" w:eastAsia="Calibri" w:hAnsi="Calibri" w:cs="Times New Roman"/>
        </w:rPr>
        <w:tab/>
        <w:t>1.9%</w:t>
      </w:r>
      <w:r w:rsidRPr="00022F29">
        <w:rPr>
          <w:rFonts w:ascii="Calibri" w:eastAsia="Calibri" w:hAnsi="Calibri" w:cs="Times New Roman"/>
        </w:rPr>
        <w:tab/>
        <w:t>.000</w:t>
      </w:r>
      <w:r w:rsidRPr="00022F29">
        <w:rPr>
          <w:rFonts w:ascii="Calibri" w:eastAsia="Calibri" w:hAnsi="Calibri" w:cs="Times New Roman"/>
        </w:rPr>
        <w:tab/>
        <w:t>.000</w:t>
      </w:r>
    </w:p>
    <w:p w14:paraId="4E85FB2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1.500</w:t>
      </w:r>
      <w:r w:rsidRPr="00022F29">
        <w:rPr>
          <w:rFonts w:ascii="Calibri" w:eastAsia="Calibri" w:hAnsi="Calibri" w:cs="Times New Roman"/>
        </w:rPr>
        <w:tab/>
        <w:t>0.3%</w:t>
      </w:r>
      <w:r w:rsidRPr="00022F29">
        <w:rPr>
          <w:rFonts w:ascii="Calibri" w:eastAsia="Calibri" w:hAnsi="Calibri" w:cs="Times New Roman"/>
        </w:rPr>
        <w:tab/>
        <w:t>.000</w:t>
      </w:r>
      <w:r w:rsidRPr="00022F29">
        <w:rPr>
          <w:rFonts w:ascii="Calibri" w:eastAsia="Calibri" w:hAnsi="Calibri" w:cs="Times New Roman"/>
        </w:rPr>
        <w:tab/>
        <w:t>.000</w:t>
      </w:r>
    </w:p>
    <w:p w14:paraId="04FFDD7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7.500</w:t>
      </w:r>
      <w:r w:rsidRPr="00022F29">
        <w:rPr>
          <w:rFonts w:ascii="Calibri" w:eastAsia="Calibri" w:hAnsi="Calibri" w:cs="Times New Roman"/>
        </w:rPr>
        <w:tab/>
        <w:t>1.3%</w:t>
      </w:r>
      <w:r w:rsidRPr="00022F29">
        <w:rPr>
          <w:rFonts w:ascii="Calibri" w:eastAsia="Calibri" w:hAnsi="Calibri" w:cs="Times New Roman"/>
        </w:rPr>
        <w:tab/>
        <w:t>7.500</w:t>
      </w:r>
      <w:r w:rsidRPr="00022F29">
        <w:rPr>
          <w:rFonts w:ascii="Calibri" w:eastAsia="Calibri" w:hAnsi="Calibri" w:cs="Times New Roman"/>
        </w:rPr>
        <w:tab/>
        <w:t>1.3%</w:t>
      </w:r>
      <w:r w:rsidRPr="00022F29">
        <w:rPr>
          <w:rFonts w:ascii="Calibri" w:eastAsia="Calibri" w:hAnsi="Calibri" w:cs="Times New Roman"/>
        </w:rPr>
        <w:tab/>
        <w:t>.000</w:t>
      </w:r>
      <w:r w:rsidRPr="00022F29">
        <w:rPr>
          <w:rFonts w:ascii="Calibri" w:eastAsia="Calibri" w:hAnsi="Calibri" w:cs="Times New Roman"/>
        </w:rPr>
        <w:tab/>
        <w:t>.000</w:t>
      </w:r>
    </w:p>
    <w:p w14:paraId="66DF9B6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2.500</w:t>
      </w:r>
      <w:r w:rsidRPr="00022F29">
        <w:rPr>
          <w:rFonts w:ascii="Calibri" w:eastAsia="Calibri" w:hAnsi="Calibri" w:cs="Times New Roman"/>
        </w:rPr>
        <w:tab/>
        <w:t>0.4%</w:t>
      </w:r>
      <w:r w:rsidRPr="00022F29">
        <w:rPr>
          <w:rFonts w:ascii="Calibri" w:eastAsia="Calibri" w:hAnsi="Calibri" w:cs="Times New Roman"/>
        </w:rPr>
        <w:tab/>
        <w:t>2.500</w:t>
      </w:r>
      <w:r w:rsidRPr="00022F29">
        <w:rPr>
          <w:rFonts w:ascii="Calibri" w:eastAsia="Calibri" w:hAnsi="Calibri" w:cs="Times New Roman"/>
        </w:rPr>
        <w:tab/>
        <w:t>0.4%</w:t>
      </w:r>
      <w:r w:rsidRPr="00022F29">
        <w:rPr>
          <w:rFonts w:ascii="Calibri" w:eastAsia="Calibri" w:hAnsi="Calibri" w:cs="Times New Roman"/>
        </w:rPr>
        <w:tab/>
        <w:t>.000</w:t>
      </w:r>
      <w:r w:rsidRPr="00022F29">
        <w:rPr>
          <w:rFonts w:ascii="Calibri" w:eastAsia="Calibri" w:hAnsi="Calibri" w:cs="Times New Roman"/>
        </w:rPr>
        <w:tab/>
        <w:t>.000</w:t>
      </w:r>
    </w:p>
    <w:p w14:paraId="2B58DC3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9.500</w:t>
      </w:r>
      <w:r w:rsidRPr="00022F29">
        <w:rPr>
          <w:rFonts w:ascii="Calibri" w:eastAsia="Calibri" w:hAnsi="Calibri" w:cs="Times New Roman"/>
        </w:rPr>
        <w:tab/>
        <w:t>1.6%</w:t>
      </w:r>
      <w:r w:rsidRPr="00022F29">
        <w:rPr>
          <w:rFonts w:ascii="Calibri" w:eastAsia="Calibri" w:hAnsi="Calibri" w:cs="Times New Roman"/>
        </w:rPr>
        <w:tab/>
        <w:t>9.500</w:t>
      </w:r>
      <w:r w:rsidRPr="00022F29">
        <w:rPr>
          <w:rFonts w:ascii="Calibri" w:eastAsia="Calibri" w:hAnsi="Calibri" w:cs="Times New Roman"/>
        </w:rPr>
        <w:tab/>
        <w:t>1.6%</w:t>
      </w:r>
      <w:r w:rsidRPr="00022F29">
        <w:rPr>
          <w:rFonts w:ascii="Calibri" w:eastAsia="Calibri" w:hAnsi="Calibri" w:cs="Times New Roman"/>
        </w:rPr>
        <w:tab/>
        <w:t>.000</w:t>
      </w:r>
      <w:r w:rsidRPr="00022F29">
        <w:rPr>
          <w:rFonts w:ascii="Calibri" w:eastAsia="Calibri" w:hAnsi="Calibri" w:cs="Times New Roman"/>
        </w:rPr>
        <w:tab/>
        <w:t>.000</w:t>
      </w:r>
    </w:p>
    <w:p w14:paraId="0B03F24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3.500</w:t>
      </w:r>
      <w:r w:rsidRPr="00022F29">
        <w:rPr>
          <w:rFonts w:ascii="Calibri" w:eastAsia="Calibri" w:hAnsi="Calibri" w:cs="Times New Roman"/>
        </w:rPr>
        <w:tab/>
        <w:t>0.6%</w:t>
      </w:r>
      <w:r w:rsidRPr="00022F29">
        <w:rPr>
          <w:rFonts w:ascii="Calibri" w:eastAsia="Calibri" w:hAnsi="Calibri" w:cs="Times New Roman"/>
        </w:rPr>
        <w:tab/>
        <w:t>.000</w:t>
      </w:r>
      <w:r w:rsidRPr="00022F29">
        <w:rPr>
          <w:rFonts w:ascii="Calibri" w:eastAsia="Calibri" w:hAnsi="Calibri" w:cs="Times New Roman"/>
        </w:rPr>
        <w:tab/>
        <w:t>.000</w:t>
      </w:r>
    </w:p>
    <w:p w14:paraId="3171992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24.500</w:t>
      </w:r>
      <w:r w:rsidRPr="00022F29">
        <w:rPr>
          <w:rFonts w:ascii="Calibri" w:eastAsia="Calibri" w:hAnsi="Calibri" w:cs="Times New Roman"/>
        </w:rPr>
        <w:tab/>
        <w:t>4.1%</w:t>
      </w:r>
      <w:r w:rsidRPr="00022F29">
        <w:rPr>
          <w:rFonts w:ascii="Calibri" w:eastAsia="Calibri" w:hAnsi="Calibri" w:cs="Times New Roman"/>
        </w:rPr>
        <w:tab/>
        <w:t>24.500</w:t>
      </w:r>
      <w:r w:rsidRPr="00022F29">
        <w:rPr>
          <w:rFonts w:ascii="Calibri" w:eastAsia="Calibri" w:hAnsi="Calibri" w:cs="Times New Roman"/>
        </w:rPr>
        <w:tab/>
        <w:t>4.1%</w:t>
      </w:r>
      <w:r w:rsidRPr="00022F29">
        <w:rPr>
          <w:rFonts w:ascii="Calibri" w:eastAsia="Calibri" w:hAnsi="Calibri" w:cs="Times New Roman"/>
        </w:rPr>
        <w:tab/>
        <w:t>.000</w:t>
      </w:r>
      <w:r w:rsidRPr="00022F29">
        <w:rPr>
          <w:rFonts w:ascii="Calibri" w:eastAsia="Calibri" w:hAnsi="Calibri" w:cs="Times New Roman"/>
        </w:rPr>
        <w:tab/>
        <w:t>.000</w:t>
      </w:r>
    </w:p>
    <w:p w14:paraId="6E0C67F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 For saturated models, .500 has been added to all observed cells.</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6CFC8A66" w14:textId="77777777" w:rsidR="00022F29" w:rsidRPr="00022F29" w:rsidRDefault="00022F29" w:rsidP="00022F29">
      <w:pPr>
        <w:rPr>
          <w:rFonts w:ascii="Calibri" w:eastAsia="Calibri" w:hAnsi="Calibri" w:cs="Times New Roman"/>
        </w:rPr>
      </w:pPr>
    </w:p>
    <w:p w14:paraId="2F566304" w14:textId="77777777" w:rsidR="00022F29" w:rsidRPr="00022F29" w:rsidRDefault="00022F29" w:rsidP="00022F29">
      <w:pPr>
        <w:rPr>
          <w:rFonts w:ascii="Calibri" w:eastAsia="Calibri" w:hAnsi="Calibri" w:cs="Times New Roman"/>
        </w:rPr>
      </w:pPr>
    </w:p>
    <w:p w14:paraId="202162F4" w14:textId="77777777" w:rsidR="00022F29" w:rsidRPr="00022F29" w:rsidRDefault="00022F29" w:rsidP="00022F29">
      <w:pPr>
        <w:rPr>
          <w:rFonts w:ascii="Calibri" w:eastAsia="Calibri" w:hAnsi="Calibri" w:cs="Times New Roman"/>
        </w:rPr>
      </w:pPr>
    </w:p>
    <w:p w14:paraId="3BDDDD9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Goodness-of-Fit Tests</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498AD77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b/>
        <w:t>Chi-Square</w:t>
      </w:r>
      <w:r w:rsidRPr="00022F29">
        <w:rPr>
          <w:rFonts w:ascii="Calibri" w:eastAsia="Calibri" w:hAnsi="Calibri" w:cs="Times New Roman"/>
        </w:rPr>
        <w:tab/>
        <w:t>df</w:t>
      </w:r>
      <w:r w:rsidRPr="00022F29">
        <w:rPr>
          <w:rFonts w:ascii="Calibri" w:eastAsia="Calibri" w:hAnsi="Calibri" w:cs="Times New Roman"/>
        </w:rPr>
        <w:tab/>
        <w:t>Sig.</w:t>
      </w:r>
    </w:p>
    <w:p w14:paraId="6E79333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Likelihood Ratio</w:t>
      </w:r>
      <w:r w:rsidRPr="00022F29">
        <w:rPr>
          <w:rFonts w:ascii="Calibri" w:eastAsia="Calibri" w:hAnsi="Calibri" w:cs="Times New Roman"/>
        </w:rPr>
        <w:tab/>
        <w:t>.000</w:t>
      </w:r>
      <w:r w:rsidRPr="00022F29">
        <w:rPr>
          <w:rFonts w:ascii="Calibri" w:eastAsia="Calibri" w:hAnsi="Calibri" w:cs="Times New Roman"/>
        </w:rPr>
        <w:tab/>
        <w:t>0</w:t>
      </w:r>
      <w:r w:rsidRPr="00022F29">
        <w:rPr>
          <w:rFonts w:ascii="Calibri" w:eastAsia="Calibri" w:hAnsi="Calibri" w:cs="Times New Roman"/>
        </w:rPr>
        <w:tab/>
        <w:t>.</w:t>
      </w:r>
    </w:p>
    <w:p w14:paraId="3AADD0C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Pearson</w:t>
      </w:r>
      <w:r w:rsidRPr="00022F29">
        <w:rPr>
          <w:rFonts w:ascii="Calibri" w:eastAsia="Calibri" w:hAnsi="Calibri" w:cs="Times New Roman"/>
        </w:rPr>
        <w:tab/>
        <w:t>.000</w:t>
      </w:r>
      <w:r w:rsidRPr="00022F29">
        <w:rPr>
          <w:rFonts w:ascii="Calibri" w:eastAsia="Calibri" w:hAnsi="Calibri" w:cs="Times New Roman"/>
        </w:rPr>
        <w:tab/>
        <w:t>0</w:t>
      </w:r>
      <w:r w:rsidRPr="00022F29">
        <w:rPr>
          <w:rFonts w:ascii="Calibri" w:eastAsia="Calibri" w:hAnsi="Calibri" w:cs="Times New Roman"/>
        </w:rPr>
        <w:tab/>
        <w:t>.</w:t>
      </w:r>
    </w:p>
    <w:p w14:paraId="392ED3AF" w14:textId="77777777" w:rsidR="00022F29" w:rsidRPr="00022F29" w:rsidRDefault="00022F29" w:rsidP="00022F29">
      <w:pPr>
        <w:rPr>
          <w:rFonts w:ascii="Calibri" w:eastAsia="Calibri" w:hAnsi="Calibri" w:cs="Times New Roman"/>
        </w:rPr>
      </w:pPr>
    </w:p>
    <w:p w14:paraId="547BAA4E" w14:textId="77777777" w:rsidR="00022F29" w:rsidRPr="00022F29" w:rsidRDefault="00022F29" w:rsidP="00022F29">
      <w:pPr>
        <w:rPr>
          <w:rFonts w:ascii="Calibri" w:eastAsia="Calibri" w:hAnsi="Calibri" w:cs="Times New Roman"/>
        </w:rPr>
      </w:pPr>
    </w:p>
    <w:p w14:paraId="274141FD" w14:textId="77777777" w:rsidR="00022F29" w:rsidRPr="00022F29" w:rsidRDefault="00022F29" w:rsidP="00022F29">
      <w:pPr>
        <w:rPr>
          <w:rFonts w:ascii="Calibri" w:eastAsia="Calibri" w:hAnsi="Calibri" w:cs="Times New Roman"/>
        </w:rPr>
      </w:pPr>
    </w:p>
    <w:p w14:paraId="0D8D3D9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K-Way and Higher-Order Effects</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7E81541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K</w:t>
      </w:r>
      <w:r w:rsidRPr="00022F29">
        <w:rPr>
          <w:rFonts w:ascii="Calibri" w:eastAsia="Calibri" w:hAnsi="Calibri" w:cs="Times New Roman"/>
        </w:rPr>
        <w:tab/>
        <w:t>df</w:t>
      </w:r>
      <w:r w:rsidRPr="00022F29">
        <w:rPr>
          <w:rFonts w:ascii="Calibri" w:eastAsia="Calibri" w:hAnsi="Calibri" w:cs="Times New Roman"/>
        </w:rPr>
        <w:tab/>
        <w:t>Likelihood Ratio</w:t>
      </w:r>
      <w:r w:rsidRPr="00022F29">
        <w:rPr>
          <w:rFonts w:ascii="Calibri" w:eastAsia="Calibri" w:hAnsi="Calibri" w:cs="Times New Roman"/>
        </w:rPr>
        <w:tab/>
      </w:r>
      <w:r w:rsidRPr="00022F29">
        <w:rPr>
          <w:rFonts w:ascii="Calibri" w:eastAsia="Calibri" w:hAnsi="Calibri" w:cs="Times New Roman"/>
        </w:rPr>
        <w:tab/>
        <w:t>Pearson</w:t>
      </w:r>
      <w:r w:rsidRPr="00022F29">
        <w:rPr>
          <w:rFonts w:ascii="Calibri" w:eastAsia="Calibri" w:hAnsi="Calibri" w:cs="Times New Roman"/>
        </w:rPr>
        <w:tab/>
      </w:r>
      <w:r w:rsidRPr="00022F29">
        <w:rPr>
          <w:rFonts w:ascii="Calibri" w:eastAsia="Calibri" w:hAnsi="Calibri" w:cs="Times New Roman"/>
        </w:rPr>
        <w:tab/>
        <w:t>Number of Iterations</w:t>
      </w:r>
    </w:p>
    <w:p w14:paraId="428344E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Chi-Square</w:t>
      </w:r>
      <w:r w:rsidRPr="00022F29">
        <w:rPr>
          <w:rFonts w:ascii="Calibri" w:eastAsia="Calibri" w:hAnsi="Calibri" w:cs="Times New Roman"/>
        </w:rPr>
        <w:tab/>
        <w:t>Sig.</w:t>
      </w:r>
      <w:r w:rsidRPr="00022F29">
        <w:rPr>
          <w:rFonts w:ascii="Calibri" w:eastAsia="Calibri" w:hAnsi="Calibri" w:cs="Times New Roman"/>
        </w:rPr>
        <w:tab/>
        <w:t>Chi-Square</w:t>
      </w:r>
      <w:r w:rsidRPr="00022F29">
        <w:rPr>
          <w:rFonts w:ascii="Calibri" w:eastAsia="Calibri" w:hAnsi="Calibri" w:cs="Times New Roman"/>
        </w:rPr>
        <w:tab/>
        <w:t>Sig.</w:t>
      </w:r>
      <w:r w:rsidRPr="00022F29">
        <w:rPr>
          <w:rFonts w:ascii="Calibri" w:eastAsia="Calibri" w:hAnsi="Calibri" w:cs="Times New Roman"/>
        </w:rPr>
        <w:tab/>
      </w:r>
    </w:p>
    <w:p w14:paraId="40F7304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K-way and Higher Order Effectsa</w:t>
      </w:r>
      <w:r w:rsidRPr="00022F29">
        <w:rPr>
          <w:rFonts w:ascii="Calibri" w:eastAsia="Calibri" w:hAnsi="Calibri" w:cs="Times New Roman"/>
        </w:rPr>
        <w:tab/>
        <w:t>1</w:t>
      </w:r>
      <w:r w:rsidRPr="00022F29">
        <w:rPr>
          <w:rFonts w:ascii="Calibri" w:eastAsia="Calibri" w:hAnsi="Calibri" w:cs="Times New Roman"/>
        </w:rPr>
        <w:tab/>
        <w:t>127</w:t>
      </w:r>
      <w:r w:rsidRPr="00022F29">
        <w:rPr>
          <w:rFonts w:ascii="Calibri" w:eastAsia="Calibri" w:hAnsi="Calibri" w:cs="Times New Roman"/>
        </w:rPr>
        <w:tab/>
        <w:t>625.044</w:t>
      </w:r>
      <w:r w:rsidRPr="00022F29">
        <w:rPr>
          <w:rFonts w:ascii="Calibri" w:eastAsia="Calibri" w:hAnsi="Calibri" w:cs="Times New Roman"/>
        </w:rPr>
        <w:tab/>
        <w:t>.000</w:t>
      </w:r>
      <w:r w:rsidRPr="00022F29">
        <w:rPr>
          <w:rFonts w:ascii="Calibri" w:eastAsia="Calibri" w:hAnsi="Calibri" w:cs="Times New Roman"/>
        </w:rPr>
        <w:tab/>
        <w:t>699.613</w:t>
      </w:r>
      <w:r w:rsidRPr="00022F29">
        <w:rPr>
          <w:rFonts w:ascii="Calibri" w:eastAsia="Calibri" w:hAnsi="Calibri" w:cs="Times New Roman"/>
        </w:rPr>
        <w:tab/>
        <w:t>.000</w:t>
      </w:r>
      <w:r w:rsidRPr="00022F29">
        <w:rPr>
          <w:rFonts w:ascii="Calibri" w:eastAsia="Calibri" w:hAnsi="Calibri" w:cs="Times New Roman"/>
        </w:rPr>
        <w:tab/>
        <w:t>0</w:t>
      </w:r>
    </w:p>
    <w:p w14:paraId="6602FB6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119</w:t>
      </w:r>
      <w:r w:rsidRPr="00022F29">
        <w:rPr>
          <w:rFonts w:ascii="Calibri" w:eastAsia="Calibri" w:hAnsi="Calibri" w:cs="Times New Roman"/>
        </w:rPr>
        <w:tab/>
        <w:t>465.134</w:t>
      </w:r>
      <w:r w:rsidRPr="00022F29">
        <w:rPr>
          <w:rFonts w:ascii="Calibri" w:eastAsia="Calibri" w:hAnsi="Calibri" w:cs="Times New Roman"/>
        </w:rPr>
        <w:tab/>
        <w:t>.000</w:t>
      </w:r>
      <w:r w:rsidRPr="00022F29">
        <w:rPr>
          <w:rFonts w:ascii="Calibri" w:eastAsia="Calibri" w:hAnsi="Calibri" w:cs="Times New Roman"/>
        </w:rPr>
        <w:tab/>
        <w:t>485.295</w:t>
      </w:r>
      <w:r w:rsidRPr="00022F29">
        <w:rPr>
          <w:rFonts w:ascii="Calibri" w:eastAsia="Calibri" w:hAnsi="Calibri" w:cs="Times New Roman"/>
        </w:rPr>
        <w:tab/>
        <w:t>.000</w:t>
      </w:r>
      <w:r w:rsidRPr="00022F29">
        <w:rPr>
          <w:rFonts w:ascii="Calibri" w:eastAsia="Calibri" w:hAnsi="Calibri" w:cs="Times New Roman"/>
        </w:rPr>
        <w:tab/>
        <w:t>2</w:t>
      </w:r>
    </w:p>
    <w:p w14:paraId="1B72F3A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94</w:t>
      </w:r>
      <w:r w:rsidRPr="00022F29">
        <w:rPr>
          <w:rFonts w:ascii="Calibri" w:eastAsia="Calibri" w:hAnsi="Calibri" w:cs="Times New Roman"/>
        </w:rPr>
        <w:tab/>
        <w:t>101.549</w:t>
      </w:r>
      <w:r w:rsidRPr="00022F29">
        <w:rPr>
          <w:rFonts w:ascii="Calibri" w:eastAsia="Calibri" w:hAnsi="Calibri" w:cs="Times New Roman"/>
        </w:rPr>
        <w:tab/>
        <w:t>.279</w:t>
      </w:r>
      <w:r w:rsidRPr="00022F29">
        <w:rPr>
          <w:rFonts w:ascii="Calibri" w:eastAsia="Calibri" w:hAnsi="Calibri" w:cs="Times New Roman"/>
        </w:rPr>
        <w:tab/>
        <w:t>94.161</w:t>
      </w:r>
      <w:r w:rsidRPr="00022F29">
        <w:rPr>
          <w:rFonts w:ascii="Calibri" w:eastAsia="Calibri" w:hAnsi="Calibri" w:cs="Times New Roman"/>
        </w:rPr>
        <w:tab/>
        <w:t>.476</w:t>
      </w:r>
      <w:r w:rsidRPr="00022F29">
        <w:rPr>
          <w:rFonts w:ascii="Calibri" w:eastAsia="Calibri" w:hAnsi="Calibri" w:cs="Times New Roman"/>
        </w:rPr>
        <w:tab/>
        <w:t>8</w:t>
      </w:r>
    </w:p>
    <w:p w14:paraId="23F9728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w:t>
      </w:r>
      <w:r w:rsidRPr="00022F29">
        <w:rPr>
          <w:rFonts w:ascii="Calibri" w:eastAsia="Calibri" w:hAnsi="Calibri" w:cs="Times New Roman"/>
        </w:rPr>
        <w:tab/>
        <w:t>54</w:t>
      </w:r>
      <w:r w:rsidRPr="00022F29">
        <w:rPr>
          <w:rFonts w:ascii="Calibri" w:eastAsia="Calibri" w:hAnsi="Calibri" w:cs="Times New Roman"/>
        </w:rPr>
        <w:tab/>
        <w:t>52.617</w:t>
      </w:r>
      <w:r w:rsidRPr="00022F29">
        <w:rPr>
          <w:rFonts w:ascii="Calibri" w:eastAsia="Calibri" w:hAnsi="Calibri" w:cs="Times New Roman"/>
        </w:rPr>
        <w:tab/>
        <w:t>.528</w:t>
      </w:r>
      <w:r w:rsidRPr="00022F29">
        <w:rPr>
          <w:rFonts w:ascii="Calibri" w:eastAsia="Calibri" w:hAnsi="Calibri" w:cs="Times New Roman"/>
        </w:rPr>
        <w:tab/>
        <w:t>49.863</w:t>
      </w:r>
      <w:r w:rsidRPr="00022F29">
        <w:rPr>
          <w:rFonts w:ascii="Calibri" w:eastAsia="Calibri" w:hAnsi="Calibri" w:cs="Times New Roman"/>
        </w:rPr>
        <w:tab/>
        <w:t>.635</w:t>
      </w:r>
      <w:r w:rsidRPr="00022F29">
        <w:rPr>
          <w:rFonts w:ascii="Calibri" w:eastAsia="Calibri" w:hAnsi="Calibri" w:cs="Times New Roman"/>
        </w:rPr>
        <w:tab/>
        <w:t>8</w:t>
      </w:r>
    </w:p>
    <w:p w14:paraId="33AC903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w:t>
      </w:r>
      <w:r w:rsidRPr="00022F29">
        <w:rPr>
          <w:rFonts w:ascii="Calibri" w:eastAsia="Calibri" w:hAnsi="Calibri" w:cs="Times New Roman"/>
        </w:rPr>
        <w:tab/>
        <w:t>19</w:t>
      </w:r>
      <w:r w:rsidRPr="00022F29">
        <w:rPr>
          <w:rFonts w:ascii="Calibri" w:eastAsia="Calibri" w:hAnsi="Calibri" w:cs="Times New Roman"/>
        </w:rPr>
        <w:tab/>
        <w:t>20.084</w:t>
      </w:r>
      <w:r w:rsidRPr="00022F29">
        <w:rPr>
          <w:rFonts w:ascii="Calibri" w:eastAsia="Calibri" w:hAnsi="Calibri" w:cs="Times New Roman"/>
        </w:rPr>
        <w:tab/>
        <w:t>.390</w:t>
      </w:r>
      <w:r w:rsidRPr="00022F29">
        <w:rPr>
          <w:rFonts w:ascii="Calibri" w:eastAsia="Calibri" w:hAnsi="Calibri" w:cs="Times New Roman"/>
        </w:rPr>
        <w:tab/>
        <w:t>16.298</w:t>
      </w:r>
      <w:r w:rsidRPr="00022F29">
        <w:rPr>
          <w:rFonts w:ascii="Calibri" w:eastAsia="Calibri" w:hAnsi="Calibri" w:cs="Times New Roman"/>
        </w:rPr>
        <w:tab/>
        <w:t>.637</w:t>
      </w:r>
      <w:r w:rsidRPr="00022F29">
        <w:rPr>
          <w:rFonts w:ascii="Calibri" w:eastAsia="Calibri" w:hAnsi="Calibri" w:cs="Times New Roman"/>
        </w:rPr>
        <w:tab/>
        <w:t>8</w:t>
      </w:r>
    </w:p>
    <w:p w14:paraId="7E259DF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6</w:t>
      </w:r>
      <w:r w:rsidRPr="00022F29">
        <w:rPr>
          <w:rFonts w:ascii="Calibri" w:eastAsia="Calibri" w:hAnsi="Calibri" w:cs="Times New Roman"/>
        </w:rPr>
        <w:tab/>
        <w:t>3</w:t>
      </w:r>
      <w:r w:rsidRPr="00022F29">
        <w:rPr>
          <w:rFonts w:ascii="Calibri" w:eastAsia="Calibri" w:hAnsi="Calibri" w:cs="Times New Roman"/>
        </w:rPr>
        <w:tab/>
        <w:t>.438</w:t>
      </w:r>
      <w:r w:rsidRPr="00022F29">
        <w:rPr>
          <w:rFonts w:ascii="Calibri" w:eastAsia="Calibri" w:hAnsi="Calibri" w:cs="Times New Roman"/>
        </w:rPr>
        <w:tab/>
        <w:t>.932</w:t>
      </w:r>
      <w:r w:rsidRPr="00022F29">
        <w:rPr>
          <w:rFonts w:ascii="Calibri" w:eastAsia="Calibri" w:hAnsi="Calibri" w:cs="Times New Roman"/>
        </w:rPr>
        <w:tab/>
        <w:t>.230</w:t>
      </w:r>
      <w:r w:rsidRPr="00022F29">
        <w:rPr>
          <w:rFonts w:ascii="Calibri" w:eastAsia="Calibri" w:hAnsi="Calibri" w:cs="Times New Roman"/>
        </w:rPr>
        <w:tab/>
        <w:t>.973</w:t>
      </w:r>
      <w:r w:rsidRPr="00022F29">
        <w:rPr>
          <w:rFonts w:ascii="Calibri" w:eastAsia="Calibri" w:hAnsi="Calibri" w:cs="Times New Roman"/>
        </w:rPr>
        <w:tab/>
        <w:t>4</w:t>
      </w:r>
    </w:p>
    <w:p w14:paraId="042AF77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K-way Effectsb</w:t>
      </w:r>
      <w:r w:rsidRPr="00022F29">
        <w:rPr>
          <w:rFonts w:ascii="Calibri" w:eastAsia="Calibri" w:hAnsi="Calibri" w:cs="Times New Roman"/>
        </w:rPr>
        <w:tab/>
        <w:t>1</w:t>
      </w:r>
      <w:r w:rsidRPr="00022F29">
        <w:rPr>
          <w:rFonts w:ascii="Calibri" w:eastAsia="Calibri" w:hAnsi="Calibri" w:cs="Times New Roman"/>
        </w:rPr>
        <w:tab/>
        <w:t>8</w:t>
      </w:r>
      <w:r w:rsidRPr="00022F29">
        <w:rPr>
          <w:rFonts w:ascii="Calibri" w:eastAsia="Calibri" w:hAnsi="Calibri" w:cs="Times New Roman"/>
        </w:rPr>
        <w:tab/>
        <w:t>159.910</w:t>
      </w:r>
      <w:r w:rsidRPr="00022F29">
        <w:rPr>
          <w:rFonts w:ascii="Calibri" w:eastAsia="Calibri" w:hAnsi="Calibri" w:cs="Times New Roman"/>
        </w:rPr>
        <w:tab/>
        <w:t>.000</w:t>
      </w:r>
      <w:r w:rsidRPr="00022F29">
        <w:rPr>
          <w:rFonts w:ascii="Calibri" w:eastAsia="Calibri" w:hAnsi="Calibri" w:cs="Times New Roman"/>
        </w:rPr>
        <w:tab/>
        <w:t>214.318</w:t>
      </w:r>
      <w:r w:rsidRPr="00022F29">
        <w:rPr>
          <w:rFonts w:ascii="Calibri" w:eastAsia="Calibri" w:hAnsi="Calibri" w:cs="Times New Roman"/>
        </w:rPr>
        <w:tab/>
        <w:t>.000</w:t>
      </w:r>
      <w:r w:rsidRPr="00022F29">
        <w:rPr>
          <w:rFonts w:ascii="Calibri" w:eastAsia="Calibri" w:hAnsi="Calibri" w:cs="Times New Roman"/>
        </w:rPr>
        <w:tab/>
        <w:t>0</w:t>
      </w:r>
    </w:p>
    <w:p w14:paraId="7F6429C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25</w:t>
      </w:r>
      <w:r w:rsidRPr="00022F29">
        <w:rPr>
          <w:rFonts w:ascii="Calibri" w:eastAsia="Calibri" w:hAnsi="Calibri" w:cs="Times New Roman"/>
        </w:rPr>
        <w:tab/>
        <w:t>363.585</w:t>
      </w:r>
      <w:r w:rsidRPr="00022F29">
        <w:rPr>
          <w:rFonts w:ascii="Calibri" w:eastAsia="Calibri" w:hAnsi="Calibri" w:cs="Times New Roman"/>
        </w:rPr>
        <w:tab/>
        <w:t>.000</w:t>
      </w:r>
      <w:r w:rsidRPr="00022F29">
        <w:rPr>
          <w:rFonts w:ascii="Calibri" w:eastAsia="Calibri" w:hAnsi="Calibri" w:cs="Times New Roman"/>
        </w:rPr>
        <w:tab/>
        <w:t>391.134</w:t>
      </w:r>
      <w:r w:rsidRPr="00022F29">
        <w:rPr>
          <w:rFonts w:ascii="Calibri" w:eastAsia="Calibri" w:hAnsi="Calibri" w:cs="Times New Roman"/>
        </w:rPr>
        <w:tab/>
        <w:t>.000</w:t>
      </w:r>
      <w:r w:rsidRPr="00022F29">
        <w:rPr>
          <w:rFonts w:ascii="Calibri" w:eastAsia="Calibri" w:hAnsi="Calibri" w:cs="Times New Roman"/>
        </w:rPr>
        <w:tab/>
        <w:t>0</w:t>
      </w:r>
    </w:p>
    <w:p w14:paraId="40A3B52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40</w:t>
      </w:r>
      <w:r w:rsidRPr="00022F29">
        <w:rPr>
          <w:rFonts w:ascii="Calibri" w:eastAsia="Calibri" w:hAnsi="Calibri" w:cs="Times New Roman"/>
        </w:rPr>
        <w:tab/>
        <w:t>48.932</w:t>
      </w:r>
      <w:r w:rsidRPr="00022F29">
        <w:rPr>
          <w:rFonts w:ascii="Calibri" w:eastAsia="Calibri" w:hAnsi="Calibri" w:cs="Times New Roman"/>
        </w:rPr>
        <w:tab/>
        <w:t>.157</w:t>
      </w:r>
      <w:r w:rsidRPr="00022F29">
        <w:rPr>
          <w:rFonts w:ascii="Calibri" w:eastAsia="Calibri" w:hAnsi="Calibri" w:cs="Times New Roman"/>
        </w:rPr>
        <w:tab/>
        <w:t>44.298</w:t>
      </w:r>
      <w:r w:rsidRPr="00022F29">
        <w:rPr>
          <w:rFonts w:ascii="Calibri" w:eastAsia="Calibri" w:hAnsi="Calibri" w:cs="Times New Roman"/>
        </w:rPr>
        <w:tab/>
        <w:t>.295</w:t>
      </w:r>
      <w:r w:rsidRPr="00022F29">
        <w:rPr>
          <w:rFonts w:ascii="Calibri" w:eastAsia="Calibri" w:hAnsi="Calibri" w:cs="Times New Roman"/>
        </w:rPr>
        <w:tab/>
        <w:t>0</w:t>
      </w:r>
    </w:p>
    <w:p w14:paraId="636A38D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w:t>
      </w:r>
      <w:r w:rsidRPr="00022F29">
        <w:rPr>
          <w:rFonts w:ascii="Calibri" w:eastAsia="Calibri" w:hAnsi="Calibri" w:cs="Times New Roman"/>
        </w:rPr>
        <w:tab/>
        <w:t>35</w:t>
      </w:r>
      <w:r w:rsidRPr="00022F29">
        <w:rPr>
          <w:rFonts w:ascii="Calibri" w:eastAsia="Calibri" w:hAnsi="Calibri" w:cs="Times New Roman"/>
        </w:rPr>
        <w:tab/>
        <w:t>32.533</w:t>
      </w:r>
      <w:r w:rsidRPr="00022F29">
        <w:rPr>
          <w:rFonts w:ascii="Calibri" w:eastAsia="Calibri" w:hAnsi="Calibri" w:cs="Times New Roman"/>
        </w:rPr>
        <w:tab/>
        <w:t>.588</w:t>
      </w:r>
      <w:r w:rsidRPr="00022F29">
        <w:rPr>
          <w:rFonts w:ascii="Calibri" w:eastAsia="Calibri" w:hAnsi="Calibri" w:cs="Times New Roman"/>
        </w:rPr>
        <w:tab/>
        <w:t>33.565</w:t>
      </w:r>
      <w:r w:rsidRPr="00022F29">
        <w:rPr>
          <w:rFonts w:ascii="Calibri" w:eastAsia="Calibri" w:hAnsi="Calibri" w:cs="Times New Roman"/>
        </w:rPr>
        <w:tab/>
        <w:t>.537</w:t>
      </w:r>
      <w:r w:rsidRPr="00022F29">
        <w:rPr>
          <w:rFonts w:ascii="Calibri" w:eastAsia="Calibri" w:hAnsi="Calibri" w:cs="Times New Roman"/>
        </w:rPr>
        <w:tab/>
        <w:t>0</w:t>
      </w:r>
    </w:p>
    <w:p w14:paraId="7D128FF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5</w:t>
      </w:r>
      <w:r w:rsidRPr="00022F29">
        <w:rPr>
          <w:rFonts w:ascii="Calibri" w:eastAsia="Calibri" w:hAnsi="Calibri" w:cs="Times New Roman"/>
        </w:rPr>
        <w:tab/>
        <w:t>16</w:t>
      </w:r>
      <w:r w:rsidRPr="00022F29">
        <w:rPr>
          <w:rFonts w:ascii="Calibri" w:eastAsia="Calibri" w:hAnsi="Calibri" w:cs="Times New Roman"/>
        </w:rPr>
        <w:tab/>
        <w:t>19.645</w:t>
      </w:r>
      <w:r w:rsidRPr="00022F29">
        <w:rPr>
          <w:rFonts w:ascii="Calibri" w:eastAsia="Calibri" w:hAnsi="Calibri" w:cs="Times New Roman"/>
        </w:rPr>
        <w:tab/>
        <w:t>.237</w:t>
      </w:r>
      <w:r w:rsidRPr="00022F29">
        <w:rPr>
          <w:rFonts w:ascii="Calibri" w:eastAsia="Calibri" w:hAnsi="Calibri" w:cs="Times New Roman"/>
        </w:rPr>
        <w:tab/>
        <w:t>16.068</w:t>
      </w:r>
      <w:r w:rsidRPr="00022F29">
        <w:rPr>
          <w:rFonts w:ascii="Calibri" w:eastAsia="Calibri" w:hAnsi="Calibri" w:cs="Times New Roman"/>
        </w:rPr>
        <w:tab/>
        <w:t>.448</w:t>
      </w:r>
      <w:r w:rsidRPr="00022F29">
        <w:rPr>
          <w:rFonts w:ascii="Calibri" w:eastAsia="Calibri" w:hAnsi="Calibri" w:cs="Times New Roman"/>
        </w:rPr>
        <w:tab/>
        <w:t>0</w:t>
      </w:r>
    </w:p>
    <w:p w14:paraId="4C2A52C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6</w:t>
      </w:r>
      <w:r w:rsidRPr="00022F29">
        <w:rPr>
          <w:rFonts w:ascii="Calibri" w:eastAsia="Calibri" w:hAnsi="Calibri" w:cs="Times New Roman"/>
        </w:rPr>
        <w:tab/>
        <w:t>3</w:t>
      </w:r>
      <w:r w:rsidRPr="00022F29">
        <w:rPr>
          <w:rFonts w:ascii="Calibri" w:eastAsia="Calibri" w:hAnsi="Calibri" w:cs="Times New Roman"/>
        </w:rPr>
        <w:tab/>
        <w:t>.438</w:t>
      </w:r>
      <w:r w:rsidRPr="00022F29">
        <w:rPr>
          <w:rFonts w:ascii="Calibri" w:eastAsia="Calibri" w:hAnsi="Calibri" w:cs="Times New Roman"/>
        </w:rPr>
        <w:tab/>
        <w:t>.932</w:t>
      </w:r>
      <w:r w:rsidRPr="00022F29">
        <w:rPr>
          <w:rFonts w:ascii="Calibri" w:eastAsia="Calibri" w:hAnsi="Calibri" w:cs="Times New Roman"/>
        </w:rPr>
        <w:tab/>
        <w:t>.230</w:t>
      </w:r>
      <w:r w:rsidRPr="00022F29">
        <w:rPr>
          <w:rFonts w:ascii="Calibri" w:eastAsia="Calibri" w:hAnsi="Calibri" w:cs="Times New Roman"/>
        </w:rPr>
        <w:tab/>
        <w:t>.973</w:t>
      </w:r>
      <w:r w:rsidRPr="00022F29">
        <w:rPr>
          <w:rFonts w:ascii="Calibri" w:eastAsia="Calibri" w:hAnsi="Calibri" w:cs="Times New Roman"/>
        </w:rPr>
        <w:tab/>
        <w:t>0</w:t>
      </w:r>
    </w:p>
    <w:p w14:paraId="0EB7220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df used for these tests have NOT been adjusted for structural or sampling zeros. Tests using these df may be conservative.</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22A0DF5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 Tests that k-way and higher order effects are zero.</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10A548C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b Tests that k-way effects are zero.</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2FE4CB69" w14:textId="77777777" w:rsidR="00022F29" w:rsidRPr="00022F29" w:rsidRDefault="00022F29" w:rsidP="00022F29">
      <w:pPr>
        <w:rPr>
          <w:rFonts w:ascii="Calibri" w:eastAsia="Calibri" w:hAnsi="Calibri" w:cs="Times New Roman"/>
        </w:rPr>
      </w:pPr>
    </w:p>
    <w:p w14:paraId="775C56EE" w14:textId="77777777" w:rsidR="00022F29" w:rsidRPr="00022F29" w:rsidRDefault="00022F29" w:rsidP="00022F29">
      <w:pPr>
        <w:rPr>
          <w:rFonts w:ascii="Calibri" w:eastAsia="Calibri" w:hAnsi="Calibri" w:cs="Times New Roman"/>
        </w:rPr>
      </w:pPr>
    </w:p>
    <w:p w14:paraId="2C7FD5DC" w14:textId="77777777" w:rsidR="00022F29" w:rsidRPr="00022F29" w:rsidRDefault="00022F29" w:rsidP="00022F29">
      <w:pPr>
        <w:rPr>
          <w:rFonts w:ascii="Calibri" w:eastAsia="Calibri" w:hAnsi="Calibri" w:cs="Times New Roman"/>
        </w:rPr>
      </w:pPr>
    </w:p>
    <w:p w14:paraId="3F3C13E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Partial Associations</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7ED3E9C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Effect</w:t>
      </w:r>
      <w:r w:rsidRPr="00022F29">
        <w:rPr>
          <w:rFonts w:ascii="Calibri" w:eastAsia="Calibri" w:hAnsi="Calibri" w:cs="Times New Roman"/>
        </w:rPr>
        <w:tab/>
        <w:t>df</w:t>
      </w:r>
      <w:r w:rsidRPr="00022F29">
        <w:rPr>
          <w:rFonts w:ascii="Calibri" w:eastAsia="Calibri" w:hAnsi="Calibri" w:cs="Times New Roman"/>
        </w:rPr>
        <w:tab/>
        <w:t>Partial Chi-Square</w:t>
      </w:r>
      <w:r w:rsidRPr="00022F29">
        <w:rPr>
          <w:rFonts w:ascii="Calibri" w:eastAsia="Calibri" w:hAnsi="Calibri" w:cs="Times New Roman"/>
        </w:rPr>
        <w:tab/>
        <w:t>Sig.</w:t>
      </w:r>
      <w:r w:rsidRPr="00022F29">
        <w:rPr>
          <w:rFonts w:ascii="Calibri" w:eastAsia="Calibri" w:hAnsi="Calibri" w:cs="Times New Roman"/>
        </w:rPr>
        <w:tab/>
        <w:t>Number of Iterations</w:t>
      </w:r>
    </w:p>
    <w:p w14:paraId="22BCF40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A*FQuartile*AgeBinary*RevoveryD*RecoveryA</w:t>
      </w:r>
      <w:r w:rsidRPr="00022F29">
        <w:rPr>
          <w:rFonts w:ascii="Calibri" w:eastAsia="Calibri" w:hAnsi="Calibri" w:cs="Times New Roman"/>
        </w:rPr>
        <w:tab/>
        <w:t>3</w:t>
      </w:r>
      <w:r w:rsidRPr="00022F29">
        <w:rPr>
          <w:rFonts w:ascii="Calibri" w:eastAsia="Calibri" w:hAnsi="Calibri" w:cs="Times New Roman"/>
        </w:rPr>
        <w:tab/>
        <w:t>2.058</w:t>
      </w:r>
      <w:r w:rsidRPr="00022F29">
        <w:rPr>
          <w:rFonts w:ascii="Calibri" w:eastAsia="Calibri" w:hAnsi="Calibri" w:cs="Times New Roman"/>
        </w:rPr>
        <w:tab/>
        <w:t>.560</w:t>
      </w:r>
      <w:r w:rsidRPr="00022F29">
        <w:rPr>
          <w:rFonts w:ascii="Calibri" w:eastAsia="Calibri" w:hAnsi="Calibri" w:cs="Times New Roman"/>
        </w:rPr>
        <w:tab/>
        <w:t>5</w:t>
      </w:r>
    </w:p>
    <w:p w14:paraId="45EA7DF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A*FQuartile*AgeBinary*RevoveryD*GenderX</w:t>
      </w:r>
      <w:r w:rsidRPr="00022F29">
        <w:rPr>
          <w:rFonts w:ascii="Calibri" w:eastAsia="Calibri" w:hAnsi="Calibri" w:cs="Times New Roman"/>
        </w:rPr>
        <w:tab/>
        <w:t>3</w:t>
      </w:r>
      <w:r w:rsidRPr="00022F29">
        <w:rPr>
          <w:rFonts w:ascii="Calibri" w:eastAsia="Calibri" w:hAnsi="Calibri" w:cs="Times New Roman"/>
        </w:rPr>
        <w:tab/>
        <w:t>.651</w:t>
      </w:r>
      <w:r w:rsidRPr="00022F29">
        <w:rPr>
          <w:rFonts w:ascii="Calibri" w:eastAsia="Calibri" w:hAnsi="Calibri" w:cs="Times New Roman"/>
        </w:rPr>
        <w:tab/>
        <w:t>.885</w:t>
      </w:r>
      <w:r w:rsidRPr="00022F29">
        <w:rPr>
          <w:rFonts w:ascii="Calibri" w:eastAsia="Calibri" w:hAnsi="Calibri" w:cs="Times New Roman"/>
        </w:rPr>
        <w:tab/>
        <w:t>4</w:t>
      </w:r>
    </w:p>
    <w:p w14:paraId="4FEE78B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A*FQuartile*AgeBinary*RecoveryA*GenderX</w:t>
      </w:r>
      <w:r w:rsidRPr="00022F29">
        <w:rPr>
          <w:rFonts w:ascii="Calibri" w:eastAsia="Calibri" w:hAnsi="Calibri" w:cs="Times New Roman"/>
        </w:rPr>
        <w:tab/>
        <w:t>3</w:t>
      </w:r>
      <w:r w:rsidRPr="00022F29">
        <w:rPr>
          <w:rFonts w:ascii="Calibri" w:eastAsia="Calibri" w:hAnsi="Calibri" w:cs="Times New Roman"/>
        </w:rPr>
        <w:tab/>
        <w:t>7.437</w:t>
      </w:r>
      <w:r w:rsidRPr="00022F29">
        <w:rPr>
          <w:rFonts w:ascii="Calibri" w:eastAsia="Calibri" w:hAnsi="Calibri" w:cs="Times New Roman"/>
        </w:rPr>
        <w:tab/>
        <w:t>.059</w:t>
      </w:r>
      <w:r w:rsidRPr="00022F29">
        <w:rPr>
          <w:rFonts w:ascii="Calibri" w:eastAsia="Calibri" w:hAnsi="Calibri" w:cs="Times New Roman"/>
        </w:rPr>
        <w:tab/>
        <w:t>7</w:t>
      </w:r>
    </w:p>
    <w:p w14:paraId="0A9AE3F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A*FQuartile*RevoveryD*RecoveryA*GenderX</w:t>
      </w:r>
      <w:r w:rsidRPr="00022F29">
        <w:rPr>
          <w:rFonts w:ascii="Calibri" w:eastAsia="Calibri" w:hAnsi="Calibri" w:cs="Times New Roman"/>
        </w:rPr>
        <w:tab/>
        <w:t>3</w:t>
      </w:r>
      <w:r w:rsidRPr="00022F29">
        <w:rPr>
          <w:rFonts w:ascii="Calibri" w:eastAsia="Calibri" w:hAnsi="Calibri" w:cs="Times New Roman"/>
        </w:rPr>
        <w:tab/>
        <w:t>.199</w:t>
      </w:r>
      <w:r w:rsidRPr="00022F29">
        <w:rPr>
          <w:rFonts w:ascii="Calibri" w:eastAsia="Calibri" w:hAnsi="Calibri" w:cs="Times New Roman"/>
        </w:rPr>
        <w:tab/>
        <w:t>.978</w:t>
      </w:r>
      <w:r w:rsidRPr="00022F29">
        <w:rPr>
          <w:rFonts w:ascii="Calibri" w:eastAsia="Calibri" w:hAnsi="Calibri" w:cs="Times New Roman"/>
        </w:rPr>
        <w:tab/>
        <w:t>4</w:t>
      </w:r>
    </w:p>
    <w:p w14:paraId="73287DD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A*AgeBinary*RevoveryD*RecoveryA*GenderX</w:t>
      </w:r>
      <w:r w:rsidRPr="00022F29">
        <w:rPr>
          <w:rFonts w:ascii="Calibri" w:eastAsia="Calibri" w:hAnsi="Calibri" w:cs="Times New Roman"/>
        </w:rPr>
        <w:tab/>
        <w:t>1</w:t>
      </w:r>
      <w:r w:rsidRPr="00022F29">
        <w:rPr>
          <w:rFonts w:ascii="Calibri" w:eastAsia="Calibri" w:hAnsi="Calibri" w:cs="Times New Roman"/>
        </w:rPr>
        <w:tab/>
        <w:t>.028</w:t>
      </w:r>
      <w:r w:rsidRPr="00022F29">
        <w:rPr>
          <w:rFonts w:ascii="Calibri" w:eastAsia="Calibri" w:hAnsi="Calibri" w:cs="Times New Roman"/>
        </w:rPr>
        <w:tab/>
        <w:t>.867</w:t>
      </w:r>
      <w:r w:rsidRPr="00022F29">
        <w:rPr>
          <w:rFonts w:ascii="Calibri" w:eastAsia="Calibri" w:hAnsi="Calibri" w:cs="Times New Roman"/>
        </w:rPr>
        <w:tab/>
        <w:t>4</w:t>
      </w:r>
    </w:p>
    <w:p w14:paraId="73710F7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FQuartile*AgeBinary*RevoveryD*RecoveryA*GenderX</w:t>
      </w:r>
      <w:r w:rsidRPr="00022F29">
        <w:rPr>
          <w:rFonts w:ascii="Calibri" w:eastAsia="Calibri" w:hAnsi="Calibri" w:cs="Times New Roman"/>
        </w:rPr>
        <w:tab/>
        <w:t>3</w:t>
      </w:r>
      <w:r w:rsidRPr="00022F29">
        <w:rPr>
          <w:rFonts w:ascii="Calibri" w:eastAsia="Calibri" w:hAnsi="Calibri" w:cs="Times New Roman"/>
        </w:rPr>
        <w:tab/>
        <w:t>2.392</w:t>
      </w:r>
      <w:r w:rsidRPr="00022F29">
        <w:rPr>
          <w:rFonts w:ascii="Calibri" w:eastAsia="Calibri" w:hAnsi="Calibri" w:cs="Times New Roman"/>
        </w:rPr>
        <w:tab/>
        <w:t>.495</w:t>
      </w:r>
      <w:r w:rsidRPr="00022F29">
        <w:rPr>
          <w:rFonts w:ascii="Calibri" w:eastAsia="Calibri" w:hAnsi="Calibri" w:cs="Times New Roman"/>
        </w:rPr>
        <w:tab/>
        <w:t>3</w:t>
      </w:r>
    </w:p>
    <w:p w14:paraId="536AA75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A*FQuartile*AgeBinary*RevoveryD</w:t>
      </w:r>
      <w:r w:rsidRPr="00022F29">
        <w:rPr>
          <w:rFonts w:ascii="Calibri" w:eastAsia="Calibri" w:hAnsi="Calibri" w:cs="Times New Roman"/>
        </w:rPr>
        <w:tab/>
        <w:t>3</w:t>
      </w:r>
      <w:r w:rsidRPr="00022F29">
        <w:rPr>
          <w:rFonts w:ascii="Calibri" w:eastAsia="Calibri" w:hAnsi="Calibri" w:cs="Times New Roman"/>
        </w:rPr>
        <w:tab/>
        <w:t>1.988</w:t>
      </w:r>
      <w:r w:rsidRPr="00022F29">
        <w:rPr>
          <w:rFonts w:ascii="Calibri" w:eastAsia="Calibri" w:hAnsi="Calibri" w:cs="Times New Roman"/>
        </w:rPr>
        <w:tab/>
        <w:t>.575</w:t>
      </w:r>
      <w:r w:rsidRPr="00022F29">
        <w:rPr>
          <w:rFonts w:ascii="Calibri" w:eastAsia="Calibri" w:hAnsi="Calibri" w:cs="Times New Roman"/>
        </w:rPr>
        <w:tab/>
        <w:t>9</w:t>
      </w:r>
    </w:p>
    <w:p w14:paraId="3DA2721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A*FQuartile*AgeBinary*RecoveryA</w:t>
      </w:r>
      <w:r w:rsidRPr="00022F29">
        <w:rPr>
          <w:rFonts w:ascii="Calibri" w:eastAsia="Calibri" w:hAnsi="Calibri" w:cs="Times New Roman"/>
        </w:rPr>
        <w:tab/>
        <w:t>3</w:t>
      </w:r>
      <w:r w:rsidRPr="00022F29">
        <w:rPr>
          <w:rFonts w:ascii="Calibri" w:eastAsia="Calibri" w:hAnsi="Calibri" w:cs="Times New Roman"/>
        </w:rPr>
        <w:tab/>
        <w:t>5.201</w:t>
      </w:r>
      <w:r w:rsidRPr="00022F29">
        <w:rPr>
          <w:rFonts w:ascii="Calibri" w:eastAsia="Calibri" w:hAnsi="Calibri" w:cs="Times New Roman"/>
        </w:rPr>
        <w:tab/>
        <w:t>.158</w:t>
      </w:r>
      <w:r w:rsidRPr="00022F29">
        <w:rPr>
          <w:rFonts w:ascii="Calibri" w:eastAsia="Calibri" w:hAnsi="Calibri" w:cs="Times New Roman"/>
        </w:rPr>
        <w:tab/>
        <w:t>8</w:t>
      </w:r>
    </w:p>
    <w:p w14:paraId="1C00EDF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A*FQuartile*RevoveryD*RecoveryA</w:t>
      </w:r>
      <w:r w:rsidRPr="00022F29">
        <w:rPr>
          <w:rFonts w:ascii="Calibri" w:eastAsia="Calibri" w:hAnsi="Calibri" w:cs="Times New Roman"/>
        </w:rPr>
        <w:tab/>
        <w:t>3</w:t>
      </w:r>
      <w:r w:rsidRPr="00022F29">
        <w:rPr>
          <w:rFonts w:ascii="Calibri" w:eastAsia="Calibri" w:hAnsi="Calibri" w:cs="Times New Roman"/>
        </w:rPr>
        <w:tab/>
        <w:t>.378</w:t>
      </w:r>
      <w:r w:rsidRPr="00022F29">
        <w:rPr>
          <w:rFonts w:ascii="Calibri" w:eastAsia="Calibri" w:hAnsi="Calibri" w:cs="Times New Roman"/>
        </w:rPr>
        <w:tab/>
        <w:t>.945</w:t>
      </w:r>
      <w:r w:rsidRPr="00022F29">
        <w:rPr>
          <w:rFonts w:ascii="Calibri" w:eastAsia="Calibri" w:hAnsi="Calibri" w:cs="Times New Roman"/>
        </w:rPr>
        <w:tab/>
        <w:t>8</w:t>
      </w:r>
    </w:p>
    <w:p w14:paraId="6AB633B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A*AgeBinary*RevoveryD*RecoveryA</w:t>
      </w:r>
      <w:r w:rsidRPr="00022F29">
        <w:rPr>
          <w:rFonts w:ascii="Calibri" w:eastAsia="Calibri" w:hAnsi="Calibri" w:cs="Times New Roman"/>
        </w:rPr>
        <w:tab/>
        <w:t>1</w:t>
      </w:r>
      <w:r w:rsidRPr="00022F29">
        <w:rPr>
          <w:rFonts w:ascii="Calibri" w:eastAsia="Calibri" w:hAnsi="Calibri" w:cs="Times New Roman"/>
        </w:rPr>
        <w:tab/>
        <w:t>.154</w:t>
      </w:r>
      <w:r w:rsidRPr="00022F29">
        <w:rPr>
          <w:rFonts w:ascii="Calibri" w:eastAsia="Calibri" w:hAnsi="Calibri" w:cs="Times New Roman"/>
        </w:rPr>
        <w:tab/>
        <w:t>.695</w:t>
      </w:r>
      <w:r w:rsidRPr="00022F29">
        <w:rPr>
          <w:rFonts w:ascii="Calibri" w:eastAsia="Calibri" w:hAnsi="Calibri" w:cs="Times New Roman"/>
        </w:rPr>
        <w:tab/>
        <w:t>8</w:t>
      </w:r>
    </w:p>
    <w:p w14:paraId="6AEAA72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FQuartile*AgeBinary*RevoveryD*RecoveryA</w:t>
      </w:r>
      <w:r w:rsidRPr="00022F29">
        <w:rPr>
          <w:rFonts w:ascii="Calibri" w:eastAsia="Calibri" w:hAnsi="Calibri" w:cs="Times New Roman"/>
        </w:rPr>
        <w:tab/>
        <w:t>3</w:t>
      </w:r>
      <w:r w:rsidRPr="00022F29">
        <w:rPr>
          <w:rFonts w:ascii="Calibri" w:eastAsia="Calibri" w:hAnsi="Calibri" w:cs="Times New Roman"/>
        </w:rPr>
        <w:tab/>
        <w:t>6.482</w:t>
      </w:r>
      <w:r w:rsidRPr="00022F29">
        <w:rPr>
          <w:rFonts w:ascii="Calibri" w:eastAsia="Calibri" w:hAnsi="Calibri" w:cs="Times New Roman"/>
        </w:rPr>
        <w:tab/>
        <w:t>.090</w:t>
      </w:r>
      <w:r w:rsidRPr="00022F29">
        <w:rPr>
          <w:rFonts w:ascii="Calibri" w:eastAsia="Calibri" w:hAnsi="Calibri" w:cs="Times New Roman"/>
        </w:rPr>
        <w:tab/>
        <w:t>7</w:t>
      </w:r>
    </w:p>
    <w:p w14:paraId="471C764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A*FQuartile*AgeBinary*GenderX</w:t>
      </w:r>
      <w:r w:rsidRPr="00022F29">
        <w:rPr>
          <w:rFonts w:ascii="Calibri" w:eastAsia="Calibri" w:hAnsi="Calibri" w:cs="Times New Roman"/>
        </w:rPr>
        <w:tab/>
        <w:t>3</w:t>
      </w:r>
      <w:r w:rsidRPr="00022F29">
        <w:rPr>
          <w:rFonts w:ascii="Calibri" w:eastAsia="Calibri" w:hAnsi="Calibri" w:cs="Times New Roman"/>
        </w:rPr>
        <w:tab/>
        <w:t>4.516</w:t>
      </w:r>
      <w:r w:rsidRPr="00022F29">
        <w:rPr>
          <w:rFonts w:ascii="Calibri" w:eastAsia="Calibri" w:hAnsi="Calibri" w:cs="Times New Roman"/>
        </w:rPr>
        <w:tab/>
        <w:t>.211</w:t>
      </w:r>
      <w:r w:rsidRPr="00022F29">
        <w:rPr>
          <w:rFonts w:ascii="Calibri" w:eastAsia="Calibri" w:hAnsi="Calibri" w:cs="Times New Roman"/>
        </w:rPr>
        <w:tab/>
        <w:t>8</w:t>
      </w:r>
    </w:p>
    <w:p w14:paraId="29F2C1F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A*FQuartile*RevoveryD*GenderX</w:t>
      </w:r>
      <w:r w:rsidRPr="00022F29">
        <w:rPr>
          <w:rFonts w:ascii="Calibri" w:eastAsia="Calibri" w:hAnsi="Calibri" w:cs="Times New Roman"/>
        </w:rPr>
        <w:tab/>
        <w:t>3</w:t>
      </w:r>
      <w:r w:rsidRPr="00022F29">
        <w:rPr>
          <w:rFonts w:ascii="Calibri" w:eastAsia="Calibri" w:hAnsi="Calibri" w:cs="Times New Roman"/>
        </w:rPr>
        <w:tab/>
        <w:t>3.635</w:t>
      </w:r>
      <w:r w:rsidRPr="00022F29">
        <w:rPr>
          <w:rFonts w:ascii="Calibri" w:eastAsia="Calibri" w:hAnsi="Calibri" w:cs="Times New Roman"/>
        </w:rPr>
        <w:tab/>
        <w:t>.304</w:t>
      </w:r>
      <w:r w:rsidRPr="00022F29">
        <w:rPr>
          <w:rFonts w:ascii="Calibri" w:eastAsia="Calibri" w:hAnsi="Calibri" w:cs="Times New Roman"/>
        </w:rPr>
        <w:tab/>
        <w:t>7</w:t>
      </w:r>
    </w:p>
    <w:p w14:paraId="6108B6D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A*AgeBinary*RevoveryD*GenderX</w:t>
      </w:r>
      <w:r w:rsidRPr="00022F29">
        <w:rPr>
          <w:rFonts w:ascii="Calibri" w:eastAsia="Calibri" w:hAnsi="Calibri" w:cs="Times New Roman"/>
        </w:rPr>
        <w:tab/>
        <w:t>1</w:t>
      </w:r>
      <w:r w:rsidRPr="00022F29">
        <w:rPr>
          <w:rFonts w:ascii="Calibri" w:eastAsia="Calibri" w:hAnsi="Calibri" w:cs="Times New Roman"/>
        </w:rPr>
        <w:tab/>
        <w:t>.758</w:t>
      </w:r>
      <w:r w:rsidRPr="00022F29">
        <w:rPr>
          <w:rFonts w:ascii="Calibri" w:eastAsia="Calibri" w:hAnsi="Calibri" w:cs="Times New Roman"/>
        </w:rPr>
        <w:tab/>
        <w:t>.384</w:t>
      </w:r>
      <w:r w:rsidRPr="00022F29">
        <w:rPr>
          <w:rFonts w:ascii="Calibri" w:eastAsia="Calibri" w:hAnsi="Calibri" w:cs="Times New Roman"/>
        </w:rPr>
        <w:tab/>
        <w:t>6</w:t>
      </w:r>
    </w:p>
    <w:p w14:paraId="265C1FB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FQuartile*AgeBinary*RevoveryD*GenderX</w:t>
      </w:r>
      <w:r w:rsidRPr="00022F29">
        <w:rPr>
          <w:rFonts w:ascii="Calibri" w:eastAsia="Calibri" w:hAnsi="Calibri" w:cs="Times New Roman"/>
        </w:rPr>
        <w:tab/>
        <w:t>3</w:t>
      </w:r>
      <w:r w:rsidRPr="00022F29">
        <w:rPr>
          <w:rFonts w:ascii="Calibri" w:eastAsia="Calibri" w:hAnsi="Calibri" w:cs="Times New Roman"/>
        </w:rPr>
        <w:tab/>
        <w:t>4.751</w:t>
      </w:r>
      <w:r w:rsidRPr="00022F29">
        <w:rPr>
          <w:rFonts w:ascii="Calibri" w:eastAsia="Calibri" w:hAnsi="Calibri" w:cs="Times New Roman"/>
        </w:rPr>
        <w:tab/>
        <w:t>.191</w:t>
      </w:r>
      <w:r w:rsidRPr="00022F29">
        <w:rPr>
          <w:rFonts w:ascii="Calibri" w:eastAsia="Calibri" w:hAnsi="Calibri" w:cs="Times New Roman"/>
        </w:rPr>
        <w:tab/>
        <w:t>6</w:t>
      </w:r>
    </w:p>
    <w:p w14:paraId="37398AB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A*FQuartile*RecoveryA*GenderX</w:t>
      </w:r>
      <w:r w:rsidRPr="00022F29">
        <w:rPr>
          <w:rFonts w:ascii="Calibri" w:eastAsia="Calibri" w:hAnsi="Calibri" w:cs="Times New Roman"/>
        </w:rPr>
        <w:tab/>
        <w:t>3</w:t>
      </w:r>
      <w:r w:rsidRPr="00022F29">
        <w:rPr>
          <w:rFonts w:ascii="Calibri" w:eastAsia="Calibri" w:hAnsi="Calibri" w:cs="Times New Roman"/>
        </w:rPr>
        <w:tab/>
        <w:t>1.687</w:t>
      </w:r>
      <w:r w:rsidRPr="00022F29">
        <w:rPr>
          <w:rFonts w:ascii="Calibri" w:eastAsia="Calibri" w:hAnsi="Calibri" w:cs="Times New Roman"/>
        </w:rPr>
        <w:tab/>
        <w:t>.640</w:t>
      </w:r>
      <w:r w:rsidRPr="00022F29">
        <w:rPr>
          <w:rFonts w:ascii="Calibri" w:eastAsia="Calibri" w:hAnsi="Calibri" w:cs="Times New Roman"/>
        </w:rPr>
        <w:tab/>
        <w:t>7</w:t>
      </w:r>
    </w:p>
    <w:p w14:paraId="358C7E0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A*AgeBinary*RecoveryA*GenderX</w:t>
      </w:r>
      <w:r w:rsidRPr="00022F29">
        <w:rPr>
          <w:rFonts w:ascii="Calibri" w:eastAsia="Calibri" w:hAnsi="Calibri" w:cs="Times New Roman"/>
        </w:rPr>
        <w:tab/>
        <w:t>1</w:t>
      </w:r>
      <w:r w:rsidRPr="00022F29">
        <w:rPr>
          <w:rFonts w:ascii="Calibri" w:eastAsia="Calibri" w:hAnsi="Calibri" w:cs="Times New Roman"/>
        </w:rPr>
        <w:tab/>
        <w:t>3.435</w:t>
      </w:r>
      <w:r w:rsidRPr="00022F29">
        <w:rPr>
          <w:rFonts w:ascii="Calibri" w:eastAsia="Calibri" w:hAnsi="Calibri" w:cs="Times New Roman"/>
        </w:rPr>
        <w:tab/>
        <w:t>.064</w:t>
      </w:r>
      <w:r w:rsidRPr="00022F29">
        <w:rPr>
          <w:rFonts w:ascii="Calibri" w:eastAsia="Calibri" w:hAnsi="Calibri" w:cs="Times New Roman"/>
        </w:rPr>
        <w:tab/>
        <w:t>5</w:t>
      </w:r>
    </w:p>
    <w:p w14:paraId="69CAC42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FQuartile*AgeBinary*RecoveryA*GenderX</w:t>
      </w:r>
      <w:r w:rsidRPr="00022F29">
        <w:rPr>
          <w:rFonts w:ascii="Calibri" w:eastAsia="Calibri" w:hAnsi="Calibri" w:cs="Times New Roman"/>
        </w:rPr>
        <w:tab/>
        <w:t>3</w:t>
      </w:r>
      <w:r w:rsidRPr="00022F29">
        <w:rPr>
          <w:rFonts w:ascii="Calibri" w:eastAsia="Calibri" w:hAnsi="Calibri" w:cs="Times New Roman"/>
        </w:rPr>
        <w:tab/>
        <w:t>1.834</w:t>
      </w:r>
      <w:r w:rsidRPr="00022F29">
        <w:rPr>
          <w:rFonts w:ascii="Calibri" w:eastAsia="Calibri" w:hAnsi="Calibri" w:cs="Times New Roman"/>
        </w:rPr>
        <w:tab/>
        <w:t>.607</w:t>
      </w:r>
      <w:r w:rsidRPr="00022F29">
        <w:rPr>
          <w:rFonts w:ascii="Calibri" w:eastAsia="Calibri" w:hAnsi="Calibri" w:cs="Times New Roman"/>
        </w:rPr>
        <w:tab/>
        <w:t>5</w:t>
      </w:r>
    </w:p>
    <w:p w14:paraId="22D4EE0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A*RevoveryD*RecoveryA*GenderX</w:t>
      </w:r>
      <w:r w:rsidRPr="00022F29">
        <w:rPr>
          <w:rFonts w:ascii="Calibri" w:eastAsia="Calibri" w:hAnsi="Calibri" w:cs="Times New Roman"/>
        </w:rPr>
        <w:tab/>
        <w:t>1</w:t>
      </w:r>
      <w:r w:rsidRPr="00022F29">
        <w:rPr>
          <w:rFonts w:ascii="Calibri" w:eastAsia="Calibri" w:hAnsi="Calibri" w:cs="Times New Roman"/>
        </w:rPr>
        <w:tab/>
        <w:t>3.522</w:t>
      </w:r>
      <w:r w:rsidRPr="00022F29">
        <w:rPr>
          <w:rFonts w:ascii="Calibri" w:eastAsia="Calibri" w:hAnsi="Calibri" w:cs="Times New Roman"/>
        </w:rPr>
        <w:tab/>
        <w:t>.061</w:t>
      </w:r>
      <w:r w:rsidRPr="00022F29">
        <w:rPr>
          <w:rFonts w:ascii="Calibri" w:eastAsia="Calibri" w:hAnsi="Calibri" w:cs="Times New Roman"/>
        </w:rPr>
        <w:tab/>
        <w:t>7</w:t>
      </w:r>
    </w:p>
    <w:p w14:paraId="5DBD64A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FQuartile*RevoveryD*RecoveryA*GenderX</w:t>
      </w:r>
      <w:r w:rsidRPr="00022F29">
        <w:rPr>
          <w:rFonts w:ascii="Calibri" w:eastAsia="Calibri" w:hAnsi="Calibri" w:cs="Times New Roman"/>
        </w:rPr>
        <w:tab/>
        <w:t>3</w:t>
      </w:r>
      <w:r w:rsidRPr="00022F29">
        <w:rPr>
          <w:rFonts w:ascii="Calibri" w:eastAsia="Calibri" w:hAnsi="Calibri" w:cs="Times New Roman"/>
        </w:rPr>
        <w:tab/>
        <w:t>2.626</w:t>
      </w:r>
      <w:r w:rsidRPr="00022F29">
        <w:rPr>
          <w:rFonts w:ascii="Calibri" w:eastAsia="Calibri" w:hAnsi="Calibri" w:cs="Times New Roman"/>
        </w:rPr>
        <w:tab/>
        <w:t>.453</w:t>
      </w:r>
      <w:r w:rsidRPr="00022F29">
        <w:rPr>
          <w:rFonts w:ascii="Calibri" w:eastAsia="Calibri" w:hAnsi="Calibri" w:cs="Times New Roman"/>
        </w:rPr>
        <w:tab/>
        <w:t>8</w:t>
      </w:r>
    </w:p>
    <w:p w14:paraId="45CB452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AgeBinary*RevoveryD*RecoveryA*GenderX</w:t>
      </w:r>
      <w:r w:rsidRPr="00022F29">
        <w:rPr>
          <w:rFonts w:ascii="Calibri" w:eastAsia="Calibri" w:hAnsi="Calibri" w:cs="Times New Roman"/>
        </w:rPr>
        <w:tab/>
        <w:t>1</w:t>
      </w:r>
      <w:r w:rsidRPr="00022F29">
        <w:rPr>
          <w:rFonts w:ascii="Calibri" w:eastAsia="Calibri" w:hAnsi="Calibri" w:cs="Times New Roman"/>
        </w:rPr>
        <w:tab/>
        <w:t>.003</w:t>
      </w:r>
      <w:r w:rsidRPr="00022F29">
        <w:rPr>
          <w:rFonts w:ascii="Calibri" w:eastAsia="Calibri" w:hAnsi="Calibri" w:cs="Times New Roman"/>
        </w:rPr>
        <w:tab/>
        <w:t>.955</w:t>
      </w:r>
      <w:r w:rsidRPr="00022F29">
        <w:rPr>
          <w:rFonts w:ascii="Calibri" w:eastAsia="Calibri" w:hAnsi="Calibri" w:cs="Times New Roman"/>
        </w:rPr>
        <w:tab/>
        <w:t>9</w:t>
      </w:r>
    </w:p>
    <w:p w14:paraId="2228543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A*FQuartile*AgeBinary</w:t>
      </w:r>
      <w:r w:rsidRPr="00022F29">
        <w:rPr>
          <w:rFonts w:ascii="Calibri" w:eastAsia="Calibri" w:hAnsi="Calibri" w:cs="Times New Roman"/>
        </w:rPr>
        <w:tab/>
        <w:t>3</w:t>
      </w:r>
      <w:r w:rsidRPr="00022F29">
        <w:rPr>
          <w:rFonts w:ascii="Calibri" w:eastAsia="Calibri" w:hAnsi="Calibri" w:cs="Times New Roman"/>
        </w:rPr>
        <w:tab/>
        <w:t>1.177</w:t>
      </w:r>
      <w:r w:rsidRPr="00022F29">
        <w:rPr>
          <w:rFonts w:ascii="Calibri" w:eastAsia="Calibri" w:hAnsi="Calibri" w:cs="Times New Roman"/>
        </w:rPr>
        <w:tab/>
        <w:t>.759</w:t>
      </w:r>
      <w:r w:rsidRPr="00022F29">
        <w:rPr>
          <w:rFonts w:ascii="Calibri" w:eastAsia="Calibri" w:hAnsi="Calibri" w:cs="Times New Roman"/>
        </w:rPr>
        <w:tab/>
        <w:t>8</w:t>
      </w:r>
    </w:p>
    <w:p w14:paraId="003294A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A*FQuartile*RevoveryD</w:t>
      </w:r>
      <w:r w:rsidRPr="00022F29">
        <w:rPr>
          <w:rFonts w:ascii="Calibri" w:eastAsia="Calibri" w:hAnsi="Calibri" w:cs="Times New Roman"/>
        </w:rPr>
        <w:tab/>
        <w:t>3</w:t>
      </w:r>
      <w:r w:rsidRPr="00022F29">
        <w:rPr>
          <w:rFonts w:ascii="Calibri" w:eastAsia="Calibri" w:hAnsi="Calibri" w:cs="Times New Roman"/>
        </w:rPr>
        <w:tab/>
        <w:t>1.217</w:t>
      </w:r>
      <w:r w:rsidRPr="00022F29">
        <w:rPr>
          <w:rFonts w:ascii="Calibri" w:eastAsia="Calibri" w:hAnsi="Calibri" w:cs="Times New Roman"/>
        </w:rPr>
        <w:tab/>
        <w:t>.749</w:t>
      </w:r>
      <w:r w:rsidRPr="00022F29">
        <w:rPr>
          <w:rFonts w:ascii="Calibri" w:eastAsia="Calibri" w:hAnsi="Calibri" w:cs="Times New Roman"/>
        </w:rPr>
        <w:tab/>
        <w:t>8</w:t>
      </w:r>
    </w:p>
    <w:p w14:paraId="2F7E5F2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A*AgeBinary*RevoveryD</w:t>
      </w:r>
      <w:r w:rsidRPr="00022F29">
        <w:rPr>
          <w:rFonts w:ascii="Calibri" w:eastAsia="Calibri" w:hAnsi="Calibri" w:cs="Times New Roman"/>
        </w:rPr>
        <w:tab/>
        <w:t>1</w:t>
      </w:r>
      <w:r w:rsidRPr="00022F29">
        <w:rPr>
          <w:rFonts w:ascii="Calibri" w:eastAsia="Calibri" w:hAnsi="Calibri" w:cs="Times New Roman"/>
        </w:rPr>
        <w:tab/>
        <w:t>1.000</w:t>
      </w:r>
      <w:r w:rsidRPr="00022F29">
        <w:rPr>
          <w:rFonts w:ascii="Calibri" w:eastAsia="Calibri" w:hAnsi="Calibri" w:cs="Times New Roman"/>
        </w:rPr>
        <w:tab/>
        <w:t>.317</w:t>
      </w:r>
      <w:r w:rsidRPr="00022F29">
        <w:rPr>
          <w:rFonts w:ascii="Calibri" w:eastAsia="Calibri" w:hAnsi="Calibri" w:cs="Times New Roman"/>
        </w:rPr>
        <w:tab/>
        <w:t>8</w:t>
      </w:r>
    </w:p>
    <w:p w14:paraId="1E153EC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FQuartile*AgeBinary*RevoveryD</w:t>
      </w:r>
      <w:r w:rsidRPr="00022F29">
        <w:rPr>
          <w:rFonts w:ascii="Calibri" w:eastAsia="Calibri" w:hAnsi="Calibri" w:cs="Times New Roman"/>
        </w:rPr>
        <w:tab/>
        <w:t>3</w:t>
      </w:r>
      <w:r w:rsidRPr="00022F29">
        <w:rPr>
          <w:rFonts w:ascii="Calibri" w:eastAsia="Calibri" w:hAnsi="Calibri" w:cs="Times New Roman"/>
        </w:rPr>
        <w:tab/>
        <w:t>4.486</w:t>
      </w:r>
      <w:r w:rsidRPr="00022F29">
        <w:rPr>
          <w:rFonts w:ascii="Calibri" w:eastAsia="Calibri" w:hAnsi="Calibri" w:cs="Times New Roman"/>
        </w:rPr>
        <w:tab/>
        <w:t>.214</w:t>
      </w:r>
      <w:r w:rsidRPr="00022F29">
        <w:rPr>
          <w:rFonts w:ascii="Calibri" w:eastAsia="Calibri" w:hAnsi="Calibri" w:cs="Times New Roman"/>
        </w:rPr>
        <w:tab/>
        <w:t>7</w:t>
      </w:r>
    </w:p>
    <w:p w14:paraId="30151CF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A*FQuartile*RecoveryA</w:t>
      </w:r>
      <w:r w:rsidRPr="00022F29">
        <w:rPr>
          <w:rFonts w:ascii="Calibri" w:eastAsia="Calibri" w:hAnsi="Calibri" w:cs="Times New Roman"/>
        </w:rPr>
        <w:tab/>
        <w:t>3</w:t>
      </w:r>
      <w:r w:rsidRPr="00022F29">
        <w:rPr>
          <w:rFonts w:ascii="Calibri" w:eastAsia="Calibri" w:hAnsi="Calibri" w:cs="Times New Roman"/>
        </w:rPr>
        <w:tab/>
        <w:t>2.868</w:t>
      </w:r>
      <w:r w:rsidRPr="00022F29">
        <w:rPr>
          <w:rFonts w:ascii="Calibri" w:eastAsia="Calibri" w:hAnsi="Calibri" w:cs="Times New Roman"/>
        </w:rPr>
        <w:tab/>
        <w:t>.412</w:t>
      </w:r>
      <w:r w:rsidRPr="00022F29">
        <w:rPr>
          <w:rFonts w:ascii="Calibri" w:eastAsia="Calibri" w:hAnsi="Calibri" w:cs="Times New Roman"/>
        </w:rPr>
        <w:tab/>
        <w:t>8</w:t>
      </w:r>
    </w:p>
    <w:p w14:paraId="3505526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A*AgeBinary*RecoveryA</w:t>
      </w:r>
      <w:r w:rsidRPr="00022F29">
        <w:rPr>
          <w:rFonts w:ascii="Calibri" w:eastAsia="Calibri" w:hAnsi="Calibri" w:cs="Times New Roman"/>
        </w:rPr>
        <w:tab/>
        <w:t>1</w:t>
      </w:r>
      <w:r w:rsidRPr="00022F29">
        <w:rPr>
          <w:rFonts w:ascii="Calibri" w:eastAsia="Calibri" w:hAnsi="Calibri" w:cs="Times New Roman"/>
        </w:rPr>
        <w:tab/>
        <w:t>.131</w:t>
      </w:r>
      <w:r w:rsidRPr="00022F29">
        <w:rPr>
          <w:rFonts w:ascii="Calibri" w:eastAsia="Calibri" w:hAnsi="Calibri" w:cs="Times New Roman"/>
        </w:rPr>
        <w:tab/>
        <w:t>.718</w:t>
      </w:r>
      <w:r w:rsidRPr="00022F29">
        <w:rPr>
          <w:rFonts w:ascii="Calibri" w:eastAsia="Calibri" w:hAnsi="Calibri" w:cs="Times New Roman"/>
        </w:rPr>
        <w:tab/>
        <w:t>7</w:t>
      </w:r>
    </w:p>
    <w:p w14:paraId="2836FA0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FQuartile*AgeBinary*RecoveryA</w:t>
      </w:r>
      <w:r w:rsidRPr="00022F29">
        <w:rPr>
          <w:rFonts w:ascii="Calibri" w:eastAsia="Calibri" w:hAnsi="Calibri" w:cs="Times New Roman"/>
        </w:rPr>
        <w:tab/>
        <w:t>3</w:t>
      </w:r>
      <w:r w:rsidRPr="00022F29">
        <w:rPr>
          <w:rFonts w:ascii="Calibri" w:eastAsia="Calibri" w:hAnsi="Calibri" w:cs="Times New Roman"/>
        </w:rPr>
        <w:tab/>
        <w:t>4.016</w:t>
      </w:r>
      <w:r w:rsidRPr="00022F29">
        <w:rPr>
          <w:rFonts w:ascii="Calibri" w:eastAsia="Calibri" w:hAnsi="Calibri" w:cs="Times New Roman"/>
        </w:rPr>
        <w:tab/>
        <w:t>.260</w:t>
      </w:r>
      <w:r w:rsidRPr="00022F29">
        <w:rPr>
          <w:rFonts w:ascii="Calibri" w:eastAsia="Calibri" w:hAnsi="Calibri" w:cs="Times New Roman"/>
        </w:rPr>
        <w:tab/>
        <w:t>7</w:t>
      </w:r>
    </w:p>
    <w:p w14:paraId="6021E83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A*RevoveryD*RecoveryA</w:t>
      </w:r>
      <w:r w:rsidRPr="00022F29">
        <w:rPr>
          <w:rFonts w:ascii="Calibri" w:eastAsia="Calibri" w:hAnsi="Calibri" w:cs="Times New Roman"/>
        </w:rPr>
        <w:tab/>
        <w:t>1</w:t>
      </w:r>
      <w:r w:rsidRPr="00022F29">
        <w:rPr>
          <w:rFonts w:ascii="Calibri" w:eastAsia="Calibri" w:hAnsi="Calibri" w:cs="Times New Roman"/>
        </w:rPr>
        <w:tab/>
        <w:t>1.340</w:t>
      </w:r>
      <w:r w:rsidRPr="00022F29">
        <w:rPr>
          <w:rFonts w:ascii="Calibri" w:eastAsia="Calibri" w:hAnsi="Calibri" w:cs="Times New Roman"/>
        </w:rPr>
        <w:tab/>
        <w:t>.247</w:t>
      </w:r>
      <w:r w:rsidRPr="00022F29">
        <w:rPr>
          <w:rFonts w:ascii="Calibri" w:eastAsia="Calibri" w:hAnsi="Calibri" w:cs="Times New Roman"/>
        </w:rPr>
        <w:tab/>
        <w:t>8</w:t>
      </w:r>
    </w:p>
    <w:p w14:paraId="0FD7008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FQuartile*RevoveryD*RecoveryA</w:t>
      </w:r>
      <w:r w:rsidRPr="00022F29">
        <w:rPr>
          <w:rFonts w:ascii="Calibri" w:eastAsia="Calibri" w:hAnsi="Calibri" w:cs="Times New Roman"/>
        </w:rPr>
        <w:tab/>
        <w:t>3</w:t>
      </w:r>
      <w:r w:rsidRPr="00022F29">
        <w:rPr>
          <w:rFonts w:ascii="Calibri" w:eastAsia="Calibri" w:hAnsi="Calibri" w:cs="Times New Roman"/>
        </w:rPr>
        <w:tab/>
        <w:t>.604</w:t>
      </w:r>
      <w:r w:rsidRPr="00022F29">
        <w:rPr>
          <w:rFonts w:ascii="Calibri" w:eastAsia="Calibri" w:hAnsi="Calibri" w:cs="Times New Roman"/>
        </w:rPr>
        <w:tab/>
        <w:t>.896</w:t>
      </w:r>
      <w:r w:rsidRPr="00022F29">
        <w:rPr>
          <w:rFonts w:ascii="Calibri" w:eastAsia="Calibri" w:hAnsi="Calibri" w:cs="Times New Roman"/>
        </w:rPr>
        <w:tab/>
        <w:t>8</w:t>
      </w:r>
    </w:p>
    <w:p w14:paraId="463C978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AgeBinary*RevoveryD*RecoveryA</w:t>
      </w:r>
      <w:r w:rsidRPr="00022F29">
        <w:rPr>
          <w:rFonts w:ascii="Calibri" w:eastAsia="Calibri" w:hAnsi="Calibri" w:cs="Times New Roman"/>
        </w:rPr>
        <w:tab/>
        <w:t>1</w:t>
      </w:r>
      <w:r w:rsidRPr="00022F29">
        <w:rPr>
          <w:rFonts w:ascii="Calibri" w:eastAsia="Calibri" w:hAnsi="Calibri" w:cs="Times New Roman"/>
        </w:rPr>
        <w:tab/>
        <w:t>.463</w:t>
      </w:r>
      <w:r w:rsidRPr="00022F29">
        <w:rPr>
          <w:rFonts w:ascii="Calibri" w:eastAsia="Calibri" w:hAnsi="Calibri" w:cs="Times New Roman"/>
        </w:rPr>
        <w:tab/>
        <w:t>.496</w:t>
      </w:r>
      <w:r w:rsidRPr="00022F29">
        <w:rPr>
          <w:rFonts w:ascii="Calibri" w:eastAsia="Calibri" w:hAnsi="Calibri" w:cs="Times New Roman"/>
        </w:rPr>
        <w:tab/>
        <w:t>9</w:t>
      </w:r>
    </w:p>
    <w:p w14:paraId="1D8F123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A*FQuartile*GenderX</w:t>
      </w:r>
      <w:r w:rsidRPr="00022F29">
        <w:rPr>
          <w:rFonts w:ascii="Calibri" w:eastAsia="Calibri" w:hAnsi="Calibri" w:cs="Times New Roman"/>
        </w:rPr>
        <w:tab/>
        <w:t>3</w:t>
      </w:r>
      <w:r w:rsidRPr="00022F29">
        <w:rPr>
          <w:rFonts w:ascii="Calibri" w:eastAsia="Calibri" w:hAnsi="Calibri" w:cs="Times New Roman"/>
        </w:rPr>
        <w:tab/>
        <w:t>1.913</w:t>
      </w:r>
      <w:r w:rsidRPr="00022F29">
        <w:rPr>
          <w:rFonts w:ascii="Calibri" w:eastAsia="Calibri" w:hAnsi="Calibri" w:cs="Times New Roman"/>
        </w:rPr>
        <w:tab/>
        <w:t>.591</w:t>
      </w:r>
      <w:r w:rsidRPr="00022F29">
        <w:rPr>
          <w:rFonts w:ascii="Calibri" w:eastAsia="Calibri" w:hAnsi="Calibri" w:cs="Times New Roman"/>
        </w:rPr>
        <w:tab/>
        <w:t>8</w:t>
      </w:r>
    </w:p>
    <w:p w14:paraId="14BB2DA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A*AgeBinary*GenderX</w:t>
      </w:r>
      <w:r w:rsidRPr="00022F29">
        <w:rPr>
          <w:rFonts w:ascii="Calibri" w:eastAsia="Calibri" w:hAnsi="Calibri" w:cs="Times New Roman"/>
        </w:rPr>
        <w:tab/>
        <w:t>1</w:t>
      </w:r>
      <w:r w:rsidRPr="00022F29">
        <w:rPr>
          <w:rFonts w:ascii="Calibri" w:eastAsia="Calibri" w:hAnsi="Calibri" w:cs="Times New Roman"/>
        </w:rPr>
        <w:tab/>
        <w:t>1.594</w:t>
      </w:r>
      <w:r w:rsidRPr="00022F29">
        <w:rPr>
          <w:rFonts w:ascii="Calibri" w:eastAsia="Calibri" w:hAnsi="Calibri" w:cs="Times New Roman"/>
        </w:rPr>
        <w:tab/>
        <w:t>.207</w:t>
      </w:r>
      <w:r w:rsidRPr="00022F29">
        <w:rPr>
          <w:rFonts w:ascii="Calibri" w:eastAsia="Calibri" w:hAnsi="Calibri" w:cs="Times New Roman"/>
        </w:rPr>
        <w:tab/>
        <w:t>8</w:t>
      </w:r>
    </w:p>
    <w:p w14:paraId="6BD295A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FQuartile*AgeBinary*GenderX</w:t>
      </w:r>
      <w:r w:rsidRPr="00022F29">
        <w:rPr>
          <w:rFonts w:ascii="Calibri" w:eastAsia="Calibri" w:hAnsi="Calibri" w:cs="Times New Roman"/>
        </w:rPr>
        <w:tab/>
        <w:t>3</w:t>
      </w:r>
      <w:r w:rsidRPr="00022F29">
        <w:rPr>
          <w:rFonts w:ascii="Calibri" w:eastAsia="Calibri" w:hAnsi="Calibri" w:cs="Times New Roman"/>
        </w:rPr>
        <w:tab/>
        <w:t>6.719</w:t>
      </w:r>
      <w:r w:rsidRPr="00022F29">
        <w:rPr>
          <w:rFonts w:ascii="Calibri" w:eastAsia="Calibri" w:hAnsi="Calibri" w:cs="Times New Roman"/>
        </w:rPr>
        <w:tab/>
        <w:t>.081</w:t>
      </w:r>
      <w:r w:rsidRPr="00022F29">
        <w:rPr>
          <w:rFonts w:ascii="Calibri" w:eastAsia="Calibri" w:hAnsi="Calibri" w:cs="Times New Roman"/>
        </w:rPr>
        <w:tab/>
        <w:t>8</w:t>
      </w:r>
    </w:p>
    <w:p w14:paraId="08C37CB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A*RevoveryD*GenderX</w:t>
      </w:r>
      <w:r w:rsidRPr="00022F29">
        <w:rPr>
          <w:rFonts w:ascii="Calibri" w:eastAsia="Calibri" w:hAnsi="Calibri" w:cs="Times New Roman"/>
        </w:rPr>
        <w:tab/>
        <w:t>1</w:t>
      </w:r>
      <w:r w:rsidRPr="00022F29">
        <w:rPr>
          <w:rFonts w:ascii="Calibri" w:eastAsia="Calibri" w:hAnsi="Calibri" w:cs="Times New Roman"/>
        </w:rPr>
        <w:tab/>
        <w:t>.505</w:t>
      </w:r>
      <w:r w:rsidRPr="00022F29">
        <w:rPr>
          <w:rFonts w:ascii="Calibri" w:eastAsia="Calibri" w:hAnsi="Calibri" w:cs="Times New Roman"/>
        </w:rPr>
        <w:tab/>
        <w:t>.477</w:t>
      </w:r>
      <w:r w:rsidRPr="00022F29">
        <w:rPr>
          <w:rFonts w:ascii="Calibri" w:eastAsia="Calibri" w:hAnsi="Calibri" w:cs="Times New Roman"/>
        </w:rPr>
        <w:tab/>
        <w:t>8</w:t>
      </w:r>
    </w:p>
    <w:p w14:paraId="4E950F2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FQuartile*RevoveryD*GenderX</w:t>
      </w:r>
      <w:r w:rsidRPr="00022F29">
        <w:rPr>
          <w:rFonts w:ascii="Calibri" w:eastAsia="Calibri" w:hAnsi="Calibri" w:cs="Times New Roman"/>
        </w:rPr>
        <w:tab/>
        <w:t>3</w:t>
      </w:r>
      <w:r w:rsidRPr="00022F29">
        <w:rPr>
          <w:rFonts w:ascii="Calibri" w:eastAsia="Calibri" w:hAnsi="Calibri" w:cs="Times New Roman"/>
        </w:rPr>
        <w:tab/>
        <w:t>.767</w:t>
      </w:r>
      <w:r w:rsidRPr="00022F29">
        <w:rPr>
          <w:rFonts w:ascii="Calibri" w:eastAsia="Calibri" w:hAnsi="Calibri" w:cs="Times New Roman"/>
        </w:rPr>
        <w:tab/>
        <w:t>.857</w:t>
      </w:r>
      <w:r w:rsidRPr="00022F29">
        <w:rPr>
          <w:rFonts w:ascii="Calibri" w:eastAsia="Calibri" w:hAnsi="Calibri" w:cs="Times New Roman"/>
        </w:rPr>
        <w:tab/>
        <w:t>8</w:t>
      </w:r>
    </w:p>
    <w:p w14:paraId="47729F8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AgeBinary*RevoveryD*GenderX</w:t>
      </w:r>
      <w:r w:rsidRPr="00022F29">
        <w:rPr>
          <w:rFonts w:ascii="Calibri" w:eastAsia="Calibri" w:hAnsi="Calibri" w:cs="Times New Roman"/>
        </w:rPr>
        <w:tab/>
        <w:t>1</w:t>
      </w:r>
      <w:r w:rsidRPr="00022F29">
        <w:rPr>
          <w:rFonts w:ascii="Calibri" w:eastAsia="Calibri" w:hAnsi="Calibri" w:cs="Times New Roman"/>
        </w:rPr>
        <w:tab/>
        <w:t>.395</w:t>
      </w:r>
      <w:r w:rsidRPr="00022F29">
        <w:rPr>
          <w:rFonts w:ascii="Calibri" w:eastAsia="Calibri" w:hAnsi="Calibri" w:cs="Times New Roman"/>
        </w:rPr>
        <w:tab/>
        <w:t>.530</w:t>
      </w:r>
      <w:r w:rsidRPr="00022F29">
        <w:rPr>
          <w:rFonts w:ascii="Calibri" w:eastAsia="Calibri" w:hAnsi="Calibri" w:cs="Times New Roman"/>
        </w:rPr>
        <w:tab/>
        <w:t>8</w:t>
      </w:r>
    </w:p>
    <w:p w14:paraId="136015B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A*RecoveryA*GenderX</w:t>
      </w:r>
      <w:r w:rsidRPr="00022F29">
        <w:rPr>
          <w:rFonts w:ascii="Calibri" w:eastAsia="Calibri" w:hAnsi="Calibri" w:cs="Times New Roman"/>
        </w:rPr>
        <w:tab/>
        <w:t>1</w:t>
      </w:r>
      <w:r w:rsidRPr="00022F29">
        <w:rPr>
          <w:rFonts w:ascii="Calibri" w:eastAsia="Calibri" w:hAnsi="Calibri" w:cs="Times New Roman"/>
        </w:rPr>
        <w:tab/>
        <w:t>3.191</w:t>
      </w:r>
      <w:r w:rsidRPr="00022F29">
        <w:rPr>
          <w:rFonts w:ascii="Calibri" w:eastAsia="Calibri" w:hAnsi="Calibri" w:cs="Times New Roman"/>
        </w:rPr>
        <w:tab/>
        <w:t>.074</w:t>
      </w:r>
      <w:r w:rsidRPr="00022F29">
        <w:rPr>
          <w:rFonts w:ascii="Calibri" w:eastAsia="Calibri" w:hAnsi="Calibri" w:cs="Times New Roman"/>
        </w:rPr>
        <w:tab/>
        <w:t>8</w:t>
      </w:r>
    </w:p>
    <w:p w14:paraId="682E662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FQuartile*RecoveryA*GenderX</w:t>
      </w:r>
      <w:r w:rsidRPr="00022F29">
        <w:rPr>
          <w:rFonts w:ascii="Calibri" w:eastAsia="Calibri" w:hAnsi="Calibri" w:cs="Times New Roman"/>
        </w:rPr>
        <w:tab/>
        <w:t>3</w:t>
      </w:r>
      <w:r w:rsidRPr="00022F29">
        <w:rPr>
          <w:rFonts w:ascii="Calibri" w:eastAsia="Calibri" w:hAnsi="Calibri" w:cs="Times New Roman"/>
        </w:rPr>
        <w:tab/>
        <w:t>7.580</w:t>
      </w:r>
      <w:r w:rsidRPr="00022F29">
        <w:rPr>
          <w:rFonts w:ascii="Calibri" w:eastAsia="Calibri" w:hAnsi="Calibri" w:cs="Times New Roman"/>
        </w:rPr>
        <w:tab/>
        <w:t>.056</w:t>
      </w:r>
      <w:r w:rsidRPr="00022F29">
        <w:rPr>
          <w:rFonts w:ascii="Calibri" w:eastAsia="Calibri" w:hAnsi="Calibri" w:cs="Times New Roman"/>
        </w:rPr>
        <w:tab/>
        <w:t>8</w:t>
      </w:r>
    </w:p>
    <w:p w14:paraId="57128B8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AgeBinary*RecoveryA*GenderX</w:t>
      </w:r>
      <w:r w:rsidRPr="00022F29">
        <w:rPr>
          <w:rFonts w:ascii="Calibri" w:eastAsia="Calibri" w:hAnsi="Calibri" w:cs="Times New Roman"/>
        </w:rPr>
        <w:tab/>
        <w:t>1</w:t>
      </w:r>
      <w:r w:rsidRPr="00022F29">
        <w:rPr>
          <w:rFonts w:ascii="Calibri" w:eastAsia="Calibri" w:hAnsi="Calibri" w:cs="Times New Roman"/>
        </w:rPr>
        <w:tab/>
        <w:t>3.463</w:t>
      </w:r>
      <w:r w:rsidRPr="00022F29">
        <w:rPr>
          <w:rFonts w:ascii="Calibri" w:eastAsia="Calibri" w:hAnsi="Calibri" w:cs="Times New Roman"/>
        </w:rPr>
        <w:tab/>
        <w:t>.063</w:t>
      </w:r>
      <w:r w:rsidRPr="00022F29">
        <w:rPr>
          <w:rFonts w:ascii="Calibri" w:eastAsia="Calibri" w:hAnsi="Calibri" w:cs="Times New Roman"/>
        </w:rPr>
        <w:tab/>
        <w:t>8</w:t>
      </w:r>
    </w:p>
    <w:p w14:paraId="7D7EFF2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RevoveryD*RecoveryA*GenderX</w:t>
      </w:r>
      <w:r w:rsidRPr="00022F29">
        <w:rPr>
          <w:rFonts w:ascii="Calibri" w:eastAsia="Calibri" w:hAnsi="Calibri" w:cs="Times New Roman"/>
        </w:rPr>
        <w:tab/>
        <w:t>1</w:t>
      </w:r>
      <w:r w:rsidRPr="00022F29">
        <w:rPr>
          <w:rFonts w:ascii="Calibri" w:eastAsia="Calibri" w:hAnsi="Calibri" w:cs="Times New Roman"/>
        </w:rPr>
        <w:tab/>
        <w:t>1.902</w:t>
      </w:r>
      <w:r w:rsidRPr="00022F29">
        <w:rPr>
          <w:rFonts w:ascii="Calibri" w:eastAsia="Calibri" w:hAnsi="Calibri" w:cs="Times New Roman"/>
        </w:rPr>
        <w:tab/>
        <w:t>.168</w:t>
      </w:r>
      <w:r w:rsidRPr="00022F29">
        <w:rPr>
          <w:rFonts w:ascii="Calibri" w:eastAsia="Calibri" w:hAnsi="Calibri" w:cs="Times New Roman"/>
        </w:rPr>
        <w:tab/>
        <w:t>8</w:t>
      </w:r>
    </w:p>
    <w:p w14:paraId="0C0F377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w:t>
      </w:r>
      <w:r w:rsidRPr="00022F29">
        <w:rPr>
          <w:rFonts w:ascii="Calibri" w:eastAsia="Calibri" w:hAnsi="Calibri" w:cs="Times New Roman"/>
        </w:rPr>
        <w:tab/>
        <w:t>3</w:t>
      </w:r>
      <w:r w:rsidRPr="00022F29">
        <w:rPr>
          <w:rFonts w:ascii="Calibri" w:eastAsia="Calibri" w:hAnsi="Calibri" w:cs="Times New Roman"/>
        </w:rPr>
        <w:tab/>
        <w:t>218.764</w:t>
      </w:r>
      <w:r w:rsidRPr="00022F29">
        <w:rPr>
          <w:rFonts w:ascii="Calibri" w:eastAsia="Calibri" w:hAnsi="Calibri" w:cs="Times New Roman"/>
        </w:rPr>
        <w:tab/>
        <w:t>.000</w:t>
      </w:r>
      <w:r w:rsidRPr="00022F29">
        <w:rPr>
          <w:rFonts w:ascii="Calibri" w:eastAsia="Calibri" w:hAnsi="Calibri" w:cs="Times New Roman"/>
        </w:rPr>
        <w:tab/>
        <w:t>5</w:t>
      </w:r>
    </w:p>
    <w:p w14:paraId="3ED0726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A*AgeBinary</w:t>
      </w:r>
      <w:r w:rsidRPr="00022F29">
        <w:rPr>
          <w:rFonts w:ascii="Calibri" w:eastAsia="Calibri" w:hAnsi="Calibri" w:cs="Times New Roman"/>
        </w:rPr>
        <w:tab/>
        <w:t>1</w:t>
      </w:r>
      <w:r w:rsidRPr="00022F29">
        <w:rPr>
          <w:rFonts w:ascii="Calibri" w:eastAsia="Calibri" w:hAnsi="Calibri" w:cs="Times New Roman"/>
        </w:rPr>
        <w:tab/>
        <w:t>.053</w:t>
      </w:r>
      <w:r w:rsidRPr="00022F29">
        <w:rPr>
          <w:rFonts w:ascii="Calibri" w:eastAsia="Calibri" w:hAnsi="Calibri" w:cs="Times New Roman"/>
        </w:rPr>
        <w:tab/>
        <w:t>.818</w:t>
      </w:r>
      <w:r w:rsidRPr="00022F29">
        <w:rPr>
          <w:rFonts w:ascii="Calibri" w:eastAsia="Calibri" w:hAnsi="Calibri" w:cs="Times New Roman"/>
        </w:rPr>
        <w:tab/>
        <w:t>8</w:t>
      </w:r>
    </w:p>
    <w:p w14:paraId="5DC2AC6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FQuartile*AgeBinary</w:t>
      </w:r>
      <w:r w:rsidRPr="00022F29">
        <w:rPr>
          <w:rFonts w:ascii="Calibri" w:eastAsia="Calibri" w:hAnsi="Calibri" w:cs="Times New Roman"/>
        </w:rPr>
        <w:tab/>
        <w:t>3</w:t>
      </w:r>
      <w:r w:rsidRPr="00022F29">
        <w:rPr>
          <w:rFonts w:ascii="Calibri" w:eastAsia="Calibri" w:hAnsi="Calibri" w:cs="Times New Roman"/>
        </w:rPr>
        <w:tab/>
        <w:t>1.912</w:t>
      </w:r>
      <w:r w:rsidRPr="00022F29">
        <w:rPr>
          <w:rFonts w:ascii="Calibri" w:eastAsia="Calibri" w:hAnsi="Calibri" w:cs="Times New Roman"/>
        </w:rPr>
        <w:tab/>
        <w:t>.591</w:t>
      </w:r>
      <w:r w:rsidRPr="00022F29">
        <w:rPr>
          <w:rFonts w:ascii="Calibri" w:eastAsia="Calibri" w:hAnsi="Calibri" w:cs="Times New Roman"/>
        </w:rPr>
        <w:tab/>
        <w:t>8</w:t>
      </w:r>
    </w:p>
    <w:p w14:paraId="105C6EA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A*RevoveryD</w:t>
      </w:r>
      <w:r w:rsidRPr="00022F29">
        <w:rPr>
          <w:rFonts w:ascii="Calibri" w:eastAsia="Calibri" w:hAnsi="Calibri" w:cs="Times New Roman"/>
        </w:rPr>
        <w:tab/>
        <w:t>1</w:t>
      </w:r>
      <w:r w:rsidRPr="00022F29">
        <w:rPr>
          <w:rFonts w:ascii="Calibri" w:eastAsia="Calibri" w:hAnsi="Calibri" w:cs="Times New Roman"/>
        </w:rPr>
        <w:tab/>
        <w:t>.234</w:t>
      </w:r>
      <w:r w:rsidRPr="00022F29">
        <w:rPr>
          <w:rFonts w:ascii="Calibri" w:eastAsia="Calibri" w:hAnsi="Calibri" w:cs="Times New Roman"/>
        </w:rPr>
        <w:tab/>
        <w:t>.628</w:t>
      </w:r>
      <w:r w:rsidRPr="00022F29">
        <w:rPr>
          <w:rFonts w:ascii="Calibri" w:eastAsia="Calibri" w:hAnsi="Calibri" w:cs="Times New Roman"/>
        </w:rPr>
        <w:tab/>
        <w:t>6</w:t>
      </w:r>
    </w:p>
    <w:p w14:paraId="450D5C2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FQuartile*RevoveryD</w:t>
      </w:r>
      <w:r w:rsidRPr="00022F29">
        <w:rPr>
          <w:rFonts w:ascii="Calibri" w:eastAsia="Calibri" w:hAnsi="Calibri" w:cs="Times New Roman"/>
        </w:rPr>
        <w:tab/>
        <w:t>3</w:t>
      </w:r>
      <w:r w:rsidRPr="00022F29">
        <w:rPr>
          <w:rFonts w:ascii="Calibri" w:eastAsia="Calibri" w:hAnsi="Calibri" w:cs="Times New Roman"/>
        </w:rPr>
        <w:tab/>
        <w:t>3.198</w:t>
      </w:r>
      <w:r w:rsidRPr="00022F29">
        <w:rPr>
          <w:rFonts w:ascii="Calibri" w:eastAsia="Calibri" w:hAnsi="Calibri" w:cs="Times New Roman"/>
        </w:rPr>
        <w:tab/>
        <w:t>.362</w:t>
      </w:r>
      <w:r w:rsidRPr="00022F29">
        <w:rPr>
          <w:rFonts w:ascii="Calibri" w:eastAsia="Calibri" w:hAnsi="Calibri" w:cs="Times New Roman"/>
        </w:rPr>
        <w:tab/>
        <w:t>6</w:t>
      </w:r>
    </w:p>
    <w:p w14:paraId="2C94FE1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AgeBinary*RevoveryD</w:t>
      </w:r>
      <w:r w:rsidRPr="00022F29">
        <w:rPr>
          <w:rFonts w:ascii="Calibri" w:eastAsia="Calibri" w:hAnsi="Calibri" w:cs="Times New Roman"/>
        </w:rPr>
        <w:tab/>
        <w:t>1</w:t>
      </w:r>
      <w:r w:rsidRPr="00022F29">
        <w:rPr>
          <w:rFonts w:ascii="Calibri" w:eastAsia="Calibri" w:hAnsi="Calibri" w:cs="Times New Roman"/>
        </w:rPr>
        <w:tab/>
        <w:t>.033</w:t>
      </w:r>
      <w:r w:rsidRPr="00022F29">
        <w:rPr>
          <w:rFonts w:ascii="Calibri" w:eastAsia="Calibri" w:hAnsi="Calibri" w:cs="Times New Roman"/>
        </w:rPr>
        <w:tab/>
        <w:t>.855</w:t>
      </w:r>
      <w:r w:rsidRPr="00022F29">
        <w:rPr>
          <w:rFonts w:ascii="Calibri" w:eastAsia="Calibri" w:hAnsi="Calibri" w:cs="Times New Roman"/>
        </w:rPr>
        <w:tab/>
        <w:t>8</w:t>
      </w:r>
    </w:p>
    <w:p w14:paraId="6AE47B7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A*RecoveryA</w:t>
      </w:r>
      <w:r w:rsidRPr="00022F29">
        <w:rPr>
          <w:rFonts w:ascii="Calibri" w:eastAsia="Calibri" w:hAnsi="Calibri" w:cs="Times New Roman"/>
        </w:rPr>
        <w:tab/>
        <w:t>1</w:t>
      </w:r>
      <w:r w:rsidRPr="00022F29">
        <w:rPr>
          <w:rFonts w:ascii="Calibri" w:eastAsia="Calibri" w:hAnsi="Calibri" w:cs="Times New Roman"/>
        </w:rPr>
        <w:tab/>
        <w:t>.515</w:t>
      </w:r>
      <w:r w:rsidRPr="00022F29">
        <w:rPr>
          <w:rFonts w:ascii="Calibri" w:eastAsia="Calibri" w:hAnsi="Calibri" w:cs="Times New Roman"/>
        </w:rPr>
        <w:tab/>
        <w:t>.473</w:t>
      </w:r>
      <w:r w:rsidRPr="00022F29">
        <w:rPr>
          <w:rFonts w:ascii="Calibri" w:eastAsia="Calibri" w:hAnsi="Calibri" w:cs="Times New Roman"/>
        </w:rPr>
        <w:tab/>
        <w:t>7</w:t>
      </w:r>
    </w:p>
    <w:p w14:paraId="5A62610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FQuartile*RecoveryA</w:t>
      </w:r>
      <w:r w:rsidRPr="00022F29">
        <w:rPr>
          <w:rFonts w:ascii="Calibri" w:eastAsia="Calibri" w:hAnsi="Calibri" w:cs="Times New Roman"/>
        </w:rPr>
        <w:tab/>
        <w:t>3</w:t>
      </w:r>
      <w:r w:rsidRPr="00022F29">
        <w:rPr>
          <w:rFonts w:ascii="Calibri" w:eastAsia="Calibri" w:hAnsi="Calibri" w:cs="Times New Roman"/>
        </w:rPr>
        <w:tab/>
        <w:t>2.238</w:t>
      </w:r>
      <w:r w:rsidRPr="00022F29">
        <w:rPr>
          <w:rFonts w:ascii="Calibri" w:eastAsia="Calibri" w:hAnsi="Calibri" w:cs="Times New Roman"/>
        </w:rPr>
        <w:tab/>
        <w:t>.525</w:t>
      </w:r>
      <w:r w:rsidRPr="00022F29">
        <w:rPr>
          <w:rFonts w:ascii="Calibri" w:eastAsia="Calibri" w:hAnsi="Calibri" w:cs="Times New Roman"/>
        </w:rPr>
        <w:tab/>
        <w:t>6</w:t>
      </w:r>
    </w:p>
    <w:p w14:paraId="0B30EB5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AgeBinary*RecoveryA</w:t>
      </w:r>
      <w:r w:rsidRPr="00022F29">
        <w:rPr>
          <w:rFonts w:ascii="Calibri" w:eastAsia="Calibri" w:hAnsi="Calibri" w:cs="Times New Roman"/>
        </w:rPr>
        <w:tab/>
        <w:t>1</w:t>
      </w:r>
      <w:r w:rsidRPr="00022F29">
        <w:rPr>
          <w:rFonts w:ascii="Calibri" w:eastAsia="Calibri" w:hAnsi="Calibri" w:cs="Times New Roman"/>
        </w:rPr>
        <w:tab/>
        <w:t>5.302</w:t>
      </w:r>
      <w:r w:rsidRPr="00022F29">
        <w:rPr>
          <w:rFonts w:ascii="Calibri" w:eastAsia="Calibri" w:hAnsi="Calibri" w:cs="Times New Roman"/>
        </w:rPr>
        <w:tab/>
        <w:t>.021</w:t>
      </w:r>
      <w:r w:rsidRPr="00022F29">
        <w:rPr>
          <w:rFonts w:ascii="Calibri" w:eastAsia="Calibri" w:hAnsi="Calibri" w:cs="Times New Roman"/>
        </w:rPr>
        <w:tab/>
        <w:t>8</w:t>
      </w:r>
    </w:p>
    <w:p w14:paraId="6EC1190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RevoveryD*RecoveryA</w:t>
      </w:r>
      <w:r w:rsidRPr="00022F29">
        <w:rPr>
          <w:rFonts w:ascii="Calibri" w:eastAsia="Calibri" w:hAnsi="Calibri" w:cs="Times New Roman"/>
        </w:rPr>
        <w:tab/>
        <w:t>1</w:t>
      </w:r>
      <w:r w:rsidRPr="00022F29">
        <w:rPr>
          <w:rFonts w:ascii="Calibri" w:eastAsia="Calibri" w:hAnsi="Calibri" w:cs="Times New Roman"/>
        </w:rPr>
        <w:tab/>
        <w:t>116.840</w:t>
      </w:r>
      <w:r w:rsidRPr="00022F29">
        <w:rPr>
          <w:rFonts w:ascii="Calibri" w:eastAsia="Calibri" w:hAnsi="Calibri" w:cs="Times New Roman"/>
        </w:rPr>
        <w:tab/>
        <w:t>.000</w:t>
      </w:r>
      <w:r w:rsidRPr="00022F29">
        <w:rPr>
          <w:rFonts w:ascii="Calibri" w:eastAsia="Calibri" w:hAnsi="Calibri" w:cs="Times New Roman"/>
        </w:rPr>
        <w:tab/>
        <w:t>6</w:t>
      </w:r>
    </w:p>
    <w:p w14:paraId="00E9489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A*GenderX</w:t>
      </w:r>
      <w:r w:rsidRPr="00022F29">
        <w:rPr>
          <w:rFonts w:ascii="Calibri" w:eastAsia="Calibri" w:hAnsi="Calibri" w:cs="Times New Roman"/>
        </w:rPr>
        <w:tab/>
        <w:t>1</w:t>
      </w:r>
      <w:r w:rsidRPr="00022F29">
        <w:rPr>
          <w:rFonts w:ascii="Calibri" w:eastAsia="Calibri" w:hAnsi="Calibri" w:cs="Times New Roman"/>
        </w:rPr>
        <w:tab/>
        <w:t>1.579</w:t>
      </w:r>
      <w:r w:rsidRPr="00022F29">
        <w:rPr>
          <w:rFonts w:ascii="Calibri" w:eastAsia="Calibri" w:hAnsi="Calibri" w:cs="Times New Roman"/>
        </w:rPr>
        <w:tab/>
        <w:t>.209</w:t>
      </w:r>
      <w:r w:rsidRPr="00022F29">
        <w:rPr>
          <w:rFonts w:ascii="Calibri" w:eastAsia="Calibri" w:hAnsi="Calibri" w:cs="Times New Roman"/>
        </w:rPr>
        <w:tab/>
        <w:t>8</w:t>
      </w:r>
    </w:p>
    <w:p w14:paraId="109324E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FQuartile*GenderX</w:t>
      </w:r>
      <w:r w:rsidRPr="00022F29">
        <w:rPr>
          <w:rFonts w:ascii="Calibri" w:eastAsia="Calibri" w:hAnsi="Calibri" w:cs="Times New Roman"/>
        </w:rPr>
        <w:tab/>
        <w:t>3</w:t>
      </w:r>
      <w:r w:rsidRPr="00022F29">
        <w:rPr>
          <w:rFonts w:ascii="Calibri" w:eastAsia="Calibri" w:hAnsi="Calibri" w:cs="Times New Roman"/>
        </w:rPr>
        <w:tab/>
        <w:t>8.695</w:t>
      </w:r>
      <w:r w:rsidRPr="00022F29">
        <w:rPr>
          <w:rFonts w:ascii="Calibri" w:eastAsia="Calibri" w:hAnsi="Calibri" w:cs="Times New Roman"/>
        </w:rPr>
        <w:tab/>
        <w:t>.034</w:t>
      </w:r>
      <w:r w:rsidRPr="00022F29">
        <w:rPr>
          <w:rFonts w:ascii="Calibri" w:eastAsia="Calibri" w:hAnsi="Calibri" w:cs="Times New Roman"/>
        </w:rPr>
        <w:tab/>
        <w:t>7</w:t>
      </w:r>
    </w:p>
    <w:p w14:paraId="77FC379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AgeBinary*GenderX</w:t>
      </w:r>
      <w:r w:rsidRPr="00022F29">
        <w:rPr>
          <w:rFonts w:ascii="Calibri" w:eastAsia="Calibri" w:hAnsi="Calibri" w:cs="Times New Roman"/>
        </w:rPr>
        <w:tab/>
        <w:t>1</w:t>
      </w:r>
      <w:r w:rsidRPr="00022F29">
        <w:rPr>
          <w:rFonts w:ascii="Calibri" w:eastAsia="Calibri" w:hAnsi="Calibri" w:cs="Times New Roman"/>
        </w:rPr>
        <w:tab/>
        <w:t>.380</w:t>
      </w:r>
      <w:r w:rsidRPr="00022F29">
        <w:rPr>
          <w:rFonts w:ascii="Calibri" w:eastAsia="Calibri" w:hAnsi="Calibri" w:cs="Times New Roman"/>
        </w:rPr>
        <w:tab/>
        <w:t>.538</w:t>
      </w:r>
      <w:r w:rsidRPr="00022F29">
        <w:rPr>
          <w:rFonts w:ascii="Calibri" w:eastAsia="Calibri" w:hAnsi="Calibri" w:cs="Times New Roman"/>
        </w:rPr>
        <w:tab/>
        <w:t>8</w:t>
      </w:r>
    </w:p>
    <w:p w14:paraId="21ECA61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RevoveryD*GenderX</w:t>
      </w:r>
      <w:r w:rsidRPr="00022F29">
        <w:rPr>
          <w:rFonts w:ascii="Calibri" w:eastAsia="Calibri" w:hAnsi="Calibri" w:cs="Times New Roman"/>
        </w:rPr>
        <w:tab/>
        <w:t>1</w:t>
      </w:r>
      <w:r w:rsidRPr="00022F29">
        <w:rPr>
          <w:rFonts w:ascii="Calibri" w:eastAsia="Calibri" w:hAnsi="Calibri" w:cs="Times New Roman"/>
        </w:rPr>
        <w:tab/>
        <w:t>1.088</w:t>
      </w:r>
      <w:r w:rsidRPr="00022F29">
        <w:rPr>
          <w:rFonts w:ascii="Calibri" w:eastAsia="Calibri" w:hAnsi="Calibri" w:cs="Times New Roman"/>
        </w:rPr>
        <w:tab/>
        <w:t>.297</w:t>
      </w:r>
      <w:r w:rsidRPr="00022F29">
        <w:rPr>
          <w:rFonts w:ascii="Calibri" w:eastAsia="Calibri" w:hAnsi="Calibri" w:cs="Times New Roman"/>
        </w:rPr>
        <w:tab/>
        <w:t>8</w:t>
      </w:r>
    </w:p>
    <w:p w14:paraId="0EAD35C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RecoveryA*GenderX</w:t>
      </w:r>
      <w:r w:rsidRPr="00022F29">
        <w:rPr>
          <w:rFonts w:ascii="Calibri" w:eastAsia="Calibri" w:hAnsi="Calibri" w:cs="Times New Roman"/>
        </w:rPr>
        <w:tab/>
        <w:t>1</w:t>
      </w:r>
      <w:r w:rsidRPr="00022F29">
        <w:rPr>
          <w:rFonts w:ascii="Calibri" w:eastAsia="Calibri" w:hAnsi="Calibri" w:cs="Times New Roman"/>
        </w:rPr>
        <w:tab/>
        <w:t>3.569</w:t>
      </w:r>
      <w:r w:rsidRPr="00022F29">
        <w:rPr>
          <w:rFonts w:ascii="Calibri" w:eastAsia="Calibri" w:hAnsi="Calibri" w:cs="Times New Roman"/>
        </w:rPr>
        <w:tab/>
        <w:t>.059</w:t>
      </w:r>
      <w:r w:rsidRPr="00022F29">
        <w:rPr>
          <w:rFonts w:ascii="Calibri" w:eastAsia="Calibri" w:hAnsi="Calibri" w:cs="Times New Roman"/>
        </w:rPr>
        <w:tab/>
        <w:t>7</w:t>
      </w:r>
    </w:p>
    <w:p w14:paraId="25F3B55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w:t>
      </w:r>
      <w:r w:rsidRPr="00022F29">
        <w:rPr>
          <w:rFonts w:ascii="Calibri" w:eastAsia="Calibri" w:hAnsi="Calibri" w:cs="Times New Roman"/>
        </w:rPr>
        <w:tab/>
        <w:t>1</w:t>
      </w:r>
      <w:r w:rsidRPr="00022F29">
        <w:rPr>
          <w:rFonts w:ascii="Calibri" w:eastAsia="Calibri" w:hAnsi="Calibri" w:cs="Times New Roman"/>
        </w:rPr>
        <w:tab/>
        <w:t>.205</w:t>
      </w:r>
      <w:r w:rsidRPr="00022F29">
        <w:rPr>
          <w:rFonts w:ascii="Calibri" w:eastAsia="Calibri" w:hAnsi="Calibri" w:cs="Times New Roman"/>
        </w:rPr>
        <w:tab/>
        <w:t>.651</w:t>
      </w:r>
      <w:r w:rsidRPr="00022F29">
        <w:rPr>
          <w:rFonts w:ascii="Calibri" w:eastAsia="Calibri" w:hAnsi="Calibri" w:cs="Times New Roman"/>
        </w:rPr>
        <w:tab/>
        <w:t>2</w:t>
      </w:r>
    </w:p>
    <w:p w14:paraId="11813D2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w:t>
      </w:r>
      <w:r w:rsidRPr="00022F29">
        <w:rPr>
          <w:rFonts w:ascii="Calibri" w:eastAsia="Calibri" w:hAnsi="Calibri" w:cs="Times New Roman"/>
        </w:rPr>
        <w:tab/>
        <w:t>3</w:t>
      </w:r>
      <w:r w:rsidRPr="00022F29">
        <w:rPr>
          <w:rFonts w:ascii="Calibri" w:eastAsia="Calibri" w:hAnsi="Calibri" w:cs="Times New Roman"/>
        </w:rPr>
        <w:tab/>
        <w:t>2.788</w:t>
      </w:r>
      <w:r w:rsidRPr="00022F29">
        <w:rPr>
          <w:rFonts w:ascii="Calibri" w:eastAsia="Calibri" w:hAnsi="Calibri" w:cs="Times New Roman"/>
        </w:rPr>
        <w:tab/>
        <w:t>.425</w:t>
      </w:r>
      <w:r w:rsidRPr="00022F29">
        <w:rPr>
          <w:rFonts w:ascii="Calibri" w:eastAsia="Calibri" w:hAnsi="Calibri" w:cs="Times New Roman"/>
        </w:rPr>
        <w:tab/>
        <w:t>2</w:t>
      </w:r>
    </w:p>
    <w:p w14:paraId="2613B38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AgeBinary</w:t>
      </w:r>
      <w:r w:rsidRPr="00022F29">
        <w:rPr>
          <w:rFonts w:ascii="Calibri" w:eastAsia="Calibri" w:hAnsi="Calibri" w:cs="Times New Roman"/>
        </w:rPr>
        <w:tab/>
        <w:t>1</w:t>
      </w:r>
      <w:r w:rsidRPr="00022F29">
        <w:rPr>
          <w:rFonts w:ascii="Calibri" w:eastAsia="Calibri" w:hAnsi="Calibri" w:cs="Times New Roman"/>
        </w:rPr>
        <w:tab/>
        <w:t>2.847</w:t>
      </w:r>
      <w:r w:rsidRPr="00022F29">
        <w:rPr>
          <w:rFonts w:ascii="Calibri" w:eastAsia="Calibri" w:hAnsi="Calibri" w:cs="Times New Roman"/>
        </w:rPr>
        <w:tab/>
        <w:t>.092</w:t>
      </w:r>
      <w:r w:rsidRPr="00022F29">
        <w:rPr>
          <w:rFonts w:ascii="Calibri" w:eastAsia="Calibri" w:hAnsi="Calibri" w:cs="Times New Roman"/>
        </w:rPr>
        <w:tab/>
        <w:t>2</w:t>
      </w:r>
    </w:p>
    <w:p w14:paraId="5CDAD18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RevoveryD</w:t>
      </w:r>
      <w:r w:rsidRPr="00022F29">
        <w:rPr>
          <w:rFonts w:ascii="Calibri" w:eastAsia="Calibri" w:hAnsi="Calibri" w:cs="Times New Roman"/>
        </w:rPr>
        <w:tab/>
        <w:t>1</w:t>
      </w:r>
      <w:r w:rsidRPr="00022F29">
        <w:rPr>
          <w:rFonts w:ascii="Calibri" w:eastAsia="Calibri" w:hAnsi="Calibri" w:cs="Times New Roman"/>
        </w:rPr>
        <w:tab/>
        <w:t>4.759</w:t>
      </w:r>
      <w:r w:rsidRPr="00022F29">
        <w:rPr>
          <w:rFonts w:ascii="Calibri" w:eastAsia="Calibri" w:hAnsi="Calibri" w:cs="Times New Roman"/>
        </w:rPr>
        <w:tab/>
        <w:t>.029</w:t>
      </w:r>
      <w:r w:rsidRPr="00022F29">
        <w:rPr>
          <w:rFonts w:ascii="Calibri" w:eastAsia="Calibri" w:hAnsi="Calibri" w:cs="Times New Roman"/>
        </w:rPr>
        <w:tab/>
        <w:t>2</w:t>
      </w:r>
    </w:p>
    <w:p w14:paraId="51A5FF1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RecoveryA</w:t>
      </w:r>
      <w:r w:rsidRPr="00022F29">
        <w:rPr>
          <w:rFonts w:ascii="Calibri" w:eastAsia="Calibri" w:hAnsi="Calibri" w:cs="Times New Roman"/>
        </w:rPr>
        <w:tab/>
        <w:t>1</w:t>
      </w:r>
      <w:r w:rsidRPr="00022F29">
        <w:rPr>
          <w:rFonts w:ascii="Calibri" w:eastAsia="Calibri" w:hAnsi="Calibri" w:cs="Times New Roman"/>
        </w:rPr>
        <w:tab/>
        <w:t>8.074</w:t>
      </w:r>
      <w:r w:rsidRPr="00022F29">
        <w:rPr>
          <w:rFonts w:ascii="Calibri" w:eastAsia="Calibri" w:hAnsi="Calibri" w:cs="Times New Roman"/>
        </w:rPr>
        <w:tab/>
        <w:t>.004</w:t>
      </w:r>
      <w:r w:rsidRPr="00022F29">
        <w:rPr>
          <w:rFonts w:ascii="Calibri" w:eastAsia="Calibri" w:hAnsi="Calibri" w:cs="Times New Roman"/>
        </w:rPr>
        <w:tab/>
        <w:t>2</w:t>
      </w:r>
    </w:p>
    <w:p w14:paraId="6836F7C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GenderX</w:t>
      </w:r>
      <w:r w:rsidRPr="00022F29">
        <w:rPr>
          <w:rFonts w:ascii="Calibri" w:eastAsia="Calibri" w:hAnsi="Calibri" w:cs="Times New Roman"/>
        </w:rPr>
        <w:tab/>
        <w:t>1</w:t>
      </w:r>
      <w:r w:rsidRPr="00022F29">
        <w:rPr>
          <w:rFonts w:ascii="Calibri" w:eastAsia="Calibri" w:hAnsi="Calibri" w:cs="Times New Roman"/>
        </w:rPr>
        <w:tab/>
        <w:t>141.236</w:t>
      </w:r>
      <w:r w:rsidRPr="00022F29">
        <w:rPr>
          <w:rFonts w:ascii="Calibri" w:eastAsia="Calibri" w:hAnsi="Calibri" w:cs="Times New Roman"/>
        </w:rPr>
        <w:tab/>
        <w:t>.000</w:t>
      </w:r>
      <w:r w:rsidRPr="00022F29">
        <w:rPr>
          <w:rFonts w:ascii="Calibri" w:eastAsia="Calibri" w:hAnsi="Calibri" w:cs="Times New Roman"/>
        </w:rPr>
        <w:tab/>
        <w:t>2</w:t>
      </w:r>
    </w:p>
    <w:p w14:paraId="1FCC8DDF" w14:textId="77777777" w:rsidR="00022F29" w:rsidRPr="00022F29" w:rsidRDefault="00022F29" w:rsidP="00022F29">
      <w:pPr>
        <w:rPr>
          <w:rFonts w:ascii="Calibri" w:eastAsia="Calibri" w:hAnsi="Calibri" w:cs="Times New Roman"/>
        </w:rPr>
      </w:pPr>
    </w:p>
    <w:p w14:paraId="056B722A" w14:textId="77777777" w:rsidR="00022F29" w:rsidRPr="00022F29" w:rsidRDefault="00022F29" w:rsidP="00022F29">
      <w:pPr>
        <w:rPr>
          <w:rFonts w:ascii="Calibri" w:eastAsia="Calibri" w:hAnsi="Calibri" w:cs="Times New Roman"/>
        </w:rPr>
      </w:pPr>
    </w:p>
    <w:p w14:paraId="06077A0C" w14:textId="77777777" w:rsidR="00022F29" w:rsidRPr="00022F29" w:rsidRDefault="00022F29" w:rsidP="00022F29">
      <w:pPr>
        <w:rPr>
          <w:rFonts w:ascii="Calibri" w:eastAsia="Calibri" w:hAnsi="Calibri" w:cs="Times New Roman"/>
        </w:rPr>
      </w:pPr>
    </w:p>
    <w:p w14:paraId="67E1C81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Parameter Estimates</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5BC6213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Effect</w:t>
      </w:r>
      <w:r w:rsidRPr="00022F29">
        <w:rPr>
          <w:rFonts w:ascii="Calibri" w:eastAsia="Calibri" w:hAnsi="Calibri" w:cs="Times New Roman"/>
        </w:rPr>
        <w:tab/>
        <w:t>Parameter</w:t>
      </w:r>
      <w:r w:rsidRPr="00022F29">
        <w:rPr>
          <w:rFonts w:ascii="Calibri" w:eastAsia="Calibri" w:hAnsi="Calibri" w:cs="Times New Roman"/>
        </w:rPr>
        <w:tab/>
        <w:t>Estimate</w:t>
      </w:r>
      <w:r w:rsidRPr="00022F29">
        <w:rPr>
          <w:rFonts w:ascii="Calibri" w:eastAsia="Calibri" w:hAnsi="Calibri" w:cs="Times New Roman"/>
        </w:rPr>
        <w:tab/>
        <w:t>Std. Error</w:t>
      </w:r>
      <w:r w:rsidRPr="00022F29">
        <w:rPr>
          <w:rFonts w:ascii="Calibri" w:eastAsia="Calibri" w:hAnsi="Calibri" w:cs="Times New Roman"/>
        </w:rPr>
        <w:tab/>
        <w:t>Z</w:t>
      </w:r>
      <w:r w:rsidRPr="00022F29">
        <w:rPr>
          <w:rFonts w:ascii="Calibri" w:eastAsia="Calibri" w:hAnsi="Calibri" w:cs="Times New Roman"/>
        </w:rPr>
        <w:tab/>
        <w:t>Sig.</w:t>
      </w:r>
      <w:r w:rsidRPr="00022F29">
        <w:rPr>
          <w:rFonts w:ascii="Calibri" w:eastAsia="Calibri" w:hAnsi="Calibri" w:cs="Times New Roman"/>
        </w:rPr>
        <w:tab/>
        <w:t>95% Confidence Interval</w:t>
      </w:r>
      <w:r w:rsidRPr="00022F29">
        <w:rPr>
          <w:rFonts w:ascii="Calibri" w:eastAsia="Calibri" w:hAnsi="Calibri" w:cs="Times New Roman"/>
        </w:rPr>
        <w:tab/>
      </w:r>
    </w:p>
    <w:p w14:paraId="5AF5861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Lower Bound</w:t>
      </w:r>
      <w:r w:rsidRPr="00022F29">
        <w:rPr>
          <w:rFonts w:ascii="Calibri" w:eastAsia="Calibri" w:hAnsi="Calibri" w:cs="Times New Roman"/>
        </w:rPr>
        <w:tab/>
        <w:t>Upper Bound</w:t>
      </w:r>
    </w:p>
    <w:p w14:paraId="1826CA6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A*FQuartile*AgeBinary*RevoveryD*RecoveryA*GenderX</w:t>
      </w:r>
      <w:r w:rsidRPr="00022F29">
        <w:rPr>
          <w:rFonts w:ascii="Calibri" w:eastAsia="Calibri" w:hAnsi="Calibri" w:cs="Times New Roman"/>
        </w:rPr>
        <w:tab/>
        <w:t>1</w:t>
      </w:r>
      <w:r w:rsidRPr="00022F29">
        <w:rPr>
          <w:rFonts w:ascii="Calibri" w:eastAsia="Calibri" w:hAnsi="Calibri" w:cs="Times New Roman"/>
        </w:rPr>
        <w:tab/>
        <w:t>.008</w:t>
      </w:r>
      <w:r w:rsidRPr="00022F29">
        <w:rPr>
          <w:rFonts w:ascii="Calibri" w:eastAsia="Calibri" w:hAnsi="Calibri" w:cs="Times New Roman"/>
        </w:rPr>
        <w:tab/>
        <w:t>.132</w:t>
      </w:r>
      <w:r w:rsidRPr="00022F29">
        <w:rPr>
          <w:rFonts w:ascii="Calibri" w:eastAsia="Calibri" w:hAnsi="Calibri" w:cs="Times New Roman"/>
        </w:rPr>
        <w:tab/>
        <w:t>.058</w:t>
      </w:r>
      <w:r w:rsidRPr="00022F29">
        <w:rPr>
          <w:rFonts w:ascii="Calibri" w:eastAsia="Calibri" w:hAnsi="Calibri" w:cs="Times New Roman"/>
        </w:rPr>
        <w:tab/>
        <w:t>.954</w:t>
      </w:r>
      <w:r w:rsidRPr="00022F29">
        <w:rPr>
          <w:rFonts w:ascii="Calibri" w:eastAsia="Calibri" w:hAnsi="Calibri" w:cs="Times New Roman"/>
        </w:rPr>
        <w:tab/>
        <w:t>-.251</w:t>
      </w:r>
      <w:r w:rsidRPr="00022F29">
        <w:rPr>
          <w:rFonts w:ascii="Calibri" w:eastAsia="Calibri" w:hAnsi="Calibri" w:cs="Times New Roman"/>
        </w:rPr>
        <w:tab/>
        <w:t>.267</w:t>
      </w:r>
    </w:p>
    <w:p w14:paraId="23305A7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-.077</w:t>
      </w:r>
      <w:r w:rsidRPr="00022F29">
        <w:rPr>
          <w:rFonts w:ascii="Calibri" w:eastAsia="Calibri" w:hAnsi="Calibri" w:cs="Times New Roman"/>
        </w:rPr>
        <w:tab/>
        <w:t>.111</w:t>
      </w:r>
      <w:r w:rsidRPr="00022F29">
        <w:rPr>
          <w:rFonts w:ascii="Calibri" w:eastAsia="Calibri" w:hAnsi="Calibri" w:cs="Times New Roman"/>
        </w:rPr>
        <w:tab/>
        <w:t>-.695</w:t>
      </w:r>
      <w:r w:rsidRPr="00022F29">
        <w:rPr>
          <w:rFonts w:ascii="Calibri" w:eastAsia="Calibri" w:hAnsi="Calibri" w:cs="Times New Roman"/>
        </w:rPr>
        <w:tab/>
        <w:t>.487</w:t>
      </w:r>
      <w:r w:rsidRPr="00022F29">
        <w:rPr>
          <w:rFonts w:ascii="Calibri" w:eastAsia="Calibri" w:hAnsi="Calibri" w:cs="Times New Roman"/>
        </w:rPr>
        <w:tab/>
        <w:t>-.295</w:t>
      </w:r>
      <w:r w:rsidRPr="00022F29">
        <w:rPr>
          <w:rFonts w:ascii="Calibri" w:eastAsia="Calibri" w:hAnsi="Calibri" w:cs="Times New Roman"/>
        </w:rPr>
        <w:tab/>
        <w:t>.141</w:t>
      </w:r>
    </w:p>
    <w:p w14:paraId="110A664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.012</w:t>
      </w:r>
      <w:r w:rsidRPr="00022F29">
        <w:rPr>
          <w:rFonts w:ascii="Calibri" w:eastAsia="Calibri" w:hAnsi="Calibri" w:cs="Times New Roman"/>
        </w:rPr>
        <w:tab/>
        <w:t>.107</w:t>
      </w:r>
      <w:r w:rsidRPr="00022F29">
        <w:rPr>
          <w:rFonts w:ascii="Calibri" w:eastAsia="Calibri" w:hAnsi="Calibri" w:cs="Times New Roman"/>
        </w:rPr>
        <w:tab/>
        <w:t>.110</w:t>
      </w:r>
      <w:r w:rsidRPr="00022F29">
        <w:rPr>
          <w:rFonts w:ascii="Calibri" w:eastAsia="Calibri" w:hAnsi="Calibri" w:cs="Times New Roman"/>
        </w:rPr>
        <w:tab/>
        <w:t>.912</w:t>
      </w:r>
      <w:r w:rsidRPr="00022F29">
        <w:rPr>
          <w:rFonts w:ascii="Calibri" w:eastAsia="Calibri" w:hAnsi="Calibri" w:cs="Times New Roman"/>
        </w:rPr>
        <w:tab/>
        <w:t>-.197</w:t>
      </w:r>
      <w:r w:rsidRPr="00022F29">
        <w:rPr>
          <w:rFonts w:ascii="Calibri" w:eastAsia="Calibri" w:hAnsi="Calibri" w:cs="Times New Roman"/>
        </w:rPr>
        <w:tab/>
        <w:t>.221</w:t>
      </w:r>
    </w:p>
    <w:p w14:paraId="5702D21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A*FQuartile*AgeBinary*RevoveryD*RecoveryA</w:t>
      </w:r>
      <w:r w:rsidRPr="00022F29">
        <w:rPr>
          <w:rFonts w:ascii="Calibri" w:eastAsia="Calibri" w:hAnsi="Calibri" w:cs="Times New Roman"/>
        </w:rPr>
        <w:tab/>
        <w:t>1</w:t>
      </w:r>
      <w:r w:rsidRPr="00022F29">
        <w:rPr>
          <w:rFonts w:ascii="Calibri" w:eastAsia="Calibri" w:hAnsi="Calibri" w:cs="Times New Roman"/>
        </w:rPr>
        <w:tab/>
        <w:t>.105</w:t>
      </w:r>
      <w:r w:rsidRPr="00022F29">
        <w:rPr>
          <w:rFonts w:ascii="Calibri" w:eastAsia="Calibri" w:hAnsi="Calibri" w:cs="Times New Roman"/>
        </w:rPr>
        <w:tab/>
        <w:t>.132</w:t>
      </w:r>
      <w:r w:rsidRPr="00022F29">
        <w:rPr>
          <w:rFonts w:ascii="Calibri" w:eastAsia="Calibri" w:hAnsi="Calibri" w:cs="Times New Roman"/>
        </w:rPr>
        <w:tab/>
        <w:t>.797</w:t>
      </w:r>
      <w:r w:rsidRPr="00022F29">
        <w:rPr>
          <w:rFonts w:ascii="Calibri" w:eastAsia="Calibri" w:hAnsi="Calibri" w:cs="Times New Roman"/>
        </w:rPr>
        <w:tab/>
        <w:t>.425</w:t>
      </w:r>
      <w:r w:rsidRPr="00022F29">
        <w:rPr>
          <w:rFonts w:ascii="Calibri" w:eastAsia="Calibri" w:hAnsi="Calibri" w:cs="Times New Roman"/>
        </w:rPr>
        <w:tab/>
        <w:t>-.154</w:t>
      </w:r>
      <w:r w:rsidRPr="00022F29">
        <w:rPr>
          <w:rFonts w:ascii="Calibri" w:eastAsia="Calibri" w:hAnsi="Calibri" w:cs="Times New Roman"/>
        </w:rPr>
        <w:tab/>
        <w:t>.364</w:t>
      </w:r>
    </w:p>
    <w:p w14:paraId="22419DF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.002</w:t>
      </w:r>
      <w:r w:rsidRPr="00022F29">
        <w:rPr>
          <w:rFonts w:ascii="Calibri" w:eastAsia="Calibri" w:hAnsi="Calibri" w:cs="Times New Roman"/>
        </w:rPr>
        <w:tab/>
        <w:t>.111</w:t>
      </w:r>
      <w:r w:rsidRPr="00022F29">
        <w:rPr>
          <w:rFonts w:ascii="Calibri" w:eastAsia="Calibri" w:hAnsi="Calibri" w:cs="Times New Roman"/>
        </w:rPr>
        <w:tab/>
        <w:t>.014</w:t>
      </w:r>
      <w:r w:rsidRPr="00022F29">
        <w:rPr>
          <w:rFonts w:ascii="Calibri" w:eastAsia="Calibri" w:hAnsi="Calibri" w:cs="Times New Roman"/>
        </w:rPr>
        <w:tab/>
        <w:t>.989</w:t>
      </w:r>
      <w:r w:rsidRPr="00022F29">
        <w:rPr>
          <w:rFonts w:ascii="Calibri" w:eastAsia="Calibri" w:hAnsi="Calibri" w:cs="Times New Roman"/>
        </w:rPr>
        <w:tab/>
        <w:t>-.216</w:t>
      </w:r>
      <w:r w:rsidRPr="00022F29">
        <w:rPr>
          <w:rFonts w:ascii="Calibri" w:eastAsia="Calibri" w:hAnsi="Calibri" w:cs="Times New Roman"/>
        </w:rPr>
        <w:tab/>
        <w:t>.220</w:t>
      </w:r>
    </w:p>
    <w:p w14:paraId="4A559A4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-.077</w:t>
      </w:r>
      <w:r w:rsidRPr="00022F29">
        <w:rPr>
          <w:rFonts w:ascii="Calibri" w:eastAsia="Calibri" w:hAnsi="Calibri" w:cs="Times New Roman"/>
        </w:rPr>
        <w:tab/>
        <w:t>.107</w:t>
      </w:r>
      <w:r w:rsidRPr="00022F29">
        <w:rPr>
          <w:rFonts w:ascii="Calibri" w:eastAsia="Calibri" w:hAnsi="Calibri" w:cs="Times New Roman"/>
        </w:rPr>
        <w:tab/>
        <w:t>-.722</w:t>
      </w:r>
      <w:r w:rsidRPr="00022F29">
        <w:rPr>
          <w:rFonts w:ascii="Calibri" w:eastAsia="Calibri" w:hAnsi="Calibri" w:cs="Times New Roman"/>
        </w:rPr>
        <w:tab/>
        <w:t>.471</w:t>
      </w:r>
      <w:r w:rsidRPr="00022F29">
        <w:rPr>
          <w:rFonts w:ascii="Calibri" w:eastAsia="Calibri" w:hAnsi="Calibri" w:cs="Times New Roman"/>
        </w:rPr>
        <w:tab/>
        <w:t>-.286</w:t>
      </w:r>
      <w:r w:rsidRPr="00022F29">
        <w:rPr>
          <w:rFonts w:ascii="Calibri" w:eastAsia="Calibri" w:hAnsi="Calibri" w:cs="Times New Roman"/>
        </w:rPr>
        <w:tab/>
        <w:t>.132</w:t>
      </w:r>
    </w:p>
    <w:p w14:paraId="510D045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A*FQuartile*AgeBinary*RevoveryD*GenderX</w:t>
      </w:r>
      <w:r w:rsidRPr="00022F29">
        <w:rPr>
          <w:rFonts w:ascii="Calibri" w:eastAsia="Calibri" w:hAnsi="Calibri" w:cs="Times New Roman"/>
        </w:rPr>
        <w:tab/>
        <w:t>1</w:t>
      </w:r>
      <w:r w:rsidRPr="00022F29">
        <w:rPr>
          <w:rFonts w:ascii="Calibri" w:eastAsia="Calibri" w:hAnsi="Calibri" w:cs="Times New Roman"/>
        </w:rPr>
        <w:tab/>
        <w:t>-.015</w:t>
      </w:r>
      <w:r w:rsidRPr="00022F29">
        <w:rPr>
          <w:rFonts w:ascii="Calibri" w:eastAsia="Calibri" w:hAnsi="Calibri" w:cs="Times New Roman"/>
        </w:rPr>
        <w:tab/>
        <w:t>.132</w:t>
      </w:r>
      <w:r w:rsidRPr="00022F29">
        <w:rPr>
          <w:rFonts w:ascii="Calibri" w:eastAsia="Calibri" w:hAnsi="Calibri" w:cs="Times New Roman"/>
        </w:rPr>
        <w:tab/>
        <w:t>-.113</w:t>
      </w:r>
      <w:r w:rsidRPr="00022F29">
        <w:rPr>
          <w:rFonts w:ascii="Calibri" w:eastAsia="Calibri" w:hAnsi="Calibri" w:cs="Times New Roman"/>
        </w:rPr>
        <w:tab/>
        <w:t>.910</w:t>
      </w:r>
      <w:r w:rsidRPr="00022F29">
        <w:rPr>
          <w:rFonts w:ascii="Calibri" w:eastAsia="Calibri" w:hAnsi="Calibri" w:cs="Times New Roman"/>
        </w:rPr>
        <w:tab/>
        <w:t>-.274</w:t>
      </w:r>
      <w:r w:rsidRPr="00022F29">
        <w:rPr>
          <w:rFonts w:ascii="Calibri" w:eastAsia="Calibri" w:hAnsi="Calibri" w:cs="Times New Roman"/>
        </w:rPr>
        <w:tab/>
        <w:t>.244</w:t>
      </w:r>
    </w:p>
    <w:p w14:paraId="7B6D4AC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-.041</w:t>
      </w:r>
      <w:r w:rsidRPr="00022F29">
        <w:rPr>
          <w:rFonts w:ascii="Calibri" w:eastAsia="Calibri" w:hAnsi="Calibri" w:cs="Times New Roman"/>
        </w:rPr>
        <w:tab/>
        <w:t>.111</w:t>
      </w:r>
      <w:r w:rsidRPr="00022F29">
        <w:rPr>
          <w:rFonts w:ascii="Calibri" w:eastAsia="Calibri" w:hAnsi="Calibri" w:cs="Times New Roman"/>
        </w:rPr>
        <w:tab/>
        <w:t>-.366</w:t>
      </w:r>
      <w:r w:rsidRPr="00022F29">
        <w:rPr>
          <w:rFonts w:ascii="Calibri" w:eastAsia="Calibri" w:hAnsi="Calibri" w:cs="Times New Roman"/>
        </w:rPr>
        <w:tab/>
        <w:t>.714</w:t>
      </w:r>
      <w:r w:rsidRPr="00022F29">
        <w:rPr>
          <w:rFonts w:ascii="Calibri" w:eastAsia="Calibri" w:hAnsi="Calibri" w:cs="Times New Roman"/>
        </w:rPr>
        <w:tab/>
        <w:t>-.259</w:t>
      </w:r>
      <w:r w:rsidRPr="00022F29">
        <w:rPr>
          <w:rFonts w:ascii="Calibri" w:eastAsia="Calibri" w:hAnsi="Calibri" w:cs="Times New Roman"/>
        </w:rPr>
        <w:tab/>
        <w:t>.177</w:t>
      </w:r>
    </w:p>
    <w:p w14:paraId="2ADBDE0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-.026</w:t>
      </w:r>
      <w:r w:rsidRPr="00022F29">
        <w:rPr>
          <w:rFonts w:ascii="Calibri" w:eastAsia="Calibri" w:hAnsi="Calibri" w:cs="Times New Roman"/>
        </w:rPr>
        <w:tab/>
        <w:t>.107</w:t>
      </w:r>
      <w:r w:rsidRPr="00022F29">
        <w:rPr>
          <w:rFonts w:ascii="Calibri" w:eastAsia="Calibri" w:hAnsi="Calibri" w:cs="Times New Roman"/>
        </w:rPr>
        <w:tab/>
        <w:t>-.244</w:t>
      </w:r>
      <w:r w:rsidRPr="00022F29">
        <w:rPr>
          <w:rFonts w:ascii="Calibri" w:eastAsia="Calibri" w:hAnsi="Calibri" w:cs="Times New Roman"/>
        </w:rPr>
        <w:tab/>
        <w:t>.807</w:t>
      </w:r>
      <w:r w:rsidRPr="00022F29">
        <w:rPr>
          <w:rFonts w:ascii="Calibri" w:eastAsia="Calibri" w:hAnsi="Calibri" w:cs="Times New Roman"/>
        </w:rPr>
        <w:tab/>
        <w:t>-.235</w:t>
      </w:r>
      <w:r w:rsidRPr="00022F29">
        <w:rPr>
          <w:rFonts w:ascii="Calibri" w:eastAsia="Calibri" w:hAnsi="Calibri" w:cs="Times New Roman"/>
        </w:rPr>
        <w:tab/>
        <w:t>.183</w:t>
      </w:r>
    </w:p>
    <w:p w14:paraId="4FE1DC6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A*FQuartile*AgeBinary*RecoveryA*GenderX</w:t>
      </w:r>
      <w:r w:rsidRPr="00022F29">
        <w:rPr>
          <w:rFonts w:ascii="Calibri" w:eastAsia="Calibri" w:hAnsi="Calibri" w:cs="Times New Roman"/>
        </w:rPr>
        <w:tab/>
        <w:t>1</w:t>
      </w:r>
      <w:r w:rsidRPr="00022F29">
        <w:rPr>
          <w:rFonts w:ascii="Calibri" w:eastAsia="Calibri" w:hAnsi="Calibri" w:cs="Times New Roman"/>
        </w:rPr>
        <w:tab/>
        <w:t>-.173</w:t>
      </w:r>
      <w:r w:rsidRPr="00022F29">
        <w:rPr>
          <w:rFonts w:ascii="Calibri" w:eastAsia="Calibri" w:hAnsi="Calibri" w:cs="Times New Roman"/>
        </w:rPr>
        <w:tab/>
        <w:t>.132</w:t>
      </w:r>
      <w:r w:rsidRPr="00022F29">
        <w:rPr>
          <w:rFonts w:ascii="Calibri" w:eastAsia="Calibri" w:hAnsi="Calibri" w:cs="Times New Roman"/>
        </w:rPr>
        <w:tab/>
        <w:t>-1.310</w:t>
      </w:r>
      <w:r w:rsidRPr="00022F29">
        <w:rPr>
          <w:rFonts w:ascii="Calibri" w:eastAsia="Calibri" w:hAnsi="Calibri" w:cs="Times New Roman"/>
        </w:rPr>
        <w:tab/>
        <w:t>.190</w:t>
      </w:r>
      <w:r w:rsidRPr="00022F29">
        <w:rPr>
          <w:rFonts w:ascii="Calibri" w:eastAsia="Calibri" w:hAnsi="Calibri" w:cs="Times New Roman"/>
        </w:rPr>
        <w:tab/>
        <w:t>-.432</w:t>
      </w:r>
      <w:r w:rsidRPr="00022F29">
        <w:rPr>
          <w:rFonts w:ascii="Calibri" w:eastAsia="Calibri" w:hAnsi="Calibri" w:cs="Times New Roman"/>
        </w:rPr>
        <w:tab/>
        <w:t>.086</w:t>
      </w:r>
    </w:p>
    <w:p w14:paraId="26D1532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.220</w:t>
      </w:r>
      <w:r w:rsidRPr="00022F29">
        <w:rPr>
          <w:rFonts w:ascii="Calibri" w:eastAsia="Calibri" w:hAnsi="Calibri" w:cs="Times New Roman"/>
        </w:rPr>
        <w:tab/>
        <w:t>.111</w:t>
      </w:r>
      <w:r w:rsidRPr="00022F29">
        <w:rPr>
          <w:rFonts w:ascii="Calibri" w:eastAsia="Calibri" w:hAnsi="Calibri" w:cs="Times New Roman"/>
        </w:rPr>
        <w:tab/>
        <w:t>1.977</w:t>
      </w:r>
      <w:r w:rsidRPr="00022F29">
        <w:rPr>
          <w:rFonts w:ascii="Calibri" w:eastAsia="Calibri" w:hAnsi="Calibri" w:cs="Times New Roman"/>
        </w:rPr>
        <w:tab/>
        <w:t>.048</w:t>
      </w:r>
      <w:r w:rsidRPr="00022F29">
        <w:rPr>
          <w:rFonts w:ascii="Calibri" w:eastAsia="Calibri" w:hAnsi="Calibri" w:cs="Times New Roman"/>
        </w:rPr>
        <w:tab/>
        <w:t>.002</w:t>
      </w:r>
      <w:r w:rsidRPr="00022F29">
        <w:rPr>
          <w:rFonts w:ascii="Calibri" w:eastAsia="Calibri" w:hAnsi="Calibri" w:cs="Times New Roman"/>
        </w:rPr>
        <w:tab/>
        <w:t>.438</w:t>
      </w:r>
    </w:p>
    <w:p w14:paraId="476FE30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-.107</w:t>
      </w:r>
      <w:r w:rsidRPr="00022F29">
        <w:rPr>
          <w:rFonts w:ascii="Calibri" w:eastAsia="Calibri" w:hAnsi="Calibri" w:cs="Times New Roman"/>
        </w:rPr>
        <w:tab/>
        <w:t>.107</w:t>
      </w:r>
      <w:r w:rsidRPr="00022F29">
        <w:rPr>
          <w:rFonts w:ascii="Calibri" w:eastAsia="Calibri" w:hAnsi="Calibri" w:cs="Times New Roman"/>
        </w:rPr>
        <w:tab/>
        <w:t>-1.001</w:t>
      </w:r>
      <w:r w:rsidRPr="00022F29">
        <w:rPr>
          <w:rFonts w:ascii="Calibri" w:eastAsia="Calibri" w:hAnsi="Calibri" w:cs="Times New Roman"/>
        </w:rPr>
        <w:tab/>
        <w:t>.317</w:t>
      </w:r>
      <w:r w:rsidRPr="00022F29">
        <w:rPr>
          <w:rFonts w:ascii="Calibri" w:eastAsia="Calibri" w:hAnsi="Calibri" w:cs="Times New Roman"/>
        </w:rPr>
        <w:tab/>
        <w:t>-.315</w:t>
      </w:r>
      <w:r w:rsidRPr="00022F29">
        <w:rPr>
          <w:rFonts w:ascii="Calibri" w:eastAsia="Calibri" w:hAnsi="Calibri" w:cs="Times New Roman"/>
        </w:rPr>
        <w:tab/>
        <w:t>.102</w:t>
      </w:r>
    </w:p>
    <w:p w14:paraId="2A66221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A*FQuartile*RevoveryD*RecoveryA*GenderX</w:t>
      </w:r>
      <w:r w:rsidRPr="00022F29">
        <w:rPr>
          <w:rFonts w:ascii="Calibri" w:eastAsia="Calibri" w:hAnsi="Calibri" w:cs="Times New Roman"/>
        </w:rPr>
        <w:tab/>
        <w:t>1</w:t>
      </w:r>
      <w:r w:rsidRPr="00022F29">
        <w:rPr>
          <w:rFonts w:ascii="Calibri" w:eastAsia="Calibri" w:hAnsi="Calibri" w:cs="Times New Roman"/>
        </w:rPr>
        <w:tab/>
        <w:t>.119</w:t>
      </w:r>
      <w:r w:rsidRPr="00022F29">
        <w:rPr>
          <w:rFonts w:ascii="Calibri" w:eastAsia="Calibri" w:hAnsi="Calibri" w:cs="Times New Roman"/>
        </w:rPr>
        <w:tab/>
        <w:t>.132</w:t>
      </w:r>
      <w:r w:rsidRPr="00022F29">
        <w:rPr>
          <w:rFonts w:ascii="Calibri" w:eastAsia="Calibri" w:hAnsi="Calibri" w:cs="Times New Roman"/>
        </w:rPr>
        <w:tab/>
        <w:t>.897</w:t>
      </w:r>
      <w:r w:rsidRPr="00022F29">
        <w:rPr>
          <w:rFonts w:ascii="Calibri" w:eastAsia="Calibri" w:hAnsi="Calibri" w:cs="Times New Roman"/>
        </w:rPr>
        <w:tab/>
        <w:t>.370</w:t>
      </w:r>
      <w:r w:rsidRPr="00022F29">
        <w:rPr>
          <w:rFonts w:ascii="Calibri" w:eastAsia="Calibri" w:hAnsi="Calibri" w:cs="Times New Roman"/>
        </w:rPr>
        <w:tab/>
        <w:t>-.141</w:t>
      </w:r>
      <w:r w:rsidRPr="00022F29">
        <w:rPr>
          <w:rFonts w:ascii="Calibri" w:eastAsia="Calibri" w:hAnsi="Calibri" w:cs="Times New Roman"/>
        </w:rPr>
        <w:tab/>
        <w:t>.378</w:t>
      </w:r>
    </w:p>
    <w:p w14:paraId="2B35D6C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.043</w:t>
      </w:r>
      <w:r w:rsidRPr="00022F29">
        <w:rPr>
          <w:rFonts w:ascii="Calibri" w:eastAsia="Calibri" w:hAnsi="Calibri" w:cs="Times New Roman"/>
        </w:rPr>
        <w:tab/>
        <w:t>.111</w:t>
      </w:r>
      <w:r w:rsidRPr="00022F29">
        <w:rPr>
          <w:rFonts w:ascii="Calibri" w:eastAsia="Calibri" w:hAnsi="Calibri" w:cs="Times New Roman"/>
        </w:rPr>
        <w:tab/>
        <w:t>.391</w:t>
      </w:r>
      <w:r w:rsidRPr="00022F29">
        <w:rPr>
          <w:rFonts w:ascii="Calibri" w:eastAsia="Calibri" w:hAnsi="Calibri" w:cs="Times New Roman"/>
        </w:rPr>
        <w:tab/>
        <w:t>.696</w:t>
      </w:r>
      <w:r w:rsidRPr="00022F29">
        <w:rPr>
          <w:rFonts w:ascii="Calibri" w:eastAsia="Calibri" w:hAnsi="Calibri" w:cs="Times New Roman"/>
        </w:rPr>
        <w:tab/>
        <w:t>-.175</w:t>
      </w:r>
      <w:r w:rsidRPr="00022F29">
        <w:rPr>
          <w:rFonts w:ascii="Calibri" w:eastAsia="Calibri" w:hAnsi="Calibri" w:cs="Times New Roman"/>
        </w:rPr>
        <w:tab/>
        <w:t>.261</w:t>
      </w:r>
    </w:p>
    <w:p w14:paraId="4B7E03C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-.073</w:t>
      </w:r>
      <w:r w:rsidRPr="00022F29">
        <w:rPr>
          <w:rFonts w:ascii="Calibri" w:eastAsia="Calibri" w:hAnsi="Calibri" w:cs="Times New Roman"/>
        </w:rPr>
        <w:tab/>
        <w:t>.107</w:t>
      </w:r>
      <w:r w:rsidRPr="00022F29">
        <w:rPr>
          <w:rFonts w:ascii="Calibri" w:eastAsia="Calibri" w:hAnsi="Calibri" w:cs="Times New Roman"/>
        </w:rPr>
        <w:tab/>
        <w:t>-.689</w:t>
      </w:r>
      <w:r w:rsidRPr="00022F29">
        <w:rPr>
          <w:rFonts w:ascii="Calibri" w:eastAsia="Calibri" w:hAnsi="Calibri" w:cs="Times New Roman"/>
        </w:rPr>
        <w:tab/>
        <w:t>.491</w:t>
      </w:r>
      <w:r w:rsidRPr="00022F29">
        <w:rPr>
          <w:rFonts w:ascii="Calibri" w:eastAsia="Calibri" w:hAnsi="Calibri" w:cs="Times New Roman"/>
        </w:rPr>
        <w:tab/>
        <w:t>-.282</w:t>
      </w:r>
      <w:r w:rsidRPr="00022F29">
        <w:rPr>
          <w:rFonts w:ascii="Calibri" w:eastAsia="Calibri" w:hAnsi="Calibri" w:cs="Times New Roman"/>
        </w:rPr>
        <w:tab/>
        <w:t>.135</w:t>
      </w:r>
    </w:p>
    <w:p w14:paraId="3C6502C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A*AgeBinary*RevoveryD*RecoveryA*GenderX</w:t>
      </w:r>
      <w:r w:rsidRPr="00022F29">
        <w:rPr>
          <w:rFonts w:ascii="Calibri" w:eastAsia="Calibri" w:hAnsi="Calibri" w:cs="Times New Roman"/>
        </w:rPr>
        <w:tab/>
        <w:t>1</w:t>
      </w:r>
      <w:r w:rsidRPr="00022F29">
        <w:rPr>
          <w:rFonts w:ascii="Calibri" w:eastAsia="Calibri" w:hAnsi="Calibri" w:cs="Times New Roman"/>
        </w:rPr>
        <w:tab/>
        <w:t>-.017</w:t>
      </w:r>
      <w:r w:rsidRPr="00022F29">
        <w:rPr>
          <w:rFonts w:ascii="Calibri" w:eastAsia="Calibri" w:hAnsi="Calibri" w:cs="Times New Roman"/>
        </w:rPr>
        <w:tab/>
        <w:t>.067</w:t>
      </w:r>
      <w:r w:rsidRPr="00022F29">
        <w:rPr>
          <w:rFonts w:ascii="Calibri" w:eastAsia="Calibri" w:hAnsi="Calibri" w:cs="Times New Roman"/>
        </w:rPr>
        <w:tab/>
        <w:t>-.250</w:t>
      </w:r>
      <w:r w:rsidRPr="00022F29">
        <w:rPr>
          <w:rFonts w:ascii="Calibri" w:eastAsia="Calibri" w:hAnsi="Calibri" w:cs="Times New Roman"/>
        </w:rPr>
        <w:tab/>
        <w:t>.802</w:t>
      </w:r>
      <w:r w:rsidRPr="00022F29">
        <w:rPr>
          <w:rFonts w:ascii="Calibri" w:eastAsia="Calibri" w:hAnsi="Calibri" w:cs="Times New Roman"/>
        </w:rPr>
        <w:tab/>
        <w:t>-.147</w:t>
      </w:r>
      <w:r w:rsidRPr="00022F29">
        <w:rPr>
          <w:rFonts w:ascii="Calibri" w:eastAsia="Calibri" w:hAnsi="Calibri" w:cs="Times New Roman"/>
        </w:rPr>
        <w:tab/>
        <w:t>.114</w:t>
      </w:r>
    </w:p>
    <w:p w14:paraId="0A28595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FQuartile*AgeBinary*RevoveryD*RecoveryA*GenderX</w:t>
      </w:r>
      <w:r w:rsidRPr="00022F29">
        <w:rPr>
          <w:rFonts w:ascii="Calibri" w:eastAsia="Calibri" w:hAnsi="Calibri" w:cs="Times New Roman"/>
        </w:rPr>
        <w:tab/>
        <w:t>1</w:t>
      </w:r>
      <w:r w:rsidRPr="00022F29">
        <w:rPr>
          <w:rFonts w:ascii="Calibri" w:eastAsia="Calibri" w:hAnsi="Calibri" w:cs="Times New Roman"/>
        </w:rPr>
        <w:tab/>
        <w:t>.057</w:t>
      </w:r>
      <w:r w:rsidRPr="00022F29">
        <w:rPr>
          <w:rFonts w:ascii="Calibri" w:eastAsia="Calibri" w:hAnsi="Calibri" w:cs="Times New Roman"/>
        </w:rPr>
        <w:tab/>
        <w:t>.132</w:t>
      </w:r>
      <w:r w:rsidRPr="00022F29">
        <w:rPr>
          <w:rFonts w:ascii="Calibri" w:eastAsia="Calibri" w:hAnsi="Calibri" w:cs="Times New Roman"/>
        </w:rPr>
        <w:tab/>
        <w:t>.428</w:t>
      </w:r>
      <w:r w:rsidRPr="00022F29">
        <w:rPr>
          <w:rFonts w:ascii="Calibri" w:eastAsia="Calibri" w:hAnsi="Calibri" w:cs="Times New Roman"/>
        </w:rPr>
        <w:tab/>
        <w:t>.669</w:t>
      </w:r>
      <w:r w:rsidRPr="00022F29">
        <w:rPr>
          <w:rFonts w:ascii="Calibri" w:eastAsia="Calibri" w:hAnsi="Calibri" w:cs="Times New Roman"/>
        </w:rPr>
        <w:tab/>
        <w:t>-.202</w:t>
      </w:r>
      <w:r w:rsidRPr="00022F29">
        <w:rPr>
          <w:rFonts w:ascii="Calibri" w:eastAsia="Calibri" w:hAnsi="Calibri" w:cs="Times New Roman"/>
        </w:rPr>
        <w:tab/>
        <w:t>.316</w:t>
      </w:r>
    </w:p>
    <w:p w14:paraId="48F76E2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.052</w:t>
      </w:r>
      <w:r w:rsidRPr="00022F29">
        <w:rPr>
          <w:rFonts w:ascii="Calibri" w:eastAsia="Calibri" w:hAnsi="Calibri" w:cs="Times New Roman"/>
        </w:rPr>
        <w:tab/>
        <w:t>.111</w:t>
      </w:r>
      <w:r w:rsidRPr="00022F29">
        <w:rPr>
          <w:rFonts w:ascii="Calibri" w:eastAsia="Calibri" w:hAnsi="Calibri" w:cs="Times New Roman"/>
        </w:rPr>
        <w:tab/>
        <w:t>.471</w:t>
      </w:r>
      <w:r w:rsidRPr="00022F29">
        <w:rPr>
          <w:rFonts w:ascii="Calibri" w:eastAsia="Calibri" w:hAnsi="Calibri" w:cs="Times New Roman"/>
        </w:rPr>
        <w:tab/>
        <w:t>.637</w:t>
      </w:r>
      <w:r w:rsidRPr="00022F29">
        <w:rPr>
          <w:rFonts w:ascii="Calibri" w:eastAsia="Calibri" w:hAnsi="Calibri" w:cs="Times New Roman"/>
        </w:rPr>
        <w:tab/>
        <w:t>-.166</w:t>
      </w:r>
      <w:r w:rsidRPr="00022F29">
        <w:rPr>
          <w:rFonts w:ascii="Calibri" w:eastAsia="Calibri" w:hAnsi="Calibri" w:cs="Times New Roman"/>
        </w:rPr>
        <w:tab/>
        <w:t>.270</w:t>
      </w:r>
    </w:p>
    <w:p w14:paraId="57491C4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-.064</w:t>
      </w:r>
      <w:r w:rsidRPr="00022F29">
        <w:rPr>
          <w:rFonts w:ascii="Calibri" w:eastAsia="Calibri" w:hAnsi="Calibri" w:cs="Times New Roman"/>
        </w:rPr>
        <w:tab/>
        <w:t>.107</w:t>
      </w:r>
      <w:r w:rsidRPr="00022F29">
        <w:rPr>
          <w:rFonts w:ascii="Calibri" w:eastAsia="Calibri" w:hAnsi="Calibri" w:cs="Times New Roman"/>
        </w:rPr>
        <w:tab/>
        <w:t>-.606</w:t>
      </w:r>
      <w:r w:rsidRPr="00022F29">
        <w:rPr>
          <w:rFonts w:ascii="Calibri" w:eastAsia="Calibri" w:hAnsi="Calibri" w:cs="Times New Roman"/>
        </w:rPr>
        <w:tab/>
        <w:t>.545</w:t>
      </w:r>
      <w:r w:rsidRPr="00022F29">
        <w:rPr>
          <w:rFonts w:ascii="Calibri" w:eastAsia="Calibri" w:hAnsi="Calibri" w:cs="Times New Roman"/>
        </w:rPr>
        <w:tab/>
        <w:t>-.273</w:t>
      </w:r>
      <w:r w:rsidRPr="00022F29">
        <w:rPr>
          <w:rFonts w:ascii="Calibri" w:eastAsia="Calibri" w:hAnsi="Calibri" w:cs="Times New Roman"/>
        </w:rPr>
        <w:tab/>
        <w:t>.144</w:t>
      </w:r>
    </w:p>
    <w:p w14:paraId="2ACE379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A*FQuartile*AgeBinary*RevoveryD</w:t>
      </w:r>
      <w:r w:rsidRPr="00022F29">
        <w:rPr>
          <w:rFonts w:ascii="Calibri" w:eastAsia="Calibri" w:hAnsi="Calibri" w:cs="Times New Roman"/>
        </w:rPr>
        <w:tab/>
        <w:t>1</w:t>
      </w:r>
      <w:r w:rsidRPr="00022F29">
        <w:rPr>
          <w:rFonts w:ascii="Calibri" w:eastAsia="Calibri" w:hAnsi="Calibri" w:cs="Times New Roman"/>
        </w:rPr>
        <w:tab/>
        <w:t>-.013</w:t>
      </w:r>
      <w:r w:rsidRPr="00022F29">
        <w:rPr>
          <w:rFonts w:ascii="Calibri" w:eastAsia="Calibri" w:hAnsi="Calibri" w:cs="Times New Roman"/>
        </w:rPr>
        <w:tab/>
        <w:t>.132</w:t>
      </w:r>
      <w:r w:rsidRPr="00022F29">
        <w:rPr>
          <w:rFonts w:ascii="Calibri" w:eastAsia="Calibri" w:hAnsi="Calibri" w:cs="Times New Roman"/>
        </w:rPr>
        <w:tab/>
        <w:t>-.101</w:t>
      </w:r>
      <w:r w:rsidRPr="00022F29">
        <w:rPr>
          <w:rFonts w:ascii="Calibri" w:eastAsia="Calibri" w:hAnsi="Calibri" w:cs="Times New Roman"/>
        </w:rPr>
        <w:tab/>
        <w:t>.920</w:t>
      </w:r>
      <w:r w:rsidRPr="00022F29">
        <w:rPr>
          <w:rFonts w:ascii="Calibri" w:eastAsia="Calibri" w:hAnsi="Calibri" w:cs="Times New Roman"/>
        </w:rPr>
        <w:tab/>
        <w:t>-.272</w:t>
      </w:r>
      <w:r w:rsidRPr="00022F29">
        <w:rPr>
          <w:rFonts w:ascii="Calibri" w:eastAsia="Calibri" w:hAnsi="Calibri" w:cs="Times New Roman"/>
        </w:rPr>
        <w:tab/>
        <w:t>.246</w:t>
      </w:r>
    </w:p>
    <w:p w14:paraId="4437825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.085</w:t>
      </w:r>
      <w:r w:rsidRPr="00022F29">
        <w:rPr>
          <w:rFonts w:ascii="Calibri" w:eastAsia="Calibri" w:hAnsi="Calibri" w:cs="Times New Roman"/>
        </w:rPr>
        <w:tab/>
        <w:t>.111</w:t>
      </w:r>
      <w:r w:rsidRPr="00022F29">
        <w:rPr>
          <w:rFonts w:ascii="Calibri" w:eastAsia="Calibri" w:hAnsi="Calibri" w:cs="Times New Roman"/>
        </w:rPr>
        <w:tab/>
        <w:t>.764</w:t>
      </w:r>
      <w:r w:rsidRPr="00022F29">
        <w:rPr>
          <w:rFonts w:ascii="Calibri" w:eastAsia="Calibri" w:hAnsi="Calibri" w:cs="Times New Roman"/>
        </w:rPr>
        <w:tab/>
        <w:t>.445</w:t>
      </w:r>
      <w:r w:rsidRPr="00022F29">
        <w:rPr>
          <w:rFonts w:ascii="Calibri" w:eastAsia="Calibri" w:hAnsi="Calibri" w:cs="Times New Roman"/>
        </w:rPr>
        <w:tab/>
        <w:t>-.133</w:t>
      </w:r>
      <w:r w:rsidRPr="00022F29">
        <w:rPr>
          <w:rFonts w:ascii="Calibri" w:eastAsia="Calibri" w:hAnsi="Calibri" w:cs="Times New Roman"/>
        </w:rPr>
        <w:tab/>
        <w:t>.303</w:t>
      </w:r>
    </w:p>
    <w:p w14:paraId="2090C97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-.036</w:t>
      </w:r>
      <w:r w:rsidRPr="00022F29">
        <w:rPr>
          <w:rFonts w:ascii="Calibri" w:eastAsia="Calibri" w:hAnsi="Calibri" w:cs="Times New Roman"/>
        </w:rPr>
        <w:tab/>
        <w:t>.107</w:t>
      </w:r>
      <w:r w:rsidRPr="00022F29">
        <w:rPr>
          <w:rFonts w:ascii="Calibri" w:eastAsia="Calibri" w:hAnsi="Calibri" w:cs="Times New Roman"/>
        </w:rPr>
        <w:tab/>
        <w:t>-.335</w:t>
      </w:r>
      <w:r w:rsidRPr="00022F29">
        <w:rPr>
          <w:rFonts w:ascii="Calibri" w:eastAsia="Calibri" w:hAnsi="Calibri" w:cs="Times New Roman"/>
        </w:rPr>
        <w:tab/>
        <w:t>.738</w:t>
      </w:r>
      <w:r w:rsidRPr="00022F29">
        <w:rPr>
          <w:rFonts w:ascii="Calibri" w:eastAsia="Calibri" w:hAnsi="Calibri" w:cs="Times New Roman"/>
        </w:rPr>
        <w:tab/>
        <w:t>-.244</w:t>
      </w:r>
      <w:r w:rsidRPr="00022F29">
        <w:rPr>
          <w:rFonts w:ascii="Calibri" w:eastAsia="Calibri" w:hAnsi="Calibri" w:cs="Times New Roman"/>
        </w:rPr>
        <w:tab/>
        <w:t>.173</w:t>
      </w:r>
    </w:p>
    <w:p w14:paraId="6D8E472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A*FQuartile*AgeBinary*RecoveryA</w:t>
      </w:r>
      <w:r w:rsidRPr="00022F29">
        <w:rPr>
          <w:rFonts w:ascii="Calibri" w:eastAsia="Calibri" w:hAnsi="Calibri" w:cs="Times New Roman"/>
        </w:rPr>
        <w:tab/>
        <w:t>1</w:t>
      </w:r>
      <w:r w:rsidRPr="00022F29">
        <w:rPr>
          <w:rFonts w:ascii="Calibri" w:eastAsia="Calibri" w:hAnsi="Calibri" w:cs="Times New Roman"/>
        </w:rPr>
        <w:tab/>
        <w:t>.133</w:t>
      </w:r>
      <w:r w:rsidRPr="00022F29">
        <w:rPr>
          <w:rFonts w:ascii="Calibri" w:eastAsia="Calibri" w:hAnsi="Calibri" w:cs="Times New Roman"/>
        </w:rPr>
        <w:tab/>
        <w:t>.132</w:t>
      </w:r>
      <w:r w:rsidRPr="00022F29">
        <w:rPr>
          <w:rFonts w:ascii="Calibri" w:eastAsia="Calibri" w:hAnsi="Calibri" w:cs="Times New Roman"/>
        </w:rPr>
        <w:tab/>
        <w:t>1.005</w:t>
      </w:r>
      <w:r w:rsidRPr="00022F29">
        <w:rPr>
          <w:rFonts w:ascii="Calibri" w:eastAsia="Calibri" w:hAnsi="Calibri" w:cs="Times New Roman"/>
        </w:rPr>
        <w:tab/>
        <w:t>.315</w:t>
      </w:r>
      <w:r w:rsidRPr="00022F29">
        <w:rPr>
          <w:rFonts w:ascii="Calibri" w:eastAsia="Calibri" w:hAnsi="Calibri" w:cs="Times New Roman"/>
        </w:rPr>
        <w:tab/>
        <w:t>-.126</w:t>
      </w:r>
      <w:r w:rsidRPr="00022F29">
        <w:rPr>
          <w:rFonts w:ascii="Calibri" w:eastAsia="Calibri" w:hAnsi="Calibri" w:cs="Times New Roman"/>
        </w:rPr>
        <w:tab/>
        <w:t>.392</w:t>
      </w:r>
    </w:p>
    <w:p w14:paraId="064C8A5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-.114</w:t>
      </w:r>
      <w:r w:rsidRPr="00022F29">
        <w:rPr>
          <w:rFonts w:ascii="Calibri" w:eastAsia="Calibri" w:hAnsi="Calibri" w:cs="Times New Roman"/>
        </w:rPr>
        <w:tab/>
        <w:t>.111</w:t>
      </w:r>
      <w:r w:rsidRPr="00022F29">
        <w:rPr>
          <w:rFonts w:ascii="Calibri" w:eastAsia="Calibri" w:hAnsi="Calibri" w:cs="Times New Roman"/>
        </w:rPr>
        <w:tab/>
        <w:t>-1.027</w:t>
      </w:r>
      <w:r w:rsidRPr="00022F29">
        <w:rPr>
          <w:rFonts w:ascii="Calibri" w:eastAsia="Calibri" w:hAnsi="Calibri" w:cs="Times New Roman"/>
        </w:rPr>
        <w:tab/>
        <w:t>.304</w:t>
      </w:r>
      <w:r w:rsidRPr="00022F29">
        <w:rPr>
          <w:rFonts w:ascii="Calibri" w:eastAsia="Calibri" w:hAnsi="Calibri" w:cs="Times New Roman"/>
        </w:rPr>
        <w:tab/>
        <w:t>-.332</w:t>
      </w:r>
      <w:r w:rsidRPr="00022F29">
        <w:rPr>
          <w:rFonts w:ascii="Calibri" w:eastAsia="Calibri" w:hAnsi="Calibri" w:cs="Times New Roman"/>
        </w:rPr>
        <w:tab/>
        <w:t>.104</w:t>
      </w:r>
    </w:p>
    <w:p w14:paraId="4164307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.000</w:t>
      </w:r>
      <w:r w:rsidRPr="00022F29">
        <w:rPr>
          <w:rFonts w:ascii="Calibri" w:eastAsia="Calibri" w:hAnsi="Calibri" w:cs="Times New Roman"/>
        </w:rPr>
        <w:tab/>
        <w:t>.107</w:t>
      </w:r>
      <w:r w:rsidRPr="00022F29">
        <w:rPr>
          <w:rFonts w:ascii="Calibri" w:eastAsia="Calibri" w:hAnsi="Calibri" w:cs="Times New Roman"/>
        </w:rPr>
        <w:tab/>
        <w:t>.004</w:t>
      </w:r>
      <w:r w:rsidRPr="00022F29">
        <w:rPr>
          <w:rFonts w:ascii="Calibri" w:eastAsia="Calibri" w:hAnsi="Calibri" w:cs="Times New Roman"/>
        </w:rPr>
        <w:tab/>
        <w:t>.996</w:t>
      </w:r>
      <w:r w:rsidRPr="00022F29">
        <w:rPr>
          <w:rFonts w:ascii="Calibri" w:eastAsia="Calibri" w:hAnsi="Calibri" w:cs="Times New Roman"/>
        </w:rPr>
        <w:tab/>
        <w:t>-.208</w:t>
      </w:r>
      <w:r w:rsidRPr="00022F29">
        <w:rPr>
          <w:rFonts w:ascii="Calibri" w:eastAsia="Calibri" w:hAnsi="Calibri" w:cs="Times New Roman"/>
        </w:rPr>
        <w:tab/>
        <w:t>.209</w:t>
      </w:r>
    </w:p>
    <w:p w14:paraId="3BA3ADD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A*FQuartile*RevoveryD*RecoveryA</w:t>
      </w:r>
      <w:r w:rsidRPr="00022F29">
        <w:rPr>
          <w:rFonts w:ascii="Calibri" w:eastAsia="Calibri" w:hAnsi="Calibri" w:cs="Times New Roman"/>
        </w:rPr>
        <w:tab/>
        <w:t>1</w:t>
      </w:r>
      <w:r w:rsidRPr="00022F29">
        <w:rPr>
          <w:rFonts w:ascii="Calibri" w:eastAsia="Calibri" w:hAnsi="Calibri" w:cs="Times New Roman"/>
        </w:rPr>
        <w:tab/>
        <w:t>.133</w:t>
      </w:r>
      <w:r w:rsidRPr="00022F29">
        <w:rPr>
          <w:rFonts w:ascii="Calibri" w:eastAsia="Calibri" w:hAnsi="Calibri" w:cs="Times New Roman"/>
        </w:rPr>
        <w:tab/>
        <w:t>.132</w:t>
      </w:r>
      <w:r w:rsidRPr="00022F29">
        <w:rPr>
          <w:rFonts w:ascii="Calibri" w:eastAsia="Calibri" w:hAnsi="Calibri" w:cs="Times New Roman"/>
        </w:rPr>
        <w:tab/>
        <w:t>1.003</w:t>
      </w:r>
      <w:r w:rsidRPr="00022F29">
        <w:rPr>
          <w:rFonts w:ascii="Calibri" w:eastAsia="Calibri" w:hAnsi="Calibri" w:cs="Times New Roman"/>
        </w:rPr>
        <w:tab/>
        <w:t>.316</w:t>
      </w:r>
      <w:r w:rsidRPr="00022F29">
        <w:rPr>
          <w:rFonts w:ascii="Calibri" w:eastAsia="Calibri" w:hAnsi="Calibri" w:cs="Times New Roman"/>
        </w:rPr>
        <w:tab/>
        <w:t>-.126</w:t>
      </w:r>
      <w:r w:rsidRPr="00022F29">
        <w:rPr>
          <w:rFonts w:ascii="Calibri" w:eastAsia="Calibri" w:hAnsi="Calibri" w:cs="Times New Roman"/>
        </w:rPr>
        <w:tab/>
        <w:t>.392</w:t>
      </w:r>
    </w:p>
    <w:p w14:paraId="11516AA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.019</w:t>
      </w:r>
      <w:r w:rsidRPr="00022F29">
        <w:rPr>
          <w:rFonts w:ascii="Calibri" w:eastAsia="Calibri" w:hAnsi="Calibri" w:cs="Times New Roman"/>
        </w:rPr>
        <w:tab/>
        <w:t>.111</w:t>
      </w:r>
      <w:r w:rsidRPr="00022F29">
        <w:rPr>
          <w:rFonts w:ascii="Calibri" w:eastAsia="Calibri" w:hAnsi="Calibri" w:cs="Times New Roman"/>
        </w:rPr>
        <w:tab/>
        <w:t>.171</w:t>
      </w:r>
      <w:r w:rsidRPr="00022F29">
        <w:rPr>
          <w:rFonts w:ascii="Calibri" w:eastAsia="Calibri" w:hAnsi="Calibri" w:cs="Times New Roman"/>
        </w:rPr>
        <w:tab/>
        <w:t>.864</w:t>
      </w:r>
      <w:r w:rsidRPr="00022F29">
        <w:rPr>
          <w:rFonts w:ascii="Calibri" w:eastAsia="Calibri" w:hAnsi="Calibri" w:cs="Times New Roman"/>
        </w:rPr>
        <w:tab/>
        <w:t>-.199</w:t>
      </w:r>
      <w:r w:rsidRPr="00022F29">
        <w:rPr>
          <w:rFonts w:ascii="Calibri" w:eastAsia="Calibri" w:hAnsi="Calibri" w:cs="Times New Roman"/>
        </w:rPr>
        <w:tab/>
        <w:t>.237</w:t>
      </w:r>
    </w:p>
    <w:p w14:paraId="7B743B3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-.089</w:t>
      </w:r>
      <w:r w:rsidRPr="00022F29">
        <w:rPr>
          <w:rFonts w:ascii="Calibri" w:eastAsia="Calibri" w:hAnsi="Calibri" w:cs="Times New Roman"/>
        </w:rPr>
        <w:tab/>
        <w:t>.107</w:t>
      </w:r>
      <w:r w:rsidRPr="00022F29">
        <w:rPr>
          <w:rFonts w:ascii="Calibri" w:eastAsia="Calibri" w:hAnsi="Calibri" w:cs="Times New Roman"/>
        </w:rPr>
        <w:tab/>
        <w:t>-.840</w:t>
      </w:r>
      <w:r w:rsidRPr="00022F29">
        <w:rPr>
          <w:rFonts w:ascii="Calibri" w:eastAsia="Calibri" w:hAnsi="Calibri" w:cs="Times New Roman"/>
        </w:rPr>
        <w:tab/>
        <w:t>.401</w:t>
      </w:r>
      <w:r w:rsidRPr="00022F29">
        <w:rPr>
          <w:rFonts w:ascii="Calibri" w:eastAsia="Calibri" w:hAnsi="Calibri" w:cs="Times New Roman"/>
        </w:rPr>
        <w:tab/>
        <w:t>-.298</w:t>
      </w:r>
      <w:r w:rsidRPr="00022F29">
        <w:rPr>
          <w:rFonts w:ascii="Calibri" w:eastAsia="Calibri" w:hAnsi="Calibri" w:cs="Times New Roman"/>
        </w:rPr>
        <w:tab/>
        <w:t>.119</w:t>
      </w:r>
    </w:p>
    <w:p w14:paraId="3510849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A*AgeBinary*RevoveryD*RecoveryA</w:t>
      </w:r>
      <w:r w:rsidRPr="00022F29">
        <w:rPr>
          <w:rFonts w:ascii="Calibri" w:eastAsia="Calibri" w:hAnsi="Calibri" w:cs="Times New Roman"/>
        </w:rPr>
        <w:tab/>
        <w:t>1</w:t>
      </w:r>
      <w:r w:rsidRPr="00022F29">
        <w:rPr>
          <w:rFonts w:ascii="Calibri" w:eastAsia="Calibri" w:hAnsi="Calibri" w:cs="Times New Roman"/>
        </w:rPr>
        <w:tab/>
        <w:t>.031</w:t>
      </w:r>
      <w:r w:rsidRPr="00022F29">
        <w:rPr>
          <w:rFonts w:ascii="Calibri" w:eastAsia="Calibri" w:hAnsi="Calibri" w:cs="Times New Roman"/>
        </w:rPr>
        <w:tab/>
        <w:t>.067</w:t>
      </w:r>
      <w:r w:rsidRPr="00022F29">
        <w:rPr>
          <w:rFonts w:ascii="Calibri" w:eastAsia="Calibri" w:hAnsi="Calibri" w:cs="Times New Roman"/>
        </w:rPr>
        <w:tab/>
        <w:t>.465</w:t>
      </w:r>
      <w:r w:rsidRPr="00022F29">
        <w:rPr>
          <w:rFonts w:ascii="Calibri" w:eastAsia="Calibri" w:hAnsi="Calibri" w:cs="Times New Roman"/>
        </w:rPr>
        <w:tab/>
        <w:t>.642</w:t>
      </w:r>
      <w:r w:rsidRPr="00022F29">
        <w:rPr>
          <w:rFonts w:ascii="Calibri" w:eastAsia="Calibri" w:hAnsi="Calibri" w:cs="Times New Roman"/>
        </w:rPr>
        <w:tab/>
        <w:t>-.100</w:t>
      </w:r>
      <w:r w:rsidRPr="00022F29">
        <w:rPr>
          <w:rFonts w:ascii="Calibri" w:eastAsia="Calibri" w:hAnsi="Calibri" w:cs="Times New Roman"/>
        </w:rPr>
        <w:tab/>
        <w:t>.162</w:t>
      </w:r>
    </w:p>
    <w:p w14:paraId="55BABBE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FQuartile*AgeBinary*RevoveryD*RecoveryA</w:t>
      </w:r>
      <w:r w:rsidRPr="00022F29">
        <w:rPr>
          <w:rFonts w:ascii="Calibri" w:eastAsia="Calibri" w:hAnsi="Calibri" w:cs="Times New Roman"/>
        </w:rPr>
        <w:tab/>
        <w:t>1</w:t>
      </w:r>
      <w:r w:rsidRPr="00022F29">
        <w:rPr>
          <w:rFonts w:ascii="Calibri" w:eastAsia="Calibri" w:hAnsi="Calibri" w:cs="Times New Roman"/>
        </w:rPr>
        <w:tab/>
        <w:t>.060</w:t>
      </w:r>
      <w:r w:rsidRPr="00022F29">
        <w:rPr>
          <w:rFonts w:ascii="Calibri" w:eastAsia="Calibri" w:hAnsi="Calibri" w:cs="Times New Roman"/>
        </w:rPr>
        <w:tab/>
        <w:t>.132</w:t>
      </w:r>
      <w:r w:rsidRPr="00022F29">
        <w:rPr>
          <w:rFonts w:ascii="Calibri" w:eastAsia="Calibri" w:hAnsi="Calibri" w:cs="Times New Roman"/>
        </w:rPr>
        <w:tab/>
        <w:t>.455</w:t>
      </w:r>
      <w:r w:rsidRPr="00022F29">
        <w:rPr>
          <w:rFonts w:ascii="Calibri" w:eastAsia="Calibri" w:hAnsi="Calibri" w:cs="Times New Roman"/>
        </w:rPr>
        <w:tab/>
        <w:t>.649</w:t>
      </w:r>
      <w:r w:rsidRPr="00022F29">
        <w:rPr>
          <w:rFonts w:ascii="Calibri" w:eastAsia="Calibri" w:hAnsi="Calibri" w:cs="Times New Roman"/>
        </w:rPr>
        <w:tab/>
        <w:t>-.199</w:t>
      </w:r>
      <w:r w:rsidRPr="00022F29">
        <w:rPr>
          <w:rFonts w:ascii="Calibri" w:eastAsia="Calibri" w:hAnsi="Calibri" w:cs="Times New Roman"/>
        </w:rPr>
        <w:tab/>
        <w:t>.319</w:t>
      </w:r>
    </w:p>
    <w:p w14:paraId="77C7E8E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-.093</w:t>
      </w:r>
      <w:r w:rsidRPr="00022F29">
        <w:rPr>
          <w:rFonts w:ascii="Calibri" w:eastAsia="Calibri" w:hAnsi="Calibri" w:cs="Times New Roman"/>
        </w:rPr>
        <w:tab/>
        <w:t>.111</w:t>
      </w:r>
      <w:r w:rsidRPr="00022F29">
        <w:rPr>
          <w:rFonts w:ascii="Calibri" w:eastAsia="Calibri" w:hAnsi="Calibri" w:cs="Times New Roman"/>
        </w:rPr>
        <w:tab/>
        <w:t>-.836</w:t>
      </w:r>
      <w:r w:rsidRPr="00022F29">
        <w:rPr>
          <w:rFonts w:ascii="Calibri" w:eastAsia="Calibri" w:hAnsi="Calibri" w:cs="Times New Roman"/>
        </w:rPr>
        <w:tab/>
        <w:t>.403</w:t>
      </w:r>
      <w:r w:rsidRPr="00022F29">
        <w:rPr>
          <w:rFonts w:ascii="Calibri" w:eastAsia="Calibri" w:hAnsi="Calibri" w:cs="Times New Roman"/>
        </w:rPr>
        <w:tab/>
        <w:t>-.311</w:t>
      </w:r>
      <w:r w:rsidRPr="00022F29">
        <w:rPr>
          <w:rFonts w:ascii="Calibri" w:eastAsia="Calibri" w:hAnsi="Calibri" w:cs="Times New Roman"/>
        </w:rPr>
        <w:tab/>
        <w:t>.125</w:t>
      </w:r>
    </w:p>
    <w:p w14:paraId="4B3EF18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b/>
        <w:t>3</w:t>
      </w:r>
      <w:r w:rsidRPr="00022F29">
        <w:rPr>
          <w:rFonts w:ascii="Calibri" w:eastAsia="Calibri" w:hAnsi="Calibri" w:cs="Times New Roman"/>
        </w:rPr>
        <w:tab/>
        <w:t>.105</w:t>
      </w:r>
      <w:r w:rsidRPr="00022F29">
        <w:rPr>
          <w:rFonts w:ascii="Calibri" w:eastAsia="Calibri" w:hAnsi="Calibri" w:cs="Times New Roman"/>
        </w:rPr>
        <w:tab/>
        <w:t>.107</w:t>
      </w:r>
      <w:r w:rsidRPr="00022F29">
        <w:rPr>
          <w:rFonts w:ascii="Calibri" w:eastAsia="Calibri" w:hAnsi="Calibri" w:cs="Times New Roman"/>
        </w:rPr>
        <w:tab/>
        <w:t>.983</w:t>
      </w:r>
      <w:r w:rsidRPr="00022F29">
        <w:rPr>
          <w:rFonts w:ascii="Calibri" w:eastAsia="Calibri" w:hAnsi="Calibri" w:cs="Times New Roman"/>
        </w:rPr>
        <w:tab/>
        <w:t>.325</w:t>
      </w:r>
      <w:r w:rsidRPr="00022F29">
        <w:rPr>
          <w:rFonts w:ascii="Calibri" w:eastAsia="Calibri" w:hAnsi="Calibri" w:cs="Times New Roman"/>
        </w:rPr>
        <w:tab/>
        <w:t>-.104</w:t>
      </w:r>
      <w:r w:rsidRPr="00022F29">
        <w:rPr>
          <w:rFonts w:ascii="Calibri" w:eastAsia="Calibri" w:hAnsi="Calibri" w:cs="Times New Roman"/>
        </w:rPr>
        <w:tab/>
        <w:t>.313</w:t>
      </w:r>
    </w:p>
    <w:p w14:paraId="48C3F15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A*FQuartile*AgeBinary*GenderX</w:t>
      </w:r>
      <w:r w:rsidRPr="00022F29">
        <w:rPr>
          <w:rFonts w:ascii="Calibri" w:eastAsia="Calibri" w:hAnsi="Calibri" w:cs="Times New Roman"/>
        </w:rPr>
        <w:tab/>
        <w:t>1</w:t>
      </w:r>
      <w:r w:rsidRPr="00022F29">
        <w:rPr>
          <w:rFonts w:ascii="Calibri" w:eastAsia="Calibri" w:hAnsi="Calibri" w:cs="Times New Roman"/>
        </w:rPr>
        <w:tab/>
        <w:t>.043</w:t>
      </w:r>
      <w:r w:rsidRPr="00022F29">
        <w:rPr>
          <w:rFonts w:ascii="Calibri" w:eastAsia="Calibri" w:hAnsi="Calibri" w:cs="Times New Roman"/>
        </w:rPr>
        <w:tab/>
        <w:t>.132</w:t>
      </w:r>
      <w:r w:rsidRPr="00022F29">
        <w:rPr>
          <w:rFonts w:ascii="Calibri" w:eastAsia="Calibri" w:hAnsi="Calibri" w:cs="Times New Roman"/>
        </w:rPr>
        <w:tab/>
        <w:t>.322</w:t>
      </w:r>
      <w:r w:rsidRPr="00022F29">
        <w:rPr>
          <w:rFonts w:ascii="Calibri" w:eastAsia="Calibri" w:hAnsi="Calibri" w:cs="Times New Roman"/>
        </w:rPr>
        <w:tab/>
        <w:t>.747</w:t>
      </w:r>
      <w:r w:rsidRPr="00022F29">
        <w:rPr>
          <w:rFonts w:ascii="Calibri" w:eastAsia="Calibri" w:hAnsi="Calibri" w:cs="Times New Roman"/>
        </w:rPr>
        <w:tab/>
        <w:t>-.216</w:t>
      </w:r>
      <w:r w:rsidRPr="00022F29">
        <w:rPr>
          <w:rFonts w:ascii="Calibri" w:eastAsia="Calibri" w:hAnsi="Calibri" w:cs="Times New Roman"/>
        </w:rPr>
        <w:tab/>
        <w:t>.302</w:t>
      </w:r>
    </w:p>
    <w:p w14:paraId="200EDD7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.158</w:t>
      </w:r>
      <w:r w:rsidRPr="00022F29">
        <w:rPr>
          <w:rFonts w:ascii="Calibri" w:eastAsia="Calibri" w:hAnsi="Calibri" w:cs="Times New Roman"/>
        </w:rPr>
        <w:tab/>
        <w:t>.111</w:t>
      </w:r>
      <w:r w:rsidRPr="00022F29">
        <w:rPr>
          <w:rFonts w:ascii="Calibri" w:eastAsia="Calibri" w:hAnsi="Calibri" w:cs="Times New Roman"/>
        </w:rPr>
        <w:tab/>
        <w:t>1.423</w:t>
      </w:r>
      <w:r w:rsidRPr="00022F29">
        <w:rPr>
          <w:rFonts w:ascii="Calibri" w:eastAsia="Calibri" w:hAnsi="Calibri" w:cs="Times New Roman"/>
        </w:rPr>
        <w:tab/>
        <w:t>.155</w:t>
      </w:r>
      <w:r w:rsidRPr="00022F29">
        <w:rPr>
          <w:rFonts w:ascii="Calibri" w:eastAsia="Calibri" w:hAnsi="Calibri" w:cs="Times New Roman"/>
        </w:rPr>
        <w:tab/>
        <w:t>-.060</w:t>
      </w:r>
      <w:r w:rsidRPr="00022F29">
        <w:rPr>
          <w:rFonts w:ascii="Calibri" w:eastAsia="Calibri" w:hAnsi="Calibri" w:cs="Times New Roman"/>
        </w:rPr>
        <w:tab/>
        <w:t>.376</w:t>
      </w:r>
    </w:p>
    <w:p w14:paraId="7552FAE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-.042</w:t>
      </w:r>
      <w:r w:rsidRPr="00022F29">
        <w:rPr>
          <w:rFonts w:ascii="Calibri" w:eastAsia="Calibri" w:hAnsi="Calibri" w:cs="Times New Roman"/>
        </w:rPr>
        <w:tab/>
        <w:t>.107</w:t>
      </w:r>
      <w:r w:rsidRPr="00022F29">
        <w:rPr>
          <w:rFonts w:ascii="Calibri" w:eastAsia="Calibri" w:hAnsi="Calibri" w:cs="Times New Roman"/>
        </w:rPr>
        <w:tab/>
        <w:t>-.398</w:t>
      </w:r>
      <w:r w:rsidRPr="00022F29">
        <w:rPr>
          <w:rFonts w:ascii="Calibri" w:eastAsia="Calibri" w:hAnsi="Calibri" w:cs="Times New Roman"/>
        </w:rPr>
        <w:tab/>
        <w:t>.690</w:t>
      </w:r>
      <w:r w:rsidRPr="00022F29">
        <w:rPr>
          <w:rFonts w:ascii="Calibri" w:eastAsia="Calibri" w:hAnsi="Calibri" w:cs="Times New Roman"/>
        </w:rPr>
        <w:tab/>
        <w:t>-.251</w:t>
      </w:r>
      <w:r w:rsidRPr="00022F29">
        <w:rPr>
          <w:rFonts w:ascii="Calibri" w:eastAsia="Calibri" w:hAnsi="Calibri" w:cs="Times New Roman"/>
        </w:rPr>
        <w:tab/>
        <w:t>.166</w:t>
      </w:r>
    </w:p>
    <w:p w14:paraId="0B70D74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A*FQuartile*RevoveryD*GenderX</w:t>
      </w:r>
      <w:r w:rsidRPr="00022F29">
        <w:rPr>
          <w:rFonts w:ascii="Calibri" w:eastAsia="Calibri" w:hAnsi="Calibri" w:cs="Times New Roman"/>
        </w:rPr>
        <w:tab/>
        <w:t>1</w:t>
      </w:r>
      <w:r w:rsidRPr="00022F29">
        <w:rPr>
          <w:rFonts w:ascii="Calibri" w:eastAsia="Calibri" w:hAnsi="Calibri" w:cs="Times New Roman"/>
        </w:rPr>
        <w:tab/>
        <w:t>-.012</w:t>
      </w:r>
      <w:r w:rsidRPr="00022F29">
        <w:rPr>
          <w:rFonts w:ascii="Calibri" w:eastAsia="Calibri" w:hAnsi="Calibri" w:cs="Times New Roman"/>
        </w:rPr>
        <w:tab/>
        <w:t>.132</w:t>
      </w:r>
      <w:r w:rsidRPr="00022F29">
        <w:rPr>
          <w:rFonts w:ascii="Calibri" w:eastAsia="Calibri" w:hAnsi="Calibri" w:cs="Times New Roman"/>
        </w:rPr>
        <w:tab/>
        <w:t>-.089</w:t>
      </w:r>
      <w:r w:rsidRPr="00022F29">
        <w:rPr>
          <w:rFonts w:ascii="Calibri" w:eastAsia="Calibri" w:hAnsi="Calibri" w:cs="Times New Roman"/>
        </w:rPr>
        <w:tab/>
        <w:t>.929</w:t>
      </w:r>
      <w:r w:rsidRPr="00022F29">
        <w:rPr>
          <w:rFonts w:ascii="Calibri" w:eastAsia="Calibri" w:hAnsi="Calibri" w:cs="Times New Roman"/>
        </w:rPr>
        <w:tab/>
        <w:t>-.271</w:t>
      </w:r>
      <w:r w:rsidRPr="00022F29">
        <w:rPr>
          <w:rFonts w:ascii="Calibri" w:eastAsia="Calibri" w:hAnsi="Calibri" w:cs="Times New Roman"/>
        </w:rPr>
        <w:tab/>
        <w:t>.247</w:t>
      </w:r>
    </w:p>
    <w:p w14:paraId="030054D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.013</w:t>
      </w:r>
      <w:r w:rsidRPr="00022F29">
        <w:rPr>
          <w:rFonts w:ascii="Calibri" w:eastAsia="Calibri" w:hAnsi="Calibri" w:cs="Times New Roman"/>
        </w:rPr>
        <w:tab/>
        <w:t>.111</w:t>
      </w:r>
      <w:r w:rsidRPr="00022F29">
        <w:rPr>
          <w:rFonts w:ascii="Calibri" w:eastAsia="Calibri" w:hAnsi="Calibri" w:cs="Times New Roman"/>
        </w:rPr>
        <w:tab/>
        <w:t>.121</w:t>
      </w:r>
      <w:r w:rsidRPr="00022F29">
        <w:rPr>
          <w:rFonts w:ascii="Calibri" w:eastAsia="Calibri" w:hAnsi="Calibri" w:cs="Times New Roman"/>
        </w:rPr>
        <w:tab/>
        <w:t>.904</w:t>
      </w:r>
      <w:r w:rsidRPr="00022F29">
        <w:rPr>
          <w:rFonts w:ascii="Calibri" w:eastAsia="Calibri" w:hAnsi="Calibri" w:cs="Times New Roman"/>
        </w:rPr>
        <w:tab/>
        <w:t>-.204</w:t>
      </w:r>
      <w:r w:rsidRPr="00022F29">
        <w:rPr>
          <w:rFonts w:ascii="Calibri" w:eastAsia="Calibri" w:hAnsi="Calibri" w:cs="Times New Roman"/>
        </w:rPr>
        <w:tab/>
        <w:t>.231</w:t>
      </w:r>
    </w:p>
    <w:p w14:paraId="3EC40BA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.083</w:t>
      </w:r>
      <w:r w:rsidRPr="00022F29">
        <w:rPr>
          <w:rFonts w:ascii="Calibri" w:eastAsia="Calibri" w:hAnsi="Calibri" w:cs="Times New Roman"/>
        </w:rPr>
        <w:tab/>
        <w:t>.107</w:t>
      </w:r>
      <w:r w:rsidRPr="00022F29">
        <w:rPr>
          <w:rFonts w:ascii="Calibri" w:eastAsia="Calibri" w:hAnsi="Calibri" w:cs="Times New Roman"/>
        </w:rPr>
        <w:tab/>
        <w:t>.779</w:t>
      </w:r>
      <w:r w:rsidRPr="00022F29">
        <w:rPr>
          <w:rFonts w:ascii="Calibri" w:eastAsia="Calibri" w:hAnsi="Calibri" w:cs="Times New Roman"/>
        </w:rPr>
        <w:tab/>
        <w:t>.436</w:t>
      </w:r>
      <w:r w:rsidRPr="00022F29">
        <w:rPr>
          <w:rFonts w:ascii="Calibri" w:eastAsia="Calibri" w:hAnsi="Calibri" w:cs="Times New Roman"/>
        </w:rPr>
        <w:tab/>
        <w:t>-.126</w:t>
      </w:r>
      <w:r w:rsidRPr="00022F29">
        <w:rPr>
          <w:rFonts w:ascii="Calibri" w:eastAsia="Calibri" w:hAnsi="Calibri" w:cs="Times New Roman"/>
        </w:rPr>
        <w:tab/>
        <w:t>.292</w:t>
      </w:r>
    </w:p>
    <w:p w14:paraId="02000B6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A*AgeBinary*RevoveryD*GenderX</w:t>
      </w:r>
      <w:r w:rsidRPr="00022F29">
        <w:rPr>
          <w:rFonts w:ascii="Calibri" w:eastAsia="Calibri" w:hAnsi="Calibri" w:cs="Times New Roman"/>
        </w:rPr>
        <w:tab/>
        <w:t>1</w:t>
      </w:r>
      <w:r w:rsidRPr="00022F29">
        <w:rPr>
          <w:rFonts w:ascii="Calibri" w:eastAsia="Calibri" w:hAnsi="Calibri" w:cs="Times New Roman"/>
        </w:rPr>
        <w:tab/>
        <w:t>.004</w:t>
      </w:r>
      <w:r w:rsidRPr="00022F29">
        <w:rPr>
          <w:rFonts w:ascii="Calibri" w:eastAsia="Calibri" w:hAnsi="Calibri" w:cs="Times New Roman"/>
        </w:rPr>
        <w:tab/>
        <w:t>.067</w:t>
      </w:r>
      <w:r w:rsidRPr="00022F29">
        <w:rPr>
          <w:rFonts w:ascii="Calibri" w:eastAsia="Calibri" w:hAnsi="Calibri" w:cs="Times New Roman"/>
        </w:rPr>
        <w:tab/>
        <w:t>.063</w:t>
      </w:r>
      <w:r w:rsidRPr="00022F29">
        <w:rPr>
          <w:rFonts w:ascii="Calibri" w:eastAsia="Calibri" w:hAnsi="Calibri" w:cs="Times New Roman"/>
        </w:rPr>
        <w:tab/>
        <w:t>.950</w:t>
      </w:r>
      <w:r w:rsidRPr="00022F29">
        <w:rPr>
          <w:rFonts w:ascii="Calibri" w:eastAsia="Calibri" w:hAnsi="Calibri" w:cs="Times New Roman"/>
        </w:rPr>
        <w:tab/>
        <w:t>-.126</w:t>
      </w:r>
      <w:r w:rsidRPr="00022F29">
        <w:rPr>
          <w:rFonts w:ascii="Calibri" w:eastAsia="Calibri" w:hAnsi="Calibri" w:cs="Times New Roman"/>
        </w:rPr>
        <w:tab/>
        <w:t>.135</w:t>
      </w:r>
    </w:p>
    <w:p w14:paraId="56C2DB1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FQuartile*AgeBinary*RevoveryD*GenderX</w:t>
      </w:r>
      <w:r w:rsidRPr="00022F29">
        <w:rPr>
          <w:rFonts w:ascii="Calibri" w:eastAsia="Calibri" w:hAnsi="Calibri" w:cs="Times New Roman"/>
        </w:rPr>
        <w:tab/>
        <w:t>1</w:t>
      </w:r>
      <w:r w:rsidRPr="00022F29">
        <w:rPr>
          <w:rFonts w:ascii="Calibri" w:eastAsia="Calibri" w:hAnsi="Calibri" w:cs="Times New Roman"/>
        </w:rPr>
        <w:tab/>
        <w:t>-.063</w:t>
      </w:r>
      <w:r w:rsidRPr="00022F29">
        <w:rPr>
          <w:rFonts w:ascii="Calibri" w:eastAsia="Calibri" w:hAnsi="Calibri" w:cs="Times New Roman"/>
        </w:rPr>
        <w:tab/>
        <w:t>.132</w:t>
      </w:r>
      <w:r w:rsidRPr="00022F29">
        <w:rPr>
          <w:rFonts w:ascii="Calibri" w:eastAsia="Calibri" w:hAnsi="Calibri" w:cs="Times New Roman"/>
        </w:rPr>
        <w:tab/>
        <w:t>-.479</w:t>
      </w:r>
      <w:r w:rsidRPr="00022F29">
        <w:rPr>
          <w:rFonts w:ascii="Calibri" w:eastAsia="Calibri" w:hAnsi="Calibri" w:cs="Times New Roman"/>
        </w:rPr>
        <w:tab/>
        <w:t>.632</w:t>
      </w:r>
      <w:r w:rsidRPr="00022F29">
        <w:rPr>
          <w:rFonts w:ascii="Calibri" w:eastAsia="Calibri" w:hAnsi="Calibri" w:cs="Times New Roman"/>
        </w:rPr>
        <w:tab/>
        <w:t>-.322</w:t>
      </w:r>
      <w:r w:rsidRPr="00022F29">
        <w:rPr>
          <w:rFonts w:ascii="Calibri" w:eastAsia="Calibri" w:hAnsi="Calibri" w:cs="Times New Roman"/>
        </w:rPr>
        <w:tab/>
        <w:t>.196</w:t>
      </w:r>
    </w:p>
    <w:p w14:paraId="0C5CE02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.124</w:t>
      </w:r>
      <w:r w:rsidRPr="00022F29">
        <w:rPr>
          <w:rFonts w:ascii="Calibri" w:eastAsia="Calibri" w:hAnsi="Calibri" w:cs="Times New Roman"/>
        </w:rPr>
        <w:tab/>
        <w:t>.111</w:t>
      </w:r>
      <w:r w:rsidRPr="00022F29">
        <w:rPr>
          <w:rFonts w:ascii="Calibri" w:eastAsia="Calibri" w:hAnsi="Calibri" w:cs="Times New Roman"/>
        </w:rPr>
        <w:tab/>
        <w:t>1.112</w:t>
      </w:r>
      <w:r w:rsidRPr="00022F29">
        <w:rPr>
          <w:rFonts w:ascii="Calibri" w:eastAsia="Calibri" w:hAnsi="Calibri" w:cs="Times New Roman"/>
        </w:rPr>
        <w:tab/>
        <w:t>.266</w:t>
      </w:r>
      <w:r w:rsidRPr="00022F29">
        <w:rPr>
          <w:rFonts w:ascii="Calibri" w:eastAsia="Calibri" w:hAnsi="Calibri" w:cs="Times New Roman"/>
        </w:rPr>
        <w:tab/>
        <w:t>-.094</w:t>
      </w:r>
      <w:r w:rsidRPr="00022F29">
        <w:rPr>
          <w:rFonts w:ascii="Calibri" w:eastAsia="Calibri" w:hAnsi="Calibri" w:cs="Times New Roman"/>
        </w:rPr>
        <w:tab/>
        <w:t>.342</w:t>
      </w:r>
    </w:p>
    <w:p w14:paraId="6210D36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-.033</w:t>
      </w:r>
      <w:r w:rsidRPr="00022F29">
        <w:rPr>
          <w:rFonts w:ascii="Calibri" w:eastAsia="Calibri" w:hAnsi="Calibri" w:cs="Times New Roman"/>
        </w:rPr>
        <w:tab/>
        <w:t>.107</w:t>
      </w:r>
      <w:r w:rsidRPr="00022F29">
        <w:rPr>
          <w:rFonts w:ascii="Calibri" w:eastAsia="Calibri" w:hAnsi="Calibri" w:cs="Times New Roman"/>
        </w:rPr>
        <w:tab/>
        <w:t>-.310</w:t>
      </w:r>
      <w:r w:rsidRPr="00022F29">
        <w:rPr>
          <w:rFonts w:ascii="Calibri" w:eastAsia="Calibri" w:hAnsi="Calibri" w:cs="Times New Roman"/>
        </w:rPr>
        <w:tab/>
        <w:t>.757</w:t>
      </w:r>
      <w:r w:rsidRPr="00022F29">
        <w:rPr>
          <w:rFonts w:ascii="Calibri" w:eastAsia="Calibri" w:hAnsi="Calibri" w:cs="Times New Roman"/>
        </w:rPr>
        <w:tab/>
        <w:t>-.242</w:t>
      </w:r>
      <w:r w:rsidRPr="00022F29">
        <w:rPr>
          <w:rFonts w:ascii="Calibri" w:eastAsia="Calibri" w:hAnsi="Calibri" w:cs="Times New Roman"/>
        </w:rPr>
        <w:tab/>
        <w:t>.176</w:t>
      </w:r>
    </w:p>
    <w:p w14:paraId="3A8ABA9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A*FQuartile*RecoveryA*GenderX</w:t>
      </w:r>
      <w:r w:rsidRPr="00022F29">
        <w:rPr>
          <w:rFonts w:ascii="Calibri" w:eastAsia="Calibri" w:hAnsi="Calibri" w:cs="Times New Roman"/>
        </w:rPr>
        <w:tab/>
        <w:t>1</w:t>
      </w:r>
      <w:r w:rsidRPr="00022F29">
        <w:rPr>
          <w:rFonts w:ascii="Calibri" w:eastAsia="Calibri" w:hAnsi="Calibri" w:cs="Times New Roman"/>
        </w:rPr>
        <w:tab/>
        <w:t>.103</w:t>
      </w:r>
      <w:r w:rsidRPr="00022F29">
        <w:rPr>
          <w:rFonts w:ascii="Calibri" w:eastAsia="Calibri" w:hAnsi="Calibri" w:cs="Times New Roman"/>
        </w:rPr>
        <w:tab/>
        <w:t>.132</w:t>
      </w:r>
      <w:r w:rsidRPr="00022F29">
        <w:rPr>
          <w:rFonts w:ascii="Calibri" w:eastAsia="Calibri" w:hAnsi="Calibri" w:cs="Times New Roman"/>
        </w:rPr>
        <w:tab/>
        <w:t>.781</w:t>
      </w:r>
      <w:r w:rsidRPr="00022F29">
        <w:rPr>
          <w:rFonts w:ascii="Calibri" w:eastAsia="Calibri" w:hAnsi="Calibri" w:cs="Times New Roman"/>
        </w:rPr>
        <w:tab/>
        <w:t>.435</w:t>
      </w:r>
      <w:r w:rsidRPr="00022F29">
        <w:rPr>
          <w:rFonts w:ascii="Calibri" w:eastAsia="Calibri" w:hAnsi="Calibri" w:cs="Times New Roman"/>
        </w:rPr>
        <w:tab/>
        <w:t>-.156</w:t>
      </w:r>
      <w:r w:rsidRPr="00022F29">
        <w:rPr>
          <w:rFonts w:ascii="Calibri" w:eastAsia="Calibri" w:hAnsi="Calibri" w:cs="Times New Roman"/>
        </w:rPr>
        <w:tab/>
        <w:t>.362</w:t>
      </w:r>
    </w:p>
    <w:p w14:paraId="7725C23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-.035</w:t>
      </w:r>
      <w:r w:rsidRPr="00022F29">
        <w:rPr>
          <w:rFonts w:ascii="Calibri" w:eastAsia="Calibri" w:hAnsi="Calibri" w:cs="Times New Roman"/>
        </w:rPr>
        <w:tab/>
        <w:t>.111</w:t>
      </w:r>
      <w:r w:rsidRPr="00022F29">
        <w:rPr>
          <w:rFonts w:ascii="Calibri" w:eastAsia="Calibri" w:hAnsi="Calibri" w:cs="Times New Roman"/>
        </w:rPr>
        <w:tab/>
        <w:t>-.310</w:t>
      </w:r>
      <w:r w:rsidRPr="00022F29">
        <w:rPr>
          <w:rFonts w:ascii="Calibri" w:eastAsia="Calibri" w:hAnsi="Calibri" w:cs="Times New Roman"/>
        </w:rPr>
        <w:tab/>
        <w:t>.756</w:t>
      </w:r>
      <w:r w:rsidRPr="00022F29">
        <w:rPr>
          <w:rFonts w:ascii="Calibri" w:eastAsia="Calibri" w:hAnsi="Calibri" w:cs="Times New Roman"/>
        </w:rPr>
        <w:tab/>
        <w:t>-.252</w:t>
      </w:r>
      <w:r w:rsidRPr="00022F29">
        <w:rPr>
          <w:rFonts w:ascii="Calibri" w:eastAsia="Calibri" w:hAnsi="Calibri" w:cs="Times New Roman"/>
        </w:rPr>
        <w:tab/>
        <w:t>.183</w:t>
      </w:r>
    </w:p>
    <w:p w14:paraId="7E99C0F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-.096</w:t>
      </w:r>
      <w:r w:rsidRPr="00022F29">
        <w:rPr>
          <w:rFonts w:ascii="Calibri" w:eastAsia="Calibri" w:hAnsi="Calibri" w:cs="Times New Roman"/>
        </w:rPr>
        <w:tab/>
        <w:t>.107</w:t>
      </w:r>
      <w:r w:rsidRPr="00022F29">
        <w:rPr>
          <w:rFonts w:ascii="Calibri" w:eastAsia="Calibri" w:hAnsi="Calibri" w:cs="Times New Roman"/>
        </w:rPr>
        <w:tab/>
        <w:t>-.897</w:t>
      </w:r>
      <w:r w:rsidRPr="00022F29">
        <w:rPr>
          <w:rFonts w:ascii="Calibri" w:eastAsia="Calibri" w:hAnsi="Calibri" w:cs="Times New Roman"/>
        </w:rPr>
        <w:tab/>
        <w:t>.370</w:t>
      </w:r>
      <w:r w:rsidRPr="00022F29">
        <w:rPr>
          <w:rFonts w:ascii="Calibri" w:eastAsia="Calibri" w:hAnsi="Calibri" w:cs="Times New Roman"/>
        </w:rPr>
        <w:tab/>
        <w:t>-.304</w:t>
      </w:r>
      <w:r w:rsidRPr="00022F29">
        <w:rPr>
          <w:rFonts w:ascii="Calibri" w:eastAsia="Calibri" w:hAnsi="Calibri" w:cs="Times New Roman"/>
        </w:rPr>
        <w:tab/>
        <w:t>.113</w:t>
      </w:r>
    </w:p>
    <w:p w14:paraId="6B8D2BC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A*AgeBinary*RecoveryA*GenderX</w:t>
      </w:r>
      <w:r w:rsidRPr="00022F29">
        <w:rPr>
          <w:rFonts w:ascii="Calibri" w:eastAsia="Calibri" w:hAnsi="Calibri" w:cs="Times New Roman"/>
        </w:rPr>
        <w:tab/>
        <w:t>1</w:t>
      </w:r>
      <w:r w:rsidRPr="00022F29">
        <w:rPr>
          <w:rFonts w:ascii="Calibri" w:eastAsia="Calibri" w:hAnsi="Calibri" w:cs="Times New Roman"/>
        </w:rPr>
        <w:tab/>
        <w:t>-.086</w:t>
      </w:r>
      <w:r w:rsidRPr="00022F29">
        <w:rPr>
          <w:rFonts w:ascii="Calibri" w:eastAsia="Calibri" w:hAnsi="Calibri" w:cs="Times New Roman"/>
        </w:rPr>
        <w:tab/>
        <w:t>.067</w:t>
      </w:r>
      <w:r w:rsidRPr="00022F29">
        <w:rPr>
          <w:rFonts w:ascii="Calibri" w:eastAsia="Calibri" w:hAnsi="Calibri" w:cs="Times New Roman"/>
        </w:rPr>
        <w:tab/>
        <w:t>-1.289</w:t>
      </w:r>
      <w:r w:rsidRPr="00022F29">
        <w:rPr>
          <w:rFonts w:ascii="Calibri" w:eastAsia="Calibri" w:hAnsi="Calibri" w:cs="Times New Roman"/>
        </w:rPr>
        <w:tab/>
        <w:t>.197</w:t>
      </w:r>
      <w:r w:rsidRPr="00022F29">
        <w:rPr>
          <w:rFonts w:ascii="Calibri" w:eastAsia="Calibri" w:hAnsi="Calibri" w:cs="Times New Roman"/>
        </w:rPr>
        <w:tab/>
        <w:t>-.217</w:t>
      </w:r>
      <w:r w:rsidRPr="00022F29">
        <w:rPr>
          <w:rFonts w:ascii="Calibri" w:eastAsia="Calibri" w:hAnsi="Calibri" w:cs="Times New Roman"/>
        </w:rPr>
        <w:tab/>
        <w:t>.045</w:t>
      </w:r>
    </w:p>
    <w:p w14:paraId="21D5865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FQuartile*AgeBinary*RecoveryA*GenderX</w:t>
      </w:r>
      <w:r w:rsidRPr="00022F29">
        <w:rPr>
          <w:rFonts w:ascii="Calibri" w:eastAsia="Calibri" w:hAnsi="Calibri" w:cs="Times New Roman"/>
        </w:rPr>
        <w:tab/>
        <w:t>1</w:t>
      </w:r>
      <w:r w:rsidRPr="00022F29">
        <w:rPr>
          <w:rFonts w:ascii="Calibri" w:eastAsia="Calibri" w:hAnsi="Calibri" w:cs="Times New Roman"/>
        </w:rPr>
        <w:tab/>
        <w:t>.148</w:t>
      </w:r>
      <w:r w:rsidRPr="00022F29">
        <w:rPr>
          <w:rFonts w:ascii="Calibri" w:eastAsia="Calibri" w:hAnsi="Calibri" w:cs="Times New Roman"/>
        </w:rPr>
        <w:tab/>
        <w:t>.132</w:t>
      </w:r>
      <w:r w:rsidRPr="00022F29">
        <w:rPr>
          <w:rFonts w:ascii="Calibri" w:eastAsia="Calibri" w:hAnsi="Calibri" w:cs="Times New Roman"/>
        </w:rPr>
        <w:tab/>
        <w:t>1.122</w:t>
      </w:r>
      <w:r w:rsidRPr="00022F29">
        <w:rPr>
          <w:rFonts w:ascii="Calibri" w:eastAsia="Calibri" w:hAnsi="Calibri" w:cs="Times New Roman"/>
        </w:rPr>
        <w:tab/>
        <w:t>.262</w:t>
      </w:r>
      <w:r w:rsidRPr="00022F29">
        <w:rPr>
          <w:rFonts w:ascii="Calibri" w:eastAsia="Calibri" w:hAnsi="Calibri" w:cs="Times New Roman"/>
        </w:rPr>
        <w:tab/>
        <w:t>-.111</w:t>
      </w:r>
      <w:r w:rsidRPr="00022F29">
        <w:rPr>
          <w:rFonts w:ascii="Calibri" w:eastAsia="Calibri" w:hAnsi="Calibri" w:cs="Times New Roman"/>
        </w:rPr>
        <w:tab/>
        <w:t>.407</w:t>
      </w:r>
    </w:p>
    <w:p w14:paraId="178F02E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7.466E-5</w:t>
      </w:r>
      <w:r w:rsidRPr="00022F29">
        <w:rPr>
          <w:rFonts w:ascii="Calibri" w:eastAsia="Calibri" w:hAnsi="Calibri" w:cs="Times New Roman"/>
        </w:rPr>
        <w:tab/>
        <w:t>.111</w:t>
      </w:r>
      <w:r w:rsidRPr="00022F29">
        <w:rPr>
          <w:rFonts w:ascii="Calibri" w:eastAsia="Calibri" w:hAnsi="Calibri" w:cs="Times New Roman"/>
        </w:rPr>
        <w:tab/>
        <w:t>.001</w:t>
      </w:r>
      <w:r w:rsidRPr="00022F29">
        <w:rPr>
          <w:rFonts w:ascii="Calibri" w:eastAsia="Calibri" w:hAnsi="Calibri" w:cs="Times New Roman"/>
        </w:rPr>
        <w:tab/>
        <w:t>.999</w:t>
      </w:r>
      <w:r w:rsidRPr="00022F29">
        <w:rPr>
          <w:rFonts w:ascii="Calibri" w:eastAsia="Calibri" w:hAnsi="Calibri" w:cs="Times New Roman"/>
        </w:rPr>
        <w:tab/>
        <w:t>-.218</w:t>
      </w:r>
      <w:r w:rsidRPr="00022F29">
        <w:rPr>
          <w:rFonts w:ascii="Calibri" w:eastAsia="Calibri" w:hAnsi="Calibri" w:cs="Times New Roman"/>
        </w:rPr>
        <w:tab/>
        <w:t>.218</w:t>
      </w:r>
    </w:p>
    <w:p w14:paraId="64704A1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-.079</w:t>
      </w:r>
      <w:r w:rsidRPr="00022F29">
        <w:rPr>
          <w:rFonts w:ascii="Calibri" w:eastAsia="Calibri" w:hAnsi="Calibri" w:cs="Times New Roman"/>
        </w:rPr>
        <w:tab/>
        <w:t>.107</w:t>
      </w:r>
      <w:r w:rsidRPr="00022F29">
        <w:rPr>
          <w:rFonts w:ascii="Calibri" w:eastAsia="Calibri" w:hAnsi="Calibri" w:cs="Times New Roman"/>
        </w:rPr>
        <w:tab/>
        <w:t>-.745</w:t>
      </w:r>
      <w:r w:rsidRPr="00022F29">
        <w:rPr>
          <w:rFonts w:ascii="Calibri" w:eastAsia="Calibri" w:hAnsi="Calibri" w:cs="Times New Roman"/>
        </w:rPr>
        <w:tab/>
        <w:t>.456</w:t>
      </w:r>
      <w:r w:rsidRPr="00022F29">
        <w:rPr>
          <w:rFonts w:ascii="Calibri" w:eastAsia="Calibri" w:hAnsi="Calibri" w:cs="Times New Roman"/>
        </w:rPr>
        <w:tab/>
        <w:t>-.288</w:t>
      </w:r>
      <w:r w:rsidRPr="00022F29">
        <w:rPr>
          <w:rFonts w:ascii="Calibri" w:eastAsia="Calibri" w:hAnsi="Calibri" w:cs="Times New Roman"/>
        </w:rPr>
        <w:tab/>
        <w:t>.129</w:t>
      </w:r>
    </w:p>
    <w:p w14:paraId="42D62D5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A*RevoveryD*RecoveryA*GenderX</w:t>
      </w:r>
      <w:r w:rsidRPr="00022F29">
        <w:rPr>
          <w:rFonts w:ascii="Calibri" w:eastAsia="Calibri" w:hAnsi="Calibri" w:cs="Times New Roman"/>
        </w:rPr>
        <w:tab/>
        <w:t>1</w:t>
      </w:r>
      <w:r w:rsidRPr="00022F29">
        <w:rPr>
          <w:rFonts w:ascii="Calibri" w:eastAsia="Calibri" w:hAnsi="Calibri" w:cs="Times New Roman"/>
        </w:rPr>
        <w:tab/>
        <w:t>.077</w:t>
      </w:r>
      <w:r w:rsidRPr="00022F29">
        <w:rPr>
          <w:rFonts w:ascii="Calibri" w:eastAsia="Calibri" w:hAnsi="Calibri" w:cs="Times New Roman"/>
        </w:rPr>
        <w:tab/>
        <w:t>.067</w:t>
      </w:r>
      <w:r w:rsidRPr="00022F29">
        <w:rPr>
          <w:rFonts w:ascii="Calibri" w:eastAsia="Calibri" w:hAnsi="Calibri" w:cs="Times New Roman"/>
        </w:rPr>
        <w:tab/>
        <w:t>1.151</w:t>
      </w:r>
      <w:r w:rsidRPr="00022F29">
        <w:rPr>
          <w:rFonts w:ascii="Calibri" w:eastAsia="Calibri" w:hAnsi="Calibri" w:cs="Times New Roman"/>
        </w:rPr>
        <w:tab/>
        <w:t>.250</w:t>
      </w:r>
      <w:r w:rsidRPr="00022F29">
        <w:rPr>
          <w:rFonts w:ascii="Calibri" w:eastAsia="Calibri" w:hAnsi="Calibri" w:cs="Times New Roman"/>
        </w:rPr>
        <w:tab/>
        <w:t>-.054</w:t>
      </w:r>
      <w:r w:rsidRPr="00022F29">
        <w:rPr>
          <w:rFonts w:ascii="Calibri" w:eastAsia="Calibri" w:hAnsi="Calibri" w:cs="Times New Roman"/>
        </w:rPr>
        <w:tab/>
        <w:t>.207</w:t>
      </w:r>
    </w:p>
    <w:p w14:paraId="2D96412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FQuartile*RevoveryD*RecoveryA*GenderX</w:t>
      </w:r>
      <w:r w:rsidRPr="00022F29">
        <w:rPr>
          <w:rFonts w:ascii="Calibri" w:eastAsia="Calibri" w:hAnsi="Calibri" w:cs="Times New Roman"/>
        </w:rPr>
        <w:tab/>
        <w:t>1</w:t>
      </w:r>
      <w:r w:rsidRPr="00022F29">
        <w:rPr>
          <w:rFonts w:ascii="Calibri" w:eastAsia="Calibri" w:hAnsi="Calibri" w:cs="Times New Roman"/>
        </w:rPr>
        <w:tab/>
        <w:t>-.020</w:t>
      </w:r>
      <w:r w:rsidRPr="00022F29">
        <w:rPr>
          <w:rFonts w:ascii="Calibri" w:eastAsia="Calibri" w:hAnsi="Calibri" w:cs="Times New Roman"/>
        </w:rPr>
        <w:tab/>
        <w:t>.132</w:t>
      </w:r>
      <w:r w:rsidRPr="00022F29">
        <w:rPr>
          <w:rFonts w:ascii="Calibri" w:eastAsia="Calibri" w:hAnsi="Calibri" w:cs="Times New Roman"/>
        </w:rPr>
        <w:tab/>
        <w:t>-.153</w:t>
      </w:r>
      <w:r w:rsidRPr="00022F29">
        <w:rPr>
          <w:rFonts w:ascii="Calibri" w:eastAsia="Calibri" w:hAnsi="Calibri" w:cs="Times New Roman"/>
        </w:rPr>
        <w:tab/>
        <w:t>.879</w:t>
      </w:r>
      <w:r w:rsidRPr="00022F29">
        <w:rPr>
          <w:rFonts w:ascii="Calibri" w:eastAsia="Calibri" w:hAnsi="Calibri" w:cs="Times New Roman"/>
        </w:rPr>
        <w:tab/>
        <w:t>-.279</w:t>
      </w:r>
      <w:r w:rsidRPr="00022F29">
        <w:rPr>
          <w:rFonts w:ascii="Calibri" w:eastAsia="Calibri" w:hAnsi="Calibri" w:cs="Times New Roman"/>
        </w:rPr>
        <w:tab/>
        <w:t>.239</w:t>
      </w:r>
    </w:p>
    <w:p w14:paraId="784ECAE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-.082</w:t>
      </w:r>
      <w:r w:rsidRPr="00022F29">
        <w:rPr>
          <w:rFonts w:ascii="Calibri" w:eastAsia="Calibri" w:hAnsi="Calibri" w:cs="Times New Roman"/>
        </w:rPr>
        <w:tab/>
        <w:t>.111</w:t>
      </w:r>
      <w:r w:rsidRPr="00022F29">
        <w:rPr>
          <w:rFonts w:ascii="Calibri" w:eastAsia="Calibri" w:hAnsi="Calibri" w:cs="Times New Roman"/>
        </w:rPr>
        <w:tab/>
        <w:t>-.734</w:t>
      </w:r>
      <w:r w:rsidRPr="00022F29">
        <w:rPr>
          <w:rFonts w:ascii="Calibri" w:eastAsia="Calibri" w:hAnsi="Calibri" w:cs="Times New Roman"/>
        </w:rPr>
        <w:tab/>
        <w:t>.463</w:t>
      </w:r>
      <w:r w:rsidRPr="00022F29">
        <w:rPr>
          <w:rFonts w:ascii="Calibri" w:eastAsia="Calibri" w:hAnsi="Calibri" w:cs="Times New Roman"/>
        </w:rPr>
        <w:tab/>
        <w:t>-.300</w:t>
      </w:r>
      <w:r w:rsidRPr="00022F29">
        <w:rPr>
          <w:rFonts w:ascii="Calibri" w:eastAsia="Calibri" w:hAnsi="Calibri" w:cs="Times New Roman"/>
        </w:rPr>
        <w:tab/>
        <w:t>.136</w:t>
      </w:r>
    </w:p>
    <w:p w14:paraId="01CC3B7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-.003</w:t>
      </w:r>
      <w:r w:rsidRPr="00022F29">
        <w:rPr>
          <w:rFonts w:ascii="Calibri" w:eastAsia="Calibri" w:hAnsi="Calibri" w:cs="Times New Roman"/>
        </w:rPr>
        <w:tab/>
        <w:t>.107</w:t>
      </w:r>
      <w:r w:rsidRPr="00022F29">
        <w:rPr>
          <w:rFonts w:ascii="Calibri" w:eastAsia="Calibri" w:hAnsi="Calibri" w:cs="Times New Roman"/>
        </w:rPr>
        <w:tab/>
        <w:t>-.027</w:t>
      </w:r>
      <w:r w:rsidRPr="00022F29">
        <w:rPr>
          <w:rFonts w:ascii="Calibri" w:eastAsia="Calibri" w:hAnsi="Calibri" w:cs="Times New Roman"/>
        </w:rPr>
        <w:tab/>
        <w:t>.978</w:t>
      </w:r>
      <w:r w:rsidRPr="00022F29">
        <w:rPr>
          <w:rFonts w:ascii="Calibri" w:eastAsia="Calibri" w:hAnsi="Calibri" w:cs="Times New Roman"/>
        </w:rPr>
        <w:tab/>
        <w:t>-.212</w:t>
      </w:r>
      <w:r w:rsidRPr="00022F29">
        <w:rPr>
          <w:rFonts w:ascii="Calibri" w:eastAsia="Calibri" w:hAnsi="Calibri" w:cs="Times New Roman"/>
        </w:rPr>
        <w:tab/>
        <w:t>.206</w:t>
      </w:r>
    </w:p>
    <w:p w14:paraId="1313369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AgeBinary*RevoveryD*RecoveryA*GenderX</w:t>
      </w:r>
      <w:r w:rsidRPr="00022F29">
        <w:rPr>
          <w:rFonts w:ascii="Calibri" w:eastAsia="Calibri" w:hAnsi="Calibri" w:cs="Times New Roman"/>
        </w:rPr>
        <w:tab/>
        <w:t>1</w:t>
      </w:r>
      <w:r w:rsidRPr="00022F29">
        <w:rPr>
          <w:rFonts w:ascii="Calibri" w:eastAsia="Calibri" w:hAnsi="Calibri" w:cs="Times New Roman"/>
        </w:rPr>
        <w:tab/>
        <w:t>.003</w:t>
      </w:r>
      <w:r w:rsidRPr="00022F29">
        <w:rPr>
          <w:rFonts w:ascii="Calibri" w:eastAsia="Calibri" w:hAnsi="Calibri" w:cs="Times New Roman"/>
        </w:rPr>
        <w:tab/>
        <w:t>.067</w:t>
      </w:r>
      <w:r w:rsidRPr="00022F29">
        <w:rPr>
          <w:rFonts w:ascii="Calibri" w:eastAsia="Calibri" w:hAnsi="Calibri" w:cs="Times New Roman"/>
        </w:rPr>
        <w:tab/>
        <w:t>.045</w:t>
      </w:r>
      <w:r w:rsidRPr="00022F29">
        <w:rPr>
          <w:rFonts w:ascii="Calibri" w:eastAsia="Calibri" w:hAnsi="Calibri" w:cs="Times New Roman"/>
        </w:rPr>
        <w:tab/>
        <w:t>.964</w:t>
      </w:r>
      <w:r w:rsidRPr="00022F29">
        <w:rPr>
          <w:rFonts w:ascii="Calibri" w:eastAsia="Calibri" w:hAnsi="Calibri" w:cs="Times New Roman"/>
        </w:rPr>
        <w:tab/>
        <w:t>-.128</w:t>
      </w:r>
      <w:r w:rsidRPr="00022F29">
        <w:rPr>
          <w:rFonts w:ascii="Calibri" w:eastAsia="Calibri" w:hAnsi="Calibri" w:cs="Times New Roman"/>
        </w:rPr>
        <w:tab/>
        <w:t>.134</w:t>
      </w:r>
    </w:p>
    <w:p w14:paraId="6322860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A*FQuartile*AgeBinary</w:t>
      </w:r>
      <w:r w:rsidRPr="00022F29">
        <w:rPr>
          <w:rFonts w:ascii="Calibri" w:eastAsia="Calibri" w:hAnsi="Calibri" w:cs="Times New Roman"/>
        </w:rPr>
        <w:tab/>
        <w:t>1</w:t>
      </w:r>
      <w:r w:rsidRPr="00022F29">
        <w:rPr>
          <w:rFonts w:ascii="Calibri" w:eastAsia="Calibri" w:hAnsi="Calibri" w:cs="Times New Roman"/>
        </w:rPr>
        <w:tab/>
        <w:t>.032</w:t>
      </w:r>
      <w:r w:rsidRPr="00022F29">
        <w:rPr>
          <w:rFonts w:ascii="Calibri" w:eastAsia="Calibri" w:hAnsi="Calibri" w:cs="Times New Roman"/>
        </w:rPr>
        <w:tab/>
        <w:t>.132</w:t>
      </w:r>
      <w:r w:rsidRPr="00022F29">
        <w:rPr>
          <w:rFonts w:ascii="Calibri" w:eastAsia="Calibri" w:hAnsi="Calibri" w:cs="Times New Roman"/>
        </w:rPr>
        <w:tab/>
        <w:t>.240</w:t>
      </w:r>
      <w:r w:rsidRPr="00022F29">
        <w:rPr>
          <w:rFonts w:ascii="Calibri" w:eastAsia="Calibri" w:hAnsi="Calibri" w:cs="Times New Roman"/>
        </w:rPr>
        <w:tab/>
        <w:t>.810</w:t>
      </w:r>
      <w:r w:rsidRPr="00022F29">
        <w:rPr>
          <w:rFonts w:ascii="Calibri" w:eastAsia="Calibri" w:hAnsi="Calibri" w:cs="Times New Roman"/>
        </w:rPr>
        <w:tab/>
        <w:t>-.227</w:t>
      </w:r>
      <w:r w:rsidRPr="00022F29">
        <w:rPr>
          <w:rFonts w:ascii="Calibri" w:eastAsia="Calibri" w:hAnsi="Calibri" w:cs="Times New Roman"/>
        </w:rPr>
        <w:tab/>
        <w:t>.291</w:t>
      </w:r>
    </w:p>
    <w:p w14:paraId="3E7C30A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-.009</w:t>
      </w:r>
      <w:r w:rsidRPr="00022F29">
        <w:rPr>
          <w:rFonts w:ascii="Calibri" w:eastAsia="Calibri" w:hAnsi="Calibri" w:cs="Times New Roman"/>
        </w:rPr>
        <w:tab/>
        <w:t>.111</w:t>
      </w:r>
      <w:r w:rsidRPr="00022F29">
        <w:rPr>
          <w:rFonts w:ascii="Calibri" w:eastAsia="Calibri" w:hAnsi="Calibri" w:cs="Times New Roman"/>
        </w:rPr>
        <w:tab/>
        <w:t>-.078</w:t>
      </w:r>
      <w:r w:rsidRPr="00022F29">
        <w:rPr>
          <w:rFonts w:ascii="Calibri" w:eastAsia="Calibri" w:hAnsi="Calibri" w:cs="Times New Roman"/>
        </w:rPr>
        <w:tab/>
        <w:t>.938</w:t>
      </w:r>
      <w:r w:rsidRPr="00022F29">
        <w:rPr>
          <w:rFonts w:ascii="Calibri" w:eastAsia="Calibri" w:hAnsi="Calibri" w:cs="Times New Roman"/>
        </w:rPr>
        <w:tab/>
        <w:t>-.227</w:t>
      </w:r>
      <w:r w:rsidRPr="00022F29">
        <w:rPr>
          <w:rFonts w:ascii="Calibri" w:eastAsia="Calibri" w:hAnsi="Calibri" w:cs="Times New Roman"/>
        </w:rPr>
        <w:tab/>
        <w:t>.209</w:t>
      </w:r>
    </w:p>
    <w:p w14:paraId="3D63516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.034</w:t>
      </w:r>
      <w:r w:rsidRPr="00022F29">
        <w:rPr>
          <w:rFonts w:ascii="Calibri" w:eastAsia="Calibri" w:hAnsi="Calibri" w:cs="Times New Roman"/>
        </w:rPr>
        <w:tab/>
        <w:t>.107</w:t>
      </w:r>
      <w:r w:rsidRPr="00022F29">
        <w:rPr>
          <w:rFonts w:ascii="Calibri" w:eastAsia="Calibri" w:hAnsi="Calibri" w:cs="Times New Roman"/>
        </w:rPr>
        <w:tab/>
        <w:t>.318</w:t>
      </w:r>
      <w:r w:rsidRPr="00022F29">
        <w:rPr>
          <w:rFonts w:ascii="Calibri" w:eastAsia="Calibri" w:hAnsi="Calibri" w:cs="Times New Roman"/>
        </w:rPr>
        <w:tab/>
        <w:t>.750</w:t>
      </w:r>
      <w:r w:rsidRPr="00022F29">
        <w:rPr>
          <w:rFonts w:ascii="Calibri" w:eastAsia="Calibri" w:hAnsi="Calibri" w:cs="Times New Roman"/>
        </w:rPr>
        <w:tab/>
        <w:t>-.175</w:t>
      </w:r>
      <w:r w:rsidRPr="00022F29">
        <w:rPr>
          <w:rFonts w:ascii="Calibri" w:eastAsia="Calibri" w:hAnsi="Calibri" w:cs="Times New Roman"/>
        </w:rPr>
        <w:tab/>
        <w:t>.243</w:t>
      </w:r>
    </w:p>
    <w:p w14:paraId="2636DB5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A*FQuartile*RevoveryD</w:t>
      </w:r>
      <w:r w:rsidRPr="00022F29">
        <w:rPr>
          <w:rFonts w:ascii="Calibri" w:eastAsia="Calibri" w:hAnsi="Calibri" w:cs="Times New Roman"/>
        </w:rPr>
        <w:tab/>
        <w:t>1</w:t>
      </w:r>
      <w:r w:rsidRPr="00022F29">
        <w:rPr>
          <w:rFonts w:ascii="Calibri" w:eastAsia="Calibri" w:hAnsi="Calibri" w:cs="Times New Roman"/>
        </w:rPr>
        <w:tab/>
        <w:t>.104</w:t>
      </w:r>
      <w:r w:rsidRPr="00022F29">
        <w:rPr>
          <w:rFonts w:ascii="Calibri" w:eastAsia="Calibri" w:hAnsi="Calibri" w:cs="Times New Roman"/>
        </w:rPr>
        <w:tab/>
        <w:t>.132</w:t>
      </w:r>
      <w:r w:rsidRPr="00022F29">
        <w:rPr>
          <w:rFonts w:ascii="Calibri" w:eastAsia="Calibri" w:hAnsi="Calibri" w:cs="Times New Roman"/>
        </w:rPr>
        <w:tab/>
        <w:t>.789</w:t>
      </w:r>
      <w:r w:rsidRPr="00022F29">
        <w:rPr>
          <w:rFonts w:ascii="Calibri" w:eastAsia="Calibri" w:hAnsi="Calibri" w:cs="Times New Roman"/>
        </w:rPr>
        <w:tab/>
        <w:t>.430</w:t>
      </w:r>
      <w:r w:rsidRPr="00022F29">
        <w:rPr>
          <w:rFonts w:ascii="Calibri" w:eastAsia="Calibri" w:hAnsi="Calibri" w:cs="Times New Roman"/>
        </w:rPr>
        <w:tab/>
        <w:t>-.155</w:t>
      </w:r>
      <w:r w:rsidRPr="00022F29">
        <w:rPr>
          <w:rFonts w:ascii="Calibri" w:eastAsia="Calibri" w:hAnsi="Calibri" w:cs="Times New Roman"/>
        </w:rPr>
        <w:tab/>
        <w:t>.363</w:t>
      </w:r>
    </w:p>
    <w:p w14:paraId="2189B3A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-.123</w:t>
      </w:r>
      <w:r w:rsidRPr="00022F29">
        <w:rPr>
          <w:rFonts w:ascii="Calibri" w:eastAsia="Calibri" w:hAnsi="Calibri" w:cs="Times New Roman"/>
        </w:rPr>
        <w:tab/>
        <w:t>.111</w:t>
      </w:r>
      <w:r w:rsidRPr="00022F29">
        <w:rPr>
          <w:rFonts w:ascii="Calibri" w:eastAsia="Calibri" w:hAnsi="Calibri" w:cs="Times New Roman"/>
        </w:rPr>
        <w:tab/>
        <w:t>-1.107</w:t>
      </w:r>
      <w:r w:rsidRPr="00022F29">
        <w:rPr>
          <w:rFonts w:ascii="Calibri" w:eastAsia="Calibri" w:hAnsi="Calibri" w:cs="Times New Roman"/>
        </w:rPr>
        <w:tab/>
        <w:t>.268</w:t>
      </w:r>
      <w:r w:rsidRPr="00022F29">
        <w:rPr>
          <w:rFonts w:ascii="Calibri" w:eastAsia="Calibri" w:hAnsi="Calibri" w:cs="Times New Roman"/>
        </w:rPr>
        <w:tab/>
        <w:t>-.341</w:t>
      </w:r>
      <w:r w:rsidRPr="00022F29">
        <w:rPr>
          <w:rFonts w:ascii="Calibri" w:eastAsia="Calibri" w:hAnsi="Calibri" w:cs="Times New Roman"/>
        </w:rPr>
        <w:tab/>
        <w:t>.095</w:t>
      </w:r>
    </w:p>
    <w:p w14:paraId="3ABD209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.000</w:t>
      </w:r>
      <w:r w:rsidRPr="00022F29">
        <w:rPr>
          <w:rFonts w:ascii="Calibri" w:eastAsia="Calibri" w:hAnsi="Calibri" w:cs="Times New Roman"/>
        </w:rPr>
        <w:tab/>
        <w:t>.107</w:t>
      </w:r>
      <w:r w:rsidRPr="00022F29">
        <w:rPr>
          <w:rFonts w:ascii="Calibri" w:eastAsia="Calibri" w:hAnsi="Calibri" w:cs="Times New Roman"/>
        </w:rPr>
        <w:tab/>
        <w:t>.002</w:t>
      </w:r>
      <w:r w:rsidRPr="00022F29">
        <w:rPr>
          <w:rFonts w:ascii="Calibri" w:eastAsia="Calibri" w:hAnsi="Calibri" w:cs="Times New Roman"/>
        </w:rPr>
        <w:tab/>
        <w:t>.998</w:t>
      </w:r>
      <w:r w:rsidRPr="00022F29">
        <w:rPr>
          <w:rFonts w:ascii="Calibri" w:eastAsia="Calibri" w:hAnsi="Calibri" w:cs="Times New Roman"/>
        </w:rPr>
        <w:tab/>
        <w:t>-.209</w:t>
      </w:r>
      <w:r w:rsidRPr="00022F29">
        <w:rPr>
          <w:rFonts w:ascii="Calibri" w:eastAsia="Calibri" w:hAnsi="Calibri" w:cs="Times New Roman"/>
        </w:rPr>
        <w:tab/>
        <w:t>.209</w:t>
      </w:r>
    </w:p>
    <w:p w14:paraId="04976F4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A*AgeBinary*RevoveryD</w:t>
      </w:r>
      <w:r w:rsidRPr="00022F29">
        <w:rPr>
          <w:rFonts w:ascii="Calibri" w:eastAsia="Calibri" w:hAnsi="Calibri" w:cs="Times New Roman"/>
        </w:rPr>
        <w:tab/>
        <w:t>1</w:t>
      </w:r>
      <w:r w:rsidRPr="00022F29">
        <w:rPr>
          <w:rFonts w:ascii="Calibri" w:eastAsia="Calibri" w:hAnsi="Calibri" w:cs="Times New Roman"/>
        </w:rPr>
        <w:tab/>
        <w:t>.045</w:t>
      </w:r>
      <w:r w:rsidRPr="00022F29">
        <w:rPr>
          <w:rFonts w:ascii="Calibri" w:eastAsia="Calibri" w:hAnsi="Calibri" w:cs="Times New Roman"/>
        </w:rPr>
        <w:tab/>
        <w:t>.067</w:t>
      </w:r>
      <w:r w:rsidRPr="00022F29">
        <w:rPr>
          <w:rFonts w:ascii="Calibri" w:eastAsia="Calibri" w:hAnsi="Calibri" w:cs="Times New Roman"/>
        </w:rPr>
        <w:tab/>
        <w:t>.681</w:t>
      </w:r>
      <w:r w:rsidRPr="00022F29">
        <w:rPr>
          <w:rFonts w:ascii="Calibri" w:eastAsia="Calibri" w:hAnsi="Calibri" w:cs="Times New Roman"/>
        </w:rPr>
        <w:tab/>
        <w:t>.496</w:t>
      </w:r>
      <w:r w:rsidRPr="00022F29">
        <w:rPr>
          <w:rFonts w:ascii="Calibri" w:eastAsia="Calibri" w:hAnsi="Calibri" w:cs="Times New Roman"/>
        </w:rPr>
        <w:tab/>
        <w:t>-.085</w:t>
      </w:r>
      <w:r w:rsidRPr="00022F29">
        <w:rPr>
          <w:rFonts w:ascii="Calibri" w:eastAsia="Calibri" w:hAnsi="Calibri" w:cs="Times New Roman"/>
        </w:rPr>
        <w:tab/>
        <w:t>.176</w:t>
      </w:r>
    </w:p>
    <w:p w14:paraId="4094183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FQuartile*AgeBinary*RevoveryD</w:t>
      </w:r>
      <w:r w:rsidRPr="00022F29">
        <w:rPr>
          <w:rFonts w:ascii="Calibri" w:eastAsia="Calibri" w:hAnsi="Calibri" w:cs="Times New Roman"/>
        </w:rPr>
        <w:tab/>
        <w:t>1</w:t>
      </w:r>
      <w:r w:rsidRPr="00022F29">
        <w:rPr>
          <w:rFonts w:ascii="Calibri" w:eastAsia="Calibri" w:hAnsi="Calibri" w:cs="Times New Roman"/>
        </w:rPr>
        <w:tab/>
        <w:t>-.153</w:t>
      </w:r>
      <w:r w:rsidRPr="00022F29">
        <w:rPr>
          <w:rFonts w:ascii="Calibri" w:eastAsia="Calibri" w:hAnsi="Calibri" w:cs="Times New Roman"/>
        </w:rPr>
        <w:tab/>
        <w:t>.132</w:t>
      </w:r>
      <w:r w:rsidRPr="00022F29">
        <w:rPr>
          <w:rFonts w:ascii="Calibri" w:eastAsia="Calibri" w:hAnsi="Calibri" w:cs="Times New Roman"/>
        </w:rPr>
        <w:tab/>
        <w:t>-1.159</w:t>
      </w:r>
      <w:r w:rsidRPr="00022F29">
        <w:rPr>
          <w:rFonts w:ascii="Calibri" w:eastAsia="Calibri" w:hAnsi="Calibri" w:cs="Times New Roman"/>
        </w:rPr>
        <w:tab/>
        <w:t>.247</w:t>
      </w:r>
      <w:r w:rsidRPr="00022F29">
        <w:rPr>
          <w:rFonts w:ascii="Calibri" w:eastAsia="Calibri" w:hAnsi="Calibri" w:cs="Times New Roman"/>
        </w:rPr>
        <w:tab/>
        <w:t>-.412</w:t>
      </w:r>
      <w:r w:rsidRPr="00022F29">
        <w:rPr>
          <w:rFonts w:ascii="Calibri" w:eastAsia="Calibri" w:hAnsi="Calibri" w:cs="Times New Roman"/>
        </w:rPr>
        <w:tab/>
        <w:t>.106</w:t>
      </w:r>
    </w:p>
    <w:p w14:paraId="0C7286C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.038</w:t>
      </w:r>
      <w:r w:rsidRPr="00022F29">
        <w:rPr>
          <w:rFonts w:ascii="Calibri" w:eastAsia="Calibri" w:hAnsi="Calibri" w:cs="Times New Roman"/>
        </w:rPr>
        <w:tab/>
        <w:t>.111</w:t>
      </w:r>
      <w:r w:rsidRPr="00022F29">
        <w:rPr>
          <w:rFonts w:ascii="Calibri" w:eastAsia="Calibri" w:hAnsi="Calibri" w:cs="Times New Roman"/>
        </w:rPr>
        <w:tab/>
        <w:t>.346</w:t>
      </w:r>
      <w:r w:rsidRPr="00022F29">
        <w:rPr>
          <w:rFonts w:ascii="Calibri" w:eastAsia="Calibri" w:hAnsi="Calibri" w:cs="Times New Roman"/>
        </w:rPr>
        <w:tab/>
        <w:t>.729</w:t>
      </w:r>
      <w:r w:rsidRPr="00022F29">
        <w:rPr>
          <w:rFonts w:ascii="Calibri" w:eastAsia="Calibri" w:hAnsi="Calibri" w:cs="Times New Roman"/>
        </w:rPr>
        <w:tab/>
        <w:t>-.179</w:t>
      </w:r>
      <w:r w:rsidRPr="00022F29">
        <w:rPr>
          <w:rFonts w:ascii="Calibri" w:eastAsia="Calibri" w:hAnsi="Calibri" w:cs="Times New Roman"/>
        </w:rPr>
        <w:tab/>
        <w:t>.256</w:t>
      </w:r>
    </w:p>
    <w:p w14:paraId="20AA012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.082</w:t>
      </w:r>
      <w:r w:rsidRPr="00022F29">
        <w:rPr>
          <w:rFonts w:ascii="Calibri" w:eastAsia="Calibri" w:hAnsi="Calibri" w:cs="Times New Roman"/>
        </w:rPr>
        <w:tab/>
        <w:t>.107</w:t>
      </w:r>
      <w:r w:rsidRPr="00022F29">
        <w:rPr>
          <w:rFonts w:ascii="Calibri" w:eastAsia="Calibri" w:hAnsi="Calibri" w:cs="Times New Roman"/>
        </w:rPr>
        <w:tab/>
        <w:t>.769</w:t>
      </w:r>
      <w:r w:rsidRPr="00022F29">
        <w:rPr>
          <w:rFonts w:ascii="Calibri" w:eastAsia="Calibri" w:hAnsi="Calibri" w:cs="Times New Roman"/>
        </w:rPr>
        <w:tab/>
        <w:t>.442</w:t>
      </w:r>
      <w:r w:rsidRPr="00022F29">
        <w:rPr>
          <w:rFonts w:ascii="Calibri" w:eastAsia="Calibri" w:hAnsi="Calibri" w:cs="Times New Roman"/>
        </w:rPr>
        <w:tab/>
        <w:t>-.127</w:t>
      </w:r>
      <w:r w:rsidRPr="00022F29">
        <w:rPr>
          <w:rFonts w:ascii="Calibri" w:eastAsia="Calibri" w:hAnsi="Calibri" w:cs="Times New Roman"/>
        </w:rPr>
        <w:tab/>
        <w:t>.291</w:t>
      </w:r>
    </w:p>
    <w:p w14:paraId="34FADBC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A*FQuartile*RecoveryA</w:t>
      </w:r>
      <w:r w:rsidRPr="00022F29">
        <w:rPr>
          <w:rFonts w:ascii="Calibri" w:eastAsia="Calibri" w:hAnsi="Calibri" w:cs="Times New Roman"/>
        </w:rPr>
        <w:tab/>
        <w:t>1</w:t>
      </w:r>
      <w:r w:rsidRPr="00022F29">
        <w:rPr>
          <w:rFonts w:ascii="Calibri" w:eastAsia="Calibri" w:hAnsi="Calibri" w:cs="Times New Roman"/>
        </w:rPr>
        <w:tab/>
        <w:t>.136</w:t>
      </w:r>
      <w:r w:rsidRPr="00022F29">
        <w:rPr>
          <w:rFonts w:ascii="Calibri" w:eastAsia="Calibri" w:hAnsi="Calibri" w:cs="Times New Roman"/>
        </w:rPr>
        <w:tab/>
        <w:t>.132</w:t>
      </w:r>
      <w:r w:rsidRPr="00022F29">
        <w:rPr>
          <w:rFonts w:ascii="Calibri" w:eastAsia="Calibri" w:hAnsi="Calibri" w:cs="Times New Roman"/>
        </w:rPr>
        <w:tab/>
        <w:t>1.030</w:t>
      </w:r>
      <w:r w:rsidRPr="00022F29">
        <w:rPr>
          <w:rFonts w:ascii="Calibri" w:eastAsia="Calibri" w:hAnsi="Calibri" w:cs="Times New Roman"/>
        </w:rPr>
        <w:tab/>
        <w:t>.303</w:t>
      </w:r>
      <w:r w:rsidRPr="00022F29">
        <w:rPr>
          <w:rFonts w:ascii="Calibri" w:eastAsia="Calibri" w:hAnsi="Calibri" w:cs="Times New Roman"/>
        </w:rPr>
        <w:tab/>
        <w:t>-.123</w:t>
      </w:r>
      <w:r w:rsidRPr="00022F29">
        <w:rPr>
          <w:rFonts w:ascii="Calibri" w:eastAsia="Calibri" w:hAnsi="Calibri" w:cs="Times New Roman"/>
        </w:rPr>
        <w:tab/>
        <w:t>.395</w:t>
      </w:r>
    </w:p>
    <w:p w14:paraId="16CD69D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-.067</w:t>
      </w:r>
      <w:r w:rsidRPr="00022F29">
        <w:rPr>
          <w:rFonts w:ascii="Calibri" w:eastAsia="Calibri" w:hAnsi="Calibri" w:cs="Times New Roman"/>
        </w:rPr>
        <w:tab/>
        <w:t>.111</w:t>
      </w:r>
      <w:r w:rsidRPr="00022F29">
        <w:rPr>
          <w:rFonts w:ascii="Calibri" w:eastAsia="Calibri" w:hAnsi="Calibri" w:cs="Times New Roman"/>
        </w:rPr>
        <w:tab/>
        <w:t>-.600</w:t>
      </w:r>
      <w:r w:rsidRPr="00022F29">
        <w:rPr>
          <w:rFonts w:ascii="Calibri" w:eastAsia="Calibri" w:hAnsi="Calibri" w:cs="Times New Roman"/>
        </w:rPr>
        <w:tab/>
        <w:t>.549</w:t>
      </w:r>
      <w:r w:rsidRPr="00022F29">
        <w:rPr>
          <w:rFonts w:ascii="Calibri" w:eastAsia="Calibri" w:hAnsi="Calibri" w:cs="Times New Roman"/>
        </w:rPr>
        <w:tab/>
        <w:t>-.285</w:t>
      </w:r>
      <w:r w:rsidRPr="00022F29">
        <w:rPr>
          <w:rFonts w:ascii="Calibri" w:eastAsia="Calibri" w:hAnsi="Calibri" w:cs="Times New Roman"/>
        </w:rPr>
        <w:tab/>
        <w:t>.151</w:t>
      </w:r>
    </w:p>
    <w:p w14:paraId="6162E23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-.066</w:t>
      </w:r>
      <w:r w:rsidRPr="00022F29">
        <w:rPr>
          <w:rFonts w:ascii="Calibri" w:eastAsia="Calibri" w:hAnsi="Calibri" w:cs="Times New Roman"/>
        </w:rPr>
        <w:tab/>
        <w:t>.107</w:t>
      </w:r>
      <w:r w:rsidRPr="00022F29">
        <w:rPr>
          <w:rFonts w:ascii="Calibri" w:eastAsia="Calibri" w:hAnsi="Calibri" w:cs="Times New Roman"/>
        </w:rPr>
        <w:tab/>
        <w:t>-.617</w:t>
      </w:r>
      <w:r w:rsidRPr="00022F29">
        <w:rPr>
          <w:rFonts w:ascii="Calibri" w:eastAsia="Calibri" w:hAnsi="Calibri" w:cs="Times New Roman"/>
        </w:rPr>
        <w:tab/>
        <w:t>.537</w:t>
      </w:r>
      <w:r w:rsidRPr="00022F29">
        <w:rPr>
          <w:rFonts w:ascii="Calibri" w:eastAsia="Calibri" w:hAnsi="Calibri" w:cs="Times New Roman"/>
        </w:rPr>
        <w:tab/>
        <w:t>-.274</w:t>
      </w:r>
      <w:r w:rsidRPr="00022F29">
        <w:rPr>
          <w:rFonts w:ascii="Calibri" w:eastAsia="Calibri" w:hAnsi="Calibri" w:cs="Times New Roman"/>
        </w:rPr>
        <w:tab/>
        <w:t>.143</w:t>
      </w:r>
    </w:p>
    <w:p w14:paraId="298DCBF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A*AgeBinary*RecoveryA</w:t>
      </w:r>
      <w:r w:rsidRPr="00022F29">
        <w:rPr>
          <w:rFonts w:ascii="Calibri" w:eastAsia="Calibri" w:hAnsi="Calibri" w:cs="Times New Roman"/>
        </w:rPr>
        <w:tab/>
        <w:t>1</w:t>
      </w:r>
      <w:r w:rsidRPr="00022F29">
        <w:rPr>
          <w:rFonts w:ascii="Calibri" w:eastAsia="Calibri" w:hAnsi="Calibri" w:cs="Times New Roman"/>
        </w:rPr>
        <w:tab/>
        <w:t>.010</w:t>
      </w:r>
      <w:r w:rsidRPr="00022F29">
        <w:rPr>
          <w:rFonts w:ascii="Calibri" w:eastAsia="Calibri" w:hAnsi="Calibri" w:cs="Times New Roman"/>
        </w:rPr>
        <w:tab/>
        <w:t>.067</w:t>
      </w:r>
      <w:r w:rsidRPr="00022F29">
        <w:rPr>
          <w:rFonts w:ascii="Calibri" w:eastAsia="Calibri" w:hAnsi="Calibri" w:cs="Times New Roman"/>
        </w:rPr>
        <w:tab/>
        <w:t>.154</w:t>
      </w:r>
      <w:r w:rsidRPr="00022F29">
        <w:rPr>
          <w:rFonts w:ascii="Calibri" w:eastAsia="Calibri" w:hAnsi="Calibri" w:cs="Times New Roman"/>
        </w:rPr>
        <w:tab/>
        <w:t>.877</w:t>
      </w:r>
      <w:r w:rsidRPr="00022F29">
        <w:rPr>
          <w:rFonts w:ascii="Calibri" w:eastAsia="Calibri" w:hAnsi="Calibri" w:cs="Times New Roman"/>
        </w:rPr>
        <w:tab/>
        <w:t>-.120</w:t>
      </w:r>
      <w:r w:rsidRPr="00022F29">
        <w:rPr>
          <w:rFonts w:ascii="Calibri" w:eastAsia="Calibri" w:hAnsi="Calibri" w:cs="Times New Roman"/>
        </w:rPr>
        <w:tab/>
        <w:t>.141</w:t>
      </w:r>
    </w:p>
    <w:p w14:paraId="3FD5ECF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FQuartile*AgeBinary*RecoveryA</w:t>
      </w:r>
      <w:r w:rsidRPr="00022F29">
        <w:rPr>
          <w:rFonts w:ascii="Calibri" w:eastAsia="Calibri" w:hAnsi="Calibri" w:cs="Times New Roman"/>
        </w:rPr>
        <w:tab/>
        <w:t>1</w:t>
      </w:r>
      <w:r w:rsidRPr="00022F29">
        <w:rPr>
          <w:rFonts w:ascii="Calibri" w:eastAsia="Calibri" w:hAnsi="Calibri" w:cs="Times New Roman"/>
        </w:rPr>
        <w:tab/>
        <w:t>.023</w:t>
      </w:r>
      <w:r w:rsidRPr="00022F29">
        <w:rPr>
          <w:rFonts w:ascii="Calibri" w:eastAsia="Calibri" w:hAnsi="Calibri" w:cs="Times New Roman"/>
        </w:rPr>
        <w:tab/>
        <w:t>.132</w:t>
      </w:r>
      <w:r w:rsidRPr="00022F29">
        <w:rPr>
          <w:rFonts w:ascii="Calibri" w:eastAsia="Calibri" w:hAnsi="Calibri" w:cs="Times New Roman"/>
        </w:rPr>
        <w:tab/>
        <w:t>.172</w:t>
      </w:r>
      <w:r w:rsidRPr="00022F29">
        <w:rPr>
          <w:rFonts w:ascii="Calibri" w:eastAsia="Calibri" w:hAnsi="Calibri" w:cs="Times New Roman"/>
        </w:rPr>
        <w:tab/>
        <w:t>.864</w:t>
      </w:r>
      <w:r w:rsidRPr="00022F29">
        <w:rPr>
          <w:rFonts w:ascii="Calibri" w:eastAsia="Calibri" w:hAnsi="Calibri" w:cs="Times New Roman"/>
        </w:rPr>
        <w:tab/>
        <w:t>-.236</w:t>
      </w:r>
      <w:r w:rsidRPr="00022F29">
        <w:rPr>
          <w:rFonts w:ascii="Calibri" w:eastAsia="Calibri" w:hAnsi="Calibri" w:cs="Times New Roman"/>
        </w:rPr>
        <w:tab/>
        <w:t>.282</w:t>
      </w:r>
    </w:p>
    <w:p w14:paraId="0CEF8DD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.074</w:t>
      </w:r>
      <w:r w:rsidRPr="00022F29">
        <w:rPr>
          <w:rFonts w:ascii="Calibri" w:eastAsia="Calibri" w:hAnsi="Calibri" w:cs="Times New Roman"/>
        </w:rPr>
        <w:tab/>
        <w:t>.111</w:t>
      </w:r>
      <w:r w:rsidRPr="00022F29">
        <w:rPr>
          <w:rFonts w:ascii="Calibri" w:eastAsia="Calibri" w:hAnsi="Calibri" w:cs="Times New Roman"/>
        </w:rPr>
        <w:tab/>
        <w:t>.661</w:t>
      </w:r>
      <w:r w:rsidRPr="00022F29">
        <w:rPr>
          <w:rFonts w:ascii="Calibri" w:eastAsia="Calibri" w:hAnsi="Calibri" w:cs="Times New Roman"/>
        </w:rPr>
        <w:tab/>
        <w:t>.508</w:t>
      </w:r>
      <w:r w:rsidRPr="00022F29">
        <w:rPr>
          <w:rFonts w:ascii="Calibri" w:eastAsia="Calibri" w:hAnsi="Calibri" w:cs="Times New Roman"/>
        </w:rPr>
        <w:tab/>
        <w:t>-.144</w:t>
      </w:r>
      <w:r w:rsidRPr="00022F29">
        <w:rPr>
          <w:rFonts w:ascii="Calibri" w:eastAsia="Calibri" w:hAnsi="Calibri" w:cs="Times New Roman"/>
        </w:rPr>
        <w:tab/>
        <w:t>.291</w:t>
      </w:r>
    </w:p>
    <w:p w14:paraId="5D21B5C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-.001</w:t>
      </w:r>
      <w:r w:rsidRPr="00022F29">
        <w:rPr>
          <w:rFonts w:ascii="Calibri" w:eastAsia="Calibri" w:hAnsi="Calibri" w:cs="Times New Roman"/>
        </w:rPr>
        <w:tab/>
        <w:t>.107</w:t>
      </w:r>
      <w:r w:rsidRPr="00022F29">
        <w:rPr>
          <w:rFonts w:ascii="Calibri" w:eastAsia="Calibri" w:hAnsi="Calibri" w:cs="Times New Roman"/>
        </w:rPr>
        <w:tab/>
        <w:t>-.012</w:t>
      </w:r>
      <w:r w:rsidRPr="00022F29">
        <w:rPr>
          <w:rFonts w:ascii="Calibri" w:eastAsia="Calibri" w:hAnsi="Calibri" w:cs="Times New Roman"/>
        </w:rPr>
        <w:tab/>
        <w:t>.990</w:t>
      </w:r>
      <w:r w:rsidRPr="00022F29">
        <w:rPr>
          <w:rFonts w:ascii="Calibri" w:eastAsia="Calibri" w:hAnsi="Calibri" w:cs="Times New Roman"/>
        </w:rPr>
        <w:tab/>
        <w:t>-.210</w:t>
      </w:r>
      <w:r w:rsidRPr="00022F29">
        <w:rPr>
          <w:rFonts w:ascii="Calibri" w:eastAsia="Calibri" w:hAnsi="Calibri" w:cs="Times New Roman"/>
        </w:rPr>
        <w:tab/>
        <w:t>.207</w:t>
      </w:r>
    </w:p>
    <w:p w14:paraId="7147FF2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A*RevoveryD*RecoveryA</w:t>
      </w:r>
      <w:r w:rsidRPr="00022F29">
        <w:rPr>
          <w:rFonts w:ascii="Calibri" w:eastAsia="Calibri" w:hAnsi="Calibri" w:cs="Times New Roman"/>
        </w:rPr>
        <w:tab/>
        <w:t>1</w:t>
      </w:r>
      <w:r w:rsidRPr="00022F29">
        <w:rPr>
          <w:rFonts w:ascii="Calibri" w:eastAsia="Calibri" w:hAnsi="Calibri" w:cs="Times New Roman"/>
        </w:rPr>
        <w:tab/>
        <w:t>.074</w:t>
      </w:r>
      <w:r w:rsidRPr="00022F29">
        <w:rPr>
          <w:rFonts w:ascii="Calibri" w:eastAsia="Calibri" w:hAnsi="Calibri" w:cs="Times New Roman"/>
        </w:rPr>
        <w:tab/>
        <w:t>.067</w:t>
      </w:r>
      <w:r w:rsidRPr="00022F29">
        <w:rPr>
          <w:rFonts w:ascii="Calibri" w:eastAsia="Calibri" w:hAnsi="Calibri" w:cs="Times New Roman"/>
        </w:rPr>
        <w:tab/>
        <w:t>1.111</w:t>
      </w:r>
      <w:r w:rsidRPr="00022F29">
        <w:rPr>
          <w:rFonts w:ascii="Calibri" w:eastAsia="Calibri" w:hAnsi="Calibri" w:cs="Times New Roman"/>
        </w:rPr>
        <w:tab/>
        <w:t>.266</w:t>
      </w:r>
      <w:r w:rsidRPr="00022F29">
        <w:rPr>
          <w:rFonts w:ascii="Calibri" w:eastAsia="Calibri" w:hAnsi="Calibri" w:cs="Times New Roman"/>
        </w:rPr>
        <w:tab/>
        <w:t>-.057</w:t>
      </w:r>
      <w:r w:rsidRPr="00022F29">
        <w:rPr>
          <w:rFonts w:ascii="Calibri" w:eastAsia="Calibri" w:hAnsi="Calibri" w:cs="Times New Roman"/>
        </w:rPr>
        <w:tab/>
        <w:t>.205</w:t>
      </w:r>
    </w:p>
    <w:p w14:paraId="7214E6F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FQuartile*RevoveryD*RecoveryA</w:t>
      </w:r>
      <w:r w:rsidRPr="00022F29">
        <w:rPr>
          <w:rFonts w:ascii="Calibri" w:eastAsia="Calibri" w:hAnsi="Calibri" w:cs="Times New Roman"/>
        </w:rPr>
        <w:tab/>
        <w:t>1</w:t>
      </w:r>
      <w:r w:rsidRPr="00022F29">
        <w:rPr>
          <w:rFonts w:ascii="Calibri" w:eastAsia="Calibri" w:hAnsi="Calibri" w:cs="Times New Roman"/>
        </w:rPr>
        <w:tab/>
        <w:t>-.086</w:t>
      </w:r>
      <w:r w:rsidRPr="00022F29">
        <w:rPr>
          <w:rFonts w:ascii="Calibri" w:eastAsia="Calibri" w:hAnsi="Calibri" w:cs="Times New Roman"/>
        </w:rPr>
        <w:tab/>
        <w:t>.132</w:t>
      </w:r>
      <w:r w:rsidRPr="00022F29">
        <w:rPr>
          <w:rFonts w:ascii="Calibri" w:eastAsia="Calibri" w:hAnsi="Calibri" w:cs="Times New Roman"/>
        </w:rPr>
        <w:tab/>
        <w:t>-.651</w:t>
      </w:r>
      <w:r w:rsidRPr="00022F29">
        <w:rPr>
          <w:rFonts w:ascii="Calibri" w:eastAsia="Calibri" w:hAnsi="Calibri" w:cs="Times New Roman"/>
        </w:rPr>
        <w:tab/>
        <w:t>.515</w:t>
      </w:r>
      <w:r w:rsidRPr="00022F29">
        <w:rPr>
          <w:rFonts w:ascii="Calibri" w:eastAsia="Calibri" w:hAnsi="Calibri" w:cs="Times New Roman"/>
        </w:rPr>
        <w:tab/>
        <w:t>-.345</w:t>
      </w:r>
      <w:r w:rsidRPr="00022F29">
        <w:rPr>
          <w:rFonts w:ascii="Calibri" w:eastAsia="Calibri" w:hAnsi="Calibri" w:cs="Times New Roman"/>
        </w:rPr>
        <w:tab/>
        <w:t>.173</w:t>
      </w:r>
    </w:p>
    <w:p w14:paraId="26ED838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.093</w:t>
      </w:r>
      <w:r w:rsidRPr="00022F29">
        <w:rPr>
          <w:rFonts w:ascii="Calibri" w:eastAsia="Calibri" w:hAnsi="Calibri" w:cs="Times New Roman"/>
        </w:rPr>
        <w:tab/>
        <w:t>.111</w:t>
      </w:r>
      <w:r w:rsidRPr="00022F29">
        <w:rPr>
          <w:rFonts w:ascii="Calibri" w:eastAsia="Calibri" w:hAnsi="Calibri" w:cs="Times New Roman"/>
        </w:rPr>
        <w:tab/>
        <w:t>.834</w:t>
      </w:r>
      <w:r w:rsidRPr="00022F29">
        <w:rPr>
          <w:rFonts w:ascii="Calibri" w:eastAsia="Calibri" w:hAnsi="Calibri" w:cs="Times New Roman"/>
        </w:rPr>
        <w:tab/>
        <w:t>.405</w:t>
      </w:r>
      <w:r w:rsidRPr="00022F29">
        <w:rPr>
          <w:rFonts w:ascii="Calibri" w:eastAsia="Calibri" w:hAnsi="Calibri" w:cs="Times New Roman"/>
        </w:rPr>
        <w:tab/>
        <w:t>-.125</w:t>
      </w:r>
      <w:r w:rsidRPr="00022F29">
        <w:rPr>
          <w:rFonts w:ascii="Calibri" w:eastAsia="Calibri" w:hAnsi="Calibri" w:cs="Times New Roman"/>
        </w:rPr>
        <w:tab/>
        <w:t>.311</w:t>
      </w:r>
    </w:p>
    <w:p w14:paraId="00DC686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b/>
        <w:t>3</w:t>
      </w:r>
      <w:r w:rsidRPr="00022F29">
        <w:rPr>
          <w:rFonts w:ascii="Calibri" w:eastAsia="Calibri" w:hAnsi="Calibri" w:cs="Times New Roman"/>
        </w:rPr>
        <w:tab/>
        <w:t>-.007</w:t>
      </w:r>
      <w:r w:rsidRPr="00022F29">
        <w:rPr>
          <w:rFonts w:ascii="Calibri" w:eastAsia="Calibri" w:hAnsi="Calibri" w:cs="Times New Roman"/>
        </w:rPr>
        <w:tab/>
        <w:t>.107</w:t>
      </w:r>
      <w:r w:rsidRPr="00022F29">
        <w:rPr>
          <w:rFonts w:ascii="Calibri" w:eastAsia="Calibri" w:hAnsi="Calibri" w:cs="Times New Roman"/>
        </w:rPr>
        <w:tab/>
        <w:t>-.064</w:t>
      </w:r>
      <w:r w:rsidRPr="00022F29">
        <w:rPr>
          <w:rFonts w:ascii="Calibri" w:eastAsia="Calibri" w:hAnsi="Calibri" w:cs="Times New Roman"/>
        </w:rPr>
        <w:tab/>
        <w:t>.949</w:t>
      </w:r>
      <w:r w:rsidRPr="00022F29">
        <w:rPr>
          <w:rFonts w:ascii="Calibri" w:eastAsia="Calibri" w:hAnsi="Calibri" w:cs="Times New Roman"/>
        </w:rPr>
        <w:tab/>
        <w:t>-.216</w:t>
      </w:r>
      <w:r w:rsidRPr="00022F29">
        <w:rPr>
          <w:rFonts w:ascii="Calibri" w:eastAsia="Calibri" w:hAnsi="Calibri" w:cs="Times New Roman"/>
        </w:rPr>
        <w:tab/>
        <w:t>.202</w:t>
      </w:r>
    </w:p>
    <w:p w14:paraId="229E096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AgeBinary*RevoveryD*RecoveryA</w:t>
      </w:r>
      <w:r w:rsidRPr="00022F29">
        <w:rPr>
          <w:rFonts w:ascii="Calibri" w:eastAsia="Calibri" w:hAnsi="Calibri" w:cs="Times New Roman"/>
        </w:rPr>
        <w:tab/>
        <w:t>1</w:t>
      </w:r>
      <w:r w:rsidRPr="00022F29">
        <w:rPr>
          <w:rFonts w:ascii="Calibri" w:eastAsia="Calibri" w:hAnsi="Calibri" w:cs="Times New Roman"/>
        </w:rPr>
        <w:tab/>
        <w:t>.008</w:t>
      </w:r>
      <w:r w:rsidRPr="00022F29">
        <w:rPr>
          <w:rFonts w:ascii="Calibri" w:eastAsia="Calibri" w:hAnsi="Calibri" w:cs="Times New Roman"/>
        </w:rPr>
        <w:tab/>
        <w:t>.067</w:t>
      </w:r>
      <w:r w:rsidRPr="00022F29">
        <w:rPr>
          <w:rFonts w:ascii="Calibri" w:eastAsia="Calibri" w:hAnsi="Calibri" w:cs="Times New Roman"/>
        </w:rPr>
        <w:tab/>
        <w:t>.113</w:t>
      </w:r>
      <w:r w:rsidRPr="00022F29">
        <w:rPr>
          <w:rFonts w:ascii="Calibri" w:eastAsia="Calibri" w:hAnsi="Calibri" w:cs="Times New Roman"/>
        </w:rPr>
        <w:tab/>
        <w:t>.910</w:t>
      </w:r>
      <w:r w:rsidRPr="00022F29">
        <w:rPr>
          <w:rFonts w:ascii="Calibri" w:eastAsia="Calibri" w:hAnsi="Calibri" w:cs="Times New Roman"/>
        </w:rPr>
        <w:tab/>
        <w:t>-.123</w:t>
      </w:r>
      <w:r w:rsidRPr="00022F29">
        <w:rPr>
          <w:rFonts w:ascii="Calibri" w:eastAsia="Calibri" w:hAnsi="Calibri" w:cs="Times New Roman"/>
        </w:rPr>
        <w:tab/>
        <w:t>.138</w:t>
      </w:r>
    </w:p>
    <w:p w14:paraId="23DB103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A*FQuartile*GenderX</w:t>
      </w:r>
      <w:r w:rsidRPr="00022F29">
        <w:rPr>
          <w:rFonts w:ascii="Calibri" w:eastAsia="Calibri" w:hAnsi="Calibri" w:cs="Times New Roman"/>
        </w:rPr>
        <w:tab/>
        <w:t>1</w:t>
      </w:r>
      <w:r w:rsidRPr="00022F29">
        <w:rPr>
          <w:rFonts w:ascii="Calibri" w:eastAsia="Calibri" w:hAnsi="Calibri" w:cs="Times New Roman"/>
        </w:rPr>
        <w:tab/>
        <w:t>.053</w:t>
      </w:r>
      <w:r w:rsidRPr="00022F29">
        <w:rPr>
          <w:rFonts w:ascii="Calibri" w:eastAsia="Calibri" w:hAnsi="Calibri" w:cs="Times New Roman"/>
        </w:rPr>
        <w:tab/>
        <w:t>.132</w:t>
      </w:r>
      <w:r w:rsidRPr="00022F29">
        <w:rPr>
          <w:rFonts w:ascii="Calibri" w:eastAsia="Calibri" w:hAnsi="Calibri" w:cs="Times New Roman"/>
        </w:rPr>
        <w:tab/>
        <w:t>.403</w:t>
      </w:r>
      <w:r w:rsidRPr="00022F29">
        <w:rPr>
          <w:rFonts w:ascii="Calibri" w:eastAsia="Calibri" w:hAnsi="Calibri" w:cs="Times New Roman"/>
        </w:rPr>
        <w:tab/>
        <w:t>.687</w:t>
      </w:r>
      <w:r w:rsidRPr="00022F29">
        <w:rPr>
          <w:rFonts w:ascii="Calibri" w:eastAsia="Calibri" w:hAnsi="Calibri" w:cs="Times New Roman"/>
        </w:rPr>
        <w:tab/>
        <w:t>-.206</w:t>
      </w:r>
      <w:r w:rsidRPr="00022F29">
        <w:rPr>
          <w:rFonts w:ascii="Calibri" w:eastAsia="Calibri" w:hAnsi="Calibri" w:cs="Times New Roman"/>
        </w:rPr>
        <w:tab/>
        <w:t>.312</w:t>
      </w:r>
    </w:p>
    <w:p w14:paraId="260A70A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-.148</w:t>
      </w:r>
      <w:r w:rsidRPr="00022F29">
        <w:rPr>
          <w:rFonts w:ascii="Calibri" w:eastAsia="Calibri" w:hAnsi="Calibri" w:cs="Times New Roman"/>
        </w:rPr>
        <w:tab/>
        <w:t>.111</w:t>
      </w:r>
      <w:r w:rsidRPr="00022F29">
        <w:rPr>
          <w:rFonts w:ascii="Calibri" w:eastAsia="Calibri" w:hAnsi="Calibri" w:cs="Times New Roman"/>
        </w:rPr>
        <w:tab/>
        <w:t>-1.327</w:t>
      </w:r>
      <w:r w:rsidRPr="00022F29">
        <w:rPr>
          <w:rFonts w:ascii="Calibri" w:eastAsia="Calibri" w:hAnsi="Calibri" w:cs="Times New Roman"/>
        </w:rPr>
        <w:tab/>
        <w:t>.185</w:t>
      </w:r>
      <w:r w:rsidRPr="00022F29">
        <w:rPr>
          <w:rFonts w:ascii="Calibri" w:eastAsia="Calibri" w:hAnsi="Calibri" w:cs="Times New Roman"/>
        </w:rPr>
        <w:tab/>
        <w:t>-.365</w:t>
      </w:r>
      <w:r w:rsidRPr="00022F29">
        <w:rPr>
          <w:rFonts w:ascii="Calibri" w:eastAsia="Calibri" w:hAnsi="Calibri" w:cs="Times New Roman"/>
        </w:rPr>
        <w:tab/>
        <w:t>.070</w:t>
      </w:r>
    </w:p>
    <w:p w14:paraId="799178B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.109</w:t>
      </w:r>
      <w:r w:rsidRPr="00022F29">
        <w:rPr>
          <w:rFonts w:ascii="Calibri" w:eastAsia="Calibri" w:hAnsi="Calibri" w:cs="Times New Roman"/>
        </w:rPr>
        <w:tab/>
        <w:t>.107</w:t>
      </w:r>
      <w:r w:rsidRPr="00022F29">
        <w:rPr>
          <w:rFonts w:ascii="Calibri" w:eastAsia="Calibri" w:hAnsi="Calibri" w:cs="Times New Roman"/>
        </w:rPr>
        <w:tab/>
        <w:t>1.028</w:t>
      </w:r>
      <w:r w:rsidRPr="00022F29">
        <w:rPr>
          <w:rFonts w:ascii="Calibri" w:eastAsia="Calibri" w:hAnsi="Calibri" w:cs="Times New Roman"/>
        </w:rPr>
        <w:tab/>
        <w:t>.304</w:t>
      </w:r>
      <w:r w:rsidRPr="00022F29">
        <w:rPr>
          <w:rFonts w:ascii="Calibri" w:eastAsia="Calibri" w:hAnsi="Calibri" w:cs="Times New Roman"/>
        </w:rPr>
        <w:tab/>
        <w:t>-.099</w:t>
      </w:r>
      <w:r w:rsidRPr="00022F29">
        <w:rPr>
          <w:rFonts w:ascii="Calibri" w:eastAsia="Calibri" w:hAnsi="Calibri" w:cs="Times New Roman"/>
        </w:rPr>
        <w:tab/>
        <w:t>.318</w:t>
      </w:r>
    </w:p>
    <w:p w14:paraId="5CD21C0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A*AgeBinary*GenderX</w:t>
      </w:r>
      <w:r w:rsidRPr="00022F29">
        <w:rPr>
          <w:rFonts w:ascii="Calibri" w:eastAsia="Calibri" w:hAnsi="Calibri" w:cs="Times New Roman"/>
        </w:rPr>
        <w:tab/>
        <w:t>1</w:t>
      </w:r>
      <w:r w:rsidRPr="00022F29">
        <w:rPr>
          <w:rFonts w:ascii="Calibri" w:eastAsia="Calibri" w:hAnsi="Calibri" w:cs="Times New Roman"/>
        </w:rPr>
        <w:tab/>
        <w:t>-.060</w:t>
      </w:r>
      <w:r w:rsidRPr="00022F29">
        <w:rPr>
          <w:rFonts w:ascii="Calibri" w:eastAsia="Calibri" w:hAnsi="Calibri" w:cs="Times New Roman"/>
        </w:rPr>
        <w:tab/>
        <w:t>.067</w:t>
      </w:r>
      <w:r w:rsidRPr="00022F29">
        <w:rPr>
          <w:rFonts w:ascii="Calibri" w:eastAsia="Calibri" w:hAnsi="Calibri" w:cs="Times New Roman"/>
        </w:rPr>
        <w:tab/>
        <w:t>-.901</w:t>
      </w:r>
      <w:r w:rsidRPr="00022F29">
        <w:rPr>
          <w:rFonts w:ascii="Calibri" w:eastAsia="Calibri" w:hAnsi="Calibri" w:cs="Times New Roman"/>
        </w:rPr>
        <w:tab/>
        <w:t>.368</w:t>
      </w:r>
      <w:r w:rsidRPr="00022F29">
        <w:rPr>
          <w:rFonts w:ascii="Calibri" w:eastAsia="Calibri" w:hAnsi="Calibri" w:cs="Times New Roman"/>
        </w:rPr>
        <w:tab/>
        <w:t>-.191</w:t>
      </w:r>
      <w:r w:rsidRPr="00022F29">
        <w:rPr>
          <w:rFonts w:ascii="Calibri" w:eastAsia="Calibri" w:hAnsi="Calibri" w:cs="Times New Roman"/>
        </w:rPr>
        <w:tab/>
        <w:t>.071</w:t>
      </w:r>
    </w:p>
    <w:p w14:paraId="038B0D1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FQuartile*AgeBinary*GenderX</w:t>
      </w:r>
      <w:r w:rsidRPr="00022F29">
        <w:rPr>
          <w:rFonts w:ascii="Calibri" w:eastAsia="Calibri" w:hAnsi="Calibri" w:cs="Times New Roman"/>
        </w:rPr>
        <w:tab/>
        <w:t>1</w:t>
      </w:r>
      <w:r w:rsidRPr="00022F29">
        <w:rPr>
          <w:rFonts w:ascii="Calibri" w:eastAsia="Calibri" w:hAnsi="Calibri" w:cs="Times New Roman"/>
        </w:rPr>
        <w:tab/>
        <w:t>-.073</w:t>
      </w:r>
      <w:r w:rsidRPr="00022F29">
        <w:rPr>
          <w:rFonts w:ascii="Calibri" w:eastAsia="Calibri" w:hAnsi="Calibri" w:cs="Times New Roman"/>
        </w:rPr>
        <w:tab/>
        <w:t>.132</w:t>
      </w:r>
      <w:r w:rsidRPr="00022F29">
        <w:rPr>
          <w:rFonts w:ascii="Calibri" w:eastAsia="Calibri" w:hAnsi="Calibri" w:cs="Times New Roman"/>
        </w:rPr>
        <w:tab/>
        <w:t>-.552</w:t>
      </w:r>
      <w:r w:rsidRPr="00022F29">
        <w:rPr>
          <w:rFonts w:ascii="Calibri" w:eastAsia="Calibri" w:hAnsi="Calibri" w:cs="Times New Roman"/>
        </w:rPr>
        <w:tab/>
        <w:t>.581</w:t>
      </w:r>
      <w:r w:rsidRPr="00022F29">
        <w:rPr>
          <w:rFonts w:ascii="Calibri" w:eastAsia="Calibri" w:hAnsi="Calibri" w:cs="Times New Roman"/>
        </w:rPr>
        <w:tab/>
        <w:t>-.332</w:t>
      </w:r>
      <w:r w:rsidRPr="00022F29">
        <w:rPr>
          <w:rFonts w:ascii="Calibri" w:eastAsia="Calibri" w:hAnsi="Calibri" w:cs="Times New Roman"/>
        </w:rPr>
        <w:tab/>
        <w:t>.186</w:t>
      </w:r>
    </w:p>
    <w:p w14:paraId="08821A8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.215</w:t>
      </w:r>
      <w:r w:rsidRPr="00022F29">
        <w:rPr>
          <w:rFonts w:ascii="Calibri" w:eastAsia="Calibri" w:hAnsi="Calibri" w:cs="Times New Roman"/>
        </w:rPr>
        <w:tab/>
        <w:t>.111</w:t>
      </w:r>
      <w:r w:rsidRPr="00022F29">
        <w:rPr>
          <w:rFonts w:ascii="Calibri" w:eastAsia="Calibri" w:hAnsi="Calibri" w:cs="Times New Roman"/>
        </w:rPr>
        <w:tab/>
        <w:t>1.933</w:t>
      </w:r>
      <w:r w:rsidRPr="00022F29">
        <w:rPr>
          <w:rFonts w:ascii="Calibri" w:eastAsia="Calibri" w:hAnsi="Calibri" w:cs="Times New Roman"/>
        </w:rPr>
        <w:tab/>
        <w:t>.053</w:t>
      </w:r>
      <w:r w:rsidRPr="00022F29">
        <w:rPr>
          <w:rFonts w:ascii="Calibri" w:eastAsia="Calibri" w:hAnsi="Calibri" w:cs="Times New Roman"/>
        </w:rPr>
        <w:tab/>
        <w:t>-.003</w:t>
      </w:r>
      <w:r w:rsidRPr="00022F29">
        <w:rPr>
          <w:rFonts w:ascii="Calibri" w:eastAsia="Calibri" w:hAnsi="Calibri" w:cs="Times New Roman"/>
        </w:rPr>
        <w:tab/>
        <w:t>.433</w:t>
      </w:r>
    </w:p>
    <w:p w14:paraId="02415BF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-.088</w:t>
      </w:r>
      <w:r w:rsidRPr="00022F29">
        <w:rPr>
          <w:rFonts w:ascii="Calibri" w:eastAsia="Calibri" w:hAnsi="Calibri" w:cs="Times New Roman"/>
        </w:rPr>
        <w:tab/>
        <w:t>.107</w:t>
      </w:r>
      <w:r w:rsidRPr="00022F29">
        <w:rPr>
          <w:rFonts w:ascii="Calibri" w:eastAsia="Calibri" w:hAnsi="Calibri" w:cs="Times New Roman"/>
        </w:rPr>
        <w:tab/>
        <w:t>-.827</w:t>
      </w:r>
      <w:r w:rsidRPr="00022F29">
        <w:rPr>
          <w:rFonts w:ascii="Calibri" w:eastAsia="Calibri" w:hAnsi="Calibri" w:cs="Times New Roman"/>
        </w:rPr>
        <w:tab/>
        <w:t>.408</w:t>
      </w:r>
      <w:r w:rsidRPr="00022F29">
        <w:rPr>
          <w:rFonts w:ascii="Calibri" w:eastAsia="Calibri" w:hAnsi="Calibri" w:cs="Times New Roman"/>
        </w:rPr>
        <w:tab/>
        <w:t>-.297</w:t>
      </w:r>
      <w:r w:rsidRPr="00022F29">
        <w:rPr>
          <w:rFonts w:ascii="Calibri" w:eastAsia="Calibri" w:hAnsi="Calibri" w:cs="Times New Roman"/>
        </w:rPr>
        <w:tab/>
        <w:t>.121</w:t>
      </w:r>
    </w:p>
    <w:p w14:paraId="20726DF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A*RevoveryD*GenderX</w:t>
      </w:r>
      <w:r w:rsidRPr="00022F29">
        <w:rPr>
          <w:rFonts w:ascii="Calibri" w:eastAsia="Calibri" w:hAnsi="Calibri" w:cs="Times New Roman"/>
        </w:rPr>
        <w:tab/>
        <w:t>1</w:t>
      </w:r>
      <w:r w:rsidRPr="00022F29">
        <w:rPr>
          <w:rFonts w:ascii="Calibri" w:eastAsia="Calibri" w:hAnsi="Calibri" w:cs="Times New Roman"/>
        </w:rPr>
        <w:tab/>
        <w:t>-.027</w:t>
      </w:r>
      <w:r w:rsidRPr="00022F29">
        <w:rPr>
          <w:rFonts w:ascii="Calibri" w:eastAsia="Calibri" w:hAnsi="Calibri" w:cs="Times New Roman"/>
        </w:rPr>
        <w:tab/>
        <w:t>.067</w:t>
      </w:r>
      <w:r w:rsidRPr="00022F29">
        <w:rPr>
          <w:rFonts w:ascii="Calibri" w:eastAsia="Calibri" w:hAnsi="Calibri" w:cs="Times New Roman"/>
        </w:rPr>
        <w:tab/>
        <w:t>-.408</w:t>
      </w:r>
      <w:r w:rsidRPr="00022F29">
        <w:rPr>
          <w:rFonts w:ascii="Calibri" w:eastAsia="Calibri" w:hAnsi="Calibri" w:cs="Times New Roman"/>
        </w:rPr>
        <w:tab/>
        <w:t>.683</w:t>
      </w:r>
      <w:r w:rsidRPr="00022F29">
        <w:rPr>
          <w:rFonts w:ascii="Calibri" w:eastAsia="Calibri" w:hAnsi="Calibri" w:cs="Times New Roman"/>
        </w:rPr>
        <w:tab/>
        <w:t>-.158</w:t>
      </w:r>
      <w:r w:rsidRPr="00022F29">
        <w:rPr>
          <w:rFonts w:ascii="Calibri" w:eastAsia="Calibri" w:hAnsi="Calibri" w:cs="Times New Roman"/>
        </w:rPr>
        <w:tab/>
        <w:t>.103</w:t>
      </w:r>
    </w:p>
    <w:p w14:paraId="60F1AF5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FQuartile*RevoveryD*GenderX</w:t>
      </w:r>
      <w:r w:rsidRPr="00022F29">
        <w:rPr>
          <w:rFonts w:ascii="Calibri" w:eastAsia="Calibri" w:hAnsi="Calibri" w:cs="Times New Roman"/>
        </w:rPr>
        <w:tab/>
        <w:t>1</w:t>
      </w:r>
      <w:r w:rsidRPr="00022F29">
        <w:rPr>
          <w:rFonts w:ascii="Calibri" w:eastAsia="Calibri" w:hAnsi="Calibri" w:cs="Times New Roman"/>
        </w:rPr>
        <w:tab/>
        <w:t>.085</w:t>
      </w:r>
      <w:r w:rsidRPr="00022F29">
        <w:rPr>
          <w:rFonts w:ascii="Calibri" w:eastAsia="Calibri" w:hAnsi="Calibri" w:cs="Times New Roman"/>
        </w:rPr>
        <w:tab/>
        <w:t>.132</w:t>
      </w:r>
      <w:r w:rsidRPr="00022F29">
        <w:rPr>
          <w:rFonts w:ascii="Calibri" w:eastAsia="Calibri" w:hAnsi="Calibri" w:cs="Times New Roman"/>
        </w:rPr>
        <w:tab/>
        <w:t>.642</w:t>
      </w:r>
      <w:r w:rsidRPr="00022F29">
        <w:rPr>
          <w:rFonts w:ascii="Calibri" w:eastAsia="Calibri" w:hAnsi="Calibri" w:cs="Times New Roman"/>
        </w:rPr>
        <w:tab/>
        <w:t>.521</w:t>
      </w:r>
      <w:r w:rsidRPr="00022F29">
        <w:rPr>
          <w:rFonts w:ascii="Calibri" w:eastAsia="Calibri" w:hAnsi="Calibri" w:cs="Times New Roman"/>
        </w:rPr>
        <w:tab/>
        <w:t>-.174</w:t>
      </w:r>
      <w:r w:rsidRPr="00022F29">
        <w:rPr>
          <w:rFonts w:ascii="Calibri" w:eastAsia="Calibri" w:hAnsi="Calibri" w:cs="Times New Roman"/>
        </w:rPr>
        <w:tab/>
        <w:t>.344</w:t>
      </w:r>
    </w:p>
    <w:p w14:paraId="32E185B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-.044</w:t>
      </w:r>
      <w:r w:rsidRPr="00022F29">
        <w:rPr>
          <w:rFonts w:ascii="Calibri" w:eastAsia="Calibri" w:hAnsi="Calibri" w:cs="Times New Roman"/>
        </w:rPr>
        <w:tab/>
        <w:t>.111</w:t>
      </w:r>
      <w:r w:rsidRPr="00022F29">
        <w:rPr>
          <w:rFonts w:ascii="Calibri" w:eastAsia="Calibri" w:hAnsi="Calibri" w:cs="Times New Roman"/>
        </w:rPr>
        <w:tab/>
        <w:t>-.395</w:t>
      </w:r>
      <w:r w:rsidRPr="00022F29">
        <w:rPr>
          <w:rFonts w:ascii="Calibri" w:eastAsia="Calibri" w:hAnsi="Calibri" w:cs="Times New Roman"/>
        </w:rPr>
        <w:tab/>
        <w:t>.693</w:t>
      </w:r>
      <w:r w:rsidRPr="00022F29">
        <w:rPr>
          <w:rFonts w:ascii="Calibri" w:eastAsia="Calibri" w:hAnsi="Calibri" w:cs="Times New Roman"/>
        </w:rPr>
        <w:tab/>
        <w:t>-.262</w:t>
      </w:r>
      <w:r w:rsidRPr="00022F29">
        <w:rPr>
          <w:rFonts w:ascii="Calibri" w:eastAsia="Calibri" w:hAnsi="Calibri" w:cs="Times New Roman"/>
        </w:rPr>
        <w:tab/>
        <w:t>.174</w:t>
      </w:r>
    </w:p>
    <w:p w14:paraId="10D270E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-.011</w:t>
      </w:r>
      <w:r w:rsidRPr="00022F29">
        <w:rPr>
          <w:rFonts w:ascii="Calibri" w:eastAsia="Calibri" w:hAnsi="Calibri" w:cs="Times New Roman"/>
        </w:rPr>
        <w:tab/>
        <w:t>.107</w:t>
      </w:r>
      <w:r w:rsidRPr="00022F29">
        <w:rPr>
          <w:rFonts w:ascii="Calibri" w:eastAsia="Calibri" w:hAnsi="Calibri" w:cs="Times New Roman"/>
        </w:rPr>
        <w:tab/>
        <w:t>-.099</w:t>
      </w:r>
      <w:r w:rsidRPr="00022F29">
        <w:rPr>
          <w:rFonts w:ascii="Calibri" w:eastAsia="Calibri" w:hAnsi="Calibri" w:cs="Times New Roman"/>
        </w:rPr>
        <w:tab/>
        <w:t>.921</w:t>
      </w:r>
      <w:r w:rsidRPr="00022F29">
        <w:rPr>
          <w:rFonts w:ascii="Calibri" w:eastAsia="Calibri" w:hAnsi="Calibri" w:cs="Times New Roman"/>
        </w:rPr>
        <w:tab/>
        <w:t>-.219</w:t>
      </w:r>
      <w:r w:rsidRPr="00022F29">
        <w:rPr>
          <w:rFonts w:ascii="Calibri" w:eastAsia="Calibri" w:hAnsi="Calibri" w:cs="Times New Roman"/>
        </w:rPr>
        <w:tab/>
        <w:t>.198</w:t>
      </w:r>
    </w:p>
    <w:p w14:paraId="7443129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AgeBinary*RevoveryD*GenderX</w:t>
      </w:r>
      <w:r w:rsidRPr="00022F29">
        <w:rPr>
          <w:rFonts w:ascii="Calibri" w:eastAsia="Calibri" w:hAnsi="Calibri" w:cs="Times New Roman"/>
        </w:rPr>
        <w:tab/>
        <w:t>1</w:t>
      </w:r>
      <w:r w:rsidRPr="00022F29">
        <w:rPr>
          <w:rFonts w:ascii="Calibri" w:eastAsia="Calibri" w:hAnsi="Calibri" w:cs="Times New Roman"/>
        </w:rPr>
        <w:tab/>
        <w:t>-.016</w:t>
      </w:r>
      <w:r w:rsidRPr="00022F29">
        <w:rPr>
          <w:rFonts w:ascii="Calibri" w:eastAsia="Calibri" w:hAnsi="Calibri" w:cs="Times New Roman"/>
        </w:rPr>
        <w:tab/>
        <w:t>.067</w:t>
      </w:r>
      <w:r w:rsidRPr="00022F29">
        <w:rPr>
          <w:rFonts w:ascii="Calibri" w:eastAsia="Calibri" w:hAnsi="Calibri" w:cs="Times New Roman"/>
        </w:rPr>
        <w:tab/>
        <w:t>-.242</w:t>
      </w:r>
      <w:r w:rsidRPr="00022F29">
        <w:rPr>
          <w:rFonts w:ascii="Calibri" w:eastAsia="Calibri" w:hAnsi="Calibri" w:cs="Times New Roman"/>
        </w:rPr>
        <w:tab/>
        <w:t>.809</w:t>
      </w:r>
      <w:r w:rsidRPr="00022F29">
        <w:rPr>
          <w:rFonts w:ascii="Calibri" w:eastAsia="Calibri" w:hAnsi="Calibri" w:cs="Times New Roman"/>
        </w:rPr>
        <w:tab/>
        <w:t>-.147</w:t>
      </w:r>
      <w:r w:rsidRPr="00022F29">
        <w:rPr>
          <w:rFonts w:ascii="Calibri" w:eastAsia="Calibri" w:hAnsi="Calibri" w:cs="Times New Roman"/>
        </w:rPr>
        <w:tab/>
        <w:t>.115</w:t>
      </w:r>
    </w:p>
    <w:p w14:paraId="4C2CB9D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A*RecoveryA*GenderX</w:t>
      </w:r>
      <w:r w:rsidRPr="00022F29">
        <w:rPr>
          <w:rFonts w:ascii="Calibri" w:eastAsia="Calibri" w:hAnsi="Calibri" w:cs="Times New Roman"/>
        </w:rPr>
        <w:tab/>
        <w:t>1</w:t>
      </w:r>
      <w:r w:rsidRPr="00022F29">
        <w:rPr>
          <w:rFonts w:ascii="Calibri" w:eastAsia="Calibri" w:hAnsi="Calibri" w:cs="Times New Roman"/>
        </w:rPr>
        <w:tab/>
        <w:t>-.084</w:t>
      </w:r>
      <w:r w:rsidRPr="00022F29">
        <w:rPr>
          <w:rFonts w:ascii="Calibri" w:eastAsia="Calibri" w:hAnsi="Calibri" w:cs="Times New Roman"/>
        </w:rPr>
        <w:tab/>
        <w:t>.067</w:t>
      </w:r>
      <w:r w:rsidRPr="00022F29">
        <w:rPr>
          <w:rFonts w:ascii="Calibri" w:eastAsia="Calibri" w:hAnsi="Calibri" w:cs="Times New Roman"/>
        </w:rPr>
        <w:tab/>
        <w:t>-1.253</w:t>
      </w:r>
      <w:r w:rsidRPr="00022F29">
        <w:rPr>
          <w:rFonts w:ascii="Calibri" w:eastAsia="Calibri" w:hAnsi="Calibri" w:cs="Times New Roman"/>
        </w:rPr>
        <w:tab/>
        <w:t>.210</w:t>
      </w:r>
      <w:r w:rsidRPr="00022F29">
        <w:rPr>
          <w:rFonts w:ascii="Calibri" w:eastAsia="Calibri" w:hAnsi="Calibri" w:cs="Times New Roman"/>
        </w:rPr>
        <w:tab/>
        <w:t>-.214</w:t>
      </w:r>
      <w:r w:rsidRPr="00022F29">
        <w:rPr>
          <w:rFonts w:ascii="Calibri" w:eastAsia="Calibri" w:hAnsi="Calibri" w:cs="Times New Roman"/>
        </w:rPr>
        <w:tab/>
        <w:t>.047</w:t>
      </w:r>
    </w:p>
    <w:p w14:paraId="6AE2538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FQuartile*RecoveryA*GenderX</w:t>
      </w:r>
      <w:r w:rsidRPr="00022F29">
        <w:rPr>
          <w:rFonts w:ascii="Calibri" w:eastAsia="Calibri" w:hAnsi="Calibri" w:cs="Times New Roman"/>
        </w:rPr>
        <w:tab/>
        <w:t>1</w:t>
      </w:r>
      <w:r w:rsidRPr="00022F29">
        <w:rPr>
          <w:rFonts w:ascii="Calibri" w:eastAsia="Calibri" w:hAnsi="Calibri" w:cs="Times New Roman"/>
        </w:rPr>
        <w:tab/>
        <w:t>.161</w:t>
      </w:r>
      <w:r w:rsidRPr="00022F29">
        <w:rPr>
          <w:rFonts w:ascii="Calibri" w:eastAsia="Calibri" w:hAnsi="Calibri" w:cs="Times New Roman"/>
        </w:rPr>
        <w:tab/>
        <w:t>.132</w:t>
      </w:r>
      <w:r w:rsidRPr="00022F29">
        <w:rPr>
          <w:rFonts w:ascii="Calibri" w:eastAsia="Calibri" w:hAnsi="Calibri" w:cs="Times New Roman"/>
        </w:rPr>
        <w:tab/>
        <w:t>1.218</w:t>
      </w:r>
      <w:r w:rsidRPr="00022F29">
        <w:rPr>
          <w:rFonts w:ascii="Calibri" w:eastAsia="Calibri" w:hAnsi="Calibri" w:cs="Times New Roman"/>
        </w:rPr>
        <w:tab/>
        <w:t>.223</w:t>
      </w:r>
      <w:r w:rsidRPr="00022F29">
        <w:rPr>
          <w:rFonts w:ascii="Calibri" w:eastAsia="Calibri" w:hAnsi="Calibri" w:cs="Times New Roman"/>
        </w:rPr>
        <w:tab/>
        <w:t>-.098</w:t>
      </w:r>
      <w:r w:rsidRPr="00022F29">
        <w:rPr>
          <w:rFonts w:ascii="Calibri" w:eastAsia="Calibri" w:hAnsi="Calibri" w:cs="Times New Roman"/>
        </w:rPr>
        <w:tab/>
        <w:t>.420</w:t>
      </w:r>
    </w:p>
    <w:p w14:paraId="07AB6DD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-.123</w:t>
      </w:r>
      <w:r w:rsidRPr="00022F29">
        <w:rPr>
          <w:rFonts w:ascii="Calibri" w:eastAsia="Calibri" w:hAnsi="Calibri" w:cs="Times New Roman"/>
        </w:rPr>
        <w:tab/>
        <w:t>.111</w:t>
      </w:r>
      <w:r w:rsidRPr="00022F29">
        <w:rPr>
          <w:rFonts w:ascii="Calibri" w:eastAsia="Calibri" w:hAnsi="Calibri" w:cs="Times New Roman"/>
        </w:rPr>
        <w:tab/>
        <w:t>-1.110</w:t>
      </w:r>
      <w:r w:rsidRPr="00022F29">
        <w:rPr>
          <w:rFonts w:ascii="Calibri" w:eastAsia="Calibri" w:hAnsi="Calibri" w:cs="Times New Roman"/>
        </w:rPr>
        <w:tab/>
        <w:t>.267</w:t>
      </w:r>
      <w:r w:rsidRPr="00022F29">
        <w:rPr>
          <w:rFonts w:ascii="Calibri" w:eastAsia="Calibri" w:hAnsi="Calibri" w:cs="Times New Roman"/>
        </w:rPr>
        <w:tab/>
        <w:t>-.341</w:t>
      </w:r>
      <w:r w:rsidRPr="00022F29">
        <w:rPr>
          <w:rFonts w:ascii="Calibri" w:eastAsia="Calibri" w:hAnsi="Calibri" w:cs="Times New Roman"/>
        </w:rPr>
        <w:tab/>
        <w:t>.094</w:t>
      </w:r>
    </w:p>
    <w:p w14:paraId="56A268A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-.033</w:t>
      </w:r>
      <w:r w:rsidRPr="00022F29">
        <w:rPr>
          <w:rFonts w:ascii="Calibri" w:eastAsia="Calibri" w:hAnsi="Calibri" w:cs="Times New Roman"/>
        </w:rPr>
        <w:tab/>
        <w:t>.107</w:t>
      </w:r>
      <w:r w:rsidRPr="00022F29">
        <w:rPr>
          <w:rFonts w:ascii="Calibri" w:eastAsia="Calibri" w:hAnsi="Calibri" w:cs="Times New Roman"/>
        </w:rPr>
        <w:tab/>
        <w:t>-.310</w:t>
      </w:r>
      <w:r w:rsidRPr="00022F29">
        <w:rPr>
          <w:rFonts w:ascii="Calibri" w:eastAsia="Calibri" w:hAnsi="Calibri" w:cs="Times New Roman"/>
        </w:rPr>
        <w:tab/>
        <w:t>.757</w:t>
      </w:r>
      <w:r w:rsidRPr="00022F29">
        <w:rPr>
          <w:rFonts w:ascii="Calibri" w:eastAsia="Calibri" w:hAnsi="Calibri" w:cs="Times New Roman"/>
        </w:rPr>
        <w:tab/>
        <w:t>-.242</w:t>
      </w:r>
      <w:r w:rsidRPr="00022F29">
        <w:rPr>
          <w:rFonts w:ascii="Calibri" w:eastAsia="Calibri" w:hAnsi="Calibri" w:cs="Times New Roman"/>
        </w:rPr>
        <w:tab/>
        <w:t>.176</w:t>
      </w:r>
    </w:p>
    <w:p w14:paraId="2F96102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AgeBinary*RecoveryA*GenderX</w:t>
      </w:r>
      <w:r w:rsidRPr="00022F29">
        <w:rPr>
          <w:rFonts w:ascii="Calibri" w:eastAsia="Calibri" w:hAnsi="Calibri" w:cs="Times New Roman"/>
        </w:rPr>
        <w:tab/>
        <w:t>1</w:t>
      </w:r>
      <w:r w:rsidRPr="00022F29">
        <w:rPr>
          <w:rFonts w:ascii="Calibri" w:eastAsia="Calibri" w:hAnsi="Calibri" w:cs="Times New Roman"/>
        </w:rPr>
        <w:tab/>
        <w:t>-.064</w:t>
      </w:r>
      <w:r w:rsidRPr="00022F29">
        <w:rPr>
          <w:rFonts w:ascii="Calibri" w:eastAsia="Calibri" w:hAnsi="Calibri" w:cs="Times New Roman"/>
        </w:rPr>
        <w:tab/>
        <w:t>.067</w:t>
      </w:r>
      <w:r w:rsidRPr="00022F29">
        <w:rPr>
          <w:rFonts w:ascii="Calibri" w:eastAsia="Calibri" w:hAnsi="Calibri" w:cs="Times New Roman"/>
        </w:rPr>
        <w:tab/>
        <w:t>-.960</w:t>
      </w:r>
      <w:r w:rsidRPr="00022F29">
        <w:rPr>
          <w:rFonts w:ascii="Calibri" w:eastAsia="Calibri" w:hAnsi="Calibri" w:cs="Times New Roman"/>
        </w:rPr>
        <w:tab/>
        <w:t>.337</w:t>
      </w:r>
      <w:r w:rsidRPr="00022F29">
        <w:rPr>
          <w:rFonts w:ascii="Calibri" w:eastAsia="Calibri" w:hAnsi="Calibri" w:cs="Times New Roman"/>
        </w:rPr>
        <w:tab/>
        <w:t>-.195</w:t>
      </w:r>
      <w:r w:rsidRPr="00022F29">
        <w:rPr>
          <w:rFonts w:ascii="Calibri" w:eastAsia="Calibri" w:hAnsi="Calibri" w:cs="Times New Roman"/>
        </w:rPr>
        <w:tab/>
        <w:t>.067</w:t>
      </w:r>
    </w:p>
    <w:p w14:paraId="2AF5C20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RevoveryD*RecoveryA*GenderX</w:t>
      </w:r>
      <w:r w:rsidRPr="00022F29">
        <w:rPr>
          <w:rFonts w:ascii="Calibri" w:eastAsia="Calibri" w:hAnsi="Calibri" w:cs="Times New Roman"/>
        </w:rPr>
        <w:tab/>
        <w:t>1</w:t>
      </w:r>
      <w:r w:rsidRPr="00022F29">
        <w:rPr>
          <w:rFonts w:ascii="Calibri" w:eastAsia="Calibri" w:hAnsi="Calibri" w:cs="Times New Roman"/>
        </w:rPr>
        <w:tab/>
        <w:t>-.128</w:t>
      </w:r>
      <w:r w:rsidRPr="00022F29">
        <w:rPr>
          <w:rFonts w:ascii="Calibri" w:eastAsia="Calibri" w:hAnsi="Calibri" w:cs="Times New Roman"/>
        </w:rPr>
        <w:tab/>
        <w:t>.067</w:t>
      </w:r>
      <w:r w:rsidRPr="00022F29">
        <w:rPr>
          <w:rFonts w:ascii="Calibri" w:eastAsia="Calibri" w:hAnsi="Calibri" w:cs="Times New Roman"/>
        </w:rPr>
        <w:tab/>
        <w:t>-1.918</w:t>
      </w:r>
      <w:r w:rsidRPr="00022F29">
        <w:rPr>
          <w:rFonts w:ascii="Calibri" w:eastAsia="Calibri" w:hAnsi="Calibri" w:cs="Times New Roman"/>
        </w:rPr>
        <w:tab/>
        <w:t>.055</w:t>
      </w:r>
      <w:r w:rsidRPr="00022F29">
        <w:rPr>
          <w:rFonts w:ascii="Calibri" w:eastAsia="Calibri" w:hAnsi="Calibri" w:cs="Times New Roman"/>
        </w:rPr>
        <w:tab/>
        <w:t>-.258</w:t>
      </w:r>
      <w:r w:rsidRPr="00022F29">
        <w:rPr>
          <w:rFonts w:ascii="Calibri" w:eastAsia="Calibri" w:hAnsi="Calibri" w:cs="Times New Roman"/>
        </w:rPr>
        <w:tab/>
        <w:t>.003</w:t>
      </w:r>
    </w:p>
    <w:p w14:paraId="3121E3B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A*FQuartile</w:t>
      </w:r>
      <w:r w:rsidRPr="00022F29">
        <w:rPr>
          <w:rFonts w:ascii="Calibri" w:eastAsia="Calibri" w:hAnsi="Calibri" w:cs="Times New Roman"/>
        </w:rPr>
        <w:tab/>
        <w:t>1</w:t>
      </w:r>
      <w:r w:rsidRPr="00022F29">
        <w:rPr>
          <w:rFonts w:ascii="Calibri" w:eastAsia="Calibri" w:hAnsi="Calibri" w:cs="Times New Roman"/>
        </w:rPr>
        <w:tab/>
        <w:t>1.069</w:t>
      </w:r>
      <w:r w:rsidRPr="00022F29">
        <w:rPr>
          <w:rFonts w:ascii="Calibri" w:eastAsia="Calibri" w:hAnsi="Calibri" w:cs="Times New Roman"/>
        </w:rPr>
        <w:tab/>
        <w:t>.132</w:t>
      </w:r>
      <w:r w:rsidRPr="00022F29">
        <w:rPr>
          <w:rFonts w:ascii="Calibri" w:eastAsia="Calibri" w:hAnsi="Calibri" w:cs="Times New Roman"/>
        </w:rPr>
        <w:tab/>
        <w:t>8.085</w:t>
      </w:r>
      <w:r w:rsidRPr="00022F29">
        <w:rPr>
          <w:rFonts w:ascii="Calibri" w:eastAsia="Calibri" w:hAnsi="Calibri" w:cs="Times New Roman"/>
        </w:rPr>
        <w:tab/>
        <w:t>.000</w:t>
      </w:r>
      <w:r w:rsidRPr="00022F29">
        <w:rPr>
          <w:rFonts w:ascii="Calibri" w:eastAsia="Calibri" w:hAnsi="Calibri" w:cs="Times New Roman"/>
        </w:rPr>
        <w:tab/>
        <w:t>.809</w:t>
      </w:r>
      <w:r w:rsidRPr="00022F29">
        <w:rPr>
          <w:rFonts w:ascii="Calibri" w:eastAsia="Calibri" w:hAnsi="Calibri" w:cs="Times New Roman"/>
        </w:rPr>
        <w:tab/>
        <w:t>1.328</w:t>
      </w:r>
    </w:p>
    <w:p w14:paraId="7C2A5E9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.034</w:t>
      </w:r>
      <w:r w:rsidRPr="00022F29">
        <w:rPr>
          <w:rFonts w:ascii="Calibri" w:eastAsia="Calibri" w:hAnsi="Calibri" w:cs="Times New Roman"/>
        </w:rPr>
        <w:tab/>
        <w:t>.111</w:t>
      </w:r>
      <w:r w:rsidRPr="00022F29">
        <w:rPr>
          <w:rFonts w:ascii="Calibri" w:eastAsia="Calibri" w:hAnsi="Calibri" w:cs="Times New Roman"/>
        </w:rPr>
        <w:tab/>
        <w:t>.308</w:t>
      </w:r>
      <w:r w:rsidRPr="00022F29">
        <w:rPr>
          <w:rFonts w:ascii="Calibri" w:eastAsia="Calibri" w:hAnsi="Calibri" w:cs="Times New Roman"/>
        </w:rPr>
        <w:tab/>
        <w:t>.758</w:t>
      </w:r>
      <w:r w:rsidRPr="00022F29">
        <w:rPr>
          <w:rFonts w:ascii="Calibri" w:eastAsia="Calibri" w:hAnsi="Calibri" w:cs="Times New Roman"/>
        </w:rPr>
        <w:tab/>
        <w:t>-.184</w:t>
      </w:r>
      <w:r w:rsidRPr="00022F29">
        <w:rPr>
          <w:rFonts w:ascii="Calibri" w:eastAsia="Calibri" w:hAnsi="Calibri" w:cs="Times New Roman"/>
        </w:rPr>
        <w:tab/>
        <w:t>.252</w:t>
      </w:r>
    </w:p>
    <w:p w14:paraId="007AAE2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-.470</w:t>
      </w:r>
      <w:r w:rsidRPr="00022F29">
        <w:rPr>
          <w:rFonts w:ascii="Calibri" w:eastAsia="Calibri" w:hAnsi="Calibri" w:cs="Times New Roman"/>
        </w:rPr>
        <w:tab/>
        <w:t>.107</w:t>
      </w:r>
      <w:r w:rsidRPr="00022F29">
        <w:rPr>
          <w:rFonts w:ascii="Calibri" w:eastAsia="Calibri" w:hAnsi="Calibri" w:cs="Times New Roman"/>
        </w:rPr>
        <w:tab/>
        <w:t>-4.412</w:t>
      </w:r>
      <w:r w:rsidRPr="00022F29">
        <w:rPr>
          <w:rFonts w:ascii="Calibri" w:eastAsia="Calibri" w:hAnsi="Calibri" w:cs="Times New Roman"/>
        </w:rPr>
        <w:tab/>
        <w:t>.000</w:t>
      </w:r>
      <w:r w:rsidRPr="00022F29">
        <w:rPr>
          <w:rFonts w:ascii="Calibri" w:eastAsia="Calibri" w:hAnsi="Calibri" w:cs="Times New Roman"/>
        </w:rPr>
        <w:tab/>
        <w:t>-.679</w:t>
      </w:r>
      <w:r w:rsidRPr="00022F29">
        <w:rPr>
          <w:rFonts w:ascii="Calibri" w:eastAsia="Calibri" w:hAnsi="Calibri" w:cs="Times New Roman"/>
        </w:rPr>
        <w:tab/>
        <w:t>-.261</w:t>
      </w:r>
    </w:p>
    <w:p w14:paraId="7D77E11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A*AgeBinary</w:t>
      </w:r>
      <w:r w:rsidRPr="00022F29">
        <w:rPr>
          <w:rFonts w:ascii="Calibri" w:eastAsia="Calibri" w:hAnsi="Calibri" w:cs="Times New Roman"/>
        </w:rPr>
        <w:tab/>
        <w:t>1</w:t>
      </w:r>
      <w:r w:rsidRPr="00022F29">
        <w:rPr>
          <w:rFonts w:ascii="Calibri" w:eastAsia="Calibri" w:hAnsi="Calibri" w:cs="Times New Roman"/>
        </w:rPr>
        <w:tab/>
        <w:t>-.024</w:t>
      </w:r>
      <w:r w:rsidRPr="00022F29">
        <w:rPr>
          <w:rFonts w:ascii="Calibri" w:eastAsia="Calibri" w:hAnsi="Calibri" w:cs="Times New Roman"/>
        </w:rPr>
        <w:tab/>
        <w:t>.067</w:t>
      </w:r>
      <w:r w:rsidRPr="00022F29">
        <w:rPr>
          <w:rFonts w:ascii="Calibri" w:eastAsia="Calibri" w:hAnsi="Calibri" w:cs="Times New Roman"/>
        </w:rPr>
        <w:tab/>
        <w:t>-.364</w:t>
      </w:r>
      <w:r w:rsidRPr="00022F29">
        <w:rPr>
          <w:rFonts w:ascii="Calibri" w:eastAsia="Calibri" w:hAnsi="Calibri" w:cs="Times New Roman"/>
        </w:rPr>
        <w:tab/>
        <w:t>.716</w:t>
      </w:r>
      <w:r w:rsidRPr="00022F29">
        <w:rPr>
          <w:rFonts w:ascii="Calibri" w:eastAsia="Calibri" w:hAnsi="Calibri" w:cs="Times New Roman"/>
        </w:rPr>
        <w:tab/>
        <w:t>-.155</w:t>
      </w:r>
      <w:r w:rsidRPr="00022F29">
        <w:rPr>
          <w:rFonts w:ascii="Calibri" w:eastAsia="Calibri" w:hAnsi="Calibri" w:cs="Times New Roman"/>
        </w:rPr>
        <w:tab/>
        <w:t>.106</w:t>
      </w:r>
    </w:p>
    <w:p w14:paraId="7B03F24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FQuartile*AgeBinary</w:t>
      </w:r>
      <w:r w:rsidRPr="00022F29">
        <w:rPr>
          <w:rFonts w:ascii="Calibri" w:eastAsia="Calibri" w:hAnsi="Calibri" w:cs="Times New Roman"/>
        </w:rPr>
        <w:tab/>
        <w:t>1</w:t>
      </w:r>
      <w:r w:rsidRPr="00022F29">
        <w:rPr>
          <w:rFonts w:ascii="Calibri" w:eastAsia="Calibri" w:hAnsi="Calibri" w:cs="Times New Roman"/>
        </w:rPr>
        <w:tab/>
        <w:t>-.010</w:t>
      </w:r>
      <w:r w:rsidRPr="00022F29">
        <w:rPr>
          <w:rFonts w:ascii="Calibri" w:eastAsia="Calibri" w:hAnsi="Calibri" w:cs="Times New Roman"/>
        </w:rPr>
        <w:tab/>
        <w:t>.132</w:t>
      </w:r>
      <w:r w:rsidRPr="00022F29">
        <w:rPr>
          <w:rFonts w:ascii="Calibri" w:eastAsia="Calibri" w:hAnsi="Calibri" w:cs="Times New Roman"/>
        </w:rPr>
        <w:tab/>
        <w:t>-.072</w:t>
      </w:r>
      <w:r w:rsidRPr="00022F29">
        <w:rPr>
          <w:rFonts w:ascii="Calibri" w:eastAsia="Calibri" w:hAnsi="Calibri" w:cs="Times New Roman"/>
        </w:rPr>
        <w:tab/>
        <w:t>.943</w:t>
      </w:r>
      <w:r w:rsidRPr="00022F29">
        <w:rPr>
          <w:rFonts w:ascii="Calibri" w:eastAsia="Calibri" w:hAnsi="Calibri" w:cs="Times New Roman"/>
        </w:rPr>
        <w:tab/>
        <w:t>-.269</w:t>
      </w:r>
      <w:r w:rsidRPr="00022F29">
        <w:rPr>
          <w:rFonts w:ascii="Calibri" w:eastAsia="Calibri" w:hAnsi="Calibri" w:cs="Times New Roman"/>
        </w:rPr>
        <w:tab/>
        <w:t>.250</w:t>
      </w:r>
    </w:p>
    <w:p w14:paraId="61732E0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.233</w:t>
      </w:r>
      <w:r w:rsidRPr="00022F29">
        <w:rPr>
          <w:rFonts w:ascii="Calibri" w:eastAsia="Calibri" w:hAnsi="Calibri" w:cs="Times New Roman"/>
        </w:rPr>
        <w:tab/>
        <w:t>.111</w:t>
      </w:r>
      <w:r w:rsidRPr="00022F29">
        <w:rPr>
          <w:rFonts w:ascii="Calibri" w:eastAsia="Calibri" w:hAnsi="Calibri" w:cs="Times New Roman"/>
        </w:rPr>
        <w:tab/>
        <w:t>2.095</w:t>
      </w:r>
      <w:r w:rsidRPr="00022F29">
        <w:rPr>
          <w:rFonts w:ascii="Calibri" w:eastAsia="Calibri" w:hAnsi="Calibri" w:cs="Times New Roman"/>
        </w:rPr>
        <w:tab/>
        <w:t>.036</w:t>
      </w:r>
      <w:r w:rsidRPr="00022F29">
        <w:rPr>
          <w:rFonts w:ascii="Calibri" w:eastAsia="Calibri" w:hAnsi="Calibri" w:cs="Times New Roman"/>
        </w:rPr>
        <w:tab/>
        <w:t>.015</w:t>
      </w:r>
      <w:r w:rsidRPr="00022F29">
        <w:rPr>
          <w:rFonts w:ascii="Calibri" w:eastAsia="Calibri" w:hAnsi="Calibri" w:cs="Times New Roman"/>
        </w:rPr>
        <w:tab/>
        <w:t>.451</w:t>
      </w:r>
    </w:p>
    <w:p w14:paraId="1ABA2D2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-.166</w:t>
      </w:r>
      <w:r w:rsidRPr="00022F29">
        <w:rPr>
          <w:rFonts w:ascii="Calibri" w:eastAsia="Calibri" w:hAnsi="Calibri" w:cs="Times New Roman"/>
        </w:rPr>
        <w:tab/>
        <w:t>.107</w:t>
      </w:r>
      <w:r w:rsidRPr="00022F29">
        <w:rPr>
          <w:rFonts w:ascii="Calibri" w:eastAsia="Calibri" w:hAnsi="Calibri" w:cs="Times New Roman"/>
        </w:rPr>
        <w:tab/>
        <w:t>-1.560</w:t>
      </w:r>
      <w:r w:rsidRPr="00022F29">
        <w:rPr>
          <w:rFonts w:ascii="Calibri" w:eastAsia="Calibri" w:hAnsi="Calibri" w:cs="Times New Roman"/>
        </w:rPr>
        <w:tab/>
        <w:t>.119</w:t>
      </w:r>
      <w:r w:rsidRPr="00022F29">
        <w:rPr>
          <w:rFonts w:ascii="Calibri" w:eastAsia="Calibri" w:hAnsi="Calibri" w:cs="Times New Roman"/>
        </w:rPr>
        <w:tab/>
        <w:t>-.375</w:t>
      </w:r>
      <w:r w:rsidRPr="00022F29">
        <w:rPr>
          <w:rFonts w:ascii="Calibri" w:eastAsia="Calibri" w:hAnsi="Calibri" w:cs="Times New Roman"/>
        </w:rPr>
        <w:tab/>
        <w:t>.043</w:t>
      </w:r>
    </w:p>
    <w:p w14:paraId="7362B36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A*RevoveryD</w:t>
      </w:r>
      <w:r w:rsidRPr="00022F29">
        <w:rPr>
          <w:rFonts w:ascii="Calibri" w:eastAsia="Calibri" w:hAnsi="Calibri" w:cs="Times New Roman"/>
        </w:rPr>
        <w:tab/>
        <w:t>1</w:t>
      </w:r>
      <w:r w:rsidRPr="00022F29">
        <w:rPr>
          <w:rFonts w:ascii="Calibri" w:eastAsia="Calibri" w:hAnsi="Calibri" w:cs="Times New Roman"/>
        </w:rPr>
        <w:tab/>
        <w:t>-.044</w:t>
      </w:r>
      <w:r w:rsidRPr="00022F29">
        <w:rPr>
          <w:rFonts w:ascii="Calibri" w:eastAsia="Calibri" w:hAnsi="Calibri" w:cs="Times New Roman"/>
        </w:rPr>
        <w:tab/>
        <w:t>.067</w:t>
      </w:r>
      <w:r w:rsidRPr="00022F29">
        <w:rPr>
          <w:rFonts w:ascii="Calibri" w:eastAsia="Calibri" w:hAnsi="Calibri" w:cs="Times New Roman"/>
        </w:rPr>
        <w:tab/>
        <w:t>-.660</w:t>
      </w:r>
      <w:r w:rsidRPr="00022F29">
        <w:rPr>
          <w:rFonts w:ascii="Calibri" w:eastAsia="Calibri" w:hAnsi="Calibri" w:cs="Times New Roman"/>
        </w:rPr>
        <w:tab/>
        <w:t>.509</w:t>
      </w:r>
      <w:r w:rsidRPr="00022F29">
        <w:rPr>
          <w:rFonts w:ascii="Calibri" w:eastAsia="Calibri" w:hAnsi="Calibri" w:cs="Times New Roman"/>
        </w:rPr>
        <w:tab/>
        <w:t>-.175</w:t>
      </w:r>
      <w:r w:rsidRPr="00022F29">
        <w:rPr>
          <w:rFonts w:ascii="Calibri" w:eastAsia="Calibri" w:hAnsi="Calibri" w:cs="Times New Roman"/>
        </w:rPr>
        <w:tab/>
        <w:t>.087</w:t>
      </w:r>
    </w:p>
    <w:p w14:paraId="2C89D49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FQuartile*RevoveryD</w:t>
      </w:r>
      <w:r w:rsidRPr="00022F29">
        <w:rPr>
          <w:rFonts w:ascii="Calibri" w:eastAsia="Calibri" w:hAnsi="Calibri" w:cs="Times New Roman"/>
        </w:rPr>
        <w:tab/>
        <w:t>1</w:t>
      </w:r>
      <w:r w:rsidRPr="00022F29">
        <w:rPr>
          <w:rFonts w:ascii="Calibri" w:eastAsia="Calibri" w:hAnsi="Calibri" w:cs="Times New Roman"/>
        </w:rPr>
        <w:tab/>
        <w:t>.075</w:t>
      </w:r>
      <w:r w:rsidRPr="00022F29">
        <w:rPr>
          <w:rFonts w:ascii="Calibri" w:eastAsia="Calibri" w:hAnsi="Calibri" w:cs="Times New Roman"/>
        </w:rPr>
        <w:tab/>
        <w:t>.132</w:t>
      </w:r>
      <w:r w:rsidRPr="00022F29">
        <w:rPr>
          <w:rFonts w:ascii="Calibri" w:eastAsia="Calibri" w:hAnsi="Calibri" w:cs="Times New Roman"/>
        </w:rPr>
        <w:tab/>
        <w:t>.566</w:t>
      </w:r>
      <w:r w:rsidRPr="00022F29">
        <w:rPr>
          <w:rFonts w:ascii="Calibri" w:eastAsia="Calibri" w:hAnsi="Calibri" w:cs="Times New Roman"/>
        </w:rPr>
        <w:tab/>
        <w:t>.572</w:t>
      </w:r>
      <w:r w:rsidRPr="00022F29">
        <w:rPr>
          <w:rFonts w:ascii="Calibri" w:eastAsia="Calibri" w:hAnsi="Calibri" w:cs="Times New Roman"/>
        </w:rPr>
        <w:tab/>
        <w:t>-.184</w:t>
      </w:r>
      <w:r w:rsidRPr="00022F29">
        <w:rPr>
          <w:rFonts w:ascii="Calibri" w:eastAsia="Calibri" w:hAnsi="Calibri" w:cs="Times New Roman"/>
        </w:rPr>
        <w:tab/>
        <w:t>.334</w:t>
      </w:r>
    </w:p>
    <w:p w14:paraId="3EAD215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.033</w:t>
      </w:r>
      <w:r w:rsidRPr="00022F29">
        <w:rPr>
          <w:rFonts w:ascii="Calibri" w:eastAsia="Calibri" w:hAnsi="Calibri" w:cs="Times New Roman"/>
        </w:rPr>
        <w:tab/>
        <w:t>.111</w:t>
      </w:r>
      <w:r w:rsidRPr="00022F29">
        <w:rPr>
          <w:rFonts w:ascii="Calibri" w:eastAsia="Calibri" w:hAnsi="Calibri" w:cs="Times New Roman"/>
        </w:rPr>
        <w:tab/>
        <w:t>.294</w:t>
      </w:r>
      <w:r w:rsidRPr="00022F29">
        <w:rPr>
          <w:rFonts w:ascii="Calibri" w:eastAsia="Calibri" w:hAnsi="Calibri" w:cs="Times New Roman"/>
        </w:rPr>
        <w:tab/>
        <w:t>.768</w:t>
      </w:r>
      <w:r w:rsidRPr="00022F29">
        <w:rPr>
          <w:rFonts w:ascii="Calibri" w:eastAsia="Calibri" w:hAnsi="Calibri" w:cs="Times New Roman"/>
        </w:rPr>
        <w:tab/>
        <w:t>-.185</w:t>
      </w:r>
      <w:r w:rsidRPr="00022F29">
        <w:rPr>
          <w:rFonts w:ascii="Calibri" w:eastAsia="Calibri" w:hAnsi="Calibri" w:cs="Times New Roman"/>
        </w:rPr>
        <w:tab/>
        <w:t>.251</w:t>
      </w:r>
    </w:p>
    <w:p w14:paraId="12E4A57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-.075</w:t>
      </w:r>
      <w:r w:rsidRPr="00022F29">
        <w:rPr>
          <w:rFonts w:ascii="Calibri" w:eastAsia="Calibri" w:hAnsi="Calibri" w:cs="Times New Roman"/>
        </w:rPr>
        <w:tab/>
        <w:t>.107</w:t>
      </w:r>
      <w:r w:rsidRPr="00022F29">
        <w:rPr>
          <w:rFonts w:ascii="Calibri" w:eastAsia="Calibri" w:hAnsi="Calibri" w:cs="Times New Roman"/>
        </w:rPr>
        <w:tab/>
        <w:t>-.705</w:t>
      </w:r>
      <w:r w:rsidRPr="00022F29">
        <w:rPr>
          <w:rFonts w:ascii="Calibri" w:eastAsia="Calibri" w:hAnsi="Calibri" w:cs="Times New Roman"/>
        </w:rPr>
        <w:tab/>
        <w:t>.481</w:t>
      </w:r>
      <w:r w:rsidRPr="00022F29">
        <w:rPr>
          <w:rFonts w:ascii="Calibri" w:eastAsia="Calibri" w:hAnsi="Calibri" w:cs="Times New Roman"/>
        </w:rPr>
        <w:tab/>
        <w:t>-.284</w:t>
      </w:r>
      <w:r w:rsidRPr="00022F29">
        <w:rPr>
          <w:rFonts w:ascii="Calibri" w:eastAsia="Calibri" w:hAnsi="Calibri" w:cs="Times New Roman"/>
        </w:rPr>
        <w:tab/>
        <w:t>.134</w:t>
      </w:r>
    </w:p>
    <w:p w14:paraId="68AD0CD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AgeBinary*RevoveryD</w:t>
      </w:r>
      <w:r w:rsidRPr="00022F29">
        <w:rPr>
          <w:rFonts w:ascii="Calibri" w:eastAsia="Calibri" w:hAnsi="Calibri" w:cs="Times New Roman"/>
        </w:rPr>
        <w:tab/>
        <w:t>1</w:t>
      </w:r>
      <w:r w:rsidRPr="00022F29">
        <w:rPr>
          <w:rFonts w:ascii="Calibri" w:eastAsia="Calibri" w:hAnsi="Calibri" w:cs="Times New Roman"/>
        </w:rPr>
        <w:tab/>
        <w:t>-.021</w:t>
      </w:r>
      <w:r w:rsidRPr="00022F29">
        <w:rPr>
          <w:rFonts w:ascii="Calibri" w:eastAsia="Calibri" w:hAnsi="Calibri" w:cs="Times New Roman"/>
        </w:rPr>
        <w:tab/>
        <w:t>.067</w:t>
      </w:r>
      <w:r w:rsidRPr="00022F29">
        <w:rPr>
          <w:rFonts w:ascii="Calibri" w:eastAsia="Calibri" w:hAnsi="Calibri" w:cs="Times New Roman"/>
        </w:rPr>
        <w:tab/>
        <w:t>-.311</w:t>
      </w:r>
      <w:r w:rsidRPr="00022F29">
        <w:rPr>
          <w:rFonts w:ascii="Calibri" w:eastAsia="Calibri" w:hAnsi="Calibri" w:cs="Times New Roman"/>
        </w:rPr>
        <w:tab/>
        <w:t>.756</w:t>
      </w:r>
      <w:r w:rsidRPr="00022F29">
        <w:rPr>
          <w:rFonts w:ascii="Calibri" w:eastAsia="Calibri" w:hAnsi="Calibri" w:cs="Times New Roman"/>
        </w:rPr>
        <w:tab/>
        <w:t>-.151</w:t>
      </w:r>
      <w:r w:rsidRPr="00022F29">
        <w:rPr>
          <w:rFonts w:ascii="Calibri" w:eastAsia="Calibri" w:hAnsi="Calibri" w:cs="Times New Roman"/>
        </w:rPr>
        <w:tab/>
        <w:t>.110</w:t>
      </w:r>
    </w:p>
    <w:p w14:paraId="51D3686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A*RecoveryA</w:t>
      </w:r>
      <w:r w:rsidRPr="00022F29">
        <w:rPr>
          <w:rFonts w:ascii="Calibri" w:eastAsia="Calibri" w:hAnsi="Calibri" w:cs="Times New Roman"/>
        </w:rPr>
        <w:tab/>
        <w:t>1</w:t>
      </w:r>
      <w:r w:rsidRPr="00022F29">
        <w:rPr>
          <w:rFonts w:ascii="Calibri" w:eastAsia="Calibri" w:hAnsi="Calibri" w:cs="Times New Roman"/>
        </w:rPr>
        <w:tab/>
        <w:t>-.060</w:t>
      </w:r>
      <w:r w:rsidRPr="00022F29">
        <w:rPr>
          <w:rFonts w:ascii="Calibri" w:eastAsia="Calibri" w:hAnsi="Calibri" w:cs="Times New Roman"/>
        </w:rPr>
        <w:tab/>
        <w:t>.067</w:t>
      </w:r>
      <w:r w:rsidRPr="00022F29">
        <w:rPr>
          <w:rFonts w:ascii="Calibri" w:eastAsia="Calibri" w:hAnsi="Calibri" w:cs="Times New Roman"/>
        </w:rPr>
        <w:tab/>
        <w:t>-.899</w:t>
      </w:r>
      <w:r w:rsidRPr="00022F29">
        <w:rPr>
          <w:rFonts w:ascii="Calibri" w:eastAsia="Calibri" w:hAnsi="Calibri" w:cs="Times New Roman"/>
        </w:rPr>
        <w:tab/>
        <w:t>.368</w:t>
      </w:r>
      <w:r w:rsidRPr="00022F29">
        <w:rPr>
          <w:rFonts w:ascii="Calibri" w:eastAsia="Calibri" w:hAnsi="Calibri" w:cs="Times New Roman"/>
        </w:rPr>
        <w:tab/>
        <w:t>-.191</w:t>
      </w:r>
      <w:r w:rsidRPr="00022F29">
        <w:rPr>
          <w:rFonts w:ascii="Calibri" w:eastAsia="Calibri" w:hAnsi="Calibri" w:cs="Times New Roman"/>
        </w:rPr>
        <w:tab/>
        <w:t>.071</w:t>
      </w:r>
    </w:p>
    <w:p w14:paraId="365A1E4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FQuartile*RecoveryA</w:t>
      </w:r>
      <w:r w:rsidRPr="00022F29">
        <w:rPr>
          <w:rFonts w:ascii="Calibri" w:eastAsia="Calibri" w:hAnsi="Calibri" w:cs="Times New Roman"/>
        </w:rPr>
        <w:tab/>
        <w:t>1</w:t>
      </w:r>
      <w:r w:rsidRPr="00022F29">
        <w:rPr>
          <w:rFonts w:ascii="Calibri" w:eastAsia="Calibri" w:hAnsi="Calibri" w:cs="Times New Roman"/>
        </w:rPr>
        <w:tab/>
        <w:t>-.004</w:t>
      </w:r>
      <w:r w:rsidRPr="00022F29">
        <w:rPr>
          <w:rFonts w:ascii="Calibri" w:eastAsia="Calibri" w:hAnsi="Calibri" w:cs="Times New Roman"/>
        </w:rPr>
        <w:tab/>
        <w:t>.132</w:t>
      </w:r>
      <w:r w:rsidRPr="00022F29">
        <w:rPr>
          <w:rFonts w:ascii="Calibri" w:eastAsia="Calibri" w:hAnsi="Calibri" w:cs="Times New Roman"/>
        </w:rPr>
        <w:tab/>
        <w:t>-.033</w:t>
      </w:r>
      <w:r w:rsidRPr="00022F29">
        <w:rPr>
          <w:rFonts w:ascii="Calibri" w:eastAsia="Calibri" w:hAnsi="Calibri" w:cs="Times New Roman"/>
        </w:rPr>
        <w:tab/>
        <w:t>.973</w:t>
      </w:r>
      <w:r w:rsidRPr="00022F29">
        <w:rPr>
          <w:rFonts w:ascii="Calibri" w:eastAsia="Calibri" w:hAnsi="Calibri" w:cs="Times New Roman"/>
        </w:rPr>
        <w:tab/>
        <w:t>-.263</w:t>
      </w:r>
      <w:r w:rsidRPr="00022F29">
        <w:rPr>
          <w:rFonts w:ascii="Calibri" w:eastAsia="Calibri" w:hAnsi="Calibri" w:cs="Times New Roman"/>
        </w:rPr>
        <w:tab/>
        <w:t>.255</w:t>
      </w:r>
    </w:p>
    <w:p w14:paraId="3A47525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-.029</w:t>
      </w:r>
      <w:r w:rsidRPr="00022F29">
        <w:rPr>
          <w:rFonts w:ascii="Calibri" w:eastAsia="Calibri" w:hAnsi="Calibri" w:cs="Times New Roman"/>
        </w:rPr>
        <w:tab/>
        <w:t>.111</w:t>
      </w:r>
      <w:r w:rsidRPr="00022F29">
        <w:rPr>
          <w:rFonts w:ascii="Calibri" w:eastAsia="Calibri" w:hAnsi="Calibri" w:cs="Times New Roman"/>
        </w:rPr>
        <w:tab/>
        <w:t>-.262</w:t>
      </w:r>
      <w:r w:rsidRPr="00022F29">
        <w:rPr>
          <w:rFonts w:ascii="Calibri" w:eastAsia="Calibri" w:hAnsi="Calibri" w:cs="Times New Roman"/>
        </w:rPr>
        <w:tab/>
        <w:t>.793</w:t>
      </w:r>
      <w:r w:rsidRPr="00022F29">
        <w:rPr>
          <w:rFonts w:ascii="Calibri" w:eastAsia="Calibri" w:hAnsi="Calibri" w:cs="Times New Roman"/>
        </w:rPr>
        <w:tab/>
        <w:t>-.247</w:t>
      </w:r>
      <w:r w:rsidRPr="00022F29">
        <w:rPr>
          <w:rFonts w:ascii="Calibri" w:eastAsia="Calibri" w:hAnsi="Calibri" w:cs="Times New Roman"/>
        </w:rPr>
        <w:tab/>
        <w:t>.189</w:t>
      </w:r>
    </w:p>
    <w:p w14:paraId="5D2FC72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-.088</w:t>
      </w:r>
      <w:r w:rsidRPr="00022F29">
        <w:rPr>
          <w:rFonts w:ascii="Calibri" w:eastAsia="Calibri" w:hAnsi="Calibri" w:cs="Times New Roman"/>
        </w:rPr>
        <w:tab/>
        <w:t>.107</w:t>
      </w:r>
      <w:r w:rsidRPr="00022F29">
        <w:rPr>
          <w:rFonts w:ascii="Calibri" w:eastAsia="Calibri" w:hAnsi="Calibri" w:cs="Times New Roman"/>
        </w:rPr>
        <w:tab/>
        <w:t>-.827</w:t>
      </w:r>
      <w:r w:rsidRPr="00022F29">
        <w:rPr>
          <w:rFonts w:ascii="Calibri" w:eastAsia="Calibri" w:hAnsi="Calibri" w:cs="Times New Roman"/>
        </w:rPr>
        <w:tab/>
        <w:t>.408</w:t>
      </w:r>
      <w:r w:rsidRPr="00022F29">
        <w:rPr>
          <w:rFonts w:ascii="Calibri" w:eastAsia="Calibri" w:hAnsi="Calibri" w:cs="Times New Roman"/>
        </w:rPr>
        <w:tab/>
        <w:t>-.297</w:t>
      </w:r>
      <w:r w:rsidRPr="00022F29">
        <w:rPr>
          <w:rFonts w:ascii="Calibri" w:eastAsia="Calibri" w:hAnsi="Calibri" w:cs="Times New Roman"/>
        </w:rPr>
        <w:tab/>
        <w:t>.121</w:t>
      </w:r>
    </w:p>
    <w:p w14:paraId="0CF8D9D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AgeBinary*RecoveryA</w:t>
      </w:r>
      <w:r w:rsidRPr="00022F29">
        <w:rPr>
          <w:rFonts w:ascii="Calibri" w:eastAsia="Calibri" w:hAnsi="Calibri" w:cs="Times New Roman"/>
        </w:rPr>
        <w:tab/>
        <w:t>1</w:t>
      </w:r>
      <w:r w:rsidRPr="00022F29">
        <w:rPr>
          <w:rFonts w:ascii="Calibri" w:eastAsia="Calibri" w:hAnsi="Calibri" w:cs="Times New Roman"/>
        </w:rPr>
        <w:tab/>
        <w:t>.052</w:t>
      </w:r>
      <w:r w:rsidRPr="00022F29">
        <w:rPr>
          <w:rFonts w:ascii="Calibri" w:eastAsia="Calibri" w:hAnsi="Calibri" w:cs="Times New Roman"/>
        </w:rPr>
        <w:tab/>
        <w:t>.067</w:t>
      </w:r>
      <w:r w:rsidRPr="00022F29">
        <w:rPr>
          <w:rFonts w:ascii="Calibri" w:eastAsia="Calibri" w:hAnsi="Calibri" w:cs="Times New Roman"/>
        </w:rPr>
        <w:tab/>
        <w:t>.777</w:t>
      </w:r>
      <w:r w:rsidRPr="00022F29">
        <w:rPr>
          <w:rFonts w:ascii="Calibri" w:eastAsia="Calibri" w:hAnsi="Calibri" w:cs="Times New Roman"/>
        </w:rPr>
        <w:tab/>
        <w:t>.437</w:t>
      </w:r>
      <w:r w:rsidRPr="00022F29">
        <w:rPr>
          <w:rFonts w:ascii="Calibri" w:eastAsia="Calibri" w:hAnsi="Calibri" w:cs="Times New Roman"/>
        </w:rPr>
        <w:tab/>
        <w:t>-.079</w:t>
      </w:r>
      <w:r w:rsidRPr="00022F29">
        <w:rPr>
          <w:rFonts w:ascii="Calibri" w:eastAsia="Calibri" w:hAnsi="Calibri" w:cs="Times New Roman"/>
        </w:rPr>
        <w:tab/>
        <w:t>.182</w:t>
      </w:r>
    </w:p>
    <w:p w14:paraId="41C92A4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RevoveryD*RecoveryA</w:t>
      </w:r>
      <w:r w:rsidRPr="00022F29">
        <w:rPr>
          <w:rFonts w:ascii="Calibri" w:eastAsia="Calibri" w:hAnsi="Calibri" w:cs="Times New Roman"/>
        </w:rPr>
        <w:tab/>
        <w:t>1</w:t>
      </w:r>
      <w:r w:rsidRPr="00022F29">
        <w:rPr>
          <w:rFonts w:ascii="Calibri" w:eastAsia="Calibri" w:hAnsi="Calibri" w:cs="Times New Roman"/>
        </w:rPr>
        <w:tab/>
        <w:t>.361</w:t>
      </w:r>
      <w:r w:rsidRPr="00022F29">
        <w:rPr>
          <w:rFonts w:ascii="Calibri" w:eastAsia="Calibri" w:hAnsi="Calibri" w:cs="Times New Roman"/>
        </w:rPr>
        <w:tab/>
        <w:t>.067</w:t>
      </w:r>
      <w:r w:rsidRPr="00022F29">
        <w:rPr>
          <w:rFonts w:ascii="Calibri" w:eastAsia="Calibri" w:hAnsi="Calibri" w:cs="Times New Roman"/>
        </w:rPr>
        <w:tab/>
        <w:t>5.423</w:t>
      </w:r>
      <w:r w:rsidRPr="00022F29">
        <w:rPr>
          <w:rFonts w:ascii="Calibri" w:eastAsia="Calibri" w:hAnsi="Calibri" w:cs="Times New Roman"/>
        </w:rPr>
        <w:tab/>
        <w:t>.000</w:t>
      </w:r>
      <w:r w:rsidRPr="00022F29">
        <w:rPr>
          <w:rFonts w:ascii="Calibri" w:eastAsia="Calibri" w:hAnsi="Calibri" w:cs="Times New Roman"/>
        </w:rPr>
        <w:tab/>
        <w:t>.231</w:t>
      </w:r>
      <w:r w:rsidRPr="00022F29">
        <w:rPr>
          <w:rFonts w:ascii="Calibri" w:eastAsia="Calibri" w:hAnsi="Calibri" w:cs="Times New Roman"/>
        </w:rPr>
        <w:tab/>
        <w:t>.492</w:t>
      </w:r>
    </w:p>
    <w:p w14:paraId="5D67A93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A*GenderX</w:t>
      </w:r>
      <w:r w:rsidRPr="00022F29">
        <w:rPr>
          <w:rFonts w:ascii="Calibri" w:eastAsia="Calibri" w:hAnsi="Calibri" w:cs="Times New Roman"/>
        </w:rPr>
        <w:tab/>
        <w:t>1</w:t>
      </w:r>
      <w:r w:rsidRPr="00022F29">
        <w:rPr>
          <w:rFonts w:ascii="Calibri" w:eastAsia="Calibri" w:hAnsi="Calibri" w:cs="Times New Roman"/>
        </w:rPr>
        <w:tab/>
        <w:t>-.089</w:t>
      </w:r>
      <w:r w:rsidRPr="00022F29">
        <w:rPr>
          <w:rFonts w:ascii="Calibri" w:eastAsia="Calibri" w:hAnsi="Calibri" w:cs="Times New Roman"/>
        </w:rPr>
        <w:tab/>
        <w:t>.067</w:t>
      </w:r>
      <w:r w:rsidRPr="00022F29">
        <w:rPr>
          <w:rFonts w:ascii="Calibri" w:eastAsia="Calibri" w:hAnsi="Calibri" w:cs="Times New Roman"/>
        </w:rPr>
        <w:tab/>
        <w:t>-1.342</w:t>
      </w:r>
      <w:r w:rsidRPr="00022F29">
        <w:rPr>
          <w:rFonts w:ascii="Calibri" w:eastAsia="Calibri" w:hAnsi="Calibri" w:cs="Times New Roman"/>
        </w:rPr>
        <w:tab/>
        <w:t>.180</w:t>
      </w:r>
      <w:r w:rsidRPr="00022F29">
        <w:rPr>
          <w:rFonts w:ascii="Calibri" w:eastAsia="Calibri" w:hAnsi="Calibri" w:cs="Times New Roman"/>
        </w:rPr>
        <w:tab/>
        <w:t>-.220</w:t>
      </w:r>
      <w:r w:rsidRPr="00022F29">
        <w:rPr>
          <w:rFonts w:ascii="Calibri" w:eastAsia="Calibri" w:hAnsi="Calibri" w:cs="Times New Roman"/>
        </w:rPr>
        <w:tab/>
        <w:t>.041</w:t>
      </w:r>
    </w:p>
    <w:p w14:paraId="6CD4023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FQuartile*GenderX</w:t>
      </w:r>
      <w:r w:rsidRPr="00022F29">
        <w:rPr>
          <w:rFonts w:ascii="Calibri" w:eastAsia="Calibri" w:hAnsi="Calibri" w:cs="Times New Roman"/>
        </w:rPr>
        <w:tab/>
        <w:t>1</w:t>
      </w:r>
      <w:r w:rsidRPr="00022F29">
        <w:rPr>
          <w:rFonts w:ascii="Calibri" w:eastAsia="Calibri" w:hAnsi="Calibri" w:cs="Times New Roman"/>
        </w:rPr>
        <w:tab/>
        <w:t>.213</w:t>
      </w:r>
      <w:r w:rsidRPr="00022F29">
        <w:rPr>
          <w:rFonts w:ascii="Calibri" w:eastAsia="Calibri" w:hAnsi="Calibri" w:cs="Times New Roman"/>
        </w:rPr>
        <w:tab/>
        <w:t>.132</w:t>
      </w:r>
      <w:r w:rsidRPr="00022F29">
        <w:rPr>
          <w:rFonts w:ascii="Calibri" w:eastAsia="Calibri" w:hAnsi="Calibri" w:cs="Times New Roman"/>
        </w:rPr>
        <w:tab/>
        <w:t>1.615</w:t>
      </w:r>
      <w:r w:rsidRPr="00022F29">
        <w:rPr>
          <w:rFonts w:ascii="Calibri" w:eastAsia="Calibri" w:hAnsi="Calibri" w:cs="Times New Roman"/>
        </w:rPr>
        <w:tab/>
        <w:t>.106</w:t>
      </w:r>
      <w:r w:rsidRPr="00022F29">
        <w:rPr>
          <w:rFonts w:ascii="Calibri" w:eastAsia="Calibri" w:hAnsi="Calibri" w:cs="Times New Roman"/>
        </w:rPr>
        <w:tab/>
        <w:t>-.046</w:t>
      </w:r>
      <w:r w:rsidRPr="00022F29">
        <w:rPr>
          <w:rFonts w:ascii="Calibri" w:eastAsia="Calibri" w:hAnsi="Calibri" w:cs="Times New Roman"/>
        </w:rPr>
        <w:tab/>
        <w:t>.472</w:t>
      </w:r>
    </w:p>
    <w:p w14:paraId="1C64EFC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-.094</w:t>
      </w:r>
      <w:r w:rsidRPr="00022F29">
        <w:rPr>
          <w:rFonts w:ascii="Calibri" w:eastAsia="Calibri" w:hAnsi="Calibri" w:cs="Times New Roman"/>
        </w:rPr>
        <w:tab/>
        <w:t>.111</w:t>
      </w:r>
      <w:r w:rsidRPr="00022F29">
        <w:rPr>
          <w:rFonts w:ascii="Calibri" w:eastAsia="Calibri" w:hAnsi="Calibri" w:cs="Times New Roman"/>
        </w:rPr>
        <w:tab/>
        <w:t>-.846</w:t>
      </w:r>
      <w:r w:rsidRPr="00022F29">
        <w:rPr>
          <w:rFonts w:ascii="Calibri" w:eastAsia="Calibri" w:hAnsi="Calibri" w:cs="Times New Roman"/>
        </w:rPr>
        <w:tab/>
        <w:t>.398</w:t>
      </w:r>
      <w:r w:rsidRPr="00022F29">
        <w:rPr>
          <w:rFonts w:ascii="Calibri" w:eastAsia="Calibri" w:hAnsi="Calibri" w:cs="Times New Roman"/>
        </w:rPr>
        <w:tab/>
        <w:t>-.312</w:t>
      </w:r>
      <w:r w:rsidRPr="00022F29">
        <w:rPr>
          <w:rFonts w:ascii="Calibri" w:eastAsia="Calibri" w:hAnsi="Calibri" w:cs="Times New Roman"/>
        </w:rPr>
        <w:tab/>
        <w:t>.124</w:t>
      </w:r>
    </w:p>
    <w:p w14:paraId="674EDD4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.043</w:t>
      </w:r>
      <w:r w:rsidRPr="00022F29">
        <w:rPr>
          <w:rFonts w:ascii="Calibri" w:eastAsia="Calibri" w:hAnsi="Calibri" w:cs="Times New Roman"/>
        </w:rPr>
        <w:tab/>
        <w:t>.107</w:t>
      </w:r>
      <w:r w:rsidRPr="00022F29">
        <w:rPr>
          <w:rFonts w:ascii="Calibri" w:eastAsia="Calibri" w:hAnsi="Calibri" w:cs="Times New Roman"/>
        </w:rPr>
        <w:tab/>
        <w:t>.405</w:t>
      </w:r>
      <w:r w:rsidRPr="00022F29">
        <w:rPr>
          <w:rFonts w:ascii="Calibri" w:eastAsia="Calibri" w:hAnsi="Calibri" w:cs="Times New Roman"/>
        </w:rPr>
        <w:tab/>
        <w:t>.686</w:t>
      </w:r>
      <w:r w:rsidRPr="00022F29">
        <w:rPr>
          <w:rFonts w:ascii="Calibri" w:eastAsia="Calibri" w:hAnsi="Calibri" w:cs="Times New Roman"/>
        </w:rPr>
        <w:tab/>
        <w:t>-.166</w:t>
      </w:r>
      <w:r w:rsidRPr="00022F29">
        <w:rPr>
          <w:rFonts w:ascii="Calibri" w:eastAsia="Calibri" w:hAnsi="Calibri" w:cs="Times New Roman"/>
        </w:rPr>
        <w:tab/>
        <w:t>.252</w:t>
      </w:r>
    </w:p>
    <w:p w14:paraId="578C245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AgeBinary*GenderX</w:t>
      </w:r>
      <w:r w:rsidRPr="00022F29">
        <w:rPr>
          <w:rFonts w:ascii="Calibri" w:eastAsia="Calibri" w:hAnsi="Calibri" w:cs="Times New Roman"/>
        </w:rPr>
        <w:tab/>
        <w:t>1</w:t>
      </w:r>
      <w:r w:rsidRPr="00022F29">
        <w:rPr>
          <w:rFonts w:ascii="Calibri" w:eastAsia="Calibri" w:hAnsi="Calibri" w:cs="Times New Roman"/>
        </w:rPr>
        <w:tab/>
        <w:t>-.013</w:t>
      </w:r>
      <w:r w:rsidRPr="00022F29">
        <w:rPr>
          <w:rFonts w:ascii="Calibri" w:eastAsia="Calibri" w:hAnsi="Calibri" w:cs="Times New Roman"/>
        </w:rPr>
        <w:tab/>
        <w:t>.067</w:t>
      </w:r>
      <w:r w:rsidRPr="00022F29">
        <w:rPr>
          <w:rFonts w:ascii="Calibri" w:eastAsia="Calibri" w:hAnsi="Calibri" w:cs="Times New Roman"/>
        </w:rPr>
        <w:tab/>
        <w:t>-.198</w:t>
      </w:r>
      <w:r w:rsidRPr="00022F29">
        <w:rPr>
          <w:rFonts w:ascii="Calibri" w:eastAsia="Calibri" w:hAnsi="Calibri" w:cs="Times New Roman"/>
        </w:rPr>
        <w:tab/>
        <w:t>.843</w:t>
      </w:r>
      <w:r w:rsidRPr="00022F29">
        <w:rPr>
          <w:rFonts w:ascii="Calibri" w:eastAsia="Calibri" w:hAnsi="Calibri" w:cs="Times New Roman"/>
        </w:rPr>
        <w:tab/>
        <w:t>-.144</w:t>
      </w:r>
      <w:r w:rsidRPr="00022F29">
        <w:rPr>
          <w:rFonts w:ascii="Calibri" w:eastAsia="Calibri" w:hAnsi="Calibri" w:cs="Times New Roman"/>
        </w:rPr>
        <w:tab/>
        <w:t>.117</w:t>
      </w:r>
    </w:p>
    <w:p w14:paraId="365C04B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RevoveryD*GenderX</w:t>
      </w:r>
      <w:r w:rsidRPr="00022F29">
        <w:rPr>
          <w:rFonts w:ascii="Calibri" w:eastAsia="Calibri" w:hAnsi="Calibri" w:cs="Times New Roman"/>
        </w:rPr>
        <w:tab/>
        <w:t>1</w:t>
      </w:r>
      <w:r w:rsidRPr="00022F29">
        <w:rPr>
          <w:rFonts w:ascii="Calibri" w:eastAsia="Calibri" w:hAnsi="Calibri" w:cs="Times New Roman"/>
        </w:rPr>
        <w:tab/>
        <w:t>-.055</w:t>
      </w:r>
      <w:r w:rsidRPr="00022F29">
        <w:rPr>
          <w:rFonts w:ascii="Calibri" w:eastAsia="Calibri" w:hAnsi="Calibri" w:cs="Times New Roman"/>
        </w:rPr>
        <w:tab/>
        <w:t>.067</w:t>
      </w:r>
      <w:r w:rsidRPr="00022F29">
        <w:rPr>
          <w:rFonts w:ascii="Calibri" w:eastAsia="Calibri" w:hAnsi="Calibri" w:cs="Times New Roman"/>
        </w:rPr>
        <w:tab/>
        <w:t>-.828</w:t>
      </w:r>
      <w:r w:rsidRPr="00022F29">
        <w:rPr>
          <w:rFonts w:ascii="Calibri" w:eastAsia="Calibri" w:hAnsi="Calibri" w:cs="Times New Roman"/>
        </w:rPr>
        <w:tab/>
        <w:t>.408</w:t>
      </w:r>
      <w:r w:rsidRPr="00022F29">
        <w:rPr>
          <w:rFonts w:ascii="Calibri" w:eastAsia="Calibri" w:hAnsi="Calibri" w:cs="Times New Roman"/>
        </w:rPr>
        <w:tab/>
        <w:t>-.186</w:t>
      </w:r>
      <w:r w:rsidRPr="00022F29">
        <w:rPr>
          <w:rFonts w:ascii="Calibri" w:eastAsia="Calibri" w:hAnsi="Calibri" w:cs="Times New Roman"/>
        </w:rPr>
        <w:tab/>
        <w:t>.075</w:t>
      </w:r>
    </w:p>
    <w:p w14:paraId="032E914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RecoveryA*GenderX</w:t>
      </w:r>
      <w:r w:rsidRPr="00022F29">
        <w:rPr>
          <w:rFonts w:ascii="Calibri" w:eastAsia="Calibri" w:hAnsi="Calibri" w:cs="Times New Roman"/>
        </w:rPr>
        <w:tab/>
        <w:t>1</w:t>
      </w:r>
      <w:r w:rsidRPr="00022F29">
        <w:rPr>
          <w:rFonts w:ascii="Calibri" w:eastAsia="Calibri" w:hAnsi="Calibri" w:cs="Times New Roman"/>
        </w:rPr>
        <w:tab/>
        <w:t>.065</w:t>
      </w:r>
      <w:r w:rsidRPr="00022F29">
        <w:rPr>
          <w:rFonts w:ascii="Calibri" w:eastAsia="Calibri" w:hAnsi="Calibri" w:cs="Times New Roman"/>
        </w:rPr>
        <w:tab/>
        <w:t>.067</w:t>
      </w:r>
      <w:r w:rsidRPr="00022F29">
        <w:rPr>
          <w:rFonts w:ascii="Calibri" w:eastAsia="Calibri" w:hAnsi="Calibri" w:cs="Times New Roman"/>
        </w:rPr>
        <w:tab/>
        <w:t>.972</w:t>
      </w:r>
      <w:r w:rsidRPr="00022F29">
        <w:rPr>
          <w:rFonts w:ascii="Calibri" w:eastAsia="Calibri" w:hAnsi="Calibri" w:cs="Times New Roman"/>
        </w:rPr>
        <w:tab/>
        <w:t>.331</w:t>
      </w:r>
      <w:r w:rsidRPr="00022F29">
        <w:rPr>
          <w:rFonts w:ascii="Calibri" w:eastAsia="Calibri" w:hAnsi="Calibri" w:cs="Times New Roman"/>
        </w:rPr>
        <w:tab/>
        <w:t>-.066</w:t>
      </w:r>
      <w:r w:rsidRPr="00022F29">
        <w:rPr>
          <w:rFonts w:ascii="Calibri" w:eastAsia="Calibri" w:hAnsi="Calibri" w:cs="Times New Roman"/>
        </w:rPr>
        <w:tab/>
        <w:t>.195</w:t>
      </w:r>
    </w:p>
    <w:p w14:paraId="2C889A6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w:t>
      </w:r>
      <w:r w:rsidRPr="00022F29">
        <w:rPr>
          <w:rFonts w:ascii="Calibri" w:eastAsia="Calibri" w:hAnsi="Calibri" w:cs="Times New Roman"/>
        </w:rPr>
        <w:tab/>
        <w:t>1</w:t>
      </w:r>
      <w:r w:rsidRPr="00022F29">
        <w:rPr>
          <w:rFonts w:ascii="Calibri" w:eastAsia="Calibri" w:hAnsi="Calibri" w:cs="Times New Roman"/>
        </w:rPr>
        <w:tab/>
        <w:t>-.007</w:t>
      </w:r>
      <w:r w:rsidRPr="00022F29">
        <w:rPr>
          <w:rFonts w:ascii="Calibri" w:eastAsia="Calibri" w:hAnsi="Calibri" w:cs="Times New Roman"/>
        </w:rPr>
        <w:tab/>
        <w:t>.067</w:t>
      </w:r>
      <w:r w:rsidRPr="00022F29">
        <w:rPr>
          <w:rFonts w:ascii="Calibri" w:eastAsia="Calibri" w:hAnsi="Calibri" w:cs="Times New Roman"/>
        </w:rPr>
        <w:tab/>
        <w:t>-.099</w:t>
      </w:r>
      <w:r w:rsidRPr="00022F29">
        <w:rPr>
          <w:rFonts w:ascii="Calibri" w:eastAsia="Calibri" w:hAnsi="Calibri" w:cs="Times New Roman"/>
        </w:rPr>
        <w:tab/>
        <w:t>.921</w:t>
      </w:r>
      <w:r w:rsidRPr="00022F29">
        <w:rPr>
          <w:rFonts w:ascii="Calibri" w:eastAsia="Calibri" w:hAnsi="Calibri" w:cs="Times New Roman"/>
        </w:rPr>
        <w:tab/>
        <w:t>-.137</w:t>
      </w:r>
      <w:r w:rsidRPr="00022F29">
        <w:rPr>
          <w:rFonts w:ascii="Calibri" w:eastAsia="Calibri" w:hAnsi="Calibri" w:cs="Times New Roman"/>
        </w:rPr>
        <w:tab/>
        <w:t>.124</w:t>
      </w:r>
    </w:p>
    <w:p w14:paraId="0F99199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w:t>
      </w:r>
      <w:r w:rsidRPr="00022F29">
        <w:rPr>
          <w:rFonts w:ascii="Calibri" w:eastAsia="Calibri" w:hAnsi="Calibri" w:cs="Times New Roman"/>
        </w:rPr>
        <w:tab/>
        <w:t>1</w:t>
      </w:r>
      <w:r w:rsidRPr="00022F29">
        <w:rPr>
          <w:rFonts w:ascii="Calibri" w:eastAsia="Calibri" w:hAnsi="Calibri" w:cs="Times New Roman"/>
        </w:rPr>
        <w:tab/>
        <w:t>-.287</w:t>
      </w:r>
      <w:r w:rsidRPr="00022F29">
        <w:rPr>
          <w:rFonts w:ascii="Calibri" w:eastAsia="Calibri" w:hAnsi="Calibri" w:cs="Times New Roman"/>
        </w:rPr>
        <w:tab/>
        <w:t>.132</w:t>
      </w:r>
      <w:r w:rsidRPr="00022F29">
        <w:rPr>
          <w:rFonts w:ascii="Calibri" w:eastAsia="Calibri" w:hAnsi="Calibri" w:cs="Times New Roman"/>
        </w:rPr>
        <w:tab/>
        <w:t>-2.169</w:t>
      </w:r>
      <w:r w:rsidRPr="00022F29">
        <w:rPr>
          <w:rFonts w:ascii="Calibri" w:eastAsia="Calibri" w:hAnsi="Calibri" w:cs="Times New Roman"/>
        </w:rPr>
        <w:tab/>
        <w:t>.030</w:t>
      </w:r>
      <w:r w:rsidRPr="00022F29">
        <w:rPr>
          <w:rFonts w:ascii="Calibri" w:eastAsia="Calibri" w:hAnsi="Calibri" w:cs="Times New Roman"/>
        </w:rPr>
        <w:tab/>
        <w:t>-.546</w:t>
      </w:r>
      <w:r w:rsidRPr="00022F29">
        <w:rPr>
          <w:rFonts w:ascii="Calibri" w:eastAsia="Calibri" w:hAnsi="Calibri" w:cs="Times New Roman"/>
        </w:rPr>
        <w:tab/>
        <w:t>-.028</w:t>
      </w:r>
    </w:p>
    <w:p w14:paraId="7F76DBF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b/>
        <w:t>2</w:t>
      </w:r>
      <w:r w:rsidRPr="00022F29">
        <w:rPr>
          <w:rFonts w:ascii="Calibri" w:eastAsia="Calibri" w:hAnsi="Calibri" w:cs="Times New Roman"/>
        </w:rPr>
        <w:tab/>
        <w:t>.065</w:t>
      </w:r>
      <w:r w:rsidRPr="00022F29">
        <w:rPr>
          <w:rFonts w:ascii="Calibri" w:eastAsia="Calibri" w:hAnsi="Calibri" w:cs="Times New Roman"/>
        </w:rPr>
        <w:tab/>
        <w:t>.111</w:t>
      </w:r>
      <w:r w:rsidRPr="00022F29">
        <w:rPr>
          <w:rFonts w:ascii="Calibri" w:eastAsia="Calibri" w:hAnsi="Calibri" w:cs="Times New Roman"/>
        </w:rPr>
        <w:tab/>
        <w:t>.583</w:t>
      </w:r>
      <w:r w:rsidRPr="00022F29">
        <w:rPr>
          <w:rFonts w:ascii="Calibri" w:eastAsia="Calibri" w:hAnsi="Calibri" w:cs="Times New Roman"/>
        </w:rPr>
        <w:tab/>
        <w:t>.560</w:t>
      </w:r>
      <w:r w:rsidRPr="00022F29">
        <w:rPr>
          <w:rFonts w:ascii="Calibri" w:eastAsia="Calibri" w:hAnsi="Calibri" w:cs="Times New Roman"/>
        </w:rPr>
        <w:tab/>
        <w:t>-.153</w:t>
      </w:r>
      <w:r w:rsidRPr="00022F29">
        <w:rPr>
          <w:rFonts w:ascii="Calibri" w:eastAsia="Calibri" w:hAnsi="Calibri" w:cs="Times New Roman"/>
        </w:rPr>
        <w:tab/>
        <w:t>.283</w:t>
      </w:r>
    </w:p>
    <w:p w14:paraId="0DE0879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.076</w:t>
      </w:r>
      <w:r w:rsidRPr="00022F29">
        <w:rPr>
          <w:rFonts w:ascii="Calibri" w:eastAsia="Calibri" w:hAnsi="Calibri" w:cs="Times New Roman"/>
        </w:rPr>
        <w:tab/>
        <w:t>.107</w:t>
      </w:r>
      <w:r w:rsidRPr="00022F29">
        <w:rPr>
          <w:rFonts w:ascii="Calibri" w:eastAsia="Calibri" w:hAnsi="Calibri" w:cs="Times New Roman"/>
        </w:rPr>
        <w:tab/>
        <w:t>.710</w:t>
      </w:r>
      <w:r w:rsidRPr="00022F29">
        <w:rPr>
          <w:rFonts w:ascii="Calibri" w:eastAsia="Calibri" w:hAnsi="Calibri" w:cs="Times New Roman"/>
        </w:rPr>
        <w:tab/>
        <w:t>.478</w:t>
      </w:r>
      <w:r w:rsidRPr="00022F29">
        <w:rPr>
          <w:rFonts w:ascii="Calibri" w:eastAsia="Calibri" w:hAnsi="Calibri" w:cs="Times New Roman"/>
        </w:rPr>
        <w:tab/>
        <w:t>-.133</w:t>
      </w:r>
      <w:r w:rsidRPr="00022F29">
        <w:rPr>
          <w:rFonts w:ascii="Calibri" w:eastAsia="Calibri" w:hAnsi="Calibri" w:cs="Times New Roman"/>
        </w:rPr>
        <w:tab/>
        <w:t>.284</w:t>
      </w:r>
    </w:p>
    <w:p w14:paraId="79BE7A0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AgeBinary</w:t>
      </w:r>
      <w:r w:rsidRPr="00022F29">
        <w:rPr>
          <w:rFonts w:ascii="Calibri" w:eastAsia="Calibri" w:hAnsi="Calibri" w:cs="Times New Roman"/>
        </w:rPr>
        <w:tab/>
        <w:t>1</w:t>
      </w:r>
      <w:r w:rsidRPr="00022F29">
        <w:rPr>
          <w:rFonts w:ascii="Calibri" w:eastAsia="Calibri" w:hAnsi="Calibri" w:cs="Times New Roman"/>
        </w:rPr>
        <w:tab/>
        <w:t>.086</w:t>
      </w:r>
      <w:r w:rsidRPr="00022F29">
        <w:rPr>
          <w:rFonts w:ascii="Calibri" w:eastAsia="Calibri" w:hAnsi="Calibri" w:cs="Times New Roman"/>
        </w:rPr>
        <w:tab/>
        <w:t>.067</w:t>
      </w:r>
      <w:r w:rsidRPr="00022F29">
        <w:rPr>
          <w:rFonts w:ascii="Calibri" w:eastAsia="Calibri" w:hAnsi="Calibri" w:cs="Times New Roman"/>
        </w:rPr>
        <w:tab/>
        <w:t>1.285</w:t>
      </w:r>
      <w:r w:rsidRPr="00022F29">
        <w:rPr>
          <w:rFonts w:ascii="Calibri" w:eastAsia="Calibri" w:hAnsi="Calibri" w:cs="Times New Roman"/>
        </w:rPr>
        <w:tab/>
        <w:t>.199</w:t>
      </w:r>
      <w:r w:rsidRPr="00022F29">
        <w:rPr>
          <w:rFonts w:ascii="Calibri" w:eastAsia="Calibri" w:hAnsi="Calibri" w:cs="Times New Roman"/>
        </w:rPr>
        <w:tab/>
        <w:t>-.045</w:t>
      </w:r>
      <w:r w:rsidRPr="00022F29">
        <w:rPr>
          <w:rFonts w:ascii="Calibri" w:eastAsia="Calibri" w:hAnsi="Calibri" w:cs="Times New Roman"/>
        </w:rPr>
        <w:tab/>
        <w:t>.216</w:t>
      </w:r>
    </w:p>
    <w:p w14:paraId="1B5B638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RevoveryD</w:t>
      </w:r>
      <w:r w:rsidRPr="00022F29">
        <w:rPr>
          <w:rFonts w:ascii="Calibri" w:eastAsia="Calibri" w:hAnsi="Calibri" w:cs="Times New Roman"/>
        </w:rPr>
        <w:tab/>
        <w:t>1</w:t>
      </w:r>
      <w:r w:rsidRPr="00022F29">
        <w:rPr>
          <w:rFonts w:ascii="Calibri" w:eastAsia="Calibri" w:hAnsi="Calibri" w:cs="Times New Roman"/>
        </w:rPr>
        <w:tab/>
        <w:t>-.083</w:t>
      </w:r>
      <w:r w:rsidRPr="00022F29">
        <w:rPr>
          <w:rFonts w:ascii="Calibri" w:eastAsia="Calibri" w:hAnsi="Calibri" w:cs="Times New Roman"/>
        </w:rPr>
        <w:tab/>
        <w:t>.067</w:t>
      </w:r>
      <w:r w:rsidRPr="00022F29">
        <w:rPr>
          <w:rFonts w:ascii="Calibri" w:eastAsia="Calibri" w:hAnsi="Calibri" w:cs="Times New Roman"/>
        </w:rPr>
        <w:tab/>
        <w:t>-1.246</w:t>
      </w:r>
      <w:r w:rsidRPr="00022F29">
        <w:rPr>
          <w:rFonts w:ascii="Calibri" w:eastAsia="Calibri" w:hAnsi="Calibri" w:cs="Times New Roman"/>
        </w:rPr>
        <w:tab/>
        <w:t>.213</w:t>
      </w:r>
      <w:r w:rsidRPr="00022F29">
        <w:rPr>
          <w:rFonts w:ascii="Calibri" w:eastAsia="Calibri" w:hAnsi="Calibri" w:cs="Times New Roman"/>
        </w:rPr>
        <w:tab/>
        <w:t>-.214</w:t>
      </w:r>
      <w:r w:rsidRPr="00022F29">
        <w:rPr>
          <w:rFonts w:ascii="Calibri" w:eastAsia="Calibri" w:hAnsi="Calibri" w:cs="Times New Roman"/>
        </w:rPr>
        <w:tab/>
        <w:t>.048</w:t>
      </w:r>
    </w:p>
    <w:p w14:paraId="1C0568D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RecoveryA</w:t>
      </w:r>
      <w:r w:rsidRPr="00022F29">
        <w:rPr>
          <w:rFonts w:ascii="Calibri" w:eastAsia="Calibri" w:hAnsi="Calibri" w:cs="Times New Roman"/>
        </w:rPr>
        <w:tab/>
        <w:t>1</w:t>
      </w:r>
      <w:r w:rsidRPr="00022F29">
        <w:rPr>
          <w:rFonts w:ascii="Calibri" w:eastAsia="Calibri" w:hAnsi="Calibri" w:cs="Times New Roman"/>
        </w:rPr>
        <w:tab/>
        <w:t>-.125</w:t>
      </w:r>
      <w:r w:rsidRPr="00022F29">
        <w:rPr>
          <w:rFonts w:ascii="Calibri" w:eastAsia="Calibri" w:hAnsi="Calibri" w:cs="Times New Roman"/>
        </w:rPr>
        <w:tab/>
        <w:t>.067</w:t>
      </w:r>
      <w:r w:rsidRPr="00022F29">
        <w:rPr>
          <w:rFonts w:ascii="Calibri" w:eastAsia="Calibri" w:hAnsi="Calibri" w:cs="Times New Roman"/>
        </w:rPr>
        <w:tab/>
        <w:t>-1.882</w:t>
      </w:r>
      <w:r w:rsidRPr="00022F29">
        <w:rPr>
          <w:rFonts w:ascii="Calibri" w:eastAsia="Calibri" w:hAnsi="Calibri" w:cs="Times New Roman"/>
        </w:rPr>
        <w:tab/>
        <w:t>.060</w:t>
      </w:r>
      <w:r w:rsidRPr="00022F29">
        <w:rPr>
          <w:rFonts w:ascii="Calibri" w:eastAsia="Calibri" w:hAnsi="Calibri" w:cs="Times New Roman"/>
        </w:rPr>
        <w:tab/>
        <w:t>-.256</w:t>
      </w:r>
      <w:r w:rsidRPr="00022F29">
        <w:rPr>
          <w:rFonts w:ascii="Calibri" w:eastAsia="Calibri" w:hAnsi="Calibri" w:cs="Times New Roman"/>
        </w:rPr>
        <w:tab/>
        <w:t>.005</w:t>
      </w:r>
    </w:p>
    <w:p w14:paraId="1693C83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GenderX</w:t>
      </w:r>
      <w:r w:rsidRPr="00022F29">
        <w:rPr>
          <w:rFonts w:ascii="Calibri" w:eastAsia="Calibri" w:hAnsi="Calibri" w:cs="Times New Roman"/>
        </w:rPr>
        <w:tab/>
        <w:t>1</w:t>
      </w:r>
      <w:r w:rsidRPr="00022F29">
        <w:rPr>
          <w:rFonts w:ascii="Calibri" w:eastAsia="Calibri" w:hAnsi="Calibri" w:cs="Times New Roman"/>
        </w:rPr>
        <w:tab/>
        <w:t>-.456</w:t>
      </w:r>
      <w:r w:rsidRPr="00022F29">
        <w:rPr>
          <w:rFonts w:ascii="Calibri" w:eastAsia="Calibri" w:hAnsi="Calibri" w:cs="Times New Roman"/>
        </w:rPr>
        <w:tab/>
        <w:t>.067</w:t>
      </w:r>
      <w:r w:rsidRPr="00022F29">
        <w:rPr>
          <w:rFonts w:ascii="Calibri" w:eastAsia="Calibri" w:hAnsi="Calibri" w:cs="Times New Roman"/>
        </w:rPr>
        <w:tab/>
        <w:t>-6.835</w:t>
      </w:r>
      <w:r w:rsidRPr="00022F29">
        <w:rPr>
          <w:rFonts w:ascii="Calibri" w:eastAsia="Calibri" w:hAnsi="Calibri" w:cs="Times New Roman"/>
        </w:rPr>
        <w:tab/>
        <w:t>.000</w:t>
      </w:r>
      <w:r w:rsidRPr="00022F29">
        <w:rPr>
          <w:rFonts w:ascii="Calibri" w:eastAsia="Calibri" w:hAnsi="Calibri" w:cs="Times New Roman"/>
        </w:rPr>
        <w:tab/>
        <w:t>-.586</w:t>
      </w:r>
      <w:r w:rsidRPr="00022F29">
        <w:rPr>
          <w:rFonts w:ascii="Calibri" w:eastAsia="Calibri" w:hAnsi="Calibri" w:cs="Times New Roman"/>
        </w:rPr>
        <w:tab/>
        <w:t>-.325</w:t>
      </w:r>
    </w:p>
    <w:p w14:paraId="3E73A93D" w14:textId="77777777" w:rsidR="00022F29" w:rsidRPr="00022F29" w:rsidRDefault="00022F29" w:rsidP="00022F29">
      <w:pPr>
        <w:rPr>
          <w:rFonts w:ascii="Calibri" w:eastAsia="Calibri" w:hAnsi="Calibri" w:cs="Times New Roman"/>
        </w:rPr>
      </w:pPr>
    </w:p>
    <w:p w14:paraId="76304DCB" w14:textId="77777777" w:rsidR="00022F29" w:rsidRPr="00022F29" w:rsidRDefault="00022F29" w:rsidP="00022F29">
      <w:pPr>
        <w:rPr>
          <w:rFonts w:ascii="Calibri" w:eastAsia="Calibri" w:hAnsi="Calibri" w:cs="Times New Roman"/>
        </w:rPr>
      </w:pPr>
    </w:p>
    <w:p w14:paraId="36254D46" w14:textId="77777777" w:rsidR="00022F29" w:rsidRPr="00022F29" w:rsidRDefault="00022F29" w:rsidP="00022F29">
      <w:pPr>
        <w:rPr>
          <w:rFonts w:ascii="Calibri" w:eastAsia="Calibri" w:hAnsi="Calibri" w:cs="Times New Roman"/>
        </w:rPr>
      </w:pPr>
    </w:p>
    <w:p w14:paraId="501238E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Backward Elimination Statistics</w:t>
      </w:r>
    </w:p>
    <w:p w14:paraId="661D611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Step Summary</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1022762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Stepa</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Effects</w:t>
      </w:r>
      <w:r w:rsidRPr="00022F29">
        <w:rPr>
          <w:rFonts w:ascii="Calibri" w:eastAsia="Calibri" w:hAnsi="Calibri" w:cs="Times New Roman"/>
        </w:rPr>
        <w:tab/>
        <w:t>Chi-Squarec</w:t>
      </w:r>
      <w:r w:rsidRPr="00022F29">
        <w:rPr>
          <w:rFonts w:ascii="Calibri" w:eastAsia="Calibri" w:hAnsi="Calibri" w:cs="Times New Roman"/>
        </w:rPr>
        <w:tab/>
        <w:t>df</w:t>
      </w:r>
      <w:r w:rsidRPr="00022F29">
        <w:rPr>
          <w:rFonts w:ascii="Calibri" w:eastAsia="Calibri" w:hAnsi="Calibri" w:cs="Times New Roman"/>
        </w:rPr>
        <w:tab/>
        <w:t>Sig.</w:t>
      </w:r>
      <w:r w:rsidRPr="00022F29">
        <w:rPr>
          <w:rFonts w:ascii="Calibri" w:eastAsia="Calibri" w:hAnsi="Calibri" w:cs="Times New Roman"/>
        </w:rPr>
        <w:tab/>
        <w:t>Number of Iterations</w:t>
      </w:r>
    </w:p>
    <w:p w14:paraId="151BF5B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0</w:t>
      </w:r>
      <w:r w:rsidRPr="00022F29">
        <w:rPr>
          <w:rFonts w:ascii="Calibri" w:eastAsia="Calibri" w:hAnsi="Calibri" w:cs="Times New Roman"/>
        </w:rPr>
        <w:tab/>
        <w:t>Generating Classb</w:t>
      </w:r>
      <w:r w:rsidRPr="00022F29">
        <w:rPr>
          <w:rFonts w:ascii="Calibri" w:eastAsia="Calibri" w:hAnsi="Calibri" w:cs="Times New Roman"/>
        </w:rPr>
        <w:tab/>
      </w:r>
      <w:r w:rsidRPr="00022F29">
        <w:rPr>
          <w:rFonts w:ascii="Calibri" w:eastAsia="Calibri" w:hAnsi="Calibri" w:cs="Times New Roman"/>
        </w:rPr>
        <w:tab/>
        <w:t>A*FQuartile*AgeBinary*RevoveryD*RecoveryA*GenderX</w:t>
      </w:r>
      <w:r w:rsidRPr="00022F29">
        <w:rPr>
          <w:rFonts w:ascii="Calibri" w:eastAsia="Calibri" w:hAnsi="Calibri" w:cs="Times New Roman"/>
        </w:rPr>
        <w:tab/>
        <w:t>.000</w:t>
      </w:r>
      <w:r w:rsidRPr="00022F29">
        <w:rPr>
          <w:rFonts w:ascii="Calibri" w:eastAsia="Calibri" w:hAnsi="Calibri" w:cs="Times New Roman"/>
        </w:rPr>
        <w:tab/>
        <w:t>0</w:t>
      </w:r>
      <w:r w:rsidRPr="00022F29">
        <w:rPr>
          <w:rFonts w:ascii="Calibri" w:eastAsia="Calibri" w:hAnsi="Calibri" w:cs="Times New Roman"/>
        </w:rPr>
        <w:tab/>
        <w:t>.</w:t>
      </w:r>
      <w:r w:rsidRPr="00022F29">
        <w:rPr>
          <w:rFonts w:ascii="Calibri" w:eastAsia="Calibri" w:hAnsi="Calibri" w:cs="Times New Roman"/>
        </w:rPr>
        <w:tab/>
      </w:r>
    </w:p>
    <w:p w14:paraId="6CAD1EE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Deleted Effect</w:t>
      </w:r>
      <w:r w:rsidRPr="00022F29">
        <w:rPr>
          <w:rFonts w:ascii="Calibri" w:eastAsia="Calibri" w:hAnsi="Calibri" w:cs="Times New Roman"/>
        </w:rPr>
        <w:tab/>
        <w:t>1</w:t>
      </w:r>
      <w:r w:rsidRPr="00022F29">
        <w:rPr>
          <w:rFonts w:ascii="Calibri" w:eastAsia="Calibri" w:hAnsi="Calibri" w:cs="Times New Roman"/>
        </w:rPr>
        <w:tab/>
        <w:t>A*FQuartile*AgeBinary*RevoveryD*RecoveryA*GenderX</w:t>
      </w:r>
      <w:r w:rsidRPr="00022F29">
        <w:rPr>
          <w:rFonts w:ascii="Calibri" w:eastAsia="Calibri" w:hAnsi="Calibri" w:cs="Times New Roman"/>
        </w:rPr>
        <w:tab/>
        <w:t>.438</w:t>
      </w:r>
      <w:r w:rsidRPr="00022F29">
        <w:rPr>
          <w:rFonts w:ascii="Calibri" w:eastAsia="Calibri" w:hAnsi="Calibri" w:cs="Times New Roman"/>
        </w:rPr>
        <w:tab/>
        <w:t>3</w:t>
      </w:r>
      <w:r w:rsidRPr="00022F29">
        <w:rPr>
          <w:rFonts w:ascii="Calibri" w:eastAsia="Calibri" w:hAnsi="Calibri" w:cs="Times New Roman"/>
        </w:rPr>
        <w:tab/>
        <w:t>.932</w:t>
      </w:r>
      <w:r w:rsidRPr="00022F29">
        <w:rPr>
          <w:rFonts w:ascii="Calibri" w:eastAsia="Calibri" w:hAnsi="Calibri" w:cs="Times New Roman"/>
        </w:rPr>
        <w:tab/>
        <w:t>4</w:t>
      </w:r>
    </w:p>
    <w:p w14:paraId="4887661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1</w:t>
      </w:r>
      <w:r w:rsidRPr="00022F29">
        <w:rPr>
          <w:rFonts w:ascii="Calibri" w:eastAsia="Calibri" w:hAnsi="Calibri" w:cs="Times New Roman"/>
        </w:rPr>
        <w:tab/>
        <w:t>Generating Classb</w:t>
      </w:r>
      <w:r w:rsidRPr="00022F29">
        <w:rPr>
          <w:rFonts w:ascii="Calibri" w:eastAsia="Calibri" w:hAnsi="Calibri" w:cs="Times New Roman"/>
        </w:rPr>
        <w:tab/>
      </w:r>
      <w:r w:rsidRPr="00022F29">
        <w:rPr>
          <w:rFonts w:ascii="Calibri" w:eastAsia="Calibri" w:hAnsi="Calibri" w:cs="Times New Roman"/>
        </w:rPr>
        <w:tab/>
        <w:t>A*FQuartile*AgeBinary*RevoveryD*RecoveryA, A*FQuartile*AgeBinary*RevoveryD*GenderX, A*FQuartile*AgeBinary*RecoveryA*GenderX, A*FQuartile*RevoveryD*RecoveryA*GenderX, A*AgeBinary*RevoveryD*RecoveryA*GenderX, FQuartile*AgeBinary*RevoveryD*RecoveryA*GenderX</w:t>
      </w:r>
      <w:r w:rsidRPr="00022F29">
        <w:rPr>
          <w:rFonts w:ascii="Calibri" w:eastAsia="Calibri" w:hAnsi="Calibri" w:cs="Times New Roman"/>
        </w:rPr>
        <w:tab/>
        <w:t>.438</w:t>
      </w:r>
      <w:r w:rsidRPr="00022F29">
        <w:rPr>
          <w:rFonts w:ascii="Calibri" w:eastAsia="Calibri" w:hAnsi="Calibri" w:cs="Times New Roman"/>
        </w:rPr>
        <w:tab/>
        <w:t>3</w:t>
      </w:r>
      <w:r w:rsidRPr="00022F29">
        <w:rPr>
          <w:rFonts w:ascii="Calibri" w:eastAsia="Calibri" w:hAnsi="Calibri" w:cs="Times New Roman"/>
        </w:rPr>
        <w:tab/>
        <w:t>.932</w:t>
      </w:r>
      <w:r w:rsidRPr="00022F29">
        <w:rPr>
          <w:rFonts w:ascii="Calibri" w:eastAsia="Calibri" w:hAnsi="Calibri" w:cs="Times New Roman"/>
        </w:rPr>
        <w:tab/>
      </w:r>
    </w:p>
    <w:p w14:paraId="0D63BEF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Deleted Effect</w:t>
      </w:r>
      <w:r w:rsidRPr="00022F29">
        <w:rPr>
          <w:rFonts w:ascii="Calibri" w:eastAsia="Calibri" w:hAnsi="Calibri" w:cs="Times New Roman"/>
        </w:rPr>
        <w:tab/>
        <w:t>1</w:t>
      </w:r>
      <w:r w:rsidRPr="00022F29">
        <w:rPr>
          <w:rFonts w:ascii="Calibri" w:eastAsia="Calibri" w:hAnsi="Calibri" w:cs="Times New Roman"/>
        </w:rPr>
        <w:tab/>
        <w:t>A*FQuartile*AgeBinary*RevoveryD*RecoveryA</w:t>
      </w:r>
      <w:r w:rsidRPr="00022F29">
        <w:rPr>
          <w:rFonts w:ascii="Calibri" w:eastAsia="Calibri" w:hAnsi="Calibri" w:cs="Times New Roman"/>
        </w:rPr>
        <w:tab/>
        <w:t>2.058</w:t>
      </w:r>
      <w:r w:rsidRPr="00022F29">
        <w:rPr>
          <w:rFonts w:ascii="Calibri" w:eastAsia="Calibri" w:hAnsi="Calibri" w:cs="Times New Roman"/>
        </w:rPr>
        <w:tab/>
        <w:t>3</w:t>
      </w:r>
      <w:r w:rsidRPr="00022F29">
        <w:rPr>
          <w:rFonts w:ascii="Calibri" w:eastAsia="Calibri" w:hAnsi="Calibri" w:cs="Times New Roman"/>
        </w:rPr>
        <w:tab/>
        <w:t>.560</w:t>
      </w:r>
      <w:r w:rsidRPr="00022F29">
        <w:rPr>
          <w:rFonts w:ascii="Calibri" w:eastAsia="Calibri" w:hAnsi="Calibri" w:cs="Times New Roman"/>
        </w:rPr>
        <w:tab/>
        <w:t>5</w:t>
      </w:r>
    </w:p>
    <w:p w14:paraId="46A10DC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2</w:t>
      </w:r>
      <w:r w:rsidRPr="00022F29">
        <w:rPr>
          <w:rFonts w:ascii="Calibri" w:eastAsia="Calibri" w:hAnsi="Calibri" w:cs="Times New Roman"/>
        </w:rPr>
        <w:tab/>
        <w:t>A*FQuartile*AgeBinary*RevoveryD*GenderX</w:t>
      </w:r>
      <w:r w:rsidRPr="00022F29">
        <w:rPr>
          <w:rFonts w:ascii="Calibri" w:eastAsia="Calibri" w:hAnsi="Calibri" w:cs="Times New Roman"/>
        </w:rPr>
        <w:tab/>
        <w:t>.651</w:t>
      </w:r>
      <w:r w:rsidRPr="00022F29">
        <w:rPr>
          <w:rFonts w:ascii="Calibri" w:eastAsia="Calibri" w:hAnsi="Calibri" w:cs="Times New Roman"/>
        </w:rPr>
        <w:tab/>
        <w:t>3</w:t>
      </w:r>
      <w:r w:rsidRPr="00022F29">
        <w:rPr>
          <w:rFonts w:ascii="Calibri" w:eastAsia="Calibri" w:hAnsi="Calibri" w:cs="Times New Roman"/>
        </w:rPr>
        <w:tab/>
        <w:t>.885</w:t>
      </w:r>
      <w:r w:rsidRPr="00022F29">
        <w:rPr>
          <w:rFonts w:ascii="Calibri" w:eastAsia="Calibri" w:hAnsi="Calibri" w:cs="Times New Roman"/>
        </w:rPr>
        <w:tab/>
        <w:t>4</w:t>
      </w:r>
    </w:p>
    <w:p w14:paraId="2B9B3AA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3</w:t>
      </w:r>
      <w:r w:rsidRPr="00022F29">
        <w:rPr>
          <w:rFonts w:ascii="Calibri" w:eastAsia="Calibri" w:hAnsi="Calibri" w:cs="Times New Roman"/>
        </w:rPr>
        <w:tab/>
        <w:t>A*FQuartile*AgeBinary*RecoveryA*GenderX</w:t>
      </w:r>
      <w:r w:rsidRPr="00022F29">
        <w:rPr>
          <w:rFonts w:ascii="Calibri" w:eastAsia="Calibri" w:hAnsi="Calibri" w:cs="Times New Roman"/>
        </w:rPr>
        <w:tab/>
        <w:t>7.437</w:t>
      </w:r>
      <w:r w:rsidRPr="00022F29">
        <w:rPr>
          <w:rFonts w:ascii="Calibri" w:eastAsia="Calibri" w:hAnsi="Calibri" w:cs="Times New Roman"/>
        </w:rPr>
        <w:tab/>
        <w:t>3</w:t>
      </w:r>
      <w:r w:rsidRPr="00022F29">
        <w:rPr>
          <w:rFonts w:ascii="Calibri" w:eastAsia="Calibri" w:hAnsi="Calibri" w:cs="Times New Roman"/>
        </w:rPr>
        <w:tab/>
        <w:t>.059</w:t>
      </w:r>
      <w:r w:rsidRPr="00022F29">
        <w:rPr>
          <w:rFonts w:ascii="Calibri" w:eastAsia="Calibri" w:hAnsi="Calibri" w:cs="Times New Roman"/>
        </w:rPr>
        <w:tab/>
        <w:t>7</w:t>
      </w:r>
    </w:p>
    <w:p w14:paraId="7D26EA7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4</w:t>
      </w:r>
      <w:r w:rsidRPr="00022F29">
        <w:rPr>
          <w:rFonts w:ascii="Calibri" w:eastAsia="Calibri" w:hAnsi="Calibri" w:cs="Times New Roman"/>
        </w:rPr>
        <w:tab/>
        <w:t>A*FQuartile*RevoveryD*RecoveryA*GenderX</w:t>
      </w:r>
      <w:r w:rsidRPr="00022F29">
        <w:rPr>
          <w:rFonts w:ascii="Calibri" w:eastAsia="Calibri" w:hAnsi="Calibri" w:cs="Times New Roman"/>
        </w:rPr>
        <w:tab/>
        <w:t>.199</w:t>
      </w:r>
      <w:r w:rsidRPr="00022F29">
        <w:rPr>
          <w:rFonts w:ascii="Calibri" w:eastAsia="Calibri" w:hAnsi="Calibri" w:cs="Times New Roman"/>
        </w:rPr>
        <w:tab/>
        <w:t>3</w:t>
      </w:r>
      <w:r w:rsidRPr="00022F29">
        <w:rPr>
          <w:rFonts w:ascii="Calibri" w:eastAsia="Calibri" w:hAnsi="Calibri" w:cs="Times New Roman"/>
        </w:rPr>
        <w:tab/>
        <w:t>.978</w:t>
      </w:r>
      <w:r w:rsidRPr="00022F29">
        <w:rPr>
          <w:rFonts w:ascii="Calibri" w:eastAsia="Calibri" w:hAnsi="Calibri" w:cs="Times New Roman"/>
        </w:rPr>
        <w:tab/>
        <w:t>4</w:t>
      </w:r>
    </w:p>
    <w:p w14:paraId="58FCEAF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5</w:t>
      </w:r>
      <w:r w:rsidRPr="00022F29">
        <w:rPr>
          <w:rFonts w:ascii="Calibri" w:eastAsia="Calibri" w:hAnsi="Calibri" w:cs="Times New Roman"/>
        </w:rPr>
        <w:tab/>
        <w:t>A*AgeBinary*RevoveryD*RecoveryA*GenderX</w:t>
      </w:r>
      <w:r w:rsidRPr="00022F29">
        <w:rPr>
          <w:rFonts w:ascii="Calibri" w:eastAsia="Calibri" w:hAnsi="Calibri" w:cs="Times New Roman"/>
        </w:rPr>
        <w:tab/>
        <w:t>.028</w:t>
      </w:r>
      <w:r w:rsidRPr="00022F29">
        <w:rPr>
          <w:rFonts w:ascii="Calibri" w:eastAsia="Calibri" w:hAnsi="Calibri" w:cs="Times New Roman"/>
        </w:rPr>
        <w:tab/>
        <w:t>1</w:t>
      </w:r>
      <w:r w:rsidRPr="00022F29">
        <w:rPr>
          <w:rFonts w:ascii="Calibri" w:eastAsia="Calibri" w:hAnsi="Calibri" w:cs="Times New Roman"/>
        </w:rPr>
        <w:tab/>
        <w:t>.867</w:t>
      </w:r>
      <w:r w:rsidRPr="00022F29">
        <w:rPr>
          <w:rFonts w:ascii="Calibri" w:eastAsia="Calibri" w:hAnsi="Calibri" w:cs="Times New Roman"/>
        </w:rPr>
        <w:tab/>
        <w:t>4</w:t>
      </w:r>
    </w:p>
    <w:p w14:paraId="79CEA73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6</w:t>
      </w:r>
      <w:r w:rsidRPr="00022F29">
        <w:rPr>
          <w:rFonts w:ascii="Calibri" w:eastAsia="Calibri" w:hAnsi="Calibri" w:cs="Times New Roman"/>
        </w:rPr>
        <w:tab/>
        <w:t>FQuartile*AgeBinary*RevoveryD*RecoveryA*GenderX</w:t>
      </w:r>
      <w:r w:rsidRPr="00022F29">
        <w:rPr>
          <w:rFonts w:ascii="Calibri" w:eastAsia="Calibri" w:hAnsi="Calibri" w:cs="Times New Roman"/>
        </w:rPr>
        <w:tab/>
        <w:t>2.392</w:t>
      </w:r>
      <w:r w:rsidRPr="00022F29">
        <w:rPr>
          <w:rFonts w:ascii="Calibri" w:eastAsia="Calibri" w:hAnsi="Calibri" w:cs="Times New Roman"/>
        </w:rPr>
        <w:tab/>
        <w:t>3</w:t>
      </w:r>
      <w:r w:rsidRPr="00022F29">
        <w:rPr>
          <w:rFonts w:ascii="Calibri" w:eastAsia="Calibri" w:hAnsi="Calibri" w:cs="Times New Roman"/>
        </w:rPr>
        <w:tab/>
        <w:t>.495</w:t>
      </w:r>
      <w:r w:rsidRPr="00022F29">
        <w:rPr>
          <w:rFonts w:ascii="Calibri" w:eastAsia="Calibri" w:hAnsi="Calibri" w:cs="Times New Roman"/>
        </w:rPr>
        <w:tab/>
        <w:t>3</w:t>
      </w:r>
    </w:p>
    <w:p w14:paraId="07F216F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2</w:t>
      </w:r>
      <w:r w:rsidRPr="00022F29">
        <w:rPr>
          <w:rFonts w:ascii="Calibri" w:eastAsia="Calibri" w:hAnsi="Calibri" w:cs="Times New Roman"/>
        </w:rPr>
        <w:tab/>
        <w:t>Generating Classb</w:t>
      </w:r>
      <w:r w:rsidRPr="00022F29">
        <w:rPr>
          <w:rFonts w:ascii="Calibri" w:eastAsia="Calibri" w:hAnsi="Calibri" w:cs="Times New Roman"/>
        </w:rPr>
        <w:tab/>
      </w:r>
      <w:r w:rsidRPr="00022F29">
        <w:rPr>
          <w:rFonts w:ascii="Calibri" w:eastAsia="Calibri" w:hAnsi="Calibri" w:cs="Times New Roman"/>
        </w:rPr>
        <w:tab/>
        <w:t>A*FQuartile*AgeBinary*RevoveryD*RecoveryA, A*FQuartile*AgeBinary*RevoveryD*GenderX, A*FQuartile*AgeBinary*RecoveryA*GenderX, A*AgeBinary*RevoveryD*RecoveryA*GenderX, FQuartile*AgeBinary*RevoveryD*RecoveryA*GenderX</w:t>
      </w:r>
      <w:r w:rsidRPr="00022F29">
        <w:rPr>
          <w:rFonts w:ascii="Calibri" w:eastAsia="Calibri" w:hAnsi="Calibri" w:cs="Times New Roman"/>
        </w:rPr>
        <w:tab/>
        <w:t>.637</w:t>
      </w:r>
      <w:r w:rsidRPr="00022F29">
        <w:rPr>
          <w:rFonts w:ascii="Calibri" w:eastAsia="Calibri" w:hAnsi="Calibri" w:cs="Times New Roman"/>
        </w:rPr>
        <w:tab/>
        <w:t>6</w:t>
      </w:r>
      <w:r w:rsidRPr="00022F29">
        <w:rPr>
          <w:rFonts w:ascii="Calibri" w:eastAsia="Calibri" w:hAnsi="Calibri" w:cs="Times New Roman"/>
        </w:rPr>
        <w:tab/>
        <w:t>.996</w:t>
      </w:r>
      <w:r w:rsidRPr="00022F29">
        <w:rPr>
          <w:rFonts w:ascii="Calibri" w:eastAsia="Calibri" w:hAnsi="Calibri" w:cs="Times New Roman"/>
        </w:rPr>
        <w:tab/>
      </w:r>
    </w:p>
    <w:p w14:paraId="6D67D2E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Deleted Effect</w:t>
      </w:r>
      <w:r w:rsidRPr="00022F29">
        <w:rPr>
          <w:rFonts w:ascii="Calibri" w:eastAsia="Calibri" w:hAnsi="Calibri" w:cs="Times New Roman"/>
        </w:rPr>
        <w:tab/>
        <w:t>1</w:t>
      </w:r>
      <w:r w:rsidRPr="00022F29">
        <w:rPr>
          <w:rFonts w:ascii="Calibri" w:eastAsia="Calibri" w:hAnsi="Calibri" w:cs="Times New Roman"/>
        </w:rPr>
        <w:tab/>
        <w:t>A*FQuartile*AgeBinary*RevoveryD*RecoveryA</w:t>
      </w:r>
      <w:r w:rsidRPr="00022F29">
        <w:rPr>
          <w:rFonts w:ascii="Calibri" w:eastAsia="Calibri" w:hAnsi="Calibri" w:cs="Times New Roman"/>
        </w:rPr>
        <w:tab/>
        <w:t>2.435</w:t>
      </w:r>
      <w:r w:rsidRPr="00022F29">
        <w:rPr>
          <w:rFonts w:ascii="Calibri" w:eastAsia="Calibri" w:hAnsi="Calibri" w:cs="Times New Roman"/>
        </w:rPr>
        <w:tab/>
        <w:t>3</w:t>
      </w:r>
      <w:r w:rsidRPr="00022F29">
        <w:rPr>
          <w:rFonts w:ascii="Calibri" w:eastAsia="Calibri" w:hAnsi="Calibri" w:cs="Times New Roman"/>
        </w:rPr>
        <w:tab/>
        <w:t>.487</w:t>
      </w:r>
      <w:r w:rsidRPr="00022F29">
        <w:rPr>
          <w:rFonts w:ascii="Calibri" w:eastAsia="Calibri" w:hAnsi="Calibri" w:cs="Times New Roman"/>
        </w:rPr>
        <w:tab/>
        <w:t>5</w:t>
      </w:r>
    </w:p>
    <w:p w14:paraId="4311D0B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2</w:t>
      </w:r>
      <w:r w:rsidRPr="00022F29">
        <w:rPr>
          <w:rFonts w:ascii="Calibri" w:eastAsia="Calibri" w:hAnsi="Calibri" w:cs="Times New Roman"/>
        </w:rPr>
        <w:tab/>
        <w:t>A*FQuartile*AgeBinary*RevoveryD*GenderX</w:t>
      </w:r>
      <w:r w:rsidRPr="00022F29">
        <w:rPr>
          <w:rFonts w:ascii="Calibri" w:eastAsia="Calibri" w:hAnsi="Calibri" w:cs="Times New Roman"/>
        </w:rPr>
        <w:tab/>
        <w:t>.881</w:t>
      </w:r>
      <w:r w:rsidRPr="00022F29">
        <w:rPr>
          <w:rFonts w:ascii="Calibri" w:eastAsia="Calibri" w:hAnsi="Calibri" w:cs="Times New Roman"/>
        </w:rPr>
        <w:tab/>
        <w:t>3</w:t>
      </w:r>
      <w:r w:rsidRPr="00022F29">
        <w:rPr>
          <w:rFonts w:ascii="Calibri" w:eastAsia="Calibri" w:hAnsi="Calibri" w:cs="Times New Roman"/>
        </w:rPr>
        <w:tab/>
        <w:t>.830</w:t>
      </w:r>
      <w:r w:rsidRPr="00022F29">
        <w:rPr>
          <w:rFonts w:ascii="Calibri" w:eastAsia="Calibri" w:hAnsi="Calibri" w:cs="Times New Roman"/>
        </w:rPr>
        <w:tab/>
        <w:t>5</w:t>
      </w:r>
    </w:p>
    <w:p w14:paraId="1D80C15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3</w:t>
      </w:r>
      <w:r w:rsidRPr="00022F29">
        <w:rPr>
          <w:rFonts w:ascii="Calibri" w:eastAsia="Calibri" w:hAnsi="Calibri" w:cs="Times New Roman"/>
        </w:rPr>
        <w:tab/>
        <w:t>A*FQuartile*AgeBinary*RecoveryA*GenderX</w:t>
      </w:r>
      <w:r w:rsidRPr="00022F29">
        <w:rPr>
          <w:rFonts w:ascii="Calibri" w:eastAsia="Calibri" w:hAnsi="Calibri" w:cs="Times New Roman"/>
        </w:rPr>
        <w:tab/>
        <w:t>12.842</w:t>
      </w:r>
      <w:r w:rsidRPr="00022F29">
        <w:rPr>
          <w:rFonts w:ascii="Calibri" w:eastAsia="Calibri" w:hAnsi="Calibri" w:cs="Times New Roman"/>
        </w:rPr>
        <w:tab/>
        <w:t>3</w:t>
      </w:r>
      <w:r w:rsidRPr="00022F29">
        <w:rPr>
          <w:rFonts w:ascii="Calibri" w:eastAsia="Calibri" w:hAnsi="Calibri" w:cs="Times New Roman"/>
        </w:rPr>
        <w:tab/>
        <w:t>.005</w:t>
      </w:r>
      <w:r w:rsidRPr="00022F29">
        <w:rPr>
          <w:rFonts w:ascii="Calibri" w:eastAsia="Calibri" w:hAnsi="Calibri" w:cs="Times New Roman"/>
        </w:rPr>
        <w:tab/>
        <w:t>8</w:t>
      </w:r>
    </w:p>
    <w:p w14:paraId="6F85FDA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4</w:t>
      </w:r>
      <w:r w:rsidRPr="00022F29">
        <w:rPr>
          <w:rFonts w:ascii="Calibri" w:eastAsia="Calibri" w:hAnsi="Calibri" w:cs="Times New Roman"/>
        </w:rPr>
        <w:tab/>
        <w:t>A*AgeBinary*RevoveryD*RecoveryA*GenderX</w:t>
      </w:r>
      <w:r w:rsidRPr="00022F29">
        <w:rPr>
          <w:rFonts w:ascii="Calibri" w:eastAsia="Calibri" w:hAnsi="Calibri" w:cs="Times New Roman"/>
        </w:rPr>
        <w:tab/>
        <w:t>.034</w:t>
      </w:r>
      <w:r w:rsidRPr="00022F29">
        <w:rPr>
          <w:rFonts w:ascii="Calibri" w:eastAsia="Calibri" w:hAnsi="Calibri" w:cs="Times New Roman"/>
        </w:rPr>
        <w:tab/>
        <w:t>1</w:t>
      </w:r>
      <w:r w:rsidRPr="00022F29">
        <w:rPr>
          <w:rFonts w:ascii="Calibri" w:eastAsia="Calibri" w:hAnsi="Calibri" w:cs="Times New Roman"/>
        </w:rPr>
        <w:tab/>
        <w:t>.854</w:t>
      </w:r>
      <w:r w:rsidRPr="00022F29">
        <w:rPr>
          <w:rFonts w:ascii="Calibri" w:eastAsia="Calibri" w:hAnsi="Calibri" w:cs="Times New Roman"/>
        </w:rPr>
        <w:tab/>
        <w:t>4</w:t>
      </w:r>
    </w:p>
    <w:p w14:paraId="02618BE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5</w:t>
      </w:r>
      <w:r w:rsidRPr="00022F29">
        <w:rPr>
          <w:rFonts w:ascii="Calibri" w:eastAsia="Calibri" w:hAnsi="Calibri" w:cs="Times New Roman"/>
        </w:rPr>
        <w:tab/>
        <w:t>FQuartile*AgeBinary*RevoveryD*RecoveryA*GenderX</w:t>
      </w:r>
      <w:r w:rsidRPr="00022F29">
        <w:rPr>
          <w:rFonts w:ascii="Calibri" w:eastAsia="Calibri" w:hAnsi="Calibri" w:cs="Times New Roman"/>
        </w:rPr>
        <w:tab/>
        <w:t>2.320</w:t>
      </w:r>
      <w:r w:rsidRPr="00022F29">
        <w:rPr>
          <w:rFonts w:ascii="Calibri" w:eastAsia="Calibri" w:hAnsi="Calibri" w:cs="Times New Roman"/>
        </w:rPr>
        <w:tab/>
        <w:t>3</w:t>
      </w:r>
      <w:r w:rsidRPr="00022F29">
        <w:rPr>
          <w:rFonts w:ascii="Calibri" w:eastAsia="Calibri" w:hAnsi="Calibri" w:cs="Times New Roman"/>
        </w:rPr>
        <w:tab/>
        <w:t>.509</w:t>
      </w:r>
      <w:r w:rsidRPr="00022F29">
        <w:rPr>
          <w:rFonts w:ascii="Calibri" w:eastAsia="Calibri" w:hAnsi="Calibri" w:cs="Times New Roman"/>
        </w:rPr>
        <w:tab/>
        <w:t>4</w:t>
      </w:r>
    </w:p>
    <w:p w14:paraId="733FC28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3</w:t>
      </w:r>
      <w:r w:rsidRPr="00022F29">
        <w:rPr>
          <w:rFonts w:ascii="Calibri" w:eastAsia="Calibri" w:hAnsi="Calibri" w:cs="Times New Roman"/>
        </w:rPr>
        <w:tab/>
        <w:t>Generating Classb</w:t>
      </w:r>
      <w:r w:rsidRPr="00022F29">
        <w:rPr>
          <w:rFonts w:ascii="Calibri" w:eastAsia="Calibri" w:hAnsi="Calibri" w:cs="Times New Roman"/>
        </w:rPr>
        <w:tab/>
      </w:r>
      <w:r w:rsidRPr="00022F29">
        <w:rPr>
          <w:rFonts w:ascii="Calibri" w:eastAsia="Calibri" w:hAnsi="Calibri" w:cs="Times New Roman"/>
        </w:rPr>
        <w:tab/>
        <w:t>A*FQuartile*AgeBinary*RevoveryD*RecoveryA, A*FQuartile*AgeBinary*RevoveryD*GenderX, A*FQuartile*AgeBinary*RecoveryA*GenderX, FQuartile*AgeBinary*RevoveryD*RecoveryA*GenderX, A*RevoveryD*RecoveryA*GenderX</w:t>
      </w:r>
      <w:r w:rsidRPr="00022F29">
        <w:rPr>
          <w:rFonts w:ascii="Calibri" w:eastAsia="Calibri" w:hAnsi="Calibri" w:cs="Times New Roman"/>
        </w:rPr>
        <w:tab/>
        <w:t>.671</w:t>
      </w:r>
      <w:r w:rsidRPr="00022F29">
        <w:rPr>
          <w:rFonts w:ascii="Calibri" w:eastAsia="Calibri" w:hAnsi="Calibri" w:cs="Times New Roman"/>
        </w:rPr>
        <w:tab/>
        <w:t>7</w:t>
      </w:r>
      <w:r w:rsidRPr="00022F29">
        <w:rPr>
          <w:rFonts w:ascii="Calibri" w:eastAsia="Calibri" w:hAnsi="Calibri" w:cs="Times New Roman"/>
        </w:rPr>
        <w:tab/>
        <w:t>.999</w:t>
      </w:r>
      <w:r w:rsidRPr="00022F29">
        <w:rPr>
          <w:rFonts w:ascii="Calibri" w:eastAsia="Calibri" w:hAnsi="Calibri" w:cs="Times New Roman"/>
        </w:rPr>
        <w:tab/>
      </w:r>
    </w:p>
    <w:p w14:paraId="7015963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Deleted Effect</w:t>
      </w:r>
      <w:r w:rsidRPr="00022F29">
        <w:rPr>
          <w:rFonts w:ascii="Calibri" w:eastAsia="Calibri" w:hAnsi="Calibri" w:cs="Times New Roman"/>
        </w:rPr>
        <w:tab/>
        <w:t>1</w:t>
      </w:r>
      <w:r w:rsidRPr="00022F29">
        <w:rPr>
          <w:rFonts w:ascii="Calibri" w:eastAsia="Calibri" w:hAnsi="Calibri" w:cs="Times New Roman"/>
        </w:rPr>
        <w:tab/>
        <w:t>A*FQuartile*AgeBinary*RevoveryD*RecoveryA</w:t>
      </w:r>
      <w:r w:rsidRPr="00022F29">
        <w:rPr>
          <w:rFonts w:ascii="Calibri" w:eastAsia="Calibri" w:hAnsi="Calibri" w:cs="Times New Roman"/>
        </w:rPr>
        <w:tab/>
        <w:t>2.336</w:t>
      </w:r>
      <w:r w:rsidRPr="00022F29">
        <w:rPr>
          <w:rFonts w:ascii="Calibri" w:eastAsia="Calibri" w:hAnsi="Calibri" w:cs="Times New Roman"/>
        </w:rPr>
        <w:tab/>
        <w:t>3</w:t>
      </w:r>
      <w:r w:rsidRPr="00022F29">
        <w:rPr>
          <w:rFonts w:ascii="Calibri" w:eastAsia="Calibri" w:hAnsi="Calibri" w:cs="Times New Roman"/>
        </w:rPr>
        <w:tab/>
        <w:t>.506</w:t>
      </w:r>
      <w:r w:rsidRPr="00022F29">
        <w:rPr>
          <w:rFonts w:ascii="Calibri" w:eastAsia="Calibri" w:hAnsi="Calibri" w:cs="Times New Roman"/>
        </w:rPr>
        <w:tab/>
        <w:t>6</w:t>
      </w:r>
    </w:p>
    <w:p w14:paraId="072FEA1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2</w:t>
      </w:r>
      <w:r w:rsidRPr="00022F29">
        <w:rPr>
          <w:rFonts w:ascii="Calibri" w:eastAsia="Calibri" w:hAnsi="Calibri" w:cs="Times New Roman"/>
        </w:rPr>
        <w:tab/>
        <w:t>A*FQuartile*AgeBinary*RevoveryD*GenderX</w:t>
      </w:r>
      <w:r w:rsidRPr="00022F29">
        <w:rPr>
          <w:rFonts w:ascii="Calibri" w:eastAsia="Calibri" w:hAnsi="Calibri" w:cs="Times New Roman"/>
        </w:rPr>
        <w:tab/>
        <w:t>1.095</w:t>
      </w:r>
      <w:r w:rsidRPr="00022F29">
        <w:rPr>
          <w:rFonts w:ascii="Calibri" w:eastAsia="Calibri" w:hAnsi="Calibri" w:cs="Times New Roman"/>
        </w:rPr>
        <w:tab/>
        <w:t>3</w:t>
      </w:r>
      <w:r w:rsidRPr="00022F29">
        <w:rPr>
          <w:rFonts w:ascii="Calibri" w:eastAsia="Calibri" w:hAnsi="Calibri" w:cs="Times New Roman"/>
        </w:rPr>
        <w:tab/>
        <w:t>.778</w:t>
      </w:r>
      <w:r w:rsidRPr="00022F29">
        <w:rPr>
          <w:rFonts w:ascii="Calibri" w:eastAsia="Calibri" w:hAnsi="Calibri" w:cs="Times New Roman"/>
        </w:rPr>
        <w:tab/>
        <w:t>4</w:t>
      </w:r>
    </w:p>
    <w:p w14:paraId="5434137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3</w:t>
      </w:r>
      <w:r w:rsidRPr="00022F29">
        <w:rPr>
          <w:rFonts w:ascii="Calibri" w:eastAsia="Calibri" w:hAnsi="Calibri" w:cs="Times New Roman"/>
        </w:rPr>
        <w:tab/>
        <w:t>A*FQuartile*AgeBinary*RecoveryA*GenderX</w:t>
      </w:r>
      <w:r w:rsidRPr="00022F29">
        <w:rPr>
          <w:rFonts w:ascii="Calibri" w:eastAsia="Calibri" w:hAnsi="Calibri" w:cs="Times New Roman"/>
        </w:rPr>
        <w:tab/>
        <w:t>13.400</w:t>
      </w:r>
      <w:r w:rsidRPr="00022F29">
        <w:rPr>
          <w:rFonts w:ascii="Calibri" w:eastAsia="Calibri" w:hAnsi="Calibri" w:cs="Times New Roman"/>
        </w:rPr>
        <w:tab/>
        <w:t>3</w:t>
      </w:r>
      <w:r w:rsidRPr="00022F29">
        <w:rPr>
          <w:rFonts w:ascii="Calibri" w:eastAsia="Calibri" w:hAnsi="Calibri" w:cs="Times New Roman"/>
        </w:rPr>
        <w:tab/>
        <w:t>.004</w:t>
      </w:r>
      <w:r w:rsidRPr="00022F29">
        <w:rPr>
          <w:rFonts w:ascii="Calibri" w:eastAsia="Calibri" w:hAnsi="Calibri" w:cs="Times New Roman"/>
        </w:rPr>
        <w:tab/>
        <w:t>8</w:t>
      </w:r>
    </w:p>
    <w:p w14:paraId="6CDB0B3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4</w:t>
      </w:r>
      <w:r w:rsidRPr="00022F29">
        <w:rPr>
          <w:rFonts w:ascii="Calibri" w:eastAsia="Calibri" w:hAnsi="Calibri" w:cs="Times New Roman"/>
        </w:rPr>
        <w:tab/>
        <w:t>FQuartile*AgeBinary*RevoveryD*RecoveryA*GenderX</w:t>
      </w:r>
      <w:r w:rsidRPr="00022F29">
        <w:rPr>
          <w:rFonts w:ascii="Calibri" w:eastAsia="Calibri" w:hAnsi="Calibri" w:cs="Times New Roman"/>
        </w:rPr>
        <w:tab/>
        <w:t>2.791</w:t>
      </w:r>
      <w:r w:rsidRPr="00022F29">
        <w:rPr>
          <w:rFonts w:ascii="Calibri" w:eastAsia="Calibri" w:hAnsi="Calibri" w:cs="Times New Roman"/>
        </w:rPr>
        <w:tab/>
        <w:t>3</w:t>
      </w:r>
      <w:r w:rsidRPr="00022F29">
        <w:rPr>
          <w:rFonts w:ascii="Calibri" w:eastAsia="Calibri" w:hAnsi="Calibri" w:cs="Times New Roman"/>
        </w:rPr>
        <w:tab/>
        <w:t>.425</w:t>
      </w:r>
      <w:r w:rsidRPr="00022F29">
        <w:rPr>
          <w:rFonts w:ascii="Calibri" w:eastAsia="Calibri" w:hAnsi="Calibri" w:cs="Times New Roman"/>
        </w:rPr>
        <w:tab/>
        <w:t>4</w:t>
      </w:r>
    </w:p>
    <w:p w14:paraId="2A4A91D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5</w:t>
      </w:r>
      <w:r w:rsidRPr="00022F29">
        <w:rPr>
          <w:rFonts w:ascii="Calibri" w:eastAsia="Calibri" w:hAnsi="Calibri" w:cs="Times New Roman"/>
        </w:rPr>
        <w:tab/>
        <w:t>A*RevoveryD*RecoveryA*GenderX</w:t>
      </w:r>
      <w:r w:rsidRPr="00022F29">
        <w:rPr>
          <w:rFonts w:ascii="Calibri" w:eastAsia="Calibri" w:hAnsi="Calibri" w:cs="Times New Roman"/>
        </w:rPr>
        <w:tab/>
        <w:t>.129</w:t>
      </w:r>
      <w:r w:rsidRPr="00022F29">
        <w:rPr>
          <w:rFonts w:ascii="Calibri" w:eastAsia="Calibri" w:hAnsi="Calibri" w:cs="Times New Roman"/>
        </w:rPr>
        <w:tab/>
        <w:t>1</w:t>
      </w:r>
      <w:r w:rsidRPr="00022F29">
        <w:rPr>
          <w:rFonts w:ascii="Calibri" w:eastAsia="Calibri" w:hAnsi="Calibri" w:cs="Times New Roman"/>
        </w:rPr>
        <w:tab/>
        <w:t>.719</w:t>
      </w:r>
      <w:r w:rsidRPr="00022F29">
        <w:rPr>
          <w:rFonts w:ascii="Calibri" w:eastAsia="Calibri" w:hAnsi="Calibri" w:cs="Times New Roman"/>
        </w:rPr>
        <w:tab/>
        <w:t>4</w:t>
      </w:r>
    </w:p>
    <w:p w14:paraId="09CA33B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4</w:t>
      </w:r>
      <w:r w:rsidRPr="00022F29">
        <w:rPr>
          <w:rFonts w:ascii="Calibri" w:eastAsia="Calibri" w:hAnsi="Calibri" w:cs="Times New Roman"/>
        </w:rPr>
        <w:tab/>
        <w:t>Generating Classb</w:t>
      </w:r>
      <w:r w:rsidRPr="00022F29">
        <w:rPr>
          <w:rFonts w:ascii="Calibri" w:eastAsia="Calibri" w:hAnsi="Calibri" w:cs="Times New Roman"/>
        </w:rPr>
        <w:tab/>
      </w:r>
      <w:r w:rsidRPr="00022F29">
        <w:rPr>
          <w:rFonts w:ascii="Calibri" w:eastAsia="Calibri" w:hAnsi="Calibri" w:cs="Times New Roman"/>
        </w:rPr>
        <w:tab/>
        <w:t>A*FQuartile*AgeBinary*RevoveryD*RecoveryA, A*FQuartile*AgeBinary*RecoveryA*GenderX, FQuartile*AgeBinary*RevoveryD*RecoveryA*GenderX, A*RevoveryD*RecoveryA*GenderX, A*FQuartile*RevoveryD*GenderX, A*AgeBinary*RevoveryD*GenderX</w:t>
      </w:r>
      <w:r w:rsidRPr="00022F29">
        <w:rPr>
          <w:rFonts w:ascii="Calibri" w:eastAsia="Calibri" w:hAnsi="Calibri" w:cs="Times New Roman"/>
        </w:rPr>
        <w:tab/>
        <w:t>1.766</w:t>
      </w:r>
      <w:r w:rsidRPr="00022F29">
        <w:rPr>
          <w:rFonts w:ascii="Calibri" w:eastAsia="Calibri" w:hAnsi="Calibri" w:cs="Times New Roman"/>
        </w:rPr>
        <w:tab/>
        <w:t>10</w:t>
      </w:r>
      <w:r w:rsidRPr="00022F29">
        <w:rPr>
          <w:rFonts w:ascii="Calibri" w:eastAsia="Calibri" w:hAnsi="Calibri" w:cs="Times New Roman"/>
        </w:rPr>
        <w:tab/>
        <w:t>.998</w:t>
      </w:r>
      <w:r w:rsidRPr="00022F29">
        <w:rPr>
          <w:rFonts w:ascii="Calibri" w:eastAsia="Calibri" w:hAnsi="Calibri" w:cs="Times New Roman"/>
        </w:rPr>
        <w:tab/>
      </w:r>
    </w:p>
    <w:p w14:paraId="2D2D921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Deleted Effect</w:t>
      </w:r>
      <w:r w:rsidRPr="00022F29">
        <w:rPr>
          <w:rFonts w:ascii="Calibri" w:eastAsia="Calibri" w:hAnsi="Calibri" w:cs="Times New Roman"/>
        </w:rPr>
        <w:tab/>
        <w:t>1</w:t>
      </w:r>
      <w:r w:rsidRPr="00022F29">
        <w:rPr>
          <w:rFonts w:ascii="Calibri" w:eastAsia="Calibri" w:hAnsi="Calibri" w:cs="Times New Roman"/>
        </w:rPr>
        <w:tab/>
        <w:t>A*FQuartile*AgeBinary*RevoveryD*RecoveryA</w:t>
      </w:r>
      <w:r w:rsidRPr="00022F29">
        <w:rPr>
          <w:rFonts w:ascii="Calibri" w:eastAsia="Calibri" w:hAnsi="Calibri" w:cs="Times New Roman"/>
        </w:rPr>
        <w:tab/>
        <w:t>3.846</w:t>
      </w:r>
      <w:r w:rsidRPr="00022F29">
        <w:rPr>
          <w:rFonts w:ascii="Calibri" w:eastAsia="Calibri" w:hAnsi="Calibri" w:cs="Times New Roman"/>
        </w:rPr>
        <w:tab/>
        <w:t>3</w:t>
      </w:r>
      <w:r w:rsidRPr="00022F29">
        <w:rPr>
          <w:rFonts w:ascii="Calibri" w:eastAsia="Calibri" w:hAnsi="Calibri" w:cs="Times New Roman"/>
        </w:rPr>
        <w:tab/>
        <w:t>.279</w:t>
      </w:r>
      <w:r w:rsidRPr="00022F29">
        <w:rPr>
          <w:rFonts w:ascii="Calibri" w:eastAsia="Calibri" w:hAnsi="Calibri" w:cs="Times New Roman"/>
        </w:rPr>
        <w:tab/>
        <w:t>6</w:t>
      </w:r>
    </w:p>
    <w:p w14:paraId="484A948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2</w:t>
      </w:r>
      <w:r w:rsidRPr="00022F29">
        <w:rPr>
          <w:rFonts w:ascii="Calibri" w:eastAsia="Calibri" w:hAnsi="Calibri" w:cs="Times New Roman"/>
        </w:rPr>
        <w:tab/>
        <w:t>A*FQuartile*AgeBinary*RecoveryA*GenderX</w:t>
      </w:r>
      <w:r w:rsidRPr="00022F29">
        <w:rPr>
          <w:rFonts w:ascii="Calibri" w:eastAsia="Calibri" w:hAnsi="Calibri" w:cs="Times New Roman"/>
        </w:rPr>
        <w:tab/>
        <w:t>14.987</w:t>
      </w:r>
      <w:r w:rsidRPr="00022F29">
        <w:rPr>
          <w:rFonts w:ascii="Calibri" w:eastAsia="Calibri" w:hAnsi="Calibri" w:cs="Times New Roman"/>
        </w:rPr>
        <w:tab/>
        <w:t>3</w:t>
      </w:r>
      <w:r w:rsidRPr="00022F29">
        <w:rPr>
          <w:rFonts w:ascii="Calibri" w:eastAsia="Calibri" w:hAnsi="Calibri" w:cs="Times New Roman"/>
        </w:rPr>
        <w:tab/>
        <w:t>.002</w:t>
      </w:r>
      <w:r w:rsidRPr="00022F29">
        <w:rPr>
          <w:rFonts w:ascii="Calibri" w:eastAsia="Calibri" w:hAnsi="Calibri" w:cs="Times New Roman"/>
        </w:rPr>
        <w:tab/>
        <w:t>7</w:t>
      </w:r>
    </w:p>
    <w:p w14:paraId="7031223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3</w:t>
      </w:r>
      <w:r w:rsidRPr="00022F29">
        <w:rPr>
          <w:rFonts w:ascii="Calibri" w:eastAsia="Calibri" w:hAnsi="Calibri" w:cs="Times New Roman"/>
        </w:rPr>
        <w:tab/>
        <w:t>FQuartile*AgeBinary*RevoveryD*RecoveryA*GenderX</w:t>
      </w:r>
      <w:r w:rsidRPr="00022F29">
        <w:rPr>
          <w:rFonts w:ascii="Calibri" w:eastAsia="Calibri" w:hAnsi="Calibri" w:cs="Times New Roman"/>
        </w:rPr>
        <w:tab/>
        <w:t>2.210</w:t>
      </w:r>
      <w:r w:rsidRPr="00022F29">
        <w:rPr>
          <w:rFonts w:ascii="Calibri" w:eastAsia="Calibri" w:hAnsi="Calibri" w:cs="Times New Roman"/>
        </w:rPr>
        <w:tab/>
        <w:t>3</w:t>
      </w:r>
      <w:r w:rsidRPr="00022F29">
        <w:rPr>
          <w:rFonts w:ascii="Calibri" w:eastAsia="Calibri" w:hAnsi="Calibri" w:cs="Times New Roman"/>
        </w:rPr>
        <w:tab/>
        <w:t>.530</w:t>
      </w:r>
      <w:r w:rsidRPr="00022F29">
        <w:rPr>
          <w:rFonts w:ascii="Calibri" w:eastAsia="Calibri" w:hAnsi="Calibri" w:cs="Times New Roman"/>
        </w:rPr>
        <w:tab/>
        <w:t>5</w:t>
      </w:r>
    </w:p>
    <w:p w14:paraId="27FB492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4</w:t>
      </w:r>
      <w:r w:rsidRPr="00022F29">
        <w:rPr>
          <w:rFonts w:ascii="Calibri" w:eastAsia="Calibri" w:hAnsi="Calibri" w:cs="Times New Roman"/>
        </w:rPr>
        <w:tab/>
        <w:t>A*RevoveryD*RecoveryA*GenderX</w:t>
      </w:r>
      <w:r w:rsidRPr="00022F29">
        <w:rPr>
          <w:rFonts w:ascii="Calibri" w:eastAsia="Calibri" w:hAnsi="Calibri" w:cs="Times New Roman"/>
        </w:rPr>
        <w:tab/>
        <w:t>.214</w:t>
      </w:r>
      <w:r w:rsidRPr="00022F29">
        <w:rPr>
          <w:rFonts w:ascii="Calibri" w:eastAsia="Calibri" w:hAnsi="Calibri" w:cs="Times New Roman"/>
        </w:rPr>
        <w:tab/>
        <w:t>1</w:t>
      </w:r>
      <w:r w:rsidRPr="00022F29">
        <w:rPr>
          <w:rFonts w:ascii="Calibri" w:eastAsia="Calibri" w:hAnsi="Calibri" w:cs="Times New Roman"/>
        </w:rPr>
        <w:tab/>
        <w:t>.644</w:t>
      </w:r>
      <w:r w:rsidRPr="00022F29">
        <w:rPr>
          <w:rFonts w:ascii="Calibri" w:eastAsia="Calibri" w:hAnsi="Calibri" w:cs="Times New Roman"/>
        </w:rPr>
        <w:tab/>
        <w:t>5</w:t>
      </w:r>
    </w:p>
    <w:p w14:paraId="6E32A35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5</w:t>
      </w:r>
      <w:r w:rsidRPr="00022F29">
        <w:rPr>
          <w:rFonts w:ascii="Calibri" w:eastAsia="Calibri" w:hAnsi="Calibri" w:cs="Times New Roman"/>
        </w:rPr>
        <w:tab/>
        <w:t>A*FQuartile*RevoveryD*GenderX</w:t>
      </w:r>
      <w:r w:rsidRPr="00022F29">
        <w:rPr>
          <w:rFonts w:ascii="Calibri" w:eastAsia="Calibri" w:hAnsi="Calibri" w:cs="Times New Roman"/>
        </w:rPr>
        <w:tab/>
        <w:t>4.135</w:t>
      </w:r>
      <w:r w:rsidRPr="00022F29">
        <w:rPr>
          <w:rFonts w:ascii="Calibri" w:eastAsia="Calibri" w:hAnsi="Calibri" w:cs="Times New Roman"/>
        </w:rPr>
        <w:tab/>
        <w:t>3</w:t>
      </w:r>
      <w:r w:rsidRPr="00022F29">
        <w:rPr>
          <w:rFonts w:ascii="Calibri" w:eastAsia="Calibri" w:hAnsi="Calibri" w:cs="Times New Roman"/>
        </w:rPr>
        <w:tab/>
        <w:t>.247</w:t>
      </w:r>
      <w:r w:rsidRPr="00022F29">
        <w:rPr>
          <w:rFonts w:ascii="Calibri" w:eastAsia="Calibri" w:hAnsi="Calibri" w:cs="Times New Roman"/>
        </w:rPr>
        <w:tab/>
        <w:t>5</w:t>
      </w:r>
    </w:p>
    <w:p w14:paraId="27B19E6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6</w:t>
      </w:r>
      <w:r w:rsidRPr="00022F29">
        <w:rPr>
          <w:rFonts w:ascii="Calibri" w:eastAsia="Calibri" w:hAnsi="Calibri" w:cs="Times New Roman"/>
        </w:rPr>
        <w:tab/>
        <w:t>A*AgeBinary*RevoveryD*GenderX</w:t>
      </w:r>
      <w:r w:rsidRPr="00022F29">
        <w:rPr>
          <w:rFonts w:ascii="Calibri" w:eastAsia="Calibri" w:hAnsi="Calibri" w:cs="Times New Roman"/>
        </w:rPr>
        <w:tab/>
        <w:t>.299</w:t>
      </w:r>
      <w:r w:rsidRPr="00022F29">
        <w:rPr>
          <w:rFonts w:ascii="Calibri" w:eastAsia="Calibri" w:hAnsi="Calibri" w:cs="Times New Roman"/>
        </w:rPr>
        <w:tab/>
        <w:t>1</w:t>
      </w:r>
      <w:r w:rsidRPr="00022F29">
        <w:rPr>
          <w:rFonts w:ascii="Calibri" w:eastAsia="Calibri" w:hAnsi="Calibri" w:cs="Times New Roman"/>
        </w:rPr>
        <w:tab/>
        <w:t>.584</w:t>
      </w:r>
      <w:r w:rsidRPr="00022F29">
        <w:rPr>
          <w:rFonts w:ascii="Calibri" w:eastAsia="Calibri" w:hAnsi="Calibri" w:cs="Times New Roman"/>
        </w:rPr>
        <w:tab/>
        <w:t>4</w:t>
      </w:r>
    </w:p>
    <w:p w14:paraId="6416555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5</w:t>
      </w:r>
      <w:r w:rsidRPr="00022F29">
        <w:rPr>
          <w:rFonts w:ascii="Calibri" w:eastAsia="Calibri" w:hAnsi="Calibri" w:cs="Times New Roman"/>
        </w:rPr>
        <w:tab/>
        <w:t>Generating Classb</w:t>
      </w:r>
      <w:r w:rsidRPr="00022F29">
        <w:rPr>
          <w:rFonts w:ascii="Calibri" w:eastAsia="Calibri" w:hAnsi="Calibri" w:cs="Times New Roman"/>
        </w:rPr>
        <w:tab/>
      </w:r>
      <w:r w:rsidRPr="00022F29">
        <w:rPr>
          <w:rFonts w:ascii="Calibri" w:eastAsia="Calibri" w:hAnsi="Calibri" w:cs="Times New Roman"/>
        </w:rPr>
        <w:tab/>
        <w:t>A*FQuartile*AgeBinary*RevoveryD*RecoveryA, A*FQuartile*AgeBinary*RecoveryA*GenderX, FQuartile*AgeBinary*RevoveryD*RecoveryA*GenderX, A*FQuartile*RevoveryD*GenderX, A*AgeBinary*RevoveryD*GenderX</w:t>
      </w:r>
      <w:r w:rsidRPr="00022F29">
        <w:rPr>
          <w:rFonts w:ascii="Calibri" w:eastAsia="Calibri" w:hAnsi="Calibri" w:cs="Times New Roman"/>
        </w:rPr>
        <w:tab/>
        <w:t>1.980</w:t>
      </w:r>
      <w:r w:rsidRPr="00022F29">
        <w:rPr>
          <w:rFonts w:ascii="Calibri" w:eastAsia="Calibri" w:hAnsi="Calibri" w:cs="Times New Roman"/>
        </w:rPr>
        <w:tab/>
        <w:t>11</w:t>
      </w:r>
      <w:r w:rsidRPr="00022F29">
        <w:rPr>
          <w:rFonts w:ascii="Calibri" w:eastAsia="Calibri" w:hAnsi="Calibri" w:cs="Times New Roman"/>
        </w:rPr>
        <w:tab/>
        <w:t>.999</w:t>
      </w:r>
      <w:r w:rsidRPr="00022F29">
        <w:rPr>
          <w:rFonts w:ascii="Calibri" w:eastAsia="Calibri" w:hAnsi="Calibri" w:cs="Times New Roman"/>
        </w:rPr>
        <w:tab/>
      </w:r>
    </w:p>
    <w:p w14:paraId="47D4E3D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Deleted Effect</w:t>
      </w:r>
      <w:r w:rsidRPr="00022F29">
        <w:rPr>
          <w:rFonts w:ascii="Calibri" w:eastAsia="Calibri" w:hAnsi="Calibri" w:cs="Times New Roman"/>
        </w:rPr>
        <w:tab/>
        <w:t>1</w:t>
      </w:r>
      <w:r w:rsidRPr="00022F29">
        <w:rPr>
          <w:rFonts w:ascii="Calibri" w:eastAsia="Calibri" w:hAnsi="Calibri" w:cs="Times New Roman"/>
        </w:rPr>
        <w:tab/>
        <w:t>A*FQuartile*AgeBinary*RevoveryD*RecoveryA</w:t>
      </w:r>
      <w:r w:rsidRPr="00022F29">
        <w:rPr>
          <w:rFonts w:ascii="Calibri" w:eastAsia="Calibri" w:hAnsi="Calibri" w:cs="Times New Roman"/>
        </w:rPr>
        <w:tab/>
        <w:t>5.405</w:t>
      </w:r>
      <w:r w:rsidRPr="00022F29">
        <w:rPr>
          <w:rFonts w:ascii="Calibri" w:eastAsia="Calibri" w:hAnsi="Calibri" w:cs="Times New Roman"/>
        </w:rPr>
        <w:tab/>
        <w:t>3</w:t>
      </w:r>
      <w:r w:rsidRPr="00022F29">
        <w:rPr>
          <w:rFonts w:ascii="Calibri" w:eastAsia="Calibri" w:hAnsi="Calibri" w:cs="Times New Roman"/>
        </w:rPr>
        <w:tab/>
        <w:t>.144</w:t>
      </w:r>
      <w:r w:rsidRPr="00022F29">
        <w:rPr>
          <w:rFonts w:ascii="Calibri" w:eastAsia="Calibri" w:hAnsi="Calibri" w:cs="Times New Roman"/>
        </w:rPr>
        <w:tab/>
        <w:t>6</w:t>
      </w:r>
    </w:p>
    <w:p w14:paraId="4D3584E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2</w:t>
      </w:r>
      <w:r w:rsidRPr="00022F29">
        <w:rPr>
          <w:rFonts w:ascii="Calibri" w:eastAsia="Calibri" w:hAnsi="Calibri" w:cs="Times New Roman"/>
        </w:rPr>
        <w:tab/>
        <w:t>A*FQuartile*AgeBinary*RecoveryA*GenderX</w:t>
      </w:r>
      <w:r w:rsidRPr="00022F29">
        <w:rPr>
          <w:rFonts w:ascii="Calibri" w:eastAsia="Calibri" w:hAnsi="Calibri" w:cs="Times New Roman"/>
        </w:rPr>
        <w:tab/>
        <w:t>17.715</w:t>
      </w:r>
      <w:r w:rsidRPr="00022F29">
        <w:rPr>
          <w:rFonts w:ascii="Calibri" w:eastAsia="Calibri" w:hAnsi="Calibri" w:cs="Times New Roman"/>
        </w:rPr>
        <w:tab/>
        <w:t>3</w:t>
      </w:r>
      <w:r w:rsidRPr="00022F29">
        <w:rPr>
          <w:rFonts w:ascii="Calibri" w:eastAsia="Calibri" w:hAnsi="Calibri" w:cs="Times New Roman"/>
        </w:rPr>
        <w:tab/>
        <w:t>.001</w:t>
      </w:r>
      <w:r w:rsidRPr="00022F29">
        <w:rPr>
          <w:rFonts w:ascii="Calibri" w:eastAsia="Calibri" w:hAnsi="Calibri" w:cs="Times New Roman"/>
        </w:rPr>
        <w:tab/>
        <w:t>7</w:t>
      </w:r>
    </w:p>
    <w:p w14:paraId="1938449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3</w:t>
      </w:r>
      <w:r w:rsidRPr="00022F29">
        <w:rPr>
          <w:rFonts w:ascii="Calibri" w:eastAsia="Calibri" w:hAnsi="Calibri" w:cs="Times New Roman"/>
        </w:rPr>
        <w:tab/>
        <w:t>FQuartile*AgeBinary*RevoveryD*RecoveryA*GenderX</w:t>
      </w:r>
      <w:r w:rsidRPr="00022F29">
        <w:rPr>
          <w:rFonts w:ascii="Calibri" w:eastAsia="Calibri" w:hAnsi="Calibri" w:cs="Times New Roman"/>
        </w:rPr>
        <w:tab/>
        <w:t>2.858</w:t>
      </w:r>
      <w:r w:rsidRPr="00022F29">
        <w:rPr>
          <w:rFonts w:ascii="Calibri" w:eastAsia="Calibri" w:hAnsi="Calibri" w:cs="Times New Roman"/>
        </w:rPr>
        <w:tab/>
        <w:t>3</w:t>
      </w:r>
      <w:r w:rsidRPr="00022F29">
        <w:rPr>
          <w:rFonts w:ascii="Calibri" w:eastAsia="Calibri" w:hAnsi="Calibri" w:cs="Times New Roman"/>
        </w:rPr>
        <w:tab/>
        <w:t>.414</w:t>
      </w:r>
      <w:r w:rsidRPr="00022F29">
        <w:rPr>
          <w:rFonts w:ascii="Calibri" w:eastAsia="Calibri" w:hAnsi="Calibri" w:cs="Times New Roman"/>
        </w:rPr>
        <w:tab/>
        <w:t>5</w:t>
      </w:r>
    </w:p>
    <w:p w14:paraId="1EAB66C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4</w:t>
      </w:r>
      <w:r w:rsidRPr="00022F29">
        <w:rPr>
          <w:rFonts w:ascii="Calibri" w:eastAsia="Calibri" w:hAnsi="Calibri" w:cs="Times New Roman"/>
        </w:rPr>
        <w:tab/>
        <w:t>A*FQuartile*RevoveryD*GenderX</w:t>
      </w:r>
      <w:r w:rsidRPr="00022F29">
        <w:rPr>
          <w:rFonts w:ascii="Calibri" w:eastAsia="Calibri" w:hAnsi="Calibri" w:cs="Times New Roman"/>
        </w:rPr>
        <w:tab/>
        <w:t>3.958</w:t>
      </w:r>
      <w:r w:rsidRPr="00022F29">
        <w:rPr>
          <w:rFonts w:ascii="Calibri" w:eastAsia="Calibri" w:hAnsi="Calibri" w:cs="Times New Roman"/>
        </w:rPr>
        <w:tab/>
        <w:t>3</w:t>
      </w:r>
      <w:r w:rsidRPr="00022F29">
        <w:rPr>
          <w:rFonts w:ascii="Calibri" w:eastAsia="Calibri" w:hAnsi="Calibri" w:cs="Times New Roman"/>
        </w:rPr>
        <w:tab/>
        <w:t>.266</w:t>
      </w:r>
      <w:r w:rsidRPr="00022F29">
        <w:rPr>
          <w:rFonts w:ascii="Calibri" w:eastAsia="Calibri" w:hAnsi="Calibri" w:cs="Times New Roman"/>
        </w:rPr>
        <w:tab/>
        <w:t>6</w:t>
      </w:r>
    </w:p>
    <w:p w14:paraId="30930D6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5</w:t>
      </w:r>
      <w:r w:rsidRPr="00022F29">
        <w:rPr>
          <w:rFonts w:ascii="Calibri" w:eastAsia="Calibri" w:hAnsi="Calibri" w:cs="Times New Roman"/>
        </w:rPr>
        <w:tab/>
        <w:t>A*AgeBinary*RevoveryD*GenderX</w:t>
      </w:r>
      <w:r w:rsidRPr="00022F29">
        <w:rPr>
          <w:rFonts w:ascii="Calibri" w:eastAsia="Calibri" w:hAnsi="Calibri" w:cs="Times New Roman"/>
        </w:rPr>
        <w:tab/>
        <w:t>.262</w:t>
      </w:r>
      <w:r w:rsidRPr="00022F29">
        <w:rPr>
          <w:rFonts w:ascii="Calibri" w:eastAsia="Calibri" w:hAnsi="Calibri" w:cs="Times New Roman"/>
        </w:rPr>
        <w:tab/>
        <w:t>1</w:t>
      </w:r>
      <w:r w:rsidRPr="00022F29">
        <w:rPr>
          <w:rFonts w:ascii="Calibri" w:eastAsia="Calibri" w:hAnsi="Calibri" w:cs="Times New Roman"/>
        </w:rPr>
        <w:tab/>
        <w:t>.609</w:t>
      </w:r>
      <w:r w:rsidRPr="00022F29">
        <w:rPr>
          <w:rFonts w:ascii="Calibri" w:eastAsia="Calibri" w:hAnsi="Calibri" w:cs="Times New Roman"/>
        </w:rPr>
        <w:tab/>
        <w:t>5</w:t>
      </w:r>
    </w:p>
    <w:p w14:paraId="14750C5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6</w:t>
      </w:r>
      <w:r w:rsidRPr="00022F29">
        <w:rPr>
          <w:rFonts w:ascii="Calibri" w:eastAsia="Calibri" w:hAnsi="Calibri" w:cs="Times New Roman"/>
        </w:rPr>
        <w:tab/>
        <w:t>Generating Classb</w:t>
      </w:r>
      <w:r w:rsidRPr="00022F29">
        <w:rPr>
          <w:rFonts w:ascii="Calibri" w:eastAsia="Calibri" w:hAnsi="Calibri" w:cs="Times New Roman"/>
        </w:rPr>
        <w:tab/>
      </w:r>
      <w:r w:rsidRPr="00022F29">
        <w:rPr>
          <w:rFonts w:ascii="Calibri" w:eastAsia="Calibri" w:hAnsi="Calibri" w:cs="Times New Roman"/>
        </w:rPr>
        <w:tab/>
        <w:t>A*FQuartile*AgeBinary*RevoveryD*RecoveryA, A*FQuartile*AgeBinary*RecoveryA*GenderX, FQuartile*AgeBinary*RevoveryD*RecoveryA*GenderX, A*FQuartile*RevoveryD*GenderX</w:t>
      </w:r>
      <w:r w:rsidRPr="00022F29">
        <w:rPr>
          <w:rFonts w:ascii="Calibri" w:eastAsia="Calibri" w:hAnsi="Calibri" w:cs="Times New Roman"/>
        </w:rPr>
        <w:tab/>
        <w:t>2.242</w:t>
      </w:r>
      <w:r w:rsidRPr="00022F29">
        <w:rPr>
          <w:rFonts w:ascii="Calibri" w:eastAsia="Calibri" w:hAnsi="Calibri" w:cs="Times New Roman"/>
        </w:rPr>
        <w:tab/>
        <w:t>12</w:t>
      </w:r>
      <w:r w:rsidRPr="00022F29">
        <w:rPr>
          <w:rFonts w:ascii="Calibri" w:eastAsia="Calibri" w:hAnsi="Calibri" w:cs="Times New Roman"/>
        </w:rPr>
        <w:tab/>
        <w:t>.999</w:t>
      </w:r>
      <w:r w:rsidRPr="00022F29">
        <w:rPr>
          <w:rFonts w:ascii="Calibri" w:eastAsia="Calibri" w:hAnsi="Calibri" w:cs="Times New Roman"/>
        </w:rPr>
        <w:tab/>
      </w:r>
    </w:p>
    <w:p w14:paraId="6967581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Deleted Effect</w:t>
      </w:r>
      <w:r w:rsidRPr="00022F29">
        <w:rPr>
          <w:rFonts w:ascii="Calibri" w:eastAsia="Calibri" w:hAnsi="Calibri" w:cs="Times New Roman"/>
        </w:rPr>
        <w:tab/>
        <w:t>1</w:t>
      </w:r>
      <w:r w:rsidRPr="00022F29">
        <w:rPr>
          <w:rFonts w:ascii="Calibri" w:eastAsia="Calibri" w:hAnsi="Calibri" w:cs="Times New Roman"/>
        </w:rPr>
        <w:tab/>
        <w:t>A*FQuartile*AgeBinary*RevoveryD*RecoveryA</w:t>
      </w:r>
      <w:r w:rsidRPr="00022F29">
        <w:rPr>
          <w:rFonts w:ascii="Calibri" w:eastAsia="Calibri" w:hAnsi="Calibri" w:cs="Times New Roman"/>
        </w:rPr>
        <w:tab/>
        <w:t>5.931</w:t>
      </w:r>
      <w:r w:rsidRPr="00022F29">
        <w:rPr>
          <w:rFonts w:ascii="Calibri" w:eastAsia="Calibri" w:hAnsi="Calibri" w:cs="Times New Roman"/>
        </w:rPr>
        <w:tab/>
        <w:t>3</w:t>
      </w:r>
      <w:r w:rsidRPr="00022F29">
        <w:rPr>
          <w:rFonts w:ascii="Calibri" w:eastAsia="Calibri" w:hAnsi="Calibri" w:cs="Times New Roman"/>
        </w:rPr>
        <w:tab/>
        <w:t>.115</w:t>
      </w:r>
      <w:r w:rsidRPr="00022F29">
        <w:rPr>
          <w:rFonts w:ascii="Calibri" w:eastAsia="Calibri" w:hAnsi="Calibri" w:cs="Times New Roman"/>
        </w:rPr>
        <w:tab/>
        <w:t>4</w:t>
      </w:r>
    </w:p>
    <w:p w14:paraId="3CAB7F8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2</w:t>
      </w:r>
      <w:r w:rsidRPr="00022F29">
        <w:rPr>
          <w:rFonts w:ascii="Calibri" w:eastAsia="Calibri" w:hAnsi="Calibri" w:cs="Times New Roman"/>
        </w:rPr>
        <w:tab/>
        <w:t>A*FQuartile*AgeBinary*RecoveryA*GenderX</w:t>
      </w:r>
      <w:r w:rsidRPr="00022F29">
        <w:rPr>
          <w:rFonts w:ascii="Calibri" w:eastAsia="Calibri" w:hAnsi="Calibri" w:cs="Times New Roman"/>
        </w:rPr>
        <w:tab/>
        <w:t>17.842</w:t>
      </w:r>
      <w:r w:rsidRPr="00022F29">
        <w:rPr>
          <w:rFonts w:ascii="Calibri" w:eastAsia="Calibri" w:hAnsi="Calibri" w:cs="Times New Roman"/>
        </w:rPr>
        <w:tab/>
        <w:t>3</w:t>
      </w:r>
      <w:r w:rsidRPr="00022F29">
        <w:rPr>
          <w:rFonts w:ascii="Calibri" w:eastAsia="Calibri" w:hAnsi="Calibri" w:cs="Times New Roman"/>
        </w:rPr>
        <w:tab/>
        <w:t>.000</w:t>
      </w:r>
      <w:r w:rsidRPr="00022F29">
        <w:rPr>
          <w:rFonts w:ascii="Calibri" w:eastAsia="Calibri" w:hAnsi="Calibri" w:cs="Times New Roman"/>
        </w:rPr>
        <w:tab/>
        <w:t>6</w:t>
      </w:r>
    </w:p>
    <w:p w14:paraId="1A489D6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b/>
      </w:r>
      <w:r w:rsidRPr="00022F29">
        <w:rPr>
          <w:rFonts w:ascii="Calibri" w:eastAsia="Calibri" w:hAnsi="Calibri" w:cs="Times New Roman"/>
        </w:rPr>
        <w:tab/>
        <w:t>3</w:t>
      </w:r>
      <w:r w:rsidRPr="00022F29">
        <w:rPr>
          <w:rFonts w:ascii="Calibri" w:eastAsia="Calibri" w:hAnsi="Calibri" w:cs="Times New Roman"/>
        </w:rPr>
        <w:tab/>
        <w:t>FQuartile*AgeBinary*RevoveryD*RecoveryA*GenderX</w:t>
      </w:r>
      <w:r w:rsidRPr="00022F29">
        <w:rPr>
          <w:rFonts w:ascii="Calibri" w:eastAsia="Calibri" w:hAnsi="Calibri" w:cs="Times New Roman"/>
        </w:rPr>
        <w:tab/>
        <w:t>2.766</w:t>
      </w:r>
      <w:r w:rsidRPr="00022F29">
        <w:rPr>
          <w:rFonts w:ascii="Calibri" w:eastAsia="Calibri" w:hAnsi="Calibri" w:cs="Times New Roman"/>
        </w:rPr>
        <w:tab/>
        <w:t>3</w:t>
      </w:r>
      <w:r w:rsidRPr="00022F29">
        <w:rPr>
          <w:rFonts w:ascii="Calibri" w:eastAsia="Calibri" w:hAnsi="Calibri" w:cs="Times New Roman"/>
        </w:rPr>
        <w:tab/>
        <w:t>.429</w:t>
      </w:r>
      <w:r w:rsidRPr="00022F29">
        <w:rPr>
          <w:rFonts w:ascii="Calibri" w:eastAsia="Calibri" w:hAnsi="Calibri" w:cs="Times New Roman"/>
        </w:rPr>
        <w:tab/>
        <w:t>5</w:t>
      </w:r>
    </w:p>
    <w:p w14:paraId="6ECB9B8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4</w:t>
      </w:r>
      <w:r w:rsidRPr="00022F29">
        <w:rPr>
          <w:rFonts w:ascii="Calibri" w:eastAsia="Calibri" w:hAnsi="Calibri" w:cs="Times New Roman"/>
        </w:rPr>
        <w:tab/>
        <w:t>A*FQuartile*RevoveryD*GenderX</w:t>
      </w:r>
      <w:r w:rsidRPr="00022F29">
        <w:rPr>
          <w:rFonts w:ascii="Calibri" w:eastAsia="Calibri" w:hAnsi="Calibri" w:cs="Times New Roman"/>
        </w:rPr>
        <w:tab/>
        <w:t>4.007</w:t>
      </w:r>
      <w:r w:rsidRPr="00022F29">
        <w:rPr>
          <w:rFonts w:ascii="Calibri" w:eastAsia="Calibri" w:hAnsi="Calibri" w:cs="Times New Roman"/>
        </w:rPr>
        <w:tab/>
        <w:t>3</w:t>
      </w:r>
      <w:r w:rsidRPr="00022F29">
        <w:rPr>
          <w:rFonts w:ascii="Calibri" w:eastAsia="Calibri" w:hAnsi="Calibri" w:cs="Times New Roman"/>
        </w:rPr>
        <w:tab/>
        <w:t>.261</w:t>
      </w:r>
      <w:r w:rsidRPr="00022F29">
        <w:rPr>
          <w:rFonts w:ascii="Calibri" w:eastAsia="Calibri" w:hAnsi="Calibri" w:cs="Times New Roman"/>
        </w:rPr>
        <w:tab/>
        <w:t>8</w:t>
      </w:r>
    </w:p>
    <w:p w14:paraId="141AC12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7</w:t>
      </w:r>
      <w:r w:rsidRPr="00022F29">
        <w:rPr>
          <w:rFonts w:ascii="Calibri" w:eastAsia="Calibri" w:hAnsi="Calibri" w:cs="Times New Roman"/>
        </w:rPr>
        <w:tab/>
        <w:t>Generating Classb</w:t>
      </w:r>
      <w:r w:rsidRPr="00022F29">
        <w:rPr>
          <w:rFonts w:ascii="Calibri" w:eastAsia="Calibri" w:hAnsi="Calibri" w:cs="Times New Roman"/>
        </w:rPr>
        <w:tab/>
      </w:r>
      <w:r w:rsidRPr="00022F29">
        <w:rPr>
          <w:rFonts w:ascii="Calibri" w:eastAsia="Calibri" w:hAnsi="Calibri" w:cs="Times New Roman"/>
        </w:rPr>
        <w:tab/>
        <w:t>A*FQuartile*AgeBinary*RevoveryD*RecoveryA, A*FQuartile*AgeBinary*RecoveryA*GenderX, A*FQuartile*RevoveryD*GenderX, FQuartile*AgeBinary*RevoveryD*GenderX, FQuartile*RevoveryD*RecoveryA*GenderX, AgeBinary*RevoveryD*RecoveryA*GenderX</w:t>
      </w:r>
      <w:r w:rsidRPr="00022F29">
        <w:rPr>
          <w:rFonts w:ascii="Calibri" w:eastAsia="Calibri" w:hAnsi="Calibri" w:cs="Times New Roman"/>
        </w:rPr>
        <w:tab/>
        <w:t>5.007</w:t>
      </w:r>
      <w:r w:rsidRPr="00022F29">
        <w:rPr>
          <w:rFonts w:ascii="Calibri" w:eastAsia="Calibri" w:hAnsi="Calibri" w:cs="Times New Roman"/>
        </w:rPr>
        <w:tab/>
        <w:t>15</w:t>
      </w:r>
      <w:r w:rsidRPr="00022F29">
        <w:rPr>
          <w:rFonts w:ascii="Calibri" w:eastAsia="Calibri" w:hAnsi="Calibri" w:cs="Times New Roman"/>
        </w:rPr>
        <w:tab/>
        <w:t>.992</w:t>
      </w:r>
      <w:r w:rsidRPr="00022F29">
        <w:rPr>
          <w:rFonts w:ascii="Calibri" w:eastAsia="Calibri" w:hAnsi="Calibri" w:cs="Times New Roman"/>
        </w:rPr>
        <w:tab/>
      </w:r>
    </w:p>
    <w:p w14:paraId="617165C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Deleted Effect</w:t>
      </w:r>
      <w:r w:rsidRPr="00022F29">
        <w:rPr>
          <w:rFonts w:ascii="Calibri" w:eastAsia="Calibri" w:hAnsi="Calibri" w:cs="Times New Roman"/>
        </w:rPr>
        <w:tab/>
        <w:t>1</w:t>
      </w:r>
      <w:r w:rsidRPr="00022F29">
        <w:rPr>
          <w:rFonts w:ascii="Calibri" w:eastAsia="Calibri" w:hAnsi="Calibri" w:cs="Times New Roman"/>
        </w:rPr>
        <w:tab/>
        <w:t>A*FQuartile*AgeBinary*RevoveryD*RecoveryA</w:t>
      </w:r>
      <w:r w:rsidRPr="00022F29">
        <w:rPr>
          <w:rFonts w:ascii="Calibri" w:eastAsia="Calibri" w:hAnsi="Calibri" w:cs="Times New Roman"/>
        </w:rPr>
        <w:tab/>
        <w:t>5.130</w:t>
      </w:r>
      <w:r w:rsidRPr="00022F29">
        <w:rPr>
          <w:rFonts w:ascii="Calibri" w:eastAsia="Calibri" w:hAnsi="Calibri" w:cs="Times New Roman"/>
        </w:rPr>
        <w:tab/>
        <w:t>3</w:t>
      </w:r>
      <w:r w:rsidRPr="00022F29">
        <w:rPr>
          <w:rFonts w:ascii="Calibri" w:eastAsia="Calibri" w:hAnsi="Calibri" w:cs="Times New Roman"/>
        </w:rPr>
        <w:tab/>
        <w:t>.163</w:t>
      </w:r>
      <w:r w:rsidRPr="00022F29">
        <w:rPr>
          <w:rFonts w:ascii="Calibri" w:eastAsia="Calibri" w:hAnsi="Calibri" w:cs="Times New Roman"/>
        </w:rPr>
        <w:tab/>
        <w:t>4</w:t>
      </w:r>
    </w:p>
    <w:p w14:paraId="5659CD3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2</w:t>
      </w:r>
      <w:r w:rsidRPr="00022F29">
        <w:rPr>
          <w:rFonts w:ascii="Calibri" w:eastAsia="Calibri" w:hAnsi="Calibri" w:cs="Times New Roman"/>
        </w:rPr>
        <w:tab/>
        <w:t>A*FQuartile*AgeBinary*RecoveryA*GenderX</w:t>
      </w:r>
      <w:r w:rsidRPr="00022F29">
        <w:rPr>
          <w:rFonts w:ascii="Calibri" w:eastAsia="Calibri" w:hAnsi="Calibri" w:cs="Times New Roman"/>
        </w:rPr>
        <w:tab/>
        <w:t>16.492</w:t>
      </w:r>
      <w:r w:rsidRPr="00022F29">
        <w:rPr>
          <w:rFonts w:ascii="Calibri" w:eastAsia="Calibri" w:hAnsi="Calibri" w:cs="Times New Roman"/>
        </w:rPr>
        <w:tab/>
        <w:t>3</w:t>
      </w:r>
      <w:r w:rsidRPr="00022F29">
        <w:rPr>
          <w:rFonts w:ascii="Calibri" w:eastAsia="Calibri" w:hAnsi="Calibri" w:cs="Times New Roman"/>
        </w:rPr>
        <w:tab/>
        <w:t>.001</w:t>
      </w:r>
      <w:r w:rsidRPr="00022F29">
        <w:rPr>
          <w:rFonts w:ascii="Calibri" w:eastAsia="Calibri" w:hAnsi="Calibri" w:cs="Times New Roman"/>
        </w:rPr>
        <w:tab/>
        <w:t>6</w:t>
      </w:r>
    </w:p>
    <w:p w14:paraId="4E21CB7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3</w:t>
      </w:r>
      <w:r w:rsidRPr="00022F29">
        <w:rPr>
          <w:rFonts w:ascii="Calibri" w:eastAsia="Calibri" w:hAnsi="Calibri" w:cs="Times New Roman"/>
        </w:rPr>
        <w:tab/>
        <w:t>A*FQuartile*RevoveryD*GenderX</w:t>
      </w:r>
      <w:r w:rsidRPr="00022F29">
        <w:rPr>
          <w:rFonts w:ascii="Calibri" w:eastAsia="Calibri" w:hAnsi="Calibri" w:cs="Times New Roman"/>
        </w:rPr>
        <w:tab/>
        <w:t>4.366</w:t>
      </w:r>
      <w:r w:rsidRPr="00022F29">
        <w:rPr>
          <w:rFonts w:ascii="Calibri" w:eastAsia="Calibri" w:hAnsi="Calibri" w:cs="Times New Roman"/>
        </w:rPr>
        <w:tab/>
        <w:t>3</w:t>
      </w:r>
      <w:r w:rsidRPr="00022F29">
        <w:rPr>
          <w:rFonts w:ascii="Calibri" w:eastAsia="Calibri" w:hAnsi="Calibri" w:cs="Times New Roman"/>
        </w:rPr>
        <w:tab/>
        <w:t>.225</w:t>
      </w:r>
      <w:r w:rsidRPr="00022F29">
        <w:rPr>
          <w:rFonts w:ascii="Calibri" w:eastAsia="Calibri" w:hAnsi="Calibri" w:cs="Times New Roman"/>
        </w:rPr>
        <w:tab/>
        <w:t>7</w:t>
      </w:r>
    </w:p>
    <w:p w14:paraId="01872E9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4</w:t>
      </w:r>
      <w:r w:rsidRPr="00022F29">
        <w:rPr>
          <w:rFonts w:ascii="Calibri" w:eastAsia="Calibri" w:hAnsi="Calibri" w:cs="Times New Roman"/>
        </w:rPr>
        <w:tab/>
        <w:t>FQuartile*AgeBinary*RevoveryD*GenderX</w:t>
      </w:r>
      <w:r w:rsidRPr="00022F29">
        <w:rPr>
          <w:rFonts w:ascii="Calibri" w:eastAsia="Calibri" w:hAnsi="Calibri" w:cs="Times New Roman"/>
        </w:rPr>
        <w:tab/>
        <w:t>3.683</w:t>
      </w:r>
      <w:r w:rsidRPr="00022F29">
        <w:rPr>
          <w:rFonts w:ascii="Calibri" w:eastAsia="Calibri" w:hAnsi="Calibri" w:cs="Times New Roman"/>
        </w:rPr>
        <w:tab/>
        <w:t>3</w:t>
      </w:r>
      <w:r w:rsidRPr="00022F29">
        <w:rPr>
          <w:rFonts w:ascii="Calibri" w:eastAsia="Calibri" w:hAnsi="Calibri" w:cs="Times New Roman"/>
        </w:rPr>
        <w:tab/>
        <w:t>.298</w:t>
      </w:r>
      <w:r w:rsidRPr="00022F29">
        <w:rPr>
          <w:rFonts w:ascii="Calibri" w:eastAsia="Calibri" w:hAnsi="Calibri" w:cs="Times New Roman"/>
        </w:rPr>
        <w:tab/>
        <w:t>4</w:t>
      </w:r>
    </w:p>
    <w:p w14:paraId="3A13C7C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5</w:t>
      </w:r>
      <w:r w:rsidRPr="00022F29">
        <w:rPr>
          <w:rFonts w:ascii="Calibri" w:eastAsia="Calibri" w:hAnsi="Calibri" w:cs="Times New Roman"/>
        </w:rPr>
        <w:tab/>
        <w:t>FQuartile*RevoveryD*RecoveryA*GenderX</w:t>
      </w:r>
      <w:r w:rsidRPr="00022F29">
        <w:rPr>
          <w:rFonts w:ascii="Calibri" w:eastAsia="Calibri" w:hAnsi="Calibri" w:cs="Times New Roman"/>
        </w:rPr>
        <w:tab/>
        <w:t>3.249</w:t>
      </w:r>
      <w:r w:rsidRPr="00022F29">
        <w:rPr>
          <w:rFonts w:ascii="Calibri" w:eastAsia="Calibri" w:hAnsi="Calibri" w:cs="Times New Roman"/>
        </w:rPr>
        <w:tab/>
        <w:t>3</w:t>
      </w:r>
      <w:r w:rsidRPr="00022F29">
        <w:rPr>
          <w:rFonts w:ascii="Calibri" w:eastAsia="Calibri" w:hAnsi="Calibri" w:cs="Times New Roman"/>
        </w:rPr>
        <w:tab/>
        <w:t>.355</w:t>
      </w:r>
      <w:r w:rsidRPr="00022F29">
        <w:rPr>
          <w:rFonts w:ascii="Calibri" w:eastAsia="Calibri" w:hAnsi="Calibri" w:cs="Times New Roman"/>
        </w:rPr>
        <w:tab/>
        <w:t>4</w:t>
      </w:r>
    </w:p>
    <w:p w14:paraId="23E2E99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6</w:t>
      </w:r>
      <w:r w:rsidRPr="00022F29">
        <w:rPr>
          <w:rFonts w:ascii="Calibri" w:eastAsia="Calibri" w:hAnsi="Calibri" w:cs="Times New Roman"/>
        </w:rPr>
        <w:tab/>
        <w:t>AgeBinary*RevoveryD*RecoveryA*GenderX</w:t>
      </w:r>
      <w:r w:rsidRPr="00022F29">
        <w:rPr>
          <w:rFonts w:ascii="Calibri" w:eastAsia="Calibri" w:hAnsi="Calibri" w:cs="Times New Roman"/>
        </w:rPr>
        <w:tab/>
        <w:t>.173</w:t>
      </w:r>
      <w:r w:rsidRPr="00022F29">
        <w:rPr>
          <w:rFonts w:ascii="Calibri" w:eastAsia="Calibri" w:hAnsi="Calibri" w:cs="Times New Roman"/>
        </w:rPr>
        <w:tab/>
        <w:t>1</w:t>
      </w:r>
      <w:r w:rsidRPr="00022F29">
        <w:rPr>
          <w:rFonts w:ascii="Calibri" w:eastAsia="Calibri" w:hAnsi="Calibri" w:cs="Times New Roman"/>
        </w:rPr>
        <w:tab/>
        <w:t>.677</w:t>
      </w:r>
      <w:r w:rsidRPr="00022F29">
        <w:rPr>
          <w:rFonts w:ascii="Calibri" w:eastAsia="Calibri" w:hAnsi="Calibri" w:cs="Times New Roman"/>
        </w:rPr>
        <w:tab/>
        <w:t>4</w:t>
      </w:r>
    </w:p>
    <w:p w14:paraId="532921A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8</w:t>
      </w:r>
      <w:r w:rsidRPr="00022F29">
        <w:rPr>
          <w:rFonts w:ascii="Calibri" w:eastAsia="Calibri" w:hAnsi="Calibri" w:cs="Times New Roman"/>
        </w:rPr>
        <w:tab/>
        <w:t>Generating Classb</w:t>
      </w:r>
      <w:r w:rsidRPr="00022F29">
        <w:rPr>
          <w:rFonts w:ascii="Calibri" w:eastAsia="Calibri" w:hAnsi="Calibri" w:cs="Times New Roman"/>
        </w:rPr>
        <w:tab/>
      </w:r>
      <w:r w:rsidRPr="00022F29">
        <w:rPr>
          <w:rFonts w:ascii="Calibri" w:eastAsia="Calibri" w:hAnsi="Calibri" w:cs="Times New Roman"/>
        </w:rPr>
        <w:tab/>
        <w:t>A*FQuartile*AgeBinary*RevoveryD*RecoveryA, A*FQuartile*AgeBinary*RecoveryA*GenderX, A*FQuartile*RevoveryD*GenderX, FQuartile*AgeBinary*RevoveryD*GenderX, FQuartile*RevoveryD*RecoveryA*GenderX</w:t>
      </w:r>
      <w:r w:rsidRPr="00022F29">
        <w:rPr>
          <w:rFonts w:ascii="Calibri" w:eastAsia="Calibri" w:hAnsi="Calibri" w:cs="Times New Roman"/>
        </w:rPr>
        <w:tab/>
        <w:t>5.181</w:t>
      </w:r>
      <w:r w:rsidRPr="00022F29">
        <w:rPr>
          <w:rFonts w:ascii="Calibri" w:eastAsia="Calibri" w:hAnsi="Calibri" w:cs="Times New Roman"/>
        </w:rPr>
        <w:tab/>
        <w:t>16</w:t>
      </w:r>
      <w:r w:rsidRPr="00022F29">
        <w:rPr>
          <w:rFonts w:ascii="Calibri" w:eastAsia="Calibri" w:hAnsi="Calibri" w:cs="Times New Roman"/>
        </w:rPr>
        <w:tab/>
        <w:t>.995</w:t>
      </w:r>
      <w:r w:rsidRPr="00022F29">
        <w:rPr>
          <w:rFonts w:ascii="Calibri" w:eastAsia="Calibri" w:hAnsi="Calibri" w:cs="Times New Roman"/>
        </w:rPr>
        <w:tab/>
      </w:r>
    </w:p>
    <w:p w14:paraId="6BFDA41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Deleted Effect</w:t>
      </w:r>
      <w:r w:rsidRPr="00022F29">
        <w:rPr>
          <w:rFonts w:ascii="Calibri" w:eastAsia="Calibri" w:hAnsi="Calibri" w:cs="Times New Roman"/>
        </w:rPr>
        <w:tab/>
        <w:t>1</w:t>
      </w:r>
      <w:r w:rsidRPr="00022F29">
        <w:rPr>
          <w:rFonts w:ascii="Calibri" w:eastAsia="Calibri" w:hAnsi="Calibri" w:cs="Times New Roman"/>
        </w:rPr>
        <w:tab/>
        <w:t>A*FQuartile*AgeBinary*RevoveryD*RecoveryA</w:t>
      </w:r>
      <w:r w:rsidRPr="00022F29">
        <w:rPr>
          <w:rFonts w:ascii="Calibri" w:eastAsia="Calibri" w:hAnsi="Calibri" w:cs="Times New Roman"/>
        </w:rPr>
        <w:tab/>
        <w:t>4.960</w:t>
      </w:r>
      <w:r w:rsidRPr="00022F29">
        <w:rPr>
          <w:rFonts w:ascii="Calibri" w:eastAsia="Calibri" w:hAnsi="Calibri" w:cs="Times New Roman"/>
        </w:rPr>
        <w:tab/>
        <w:t>3</w:t>
      </w:r>
      <w:r w:rsidRPr="00022F29">
        <w:rPr>
          <w:rFonts w:ascii="Calibri" w:eastAsia="Calibri" w:hAnsi="Calibri" w:cs="Times New Roman"/>
        </w:rPr>
        <w:tab/>
        <w:t>.175</w:t>
      </w:r>
      <w:r w:rsidRPr="00022F29">
        <w:rPr>
          <w:rFonts w:ascii="Calibri" w:eastAsia="Calibri" w:hAnsi="Calibri" w:cs="Times New Roman"/>
        </w:rPr>
        <w:tab/>
        <w:t>4</w:t>
      </w:r>
    </w:p>
    <w:p w14:paraId="7C8BFF2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2</w:t>
      </w:r>
      <w:r w:rsidRPr="00022F29">
        <w:rPr>
          <w:rFonts w:ascii="Calibri" w:eastAsia="Calibri" w:hAnsi="Calibri" w:cs="Times New Roman"/>
        </w:rPr>
        <w:tab/>
        <w:t>A*FQuartile*AgeBinary*RecoveryA*GenderX</w:t>
      </w:r>
      <w:r w:rsidRPr="00022F29">
        <w:rPr>
          <w:rFonts w:ascii="Calibri" w:eastAsia="Calibri" w:hAnsi="Calibri" w:cs="Times New Roman"/>
        </w:rPr>
        <w:tab/>
        <w:t>16.500</w:t>
      </w:r>
      <w:r w:rsidRPr="00022F29">
        <w:rPr>
          <w:rFonts w:ascii="Calibri" w:eastAsia="Calibri" w:hAnsi="Calibri" w:cs="Times New Roman"/>
        </w:rPr>
        <w:tab/>
        <w:t>3</w:t>
      </w:r>
      <w:r w:rsidRPr="00022F29">
        <w:rPr>
          <w:rFonts w:ascii="Calibri" w:eastAsia="Calibri" w:hAnsi="Calibri" w:cs="Times New Roman"/>
        </w:rPr>
        <w:tab/>
        <w:t>.001</w:t>
      </w:r>
      <w:r w:rsidRPr="00022F29">
        <w:rPr>
          <w:rFonts w:ascii="Calibri" w:eastAsia="Calibri" w:hAnsi="Calibri" w:cs="Times New Roman"/>
        </w:rPr>
        <w:tab/>
        <w:t>6</w:t>
      </w:r>
    </w:p>
    <w:p w14:paraId="21C9943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3</w:t>
      </w:r>
      <w:r w:rsidRPr="00022F29">
        <w:rPr>
          <w:rFonts w:ascii="Calibri" w:eastAsia="Calibri" w:hAnsi="Calibri" w:cs="Times New Roman"/>
        </w:rPr>
        <w:tab/>
        <w:t>A*FQuartile*RevoveryD*GenderX</w:t>
      </w:r>
      <w:r w:rsidRPr="00022F29">
        <w:rPr>
          <w:rFonts w:ascii="Calibri" w:eastAsia="Calibri" w:hAnsi="Calibri" w:cs="Times New Roman"/>
        </w:rPr>
        <w:tab/>
        <w:t>4.203</w:t>
      </w:r>
      <w:r w:rsidRPr="00022F29">
        <w:rPr>
          <w:rFonts w:ascii="Calibri" w:eastAsia="Calibri" w:hAnsi="Calibri" w:cs="Times New Roman"/>
        </w:rPr>
        <w:tab/>
        <w:t>3</w:t>
      </w:r>
      <w:r w:rsidRPr="00022F29">
        <w:rPr>
          <w:rFonts w:ascii="Calibri" w:eastAsia="Calibri" w:hAnsi="Calibri" w:cs="Times New Roman"/>
        </w:rPr>
        <w:tab/>
        <w:t>.240</w:t>
      </w:r>
      <w:r w:rsidRPr="00022F29">
        <w:rPr>
          <w:rFonts w:ascii="Calibri" w:eastAsia="Calibri" w:hAnsi="Calibri" w:cs="Times New Roman"/>
        </w:rPr>
        <w:tab/>
        <w:t>7</w:t>
      </w:r>
    </w:p>
    <w:p w14:paraId="4D47588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4</w:t>
      </w:r>
      <w:r w:rsidRPr="00022F29">
        <w:rPr>
          <w:rFonts w:ascii="Calibri" w:eastAsia="Calibri" w:hAnsi="Calibri" w:cs="Times New Roman"/>
        </w:rPr>
        <w:tab/>
        <w:t>FQuartile*AgeBinary*RevoveryD*GenderX</w:t>
      </w:r>
      <w:r w:rsidRPr="00022F29">
        <w:rPr>
          <w:rFonts w:ascii="Calibri" w:eastAsia="Calibri" w:hAnsi="Calibri" w:cs="Times New Roman"/>
        </w:rPr>
        <w:tab/>
        <w:t>3.733</w:t>
      </w:r>
      <w:r w:rsidRPr="00022F29">
        <w:rPr>
          <w:rFonts w:ascii="Calibri" w:eastAsia="Calibri" w:hAnsi="Calibri" w:cs="Times New Roman"/>
        </w:rPr>
        <w:tab/>
        <w:t>3</w:t>
      </w:r>
      <w:r w:rsidRPr="00022F29">
        <w:rPr>
          <w:rFonts w:ascii="Calibri" w:eastAsia="Calibri" w:hAnsi="Calibri" w:cs="Times New Roman"/>
        </w:rPr>
        <w:tab/>
        <w:t>.292</w:t>
      </w:r>
      <w:r w:rsidRPr="00022F29">
        <w:rPr>
          <w:rFonts w:ascii="Calibri" w:eastAsia="Calibri" w:hAnsi="Calibri" w:cs="Times New Roman"/>
        </w:rPr>
        <w:tab/>
        <w:t>4</w:t>
      </w:r>
    </w:p>
    <w:p w14:paraId="451CBB8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5</w:t>
      </w:r>
      <w:r w:rsidRPr="00022F29">
        <w:rPr>
          <w:rFonts w:ascii="Calibri" w:eastAsia="Calibri" w:hAnsi="Calibri" w:cs="Times New Roman"/>
        </w:rPr>
        <w:tab/>
        <w:t>FQuartile*RevoveryD*RecoveryA*GenderX</w:t>
      </w:r>
      <w:r w:rsidRPr="00022F29">
        <w:rPr>
          <w:rFonts w:ascii="Calibri" w:eastAsia="Calibri" w:hAnsi="Calibri" w:cs="Times New Roman"/>
        </w:rPr>
        <w:tab/>
        <w:t>3.210</w:t>
      </w:r>
      <w:r w:rsidRPr="00022F29">
        <w:rPr>
          <w:rFonts w:ascii="Calibri" w:eastAsia="Calibri" w:hAnsi="Calibri" w:cs="Times New Roman"/>
        </w:rPr>
        <w:tab/>
        <w:t>3</w:t>
      </w:r>
      <w:r w:rsidRPr="00022F29">
        <w:rPr>
          <w:rFonts w:ascii="Calibri" w:eastAsia="Calibri" w:hAnsi="Calibri" w:cs="Times New Roman"/>
        </w:rPr>
        <w:tab/>
        <w:t>.360</w:t>
      </w:r>
      <w:r w:rsidRPr="00022F29">
        <w:rPr>
          <w:rFonts w:ascii="Calibri" w:eastAsia="Calibri" w:hAnsi="Calibri" w:cs="Times New Roman"/>
        </w:rPr>
        <w:tab/>
        <w:t>4</w:t>
      </w:r>
    </w:p>
    <w:p w14:paraId="7A537E5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9</w:t>
      </w:r>
      <w:r w:rsidRPr="00022F29">
        <w:rPr>
          <w:rFonts w:ascii="Calibri" w:eastAsia="Calibri" w:hAnsi="Calibri" w:cs="Times New Roman"/>
        </w:rPr>
        <w:tab/>
        <w:t>Generating Classb</w:t>
      </w:r>
      <w:r w:rsidRPr="00022F29">
        <w:rPr>
          <w:rFonts w:ascii="Calibri" w:eastAsia="Calibri" w:hAnsi="Calibri" w:cs="Times New Roman"/>
        </w:rPr>
        <w:tab/>
      </w:r>
      <w:r w:rsidRPr="00022F29">
        <w:rPr>
          <w:rFonts w:ascii="Calibri" w:eastAsia="Calibri" w:hAnsi="Calibri" w:cs="Times New Roman"/>
        </w:rPr>
        <w:tab/>
        <w:t>A*FQuartile*AgeBinary*RevoveryD*RecoveryA, A*FQuartile*AgeBinary*RecoveryA*GenderX, A*FQuartile*RevoveryD*GenderX, FQuartile*AgeBinary*RevoveryD*GenderX, RevoveryD*RecoveryA*GenderX</w:t>
      </w:r>
      <w:r w:rsidRPr="00022F29">
        <w:rPr>
          <w:rFonts w:ascii="Calibri" w:eastAsia="Calibri" w:hAnsi="Calibri" w:cs="Times New Roman"/>
        </w:rPr>
        <w:tab/>
        <w:t>8.391</w:t>
      </w:r>
      <w:r w:rsidRPr="00022F29">
        <w:rPr>
          <w:rFonts w:ascii="Calibri" w:eastAsia="Calibri" w:hAnsi="Calibri" w:cs="Times New Roman"/>
        </w:rPr>
        <w:tab/>
        <w:t>19</w:t>
      </w:r>
      <w:r w:rsidRPr="00022F29">
        <w:rPr>
          <w:rFonts w:ascii="Calibri" w:eastAsia="Calibri" w:hAnsi="Calibri" w:cs="Times New Roman"/>
        </w:rPr>
        <w:tab/>
        <w:t>.982</w:t>
      </w:r>
      <w:r w:rsidRPr="00022F29">
        <w:rPr>
          <w:rFonts w:ascii="Calibri" w:eastAsia="Calibri" w:hAnsi="Calibri" w:cs="Times New Roman"/>
        </w:rPr>
        <w:tab/>
      </w:r>
    </w:p>
    <w:p w14:paraId="7021B37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Deleted Effect</w:t>
      </w:r>
      <w:r w:rsidRPr="00022F29">
        <w:rPr>
          <w:rFonts w:ascii="Calibri" w:eastAsia="Calibri" w:hAnsi="Calibri" w:cs="Times New Roman"/>
        </w:rPr>
        <w:tab/>
        <w:t>1</w:t>
      </w:r>
      <w:r w:rsidRPr="00022F29">
        <w:rPr>
          <w:rFonts w:ascii="Calibri" w:eastAsia="Calibri" w:hAnsi="Calibri" w:cs="Times New Roman"/>
        </w:rPr>
        <w:tab/>
        <w:t>A*FQuartile*AgeBinary*RevoveryD*RecoveryA</w:t>
      </w:r>
      <w:r w:rsidRPr="00022F29">
        <w:rPr>
          <w:rFonts w:ascii="Calibri" w:eastAsia="Calibri" w:hAnsi="Calibri" w:cs="Times New Roman"/>
        </w:rPr>
        <w:tab/>
        <w:t>4.502</w:t>
      </w:r>
      <w:r w:rsidRPr="00022F29">
        <w:rPr>
          <w:rFonts w:ascii="Calibri" w:eastAsia="Calibri" w:hAnsi="Calibri" w:cs="Times New Roman"/>
        </w:rPr>
        <w:tab/>
        <w:t>3</w:t>
      </w:r>
      <w:r w:rsidRPr="00022F29">
        <w:rPr>
          <w:rFonts w:ascii="Calibri" w:eastAsia="Calibri" w:hAnsi="Calibri" w:cs="Times New Roman"/>
        </w:rPr>
        <w:tab/>
        <w:t>.212</w:t>
      </w:r>
      <w:r w:rsidRPr="00022F29">
        <w:rPr>
          <w:rFonts w:ascii="Calibri" w:eastAsia="Calibri" w:hAnsi="Calibri" w:cs="Times New Roman"/>
        </w:rPr>
        <w:tab/>
        <w:t>4</w:t>
      </w:r>
    </w:p>
    <w:p w14:paraId="57EE54A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2</w:t>
      </w:r>
      <w:r w:rsidRPr="00022F29">
        <w:rPr>
          <w:rFonts w:ascii="Calibri" w:eastAsia="Calibri" w:hAnsi="Calibri" w:cs="Times New Roman"/>
        </w:rPr>
        <w:tab/>
        <w:t>A*FQuartile*AgeBinary*RecoveryA*GenderX</w:t>
      </w:r>
      <w:r w:rsidRPr="00022F29">
        <w:rPr>
          <w:rFonts w:ascii="Calibri" w:eastAsia="Calibri" w:hAnsi="Calibri" w:cs="Times New Roman"/>
        </w:rPr>
        <w:tab/>
        <w:t>15.195</w:t>
      </w:r>
      <w:r w:rsidRPr="00022F29">
        <w:rPr>
          <w:rFonts w:ascii="Calibri" w:eastAsia="Calibri" w:hAnsi="Calibri" w:cs="Times New Roman"/>
        </w:rPr>
        <w:tab/>
        <w:t>3</w:t>
      </w:r>
      <w:r w:rsidRPr="00022F29">
        <w:rPr>
          <w:rFonts w:ascii="Calibri" w:eastAsia="Calibri" w:hAnsi="Calibri" w:cs="Times New Roman"/>
        </w:rPr>
        <w:tab/>
        <w:t>.002</w:t>
      </w:r>
      <w:r w:rsidRPr="00022F29">
        <w:rPr>
          <w:rFonts w:ascii="Calibri" w:eastAsia="Calibri" w:hAnsi="Calibri" w:cs="Times New Roman"/>
        </w:rPr>
        <w:tab/>
        <w:t>6</w:t>
      </w:r>
    </w:p>
    <w:p w14:paraId="6D32CA6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3</w:t>
      </w:r>
      <w:r w:rsidRPr="00022F29">
        <w:rPr>
          <w:rFonts w:ascii="Calibri" w:eastAsia="Calibri" w:hAnsi="Calibri" w:cs="Times New Roman"/>
        </w:rPr>
        <w:tab/>
        <w:t>A*FQuartile*RevoveryD*GenderX</w:t>
      </w:r>
      <w:r w:rsidRPr="00022F29">
        <w:rPr>
          <w:rFonts w:ascii="Calibri" w:eastAsia="Calibri" w:hAnsi="Calibri" w:cs="Times New Roman"/>
        </w:rPr>
        <w:tab/>
        <w:t>4.501</w:t>
      </w:r>
      <w:r w:rsidRPr="00022F29">
        <w:rPr>
          <w:rFonts w:ascii="Calibri" w:eastAsia="Calibri" w:hAnsi="Calibri" w:cs="Times New Roman"/>
        </w:rPr>
        <w:tab/>
        <w:t>3</w:t>
      </w:r>
      <w:r w:rsidRPr="00022F29">
        <w:rPr>
          <w:rFonts w:ascii="Calibri" w:eastAsia="Calibri" w:hAnsi="Calibri" w:cs="Times New Roman"/>
        </w:rPr>
        <w:tab/>
        <w:t>.212</w:t>
      </w:r>
      <w:r w:rsidRPr="00022F29">
        <w:rPr>
          <w:rFonts w:ascii="Calibri" w:eastAsia="Calibri" w:hAnsi="Calibri" w:cs="Times New Roman"/>
        </w:rPr>
        <w:tab/>
        <w:t>7</w:t>
      </w:r>
    </w:p>
    <w:p w14:paraId="508BF10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4</w:t>
      </w:r>
      <w:r w:rsidRPr="00022F29">
        <w:rPr>
          <w:rFonts w:ascii="Calibri" w:eastAsia="Calibri" w:hAnsi="Calibri" w:cs="Times New Roman"/>
        </w:rPr>
        <w:tab/>
        <w:t>FQuartile*AgeBinary*RevoveryD*GenderX</w:t>
      </w:r>
      <w:r w:rsidRPr="00022F29">
        <w:rPr>
          <w:rFonts w:ascii="Calibri" w:eastAsia="Calibri" w:hAnsi="Calibri" w:cs="Times New Roman"/>
        </w:rPr>
        <w:tab/>
        <w:t>2.859</w:t>
      </w:r>
      <w:r w:rsidRPr="00022F29">
        <w:rPr>
          <w:rFonts w:ascii="Calibri" w:eastAsia="Calibri" w:hAnsi="Calibri" w:cs="Times New Roman"/>
        </w:rPr>
        <w:tab/>
        <w:t>3</w:t>
      </w:r>
      <w:r w:rsidRPr="00022F29">
        <w:rPr>
          <w:rFonts w:ascii="Calibri" w:eastAsia="Calibri" w:hAnsi="Calibri" w:cs="Times New Roman"/>
        </w:rPr>
        <w:tab/>
        <w:t>.414</w:t>
      </w:r>
      <w:r w:rsidRPr="00022F29">
        <w:rPr>
          <w:rFonts w:ascii="Calibri" w:eastAsia="Calibri" w:hAnsi="Calibri" w:cs="Times New Roman"/>
        </w:rPr>
        <w:tab/>
        <w:t>4</w:t>
      </w:r>
    </w:p>
    <w:p w14:paraId="23A9FC6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5</w:t>
      </w:r>
      <w:r w:rsidRPr="00022F29">
        <w:rPr>
          <w:rFonts w:ascii="Calibri" w:eastAsia="Calibri" w:hAnsi="Calibri" w:cs="Times New Roman"/>
        </w:rPr>
        <w:tab/>
        <w:t>RevoveryD*RecoveryA*GenderX</w:t>
      </w:r>
      <w:r w:rsidRPr="00022F29">
        <w:rPr>
          <w:rFonts w:ascii="Calibri" w:eastAsia="Calibri" w:hAnsi="Calibri" w:cs="Times New Roman"/>
        </w:rPr>
        <w:tab/>
        <w:t>.936</w:t>
      </w:r>
      <w:r w:rsidRPr="00022F29">
        <w:rPr>
          <w:rFonts w:ascii="Calibri" w:eastAsia="Calibri" w:hAnsi="Calibri" w:cs="Times New Roman"/>
        </w:rPr>
        <w:tab/>
        <w:t>1</w:t>
      </w:r>
      <w:r w:rsidRPr="00022F29">
        <w:rPr>
          <w:rFonts w:ascii="Calibri" w:eastAsia="Calibri" w:hAnsi="Calibri" w:cs="Times New Roman"/>
        </w:rPr>
        <w:tab/>
        <w:t>.333</w:t>
      </w:r>
      <w:r w:rsidRPr="00022F29">
        <w:rPr>
          <w:rFonts w:ascii="Calibri" w:eastAsia="Calibri" w:hAnsi="Calibri" w:cs="Times New Roman"/>
        </w:rPr>
        <w:tab/>
        <w:t>4</w:t>
      </w:r>
    </w:p>
    <w:p w14:paraId="4B4495A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10</w:t>
      </w:r>
      <w:r w:rsidRPr="00022F29">
        <w:rPr>
          <w:rFonts w:ascii="Calibri" w:eastAsia="Calibri" w:hAnsi="Calibri" w:cs="Times New Roman"/>
        </w:rPr>
        <w:tab/>
        <w:t>Generating Classb</w:t>
      </w:r>
      <w:r w:rsidRPr="00022F29">
        <w:rPr>
          <w:rFonts w:ascii="Calibri" w:eastAsia="Calibri" w:hAnsi="Calibri" w:cs="Times New Roman"/>
        </w:rPr>
        <w:tab/>
      </w:r>
      <w:r w:rsidRPr="00022F29">
        <w:rPr>
          <w:rFonts w:ascii="Calibri" w:eastAsia="Calibri" w:hAnsi="Calibri" w:cs="Times New Roman"/>
        </w:rPr>
        <w:tab/>
        <w:t>A*FQuartile*AgeBinary*RevoveryD*RecoveryA, A*FQuartile*AgeBinary*RecoveryA*GenderX, A*FQuartile*RevoveryD*GenderX, RevoveryD*RecoveryA*GenderX, AgeBinary*RevoveryD*GenderX</w:t>
      </w:r>
      <w:r w:rsidRPr="00022F29">
        <w:rPr>
          <w:rFonts w:ascii="Calibri" w:eastAsia="Calibri" w:hAnsi="Calibri" w:cs="Times New Roman"/>
        </w:rPr>
        <w:tab/>
        <w:t>11.250</w:t>
      </w:r>
      <w:r w:rsidRPr="00022F29">
        <w:rPr>
          <w:rFonts w:ascii="Calibri" w:eastAsia="Calibri" w:hAnsi="Calibri" w:cs="Times New Roman"/>
        </w:rPr>
        <w:tab/>
        <w:t>22</w:t>
      </w:r>
      <w:r w:rsidRPr="00022F29">
        <w:rPr>
          <w:rFonts w:ascii="Calibri" w:eastAsia="Calibri" w:hAnsi="Calibri" w:cs="Times New Roman"/>
        </w:rPr>
        <w:tab/>
        <w:t>.971</w:t>
      </w:r>
      <w:r w:rsidRPr="00022F29">
        <w:rPr>
          <w:rFonts w:ascii="Calibri" w:eastAsia="Calibri" w:hAnsi="Calibri" w:cs="Times New Roman"/>
        </w:rPr>
        <w:tab/>
      </w:r>
    </w:p>
    <w:p w14:paraId="212DA47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 At each step, the effect with the largest significance level for the Likelihood Ratio Change is deleted, provided the significance level is larger than .050.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6F0A8A8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b Statistics are displayed for the best model at each step after step 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0270F9B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 For 'Deleted Effect', this is the change in the Chi-Square after the effect is deleted from the model.</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4329B761" w14:textId="77777777" w:rsidR="00022F29" w:rsidRPr="00022F29" w:rsidRDefault="00022F29" w:rsidP="00022F29">
      <w:pPr>
        <w:rPr>
          <w:rFonts w:ascii="Calibri" w:eastAsia="Calibri" w:hAnsi="Calibri" w:cs="Times New Roman"/>
        </w:rPr>
      </w:pPr>
    </w:p>
    <w:p w14:paraId="326CD76A" w14:textId="77777777" w:rsidR="00022F29" w:rsidRPr="00022F29" w:rsidRDefault="00022F29" w:rsidP="00022F29">
      <w:pPr>
        <w:rPr>
          <w:rFonts w:ascii="Calibri" w:eastAsia="Calibri" w:hAnsi="Calibri" w:cs="Times New Roman"/>
        </w:rPr>
      </w:pPr>
    </w:p>
    <w:p w14:paraId="1490B974" w14:textId="77777777" w:rsidR="00022F29" w:rsidRPr="00022F29" w:rsidRDefault="00022F29" w:rsidP="00022F29">
      <w:pPr>
        <w:rPr>
          <w:rFonts w:ascii="Calibri" w:eastAsia="Calibri" w:hAnsi="Calibri" w:cs="Times New Roman"/>
        </w:rPr>
      </w:pPr>
    </w:p>
    <w:p w14:paraId="0F27569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Convergence Informationa</w:t>
      </w:r>
      <w:r w:rsidRPr="00022F29">
        <w:rPr>
          <w:rFonts w:ascii="Calibri" w:eastAsia="Calibri" w:hAnsi="Calibri" w:cs="Times New Roman"/>
        </w:rPr>
        <w:tab/>
      </w:r>
    </w:p>
    <w:p w14:paraId="73324C6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Generating Class</w:t>
      </w:r>
      <w:r w:rsidRPr="00022F29">
        <w:rPr>
          <w:rFonts w:ascii="Calibri" w:eastAsia="Calibri" w:hAnsi="Calibri" w:cs="Times New Roman"/>
        </w:rPr>
        <w:tab/>
        <w:t>A*FQuartile*AgeBinary*RevoveryD*RecoveryA, A*FQuartile*AgeBinary*RecoveryA*GenderX, A*FQuartile*RevoveryD*GenderX, RevoveryD*RecoveryA*GenderX, AgeBinary*RevoveryD*GenderX</w:t>
      </w:r>
    </w:p>
    <w:p w14:paraId="6BA8F76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Number of Iterations</w:t>
      </w:r>
      <w:r w:rsidRPr="00022F29">
        <w:rPr>
          <w:rFonts w:ascii="Calibri" w:eastAsia="Calibri" w:hAnsi="Calibri" w:cs="Times New Roman"/>
        </w:rPr>
        <w:tab/>
        <w:t>0</w:t>
      </w:r>
    </w:p>
    <w:p w14:paraId="4C29413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Max. Difference between Observed and Fitted Marginals</w:t>
      </w:r>
      <w:r w:rsidRPr="00022F29">
        <w:rPr>
          <w:rFonts w:ascii="Calibri" w:eastAsia="Calibri" w:hAnsi="Calibri" w:cs="Times New Roman"/>
        </w:rPr>
        <w:tab/>
        <w:t>.000</w:t>
      </w:r>
    </w:p>
    <w:p w14:paraId="65B746A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Convergence Criterion</w:t>
      </w:r>
      <w:r w:rsidRPr="00022F29">
        <w:rPr>
          <w:rFonts w:ascii="Calibri" w:eastAsia="Calibri" w:hAnsi="Calibri" w:cs="Times New Roman"/>
        </w:rPr>
        <w:tab/>
        <w:t>.250</w:t>
      </w:r>
    </w:p>
    <w:p w14:paraId="431F2C1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 Statistics for the final model after Backward Elimination.</w:t>
      </w:r>
      <w:r w:rsidRPr="00022F29">
        <w:rPr>
          <w:rFonts w:ascii="Calibri" w:eastAsia="Calibri" w:hAnsi="Calibri" w:cs="Times New Roman"/>
        </w:rPr>
        <w:tab/>
      </w:r>
    </w:p>
    <w:p w14:paraId="1DEA847C" w14:textId="77777777" w:rsidR="00022F29" w:rsidRPr="00022F29" w:rsidRDefault="00022F29" w:rsidP="00022F29">
      <w:pPr>
        <w:rPr>
          <w:rFonts w:ascii="Calibri" w:eastAsia="Calibri" w:hAnsi="Calibri" w:cs="Times New Roman"/>
        </w:rPr>
      </w:pPr>
    </w:p>
    <w:p w14:paraId="48E949A3" w14:textId="77777777" w:rsidR="00022F29" w:rsidRPr="00022F29" w:rsidRDefault="00022F29" w:rsidP="00022F29">
      <w:pPr>
        <w:rPr>
          <w:rFonts w:ascii="Calibri" w:eastAsia="Calibri" w:hAnsi="Calibri" w:cs="Times New Roman"/>
        </w:rPr>
      </w:pPr>
    </w:p>
    <w:p w14:paraId="38BABBB8" w14:textId="77777777" w:rsidR="00022F29" w:rsidRPr="00022F29" w:rsidRDefault="00022F29" w:rsidP="00022F29">
      <w:pPr>
        <w:rPr>
          <w:rFonts w:ascii="Calibri" w:eastAsia="Calibri" w:hAnsi="Calibri" w:cs="Times New Roman"/>
        </w:rPr>
      </w:pPr>
    </w:p>
    <w:p w14:paraId="6EC062F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Cell Counts and Residuals</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65A0EDB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w:t>
      </w:r>
      <w:r w:rsidRPr="00022F29">
        <w:rPr>
          <w:rFonts w:ascii="Calibri" w:eastAsia="Calibri" w:hAnsi="Calibri" w:cs="Times New Roman"/>
        </w:rPr>
        <w:tab/>
        <w:t>FQuartile</w:t>
      </w:r>
      <w:r w:rsidRPr="00022F29">
        <w:rPr>
          <w:rFonts w:ascii="Calibri" w:eastAsia="Calibri" w:hAnsi="Calibri" w:cs="Times New Roman"/>
        </w:rPr>
        <w:tab/>
        <w:t>AgeBinary</w:t>
      </w:r>
      <w:r w:rsidRPr="00022F29">
        <w:rPr>
          <w:rFonts w:ascii="Calibri" w:eastAsia="Calibri" w:hAnsi="Calibri" w:cs="Times New Roman"/>
        </w:rPr>
        <w:tab/>
        <w:t>RevoveryD</w:t>
      </w:r>
      <w:r w:rsidRPr="00022F29">
        <w:rPr>
          <w:rFonts w:ascii="Calibri" w:eastAsia="Calibri" w:hAnsi="Calibri" w:cs="Times New Roman"/>
        </w:rPr>
        <w:tab/>
        <w:t>RecoveryA</w:t>
      </w:r>
      <w:r w:rsidRPr="00022F29">
        <w:rPr>
          <w:rFonts w:ascii="Calibri" w:eastAsia="Calibri" w:hAnsi="Calibri" w:cs="Times New Roman"/>
        </w:rPr>
        <w:tab/>
        <w:t>GenderX</w:t>
      </w:r>
      <w:r w:rsidRPr="00022F29">
        <w:rPr>
          <w:rFonts w:ascii="Calibri" w:eastAsia="Calibri" w:hAnsi="Calibri" w:cs="Times New Roman"/>
        </w:rPr>
        <w:tab/>
        <w:t>Observed</w:t>
      </w:r>
      <w:r w:rsidRPr="00022F29">
        <w:rPr>
          <w:rFonts w:ascii="Calibri" w:eastAsia="Calibri" w:hAnsi="Calibri" w:cs="Times New Roman"/>
        </w:rPr>
        <w:tab/>
      </w:r>
      <w:r w:rsidRPr="00022F29">
        <w:rPr>
          <w:rFonts w:ascii="Calibri" w:eastAsia="Calibri" w:hAnsi="Calibri" w:cs="Times New Roman"/>
        </w:rPr>
        <w:tab/>
        <w:t>Expected</w:t>
      </w:r>
      <w:r w:rsidRPr="00022F29">
        <w:rPr>
          <w:rFonts w:ascii="Calibri" w:eastAsia="Calibri" w:hAnsi="Calibri" w:cs="Times New Roman"/>
        </w:rPr>
        <w:tab/>
      </w:r>
      <w:r w:rsidRPr="00022F29">
        <w:rPr>
          <w:rFonts w:ascii="Calibri" w:eastAsia="Calibri" w:hAnsi="Calibri" w:cs="Times New Roman"/>
        </w:rPr>
        <w:tab/>
        <w:t>Residuals</w:t>
      </w:r>
      <w:r w:rsidRPr="00022F29">
        <w:rPr>
          <w:rFonts w:ascii="Calibri" w:eastAsia="Calibri" w:hAnsi="Calibri" w:cs="Times New Roman"/>
        </w:rPr>
        <w:tab/>
        <w:t>Std. Residuals</w:t>
      </w:r>
    </w:p>
    <w:p w14:paraId="69CBDBB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Count</w:t>
      </w:r>
      <w:r w:rsidRPr="00022F29">
        <w:rPr>
          <w:rFonts w:ascii="Calibri" w:eastAsia="Calibri" w:hAnsi="Calibri" w:cs="Times New Roman"/>
        </w:rPr>
        <w:tab/>
        <w:t>%</w:t>
      </w:r>
      <w:r w:rsidRPr="00022F29">
        <w:rPr>
          <w:rFonts w:ascii="Calibri" w:eastAsia="Calibri" w:hAnsi="Calibri" w:cs="Times New Roman"/>
        </w:rPr>
        <w:tab/>
        <w:t>Count</w:t>
      </w:r>
      <w:r w:rsidRPr="00022F29">
        <w:rPr>
          <w:rFonts w:ascii="Calibri" w:eastAsia="Calibri" w:hAnsi="Calibri" w:cs="Times New Roman"/>
        </w:rPr>
        <w:tab/>
        <w:t>%</w:t>
      </w:r>
      <w:r w:rsidRPr="00022F29">
        <w:rPr>
          <w:rFonts w:ascii="Calibri" w:eastAsia="Calibri" w:hAnsi="Calibri" w:cs="Times New Roman"/>
        </w:rPr>
        <w:tab/>
      </w:r>
      <w:r w:rsidRPr="00022F29">
        <w:rPr>
          <w:rFonts w:ascii="Calibri" w:eastAsia="Calibri" w:hAnsi="Calibri" w:cs="Times New Roman"/>
        </w:rPr>
        <w:tab/>
      </w:r>
    </w:p>
    <w:p w14:paraId="4CBA018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11.000</w:t>
      </w:r>
      <w:r w:rsidRPr="00022F29">
        <w:rPr>
          <w:rFonts w:ascii="Calibri" w:eastAsia="Calibri" w:hAnsi="Calibri" w:cs="Times New Roman"/>
        </w:rPr>
        <w:tab/>
        <w:t>1.9%</w:t>
      </w:r>
      <w:r w:rsidRPr="00022F29">
        <w:rPr>
          <w:rFonts w:ascii="Calibri" w:eastAsia="Calibri" w:hAnsi="Calibri" w:cs="Times New Roman"/>
        </w:rPr>
        <w:tab/>
        <w:t>10.376</w:t>
      </w:r>
      <w:r w:rsidRPr="00022F29">
        <w:rPr>
          <w:rFonts w:ascii="Calibri" w:eastAsia="Calibri" w:hAnsi="Calibri" w:cs="Times New Roman"/>
        </w:rPr>
        <w:tab/>
        <w:t>1.8%</w:t>
      </w:r>
      <w:r w:rsidRPr="00022F29">
        <w:rPr>
          <w:rFonts w:ascii="Calibri" w:eastAsia="Calibri" w:hAnsi="Calibri" w:cs="Times New Roman"/>
        </w:rPr>
        <w:tab/>
        <w:t>.624</w:t>
      </w:r>
      <w:r w:rsidRPr="00022F29">
        <w:rPr>
          <w:rFonts w:ascii="Calibri" w:eastAsia="Calibri" w:hAnsi="Calibri" w:cs="Times New Roman"/>
        </w:rPr>
        <w:tab/>
        <w:t>.194</w:t>
      </w:r>
    </w:p>
    <w:p w14:paraId="16DA964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21.000</w:t>
      </w:r>
      <w:r w:rsidRPr="00022F29">
        <w:rPr>
          <w:rFonts w:ascii="Calibri" w:eastAsia="Calibri" w:hAnsi="Calibri" w:cs="Times New Roman"/>
        </w:rPr>
        <w:tab/>
        <w:t>3.6%</w:t>
      </w:r>
      <w:r w:rsidRPr="00022F29">
        <w:rPr>
          <w:rFonts w:ascii="Calibri" w:eastAsia="Calibri" w:hAnsi="Calibri" w:cs="Times New Roman"/>
        </w:rPr>
        <w:tab/>
        <w:t>21.682</w:t>
      </w:r>
      <w:r w:rsidRPr="00022F29">
        <w:rPr>
          <w:rFonts w:ascii="Calibri" w:eastAsia="Calibri" w:hAnsi="Calibri" w:cs="Times New Roman"/>
        </w:rPr>
        <w:tab/>
        <w:t>3.7%</w:t>
      </w:r>
      <w:r w:rsidRPr="00022F29">
        <w:rPr>
          <w:rFonts w:ascii="Calibri" w:eastAsia="Calibri" w:hAnsi="Calibri" w:cs="Times New Roman"/>
        </w:rPr>
        <w:tab/>
        <w:t>-.682</w:t>
      </w:r>
      <w:r w:rsidRPr="00022F29">
        <w:rPr>
          <w:rFonts w:ascii="Calibri" w:eastAsia="Calibri" w:hAnsi="Calibri" w:cs="Times New Roman"/>
        </w:rPr>
        <w:tab/>
        <w:t>-.146</w:t>
      </w:r>
    </w:p>
    <w:p w14:paraId="5AC3042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1.624</w:t>
      </w:r>
      <w:r w:rsidRPr="00022F29">
        <w:rPr>
          <w:rFonts w:ascii="Calibri" w:eastAsia="Calibri" w:hAnsi="Calibri" w:cs="Times New Roman"/>
        </w:rPr>
        <w:tab/>
        <w:t>0.3%</w:t>
      </w:r>
      <w:r w:rsidRPr="00022F29">
        <w:rPr>
          <w:rFonts w:ascii="Calibri" w:eastAsia="Calibri" w:hAnsi="Calibri" w:cs="Times New Roman"/>
        </w:rPr>
        <w:tab/>
        <w:t>-.624</w:t>
      </w:r>
      <w:r w:rsidRPr="00022F29">
        <w:rPr>
          <w:rFonts w:ascii="Calibri" w:eastAsia="Calibri" w:hAnsi="Calibri" w:cs="Times New Roman"/>
        </w:rPr>
        <w:tab/>
        <w:t>-.490</w:t>
      </w:r>
    </w:p>
    <w:p w14:paraId="0682D2B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5.000</w:t>
      </w:r>
      <w:r w:rsidRPr="00022F29">
        <w:rPr>
          <w:rFonts w:ascii="Calibri" w:eastAsia="Calibri" w:hAnsi="Calibri" w:cs="Times New Roman"/>
        </w:rPr>
        <w:tab/>
        <w:t>0.8%</w:t>
      </w:r>
      <w:r w:rsidRPr="00022F29">
        <w:rPr>
          <w:rFonts w:ascii="Calibri" w:eastAsia="Calibri" w:hAnsi="Calibri" w:cs="Times New Roman"/>
        </w:rPr>
        <w:tab/>
        <w:t>4.392</w:t>
      </w:r>
      <w:r w:rsidRPr="00022F29">
        <w:rPr>
          <w:rFonts w:ascii="Calibri" w:eastAsia="Calibri" w:hAnsi="Calibri" w:cs="Times New Roman"/>
        </w:rPr>
        <w:tab/>
        <w:t>0.7%</w:t>
      </w:r>
      <w:r w:rsidRPr="00022F29">
        <w:rPr>
          <w:rFonts w:ascii="Calibri" w:eastAsia="Calibri" w:hAnsi="Calibri" w:cs="Times New Roman"/>
        </w:rPr>
        <w:tab/>
        <w:t>.608</w:t>
      </w:r>
      <w:r w:rsidRPr="00022F29">
        <w:rPr>
          <w:rFonts w:ascii="Calibri" w:eastAsia="Calibri" w:hAnsi="Calibri" w:cs="Times New Roman"/>
        </w:rPr>
        <w:tab/>
        <w:t>.290</w:t>
      </w:r>
    </w:p>
    <w:p w14:paraId="63D97C3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3.000</w:t>
      </w:r>
      <w:r w:rsidRPr="00022F29">
        <w:rPr>
          <w:rFonts w:ascii="Calibri" w:eastAsia="Calibri" w:hAnsi="Calibri" w:cs="Times New Roman"/>
        </w:rPr>
        <w:tab/>
        <w:t>0.5%</w:t>
      </w:r>
      <w:r w:rsidRPr="00022F29">
        <w:rPr>
          <w:rFonts w:ascii="Calibri" w:eastAsia="Calibri" w:hAnsi="Calibri" w:cs="Times New Roman"/>
        </w:rPr>
        <w:tab/>
        <w:t>3.697</w:t>
      </w:r>
      <w:r w:rsidRPr="00022F29">
        <w:rPr>
          <w:rFonts w:ascii="Calibri" w:eastAsia="Calibri" w:hAnsi="Calibri" w:cs="Times New Roman"/>
        </w:rPr>
        <w:tab/>
        <w:t>0.6%</w:t>
      </w:r>
      <w:r w:rsidRPr="00022F29">
        <w:rPr>
          <w:rFonts w:ascii="Calibri" w:eastAsia="Calibri" w:hAnsi="Calibri" w:cs="Times New Roman"/>
        </w:rPr>
        <w:tab/>
        <w:t>-.697</w:t>
      </w:r>
      <w:r w:rsidRPr="00022F29">
        <w:rPr>
          <w:rFonts w:ascii="Calibri" w:eastAsia="Calibri" w:hAnsi="Calibri" w:cs="Times New Roman"/>
        </w:rPr>
        <w:tab/>
        <w:t>-.363</w:t>
      </w:r>
    </w:p>
    <w:p w14:paraId="297EE80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6.000</w:t>
      </w:r>
      <w:r w:rsidRPr="00022F29">
        <w:rPr>
          <w:rFonts w:ascii="Calibri" w:eastAsia="Calibri" w:hAnsi="Calibri" w:cs="Times New Roman"/>
        </w:rPr>
        <w:tab/>
        <w:t>1.0%</w:t>
      </w:r>
      <w:r w:rsidRPr="00022F29">
        <w:rPr>
          <w:rFonts w:ascii="Calibri" w:eastAsia="Calibri" w:hAnsi="Calibri" w:cs="Times New Roman"/>
        </w:rPr>
        <w:tab/>
        <w:t>5.312</w:t>
      </w:r>
      <w:r w:rsidRPr="00022F29">
        <w:rPr>
          <w:rFonts w:ascii="Calibri" w:eastAsia="Calibri" w:hAnsi="Calibri" w:cs="Times New Roman"/>
        </w:rPr>
        <w:tab/>
        <w:t>0.9%</w:t>
      </w:r>
      <w:r w:rsidRPr="00022F29">
        <w:rPr>
          <w:rFonts w:ascii="Calibri" w:eastAsia="Calibri" w:hAnsi="Calibri" w:cs="Times New Roman"/>
        </w:rPr>
        <w:tab/>
        <w:t>.688</w:t>
      </w:r>
      <w:r w:rsidRPr="00022F29">
        <w:rPr>
          <w:rFonts w:ascii="Calibri" w:eastAsia="Calibri" w:hAnsi="Calibri" w:cs="Times New Roman"/>
        </w:rPr>
        <w:tab/>
        <w:t>.298</w:t>
      </w:r>
    </w:p>
    <w:p w14:paraId="0498282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10.000</w:t>
      </w:r>
      <w:r w:rsidRPr="00022F29">
        <w:rPr>
          <w:rFonts w:ascii="Calibri" w:eastAsia="Calibri" w:hAnsi="Calibri" w:cs="Times New Roman"/>
        </w:rPr>
        <w:tab/>
        <w:t>1.7%</w:t>
      </w:r>
      <w:r w:rsidRPr="00022F29">
        <w:rPr>
          <w:rFonts w:ascii="Calibri" w:eastAsia="Calibri" w:hAnsi="Calibri" w:cs="Times New Roman"/>
        </w:rPr>
        <w:tab/>
        <w:t>9.446</w:t>
      </w:r>
      <w:r w:rsidRPr="00022F29">
        <w:rPr>
          <w:rFonts w:ascii="Calibri" w:eastAsia="Calibri" w:hAnsi="Calibri" w:cs="Times New Roman"/>
        </w:rPr>
        <w:tab/>
        <w:t>1.6%</w:t>
      </w:r>
      <w:r w:rsidRPr="00022F29">
        <w:rPr>
          <w:rFonts w:ascii="Calibri" w:eastAsia="Calibri" w:hAnsi="Calibri" w:cs="Times New Roman"/>
        </w:rPr>
        <w:tab/>
        <w:t>.554</w:t>
      </w:r>
      <w:r w:rsidRPr="00022F29">
        <w:rPr>
          <w:rFonts w:ascii="Calibri" w:eastAsia="Calibri" w:hAnsi="Calibri" w:cs="Times New Roman"/>
        </w:rPr>
        <w:tab/>
        <w:t>.180</w:t>
      </w:r>
    </w:p>
    <w:p w14:paraId="5C49A20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17.000</w:t>
      </w:r>
      <w:r w:rsidRPr="00022F29">
        <w:rPr>
          <w:rFonts w:ascii="Calibri" w:eastAsia="Calibri" w:hAnsi="Calibri" w:cs="Times New Roman"/>
        </w:rPr>
        <w:tab/>
        <w:t>2.9%</w:t>
      </w:r>
      <w:r w:rsidRPr="00022F29">
        <w:rPr>
          <w:rFonts w:ascii="Calibri" w:eastAsia="Calibri" w:hAnsi="Calibri" w:cs="Times New Roman"/>
        </w:rPr>
        <w:tab/>
        <w:t>17.564</w:t>
      </w:r>
      <w:r w:rsidRPr="00022F29">
        <w:rPr>
          <w:rFonts w:ascii="Calibri" w:eastAsia="Calibri" w:hAnsi="Calibri" w:cs="Times New Roman"/>
        </w:rPr>
        <w:tab/>
        <w:t>3.0%</w:t>
      </w:r>
      <w:r w:rsidRPr="00022F29">
        <w:rPr>
          <w:rFonts w:ascii="Calibri" w:eastAsia="Calibri" w:hAnsi="Calibri" w:cs="Times New Roman"/>
        </w:rPr>
        <w:tab/>
        <w:t>-.564</w:t>
      </w:r>
      <w:r w:rsidRPr="00022F29">
        <w:rPr>
          <w:rFonts w:ascii="Calibri" w:eastAsia="Calibri" w:hAnsi="Calibri" w:cs="Times New Roman"/>
        </w:rPr>
        <w:tab/>
        <w:t>-.135</w:t>
      </w:r>
    </w:p>
    <w:p w14:paraId="0FD8FCE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10.000</w:t>
      </w:r>
      <w:r w:rsidRPr="00022F29">
        <w:rPr>
          <w:rFonts w:ascii="Calibri" w:eastAsia="Calibri" w:hAnsi="Calibri" w:cs="Times New Roman"/>
        </w:rPr>
        <w:tab/>
        <w:t>1.7%</w:t>
      </w:r>
      <w:r w:rsidRPr="00022F29">
        <w:rPr>
          <w:rFonts w:ascii="Calibri" w:eastAsia="Calibri" w:hAnsi="Calibri" w:cs="Times New Roman"/>
        </w:rPr>
        <w:tab/>
        <w:t>9.995</w:t>
      </w:r>
      <w:r w:rsidRPr="00022F29">
        <w:rPr>
          <w:rFonts w:ascii="Calibri" w:eastAsia="Calibri" w:hAnsi="Calibri" w:cs="Times New Roman"/>
        </w:rPr>
        <w:tab/>
        <w:t>1.7%</w:t>
      </w:r>
      <w:r w:rsidRPr="00022F29">
        <w:rPr>
          <w:rFonts w:ascii="Calibri" w:eastAsia="Calibri" w:hAnsi="Calibri" w:cs="Times New Roman"/>
        </w:rPr>
        <w:tab/>
        <w:t>.005</w:t>
      </w:r>
      <w:r w:rsidRPr="00022F29">
        <w:rPr>
          <w:rFonts w:ascii="Calibri" w:eastAsia="Calibri" w:hAnsi="Calibri" w:cs="Times New Roman"/>
        </w:rPr>
        <w:tab/>
        <w:t>.002</w:t>
      </w:r>
    </w:p>
    <w:p w14:paraId="126AB2B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5.000</w:t>
      </w:r>
      <w:r w:rsidRPr="00022F29">
        <w:rPr>
          <w:rFonts w:ascii="Calibri" w:eastAsia="Calibri" w:hAnsi="Calibri" w:cs="Times New Roman"/>
        </w:rPr>
        <w:tab/>
        <w:t>0.8%</w:t>
      </w:r>
      <w:r w:rsidRPr="00022F29">
        <w:rPr>
          <w:rFonts w:ascii="Calibri" w:eastAsia="Calibri" w:hAnsi="Calibri" w:cs="Times New Roman"/>
        </w:rPr>
        <w:tab/>
        <w:t>4.935</w:t>
      </w:r>
      <w:r w:rsidRPr="00022F29">
        <w:rPr>
          <w:rFonts w:ascii="Calibri" w:eastAsia="Calibri" w:hAnsi="Calibri" w:cs="Times New Roman"/>
        </w:rPr>
        <w:tab/>
        <w:t>0.8%</w:t>
      </w:r>
      <w:r w:rsidRPr="00022F29">
        <w:rPr>
          <w:rFonts w:ascii="Calibri" w:eastAsia="Calibri" w:hAnsi="Calibri" w:cs="Times New Roman"/>
        </w:rPr>
        <w:tab/>
        <w:t>.065</w:t>
      </w:r>
      <w:r w:rsidRPr="00022F29">
        <w:rPr>
          <w:rFonts w:ascii="Calibri" w:eastAsia="Calibri" w:hAnsi="Calibri" w:cs="Times New Roman"/>
        </w:rPr>
        <w:tab/>
        <w:t>.029</w:t>
      </w:r>
    </w:p>
    <w:p w14:paraId="2255C71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4.000</w:t>
      </w:r>
      <w:r w:rsidRPr="00022F29">
        <w:rPr>
          <w:rFonts w:ascii="Calibri" w:eastAsia="Calibri" w:hAnsi="Calibri" w:cs="Times New Roman"/>
        </w:rPr>
        <w:tab/>
        <w:t>0.7%</w:t>
      </w:r>
      <w:r w:rsidRPr="00022F29">
        <w:rPr>
          <w:rFonts w:ascii="Calibri" w:eastAsia="Calibri" w:hAnsi="Calibri" w:cs="Times New Roman"/>
        </w:rPr>
        <w:tab/>
        <w:t>4.011</w:t>
      </w:r>
      <w:r w:rsidRPr="00022F29">
        <w:rPr>
          <w:rFonts w:ascii="Calibri" w:eastAsia="Calibri" w:hAnsi="Calibri" w:cs="Times New Roman"/>
        </w:rPr>
        <w:tab/>
        <w:t>0.7%</w:t>
      </w:r>
      <w:r w:rsidRPr="00022F29">
        <w:rPr>
          <w:rFonts w:ascii="Calibri" w:eastAsia="Calibri" w:hAnsi="Calibri" w:cs="Times New Roman"/>
        </w:rPr>
        <w:tab/>
        <w:t>-.011</w:t>
      </w:r>
      <w:r w:rsidRPr="00022F29">
        <w:rPr>
          <w:rFonts w:ascii="Calibri" w:eastAsia="Calibri" w:hAnsi="Calibri" w:cs="Times New Roman"/>
        </w:rPr>
        <w:tab/>
        <w:t>-.005</w:t>
      </w:r>
    </w:p>
    <w:p w14:paraId="4FC32C7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12.000</w:t>
      </w:r>
      <w:r w:rsidRPr="00022F29">
        <w:rPr>
          <w:rFonts w:ascii="Calibri" w:eastAsia="Calibri" w:hAnsi="Calibri" w:cs="Times New Roman"/>
        </w:rPr>
        <w:tab/>
        <w:t>2.0%</w:t>
      </w:r>
      <w:r w:rsidRPr="00022F29">
        <w:rPr>
          <w:rFonts w:ascii="Calibri" w:eastAsia="Calibri" w:hAnsi="Calibri" w:cs="Times New Roman"/>
        </w:rPr>
        <w:tab/>
        <w:t>11.991</w:t>
      </w:r>
      <w:r w:rsidRPr="00022F29">
        <w:rPr>
          <w:rFonts w:ascii="Calibri" w:eastAsia="Calibri" w:hAnsi="Calibri" w:cs="Times New Roman"/>
        </w:rPr>
        <w:tab/>
        <w:t>2.0%</w:t>
      </w:r>
      <w:r w:rsidRPr="00022F29">
        <w:rPr>
          <w:rFonts w:ascii="Calibri" w:eastAsia="Calibri" w:hAnsi="Calibri" w:cs="Times New Roman"/>
        </w:rPr>
        <w:tab/>
        <w:t>.009</w:t>
      </w:r>
      <w:r w:rsidRPr="00022F29">
        <w:rPr>
          <w:rFonts w:ascii="Calibri" w:eastAsia="Calibri" w:hAnsi="Calibri" w:cs="Times New Roman"/>
        </w:rPr>
        <w:tab/>
        <w:t>.003</w:t>
      </w:r>
    </w:p>
    <w:p w14:paraId="0D8EE30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3.000</w:t>
      </w:r>
      <w:r w:rsidRPr="00022F29">
        <w:rPr>
          <w:rFonts w:ascii="Calibri" w:eastAsia="Calibri" w:hAnsi="Calibri" w:cs="Times New Roman"/>
        </w:rPr>
        <w:tab/>
        <w:t>0.5%</w:t>
      </w:r>
      <w:r w:rsidRPr="00022F29">
        <w:rPr>
          <w:rFonts w:ascii="Calibri" w:eastAsia="Calibri" w:hAnsi="Calibri" w:cs="Times New Roman"/>
        </w:rPr>
        <w:tab/>
        <w:t>2.911</w:t>
      </w:r>
      <w:r w:rsidRPr="00022F29">
        <w:rPr>
          <w:rFonts w:ascii="Calibri" w:eastAsia="Calibri" w:hAnsi="Calibri" w:cs="Times New Roman"/>
        </w:rPr>
        <w:tab/>
        <w:t>0.5%</w:t>
      </w:r>
      <w:r w:rsidRPr="00022F29">
        <w:rPr>
          <w:rFonts w:ascii="Calibri" w:eastAsia="Calibri" w:hAnsi="Calibri" w:cs="Times New Roman"/>
        </w:rPr>
        <w:tab/>
        <w:t>.089</w:t>
      </w:r>
      <w:r w:rsidRPr="00022F29">
        <w:rPr>
          <w:rFonts w:ascii="Calibri" w:eastAsia="Calibri" w:hAnsi="Calibri" w:cs="Times New Roman"/>
        </w:rPr>
        <w:tab/>
        <w:t>.052</w:t>
      </w:r>
    </w:p>
    <w:p w14:paraId="3DA728D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2.000</w:t>
      </w:r>
      <w:r w:rsidRPr="00022F29">
        <w:rPr>
          <w:rFonts w:ascii="Calibri" w:eastAsia="Calibri" w:hAnsi="Calibri" w:cs="Times New Roman"/>
        </w:rPr>
        <w:tab/>
        <w:t>0.3%</w:t>
      </w:r>
      <w:r w:rsidRPr="00022F29">
        <w:rPr>
          <w:rFonts w:ascii="Calibri" w:eastAsia="Calibri" w:hAnsi="Calibri" w:cs="Times New Roman"/>
        </w:rPr>
        <w:tab/>
        <w:t>2.078</w:t>
      </w:r>
      <w:r w:rsidRPr="00022F29">
        <w:rPr>
          <w:rFonts w:ascii="Calibri" w:eastAsia="Calibri" w:hAnsi="Calibri" w:cs="Times New Roman"/>
        </w:rPr>
        <w:tab/>
        <w:t>0.4%</w:t>
      </w:r>
      <w:r w:rsidRPr="00022F29">
        <w:rPr>
          <w:rFonts w:ascii="Calibri" w:eastAsia="Calibri" w:hAnsi="Calibri" w:cs="Times New Roman"/>
        </w:rPr>
        <w:tab/>
        <w:t>-.078</w:t>
      </w:r>
      <w:r w:rsidRPr="00022F29">
        <w:rPr>
          <w:rFonts w:ascii="Calibri" w:eastAsia="Calibri" w:hAnsi="Calibri" w:cs="Times New Roman"/>
        </w:rPr>
        <w:tab/>
        <w:t>-.054</w:t>
      </w:r>
    </w:p>
    <w:p w14:paraId="50D61ED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4.000</w:t>
      </w:r>
      <w:r w:rsidRPr="00022F29">
        <w:rPr>
          <w:rFonts w:ascii="Calibri" w:eastAsia="Calibri" w:hAnsi="Calibri" w:cs="Times New Roman"/>
        </w:rPr>
        <w:tab/>
        <w:t>0.7%</w:t>
      </w:r>
      <w:r w:rsidRPr="00022F29">
        <w:rPr>
          <w:rFonts w:ascii="Calibri" w:eastAsia="Calibri" w:hAnsi="Calibri" w:cs="Times New Roman"/>
        </w:rPr>
        <w:tab/>
        <w:t>3.944</w:t>
      </w:r>
      <w:r w:rsidRPr="00022F29">
        <w:rPr>
          <w:rFonts w:ascii="Calibri" w:eastAsia="Calibri" w:hAnsi="Calibri" w:cs="Times New Roman"/>
        </w:rPr>
        <w:tab/>
        <w:t>0.7%</w:t>
      </w:r>
      <w:r w:rsidRPr="00022F29">
        <w:rPr>
          <w:rFonts w:ascii="Calibri" w:eastAsia="Calibri" w:hAnsi="Calibri" w:cs="Times New Roman"/>
        </w:rPr>
        <w:tab/>
        <w:t>.056</w:t>
      </w:r>
      <w:r w:rsidRPr="00022F29">
        <w:rPr>
          <w:rFonts w:ascii="Calibri" w:eastAsia="Calibri" w:hAnsi="Calibri" w:cs="Times New Roman"/>
        </w:rPr>
        <w:tab/>
        <w:t>.028</w:t>
      </w:r>
    </w:p>
    <w:p w14:paraId="4169DF1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17.000</w:t>
      </w:r>
      <w:r w:rsidRPr="00022F29">
        <w:rPr>
          <w:rFonts w:ascii="Calibri" w:eastAsia="Calibri" w:hAnsi="Calibri" w:cs="Times New Roman"/>
        </w:rPr>
        <w:tab/>
        <w:t>2.9%</w:t>
      </w:r>
      <w:r w:rsidRPr="00022F29">
        <w:rPr>
          <w:rFonts w:ascii="Calibri" w:eastAsia="Calibri" w:hAnsi="Calibri" w:cs="Times New Roman"/>
        </w:rPr>
        <w:tab/>
        <w:t>17.050</w:t>
      </w:r>
      <w:r w:rsidRPr="00022F29">
        <w:rPr>
          <w:rFonts w:ascii="Calibri" w:eastAsia="Calibri" w:hAnsi="Calibri" w:cs="Times New Roman"/>
        </w:rPr>
        <w:tab/>
        <w:t>2.9%</w:t>
      </w:r>
      <w:r w:rsidRPr="00022F29">
        <w:rPr>
          <w:rFonts w:ascii="Calibri" w:eastAsia="Calibri" w:hAnsi="Calibri" w:cs="Times New Roman"/>
        </w:rPr>
        <w:tab/>
        <w:t>-.050</w:t>
      </w:r>
      <w:r w:rsidRPr="00022F29">
        <w:rPr>
          <w:rFonts w:ascii="Calibri" w:eastAsia="Calibri" w:hAnsi="Calibri" w:cs="Times New Roman"/>
        </w:rPr>
        <w:tab/>
        <w:t>-.012</w:t>
      </w:r>
    </w:p>
    <w:p w14:paraId="159F7B8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2.000</w:t>
      </w:r>
      <w:r w:rsidRPr="00022F29">
        <w:rPr>
          <w:rFonts w:ascii="Calibri" w:eastAsia="Calibri" w:hAnsi="Calibri" w:cs="Times New Roman"/>
        </w:rPr>
        <w:tab/>
        <w:t>0.3%</w:t>
      </w:r>
      <w:r w:rsidRPr="00022F29">
        <w:rPr>
          <w:rFonts w:ascii="Calibri" w:eastAsia="Calibri" w:hAnsi="Calibri" w:cs="Times New Roman"/>
        </w:rPr>
        <w:tab/>
        <w:t>2.236</w:t>
      </w:r>
      <w:r w:rsidRPr="00022F29">
        <w:rPr>
          <w:rFonts w:ascii="Calibri" w:eastAsia="Calibri" w:hAnsi="Calibri" w:cs="Times New Roman"/>
        </w:rPr>
        <w:tab/>
        <w:t>0.4%</w:t>
      </w:r>
      <w:r w:rsidRPr="00022F29">
        <w:rPr>
          <w:rFonts w:ascii="Calibri" w:eastAsia="Calibri" w:hAnsi="Calibri" w:cs="Times New Roman"/>
        </w:rPr>
        <w:tab/>
        <w:t>-.236</w:t>
      </w:r>
      <w:r w:rsidRPr="00022F29">
        <w:rPr>
          <w:rFonts w:ascii="Calibri" w:eastAsia="Calibri" w:hAnsi="Calibri" w:cs="Times New Roman"/>
        </w:rPr>
        <w:tab/>
        <w:t>-.158</w:t>
      </w:r>
    </w:p>
    <w:p w14:paraId="2252902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11.000</w:t>
      </w:r>
      <w:r w:rsidRPr="00022F29">
        <w:rPr>
          <w:rFonts w:ascii="Calibri" w:eastAsia="Calibri" w:hAnsi="Calibri" w:cs="Times New Roman"/>
        </w:rPr>
        <w:tab/>
        <w:t>1.9%</w:t>
      </w:r>
      <w:r w:rsidRPr="00022F29">
        <w:rPr>
          <w:rFonts w:ascii="Calibri" w:eastAsia="Calibri" w:hAnsi="Calibri" w:cs="Times New Roman"/>
        </w:rPr>
        <w:tab/>
        <w:t>10.742</w:t>
      </w:r>
      <w:r w:rsidRPr="00022F29">
        <w:rPr>
          <w:rFonts w:ascii="Calibri" w:eastAsia="Calibri" w:hAnsi="Calibri" w:cs="Times New Roman"/>
        </w:rPr>
        <w:tab/>
        <w:t>1.8%</w:t>
      </w:r>
      <w:r w:rsidRPr="00022F29">
        <w:rPr>
          <w:rFonts w:ascii="Calibri" w:eastAsia="Calibri" w:hAnsi="Calibri" w:cs="Times New Roman"/>
        </w:rPr>
        <w:tab/>
        <w:t>.258</w:t>
      </w:r>
      <w:r w:rsidRPr="00022F29">
        <w:rPr>
          <w:rFonts w:ascii="Calibri" w:eastAsia="Calibri" w:hAnsi="Calibri" w:cs="Times New Roman"/>
        </w:rPr>
        <w:tab/>
        <w:t>.079</w:t>
      </w:r>
    </w:p>
    <w:p w14:paraId="5472200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2.000</w:t>
      </w:r>
      <w:r w:rsidRPr="00022F29">
        <w:rPr>
          <w:rFonts w:ascii="Calibri" w:eastAsia="Calibri" w:hAnsi="Calibri" w:cs="Times New Roman"/>
        </w:rPr>
        <w:tab/>
        <w:t>0.3%</w:t>
      </w:r>
      <w:r w:rsidRPr="00022F29">
        <w:rPr>
          <w:rFonts w:ascii="Calibri" w:eastAsia="Calibri" w:hAnsi="Calibri" w:cs="Times New Roman"/>
        </w:rPr>
        <w:tab/>
        <w:t>1.626</w:t>
      </w:r>
      <w:r w:rsidRPr="00022F29">
        <w:rPr>
          <w:rFonts w:ascii="Calibri" w:eastAsia="Calibri" w:hAnsi="Calibri" w:cs="Times New Roman"/>
        </w:rPr>
        <w:tab/>
        <w:t>0.3%</w:t>
      </w:r>
      <w:r w:rsidRPr="00022F29">
        <w:rPr>
          <w:rFonts w:ascii="Calibri" w:eastAsia="Calibri" w:hAnsi="Calibri" w:cs="Times New Roman"/>
        </w:rPr>
        <w:tab/>
        <w:t>.374</w:t>
      </w:r>
      <w:r w:rsidRPr="00022F29">
        <w:rPr>
          <w:rFonts w:ascii="Calibri" w:eastAsia="Calibri" w:hAnsi="Calibri" w:cs="Times New Roman"/>
        </w:rPr>
        <w:tab/>
        <w:t>.293</w:t>
      </w:r>
    </w:p>
    <w:p w14:paraId="3942CAC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4.000</w:t>
      </w:r>
      <w:r w:rsidRPr="00022F29">
        <w:rPr>
          <w:rFonts w:ascii="Calibri" w:eastAsia="Calibri" w:hAnsi="Calibri" w:cs="Times New Roman"/>
        </w:rPr>
        <w:tab/>
        <w:t>0.7%</w:t>
      </w:r>
      <w:r w:rsidRPr="00022F29">
        <w:rPr>
          <w:rFonts w:ascii="Calibri" w:eastAsia="Calibri" w:hAnsi="Calibri" w:cs="Times New Roman"/>
        </w:rPr>
        <w:tab/>
        <w:t>4.356</w:t>
      </w:r>
      <w:r w:rsidRPr="00022F29">
        <w:rPr>
          <w:rFonts w:ascii="Calibri" w:eastAsia="Calibri" w:hAnsi="Calibri" w:cs="Times New Roman"/>
        </w:rPr>
        <w:tab/>
        <w:t>0.7%</w:t>
      </w:r>
      <w:r w:rsidRPr="00022F29">
        <w:rPr>
          <w:rFonts w:ascii="Calibri" w:eastAsia="Calibri" w:hAnsi="Calibri" w:cs="Times New Roman"/>
        </w:rPr>
        <w:tab/>
        <w:t>-.356</w:t>
      </w:r>
      <w:r w:rsidRPr="00022F29">
        <w:rPr>
          <w:rFonts w:ascii="Calibri" w:eastAsia="Calibri" w:hAnsi="Calibri" w:cs="Times New Roman"/>
        </w:rPr>
        <w:tab/>
        <w:t>-.171</w:t>
      </w:r>
    </w:p>
    <w:p w14:paraId="5269731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.740</w:t>
      </w:r>
      <w:r w:rsidRPr="00022F29">
        <w:rPr>
          <w:rFonts w:ascii="Calibri" w:eastAsia="Calibri" w:hAnsi="Calibri" w:cs="Times New Roman"/>
        </w:rPr>
        <w:tab/>
        <w:t>0.1%</w:t>
      </w:r>
      <w:r w:rsidRPr="00022F29">
        <w:rPr>
          <w:rFonts w:ascii="Calibri" w:eastAsia="Calibri" w:hAnsi="Calibri" w:cs="Times New Roman"/>
        </w:rPr>
        <w:tab/>
        <w:t>.260</w:t>
      </w:r>
      <w:r w:rsidRPr="00022F29">
        <w:rPr>
          <w:rFonts w:ascii="Calibri" w:eastAsia="Calibri" w:hAnsi="Calibri" w:cs="Times New Roman"/>
        </w:rPr>
        <w:tab/>
        <w:t>.302</w:t>
      </w:r>
    </w:p>
    <w:p w14:paraId="3271AB9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3.000</w:t>
      </w:r>
      <w:r w:rsidRPr="00022F29">
        <w:rPr>
          <w:rFonts w:ascii="Calibri" w:eastAsia="Calibri" w:hAnsi="Calibri" w:cs="Times New Roman"/>
        </w:rPr>
        <w:tab/>
        <w:t>0.5%</w:t>
      </w:r>
      <w:r w:rsidRPr="00022F29">
        <w:rPr>
          <w:rFonts w:ascii="Calibri" w:eastAsia="Calibri" w:hAnsi="Calibri" w:cs="Times New Roman"/>
        </w:rPr>
        <w:tab/>
        <w:t>3.262</w:t>
      </w:r>
      <w:r w:rsidRPr="00022F29">
        <w:rPr>
          <w:rFonts w:ascii="Calibri" w:eastAsia="Calibri" w:hAnsi="Calibri" w:cs="Times New Roman"/>
        </w:rPr>
        <w:tab/>
        <w:t>0.6%</w:t>
      </w:r>
      <w:r w:rsidRPr="00022F29">
        <w:rPr>
          <w:rFonts w:ascii="Calibri" w:eastAsia="Calibri" w:hAnsi="Calibri" w:cs="Times New Roman"/>
        </w:rPr>
        <w:tab/>
        <w:t>-.262</w:t>
      </w:r>
      <w:r w:rsidRPr="00022F29">
        <w:rPr>
          <w:rFonts w:ascii="Calibri" w:eastAsia="Calibri" w:hAnsi="Calibri" w:cs="Times New Roman"/>
        </w:rPr>
        <w:tab/>
        <w:t>-.145</w:t>
      </w:r>
    </w:p>
    <w:p w14:paraId="4DD0EFC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6.000</w:t>
      </w:r>
      <w:r w:rsidRPr="00022F29">
        <w:rPr>
          <w:rFonts w:ascii="Calibri" w:eastAsia="Calibri" w:hAnsi="Calibri" w:cs="Times New Roman"/>
        </w:rPr>
        <w:tab/>
        <w:t>1.0%</w:t>
      </w:r>
      <w:r w:rsidRPr="00022F29">
        <w:rPr>
          <w:rFonts w:ascii="Calibri" w:eastAsia="Calibri" w:hAnsi="Calibri" w:cs="Times New Roman"/>
        </w:rPr>
        <w:tab/>
        <w:t>6.365</w:t>
      </w:r>
      <w:r w:rsidRPr="00022F29">
        <w:rPr>
          <w:rFonts w:ascii="Calibri" w:eastAsia="Calibri" w:hAnsi="Calibri" w:cs="Times New Roman"/>
        </w:rPr>
        <w:tab/>
        <w:t>1.1%</w:t>
      </w:r>
      <w:r w:rsidRPr="00022F29">
        <w:rPr>
          <w:rFonts w:ascii="Calibri" w:eastAsia="Calibri" w:hAnsi="Calibri" w:cs="Times New Roman"/>
        </w:rPr>
        <w:tab/>
        <w:t>-.365</w:t>
      </w:r>
      <w:r w:rsidRPr="00022F29">
        <w:rPr>
          <w:rFonts w:ascii="Calibri" w:eastAsia="Calibri" w:hAnsi="Calibri" w:cs="Times New Roman"/>
        </w:rPr>
        <w:tab/>
        <w:t>-.145</w:t>
      </w:r>
    </w:p>
    <w:p w14:paraId="638BDEB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16.000</w:t>
      </w:r>
      <w:r w:rsidRPr="00022F29">
        <w:rPr>
          <w:rFonts w:ascii="Calibri" w:eastAsia="Calibri" w:hAnsi="Calibri" w:cs="Times New Roman"/>
        </w:rPr>
        <w:tab/>
        <w:t>2.7%</w:t>
      </w:r>
      <w:r w:rsidRPr="00022F29">
        <w:rPr>
          <w:rFonts w:ascii="Calibri" w:eastAsia="Calibri" w:hAnsi="Calibri" w:cs="Times New Roman"/>
        </w:rPr>
        <w:tab/>
        <w:t>15.648</w:t>
      </w:r>
      <w:r w:rsidRPr="00022F29">
        <w:rPr>
          <w:rFonts w:ascii="Calibri" w:eastAsia="Calibri" w:hAnsi="Calibri" w:cs="Times New Roman"/>
        </w:rPr>
        <w:tab/>
        <w:t>2.6%</w:t>
      </w:r>
      <w:r w:rsidRPr="00022F29">
        <w:rPr>
          <w:rFonts w:ascii="Calibri" w:eastAsia="Calibri" w:hAnsi="Calibri" w:cs="Times New Roman"/>
        </w:rPr>
        <w:tab/>
        <w:t>.352</w:t>
      </w:r>
      <w:r w:rsidRPr="00022F29">
        <w:rPr>
          <w:rFonts w:ascii="Calibri" w:eastAsia="Calibri" w:hAnsi="Calibri" w:cs="Times New Roman"/>
        </w:rPr>
        <w:tab/>
        <w:t>.089</w:t>
      </w:r>
    </w:p>
    <w:p w14:paraId="07ECE80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.000</w:t>
      </w:r>
    </w:p>
    <w:p w14:paraId="268D450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11.000</w:t>
      </w:r>
      <w:r w:rsidRPr="00022F29">
        <w:rPr>
          <w:rFonts w:ascii="Calibri" w:eastAsia="Calibri" w:hAnsi="Calibri" w:cs="Times New Roman"/>
        </w:rPr>
        <w:tab/>
        <w:t>1.9%</w:t>
      </w:r>
      <w:r w:rsidRPr="00022F29">
        <w:rPr>
          <w:rFonts w:ascii="Calibri" w:eastAsia="Calibri" w:hAnsi="Calibri" w:cs="Times New Roman"/>
        </w:rPr>
        <w:tab/>
        <w:t>11.058</w:t>
      </w:r>
      <w:r w:rsidRPr="00022F29">
        <w:rPr>
          <w:rFonts w:ascii="Calibri" w:eastAsia="Calibri" w:hAnsi="Calibri" w:cs="Times New Roman"/>
        </w:rPr>
        <w:tab/>
        <w:t>1.9%</w:t>
      </w:r>
      <w:r w:rsidRPr="00022F29">
        <w:rPr>
          <w:rFonts w:ascii="Calibri" w:eastAsia="Calibri" w:hAnsi="Calibri" w:cs="Times New Roman"/>
        </w:rPr>
        <w:tab/>
        <w:t>-.058</w:t>
      </w:r>
      <w:r w:rsidRPr="00022F29">
        <w:rPr>
          <w:rFonts w:ascii="Calibri" w:eastAsia="Calibri" w:hAnsi="Calibri" w:cs="Times New Roman"/>
        </w:rPr>
        <w:tab/>
        <w:t>-.017</w:t>
      </w:r>
    </w:p>
    <w:p w14:paraId="149F09F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.167</w:t>
      </w:r>
      <w:r w:rsidRPr="00022F29">
        <w:rPr>
          <w:rFonts w:ascii="Calibri" w:eastAsia="Calibri" w:hAnsi="Calibri" w:cs="Times New Roman"/>
        </w:rPr>
        <w:tab/>
        <w:t>0.0%</w:t>
      </w:r>
      <w:r w:rsidRPr="00022F29">
        <w:rPr>
          <w:rFonts w:ascii="Calibri" w:eastAsia="Calibri" w:hAnsi="Calibri" w:cs="Times New Roman"/>
        </w:rPr>
        <w:tab/>
        <w:t>-.167</w:t>
      </w:r>
      <w:r w:rsidRPr="00022F29">
        <w:rPr>
          <w:rFonts w:ascii="Calibri" w:eastAsia="Calibri" w:hAnsi="Calibri" w:cs="Times New Roman"/>
        </w:rPr>
        <w:tab/>
        <w:t>-.409</w:t>
      </w:r>
    </w:p>
    <w:p w14:paraId="344F424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3.000</w:t>
      </w:r>
      <w:r w:rsidRPr="00022F29">
        <w:rPr>
          <w:rFonts w:ascii="Calibri" w:eastAsia="Calibri" w:hAnsi="Calibri" w:cs="Times New Roman"/>
        </w:rPr>
        <w:tab/>
        <w:t>0.5%</w:t>
      </w:r>
      <w:r w:rsidRPr="00022F29">
        <w:rPr>
          <w:rFonts w:ascii="Calibri" w:eastAsia="Calibri" w:hAnsi="Calibri" w:cs="Times New Roman"/>
        </w:rPr>
        <w:tab/>
        <w:t>2.845</w:t>
      </w:r>
      <w:r w:rsidRPr="00022F29">
        <w:rPr>
          <w:rFonts w:ascii="Calibri" w:eastAsia="Calibri" w:hAnsi="Calibri" w:cs="Times New Roman"/>
        </w:rPr>
        <w:tab/>
        <w:t>0.5%</w:t>
      </w:r>
      <w:r w:rsidRPr="00022F29">
        <w:rPr>
          <w:rFonts w:ascii="Calibri" w:eastAsia="Calibri" w:hAnsi="Calibri" w:cs="Times New Roman"/>
        </w:rPr>
        <w:tab/>
        <w:t>.155</w:t>
      </w:r>
      <w:r w:rsidRPr="00022F29">
        <w:rPr>
          <w:rFonts w:ascii="Calibri" w:eastAsia="Calibri" w:hAnsi="Calibri" w:cs="Times New Roman"/>
        </w:rPr>
        <w:tab/>
        <w:t>.092</w:t>
      </w:r>
    </w:p>
    <w:p w14:paraId="5FAF1C1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.000</w:t>
      </w:r>
    </w:p>
    <w:p w14:paraId="5BD5D7A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4.000</w:t>
      </w:r>
      <w:r w:rsidRPr="00022F29">
        <w:rPr>
          <w:rFonts w:ascii="Calibri" w:eastAsia="Calibri" w:hAnsi="Calibri" w:cs="Times New Roman"/>
        </w:rPr>
        <w:tab/>
        <w:t>0.7%</w:t>
      </w:r>
      <w:r w:rsidRPr="00022F29">
        <w:rPr>
          <w:rFonts w:ascii="Calibri" w:eastAsia="Calibri" w:hAnsi="Calibri" w:cs="Times New Roman"/>
        </w:rPr>
        <w:tab/>
        <w:t>3.985</w:t>
      </w:r>
      <w:r w:rsidRPr="00022F29">
        <w:rPr>
          <w:rFonts w:ascii="Calibri" w:eastAsia="Calibri" w:hAnsi="Calibri" w:cs="Times New Roman"/>
        </w:rPr>
        <w:tab/>
        <w:t>0.7%</w:t>
      </w:r>
      <w:r w:rsidRPr="00022F29">
        <w:rPr>
          <w:rFonts w:ascii="Calibri" w:eastAsia="Calibri" w:hAnsi="Calibri" w:cs="Times New Roman"/>
        </w:rPr>
        <w:tab/>
        <w:t>.015</w:t>
      </w:r>
      <w:r w:rsidRPr="00022F29">
        <w:rPr>
          <w:rFonts w:ascii="Calibri" w:eastAsia="Calibri" w:hAnsi="Calibri" w:cs="Times New Roman"/>
        </w:rPr>
        <w:tab/>
        <w:t>.008</w:t>
      </w:r>
    </w:p>
    <w:p w14:paraId="35BF031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4.000</w:t>
      </w:r>
      <w:r w:rsidRPr="00022F29">
        <w:rPr>
          <w:rFonts w:ascii="Calibri" w:eastAsia="Calibri" w:hAnsi="Calibri" w:cs="Times New Roman"/>
        </w:rPr>
        <w:tab/>
        <w:t>0.7%</w:t>
      </w:r>
      <w:r w:rsidRPr="00022F29">
        <w:rPr>
          <w:rFonts w:ascii="Calibri" w:eastAsia="Calibri" w:hAnsi="Calibri" w:cs="Times New Roman"/>
        </w:rPr>
        <w:tab/>
        <w:t>3.904</w:t>
      </w:r>
      <w:r w:rsidRPr="00022F29">
        <w:rPr>
          <w:rFonts w:ascii="Calibri" w:eastAsia="Calibri" w:hAnsi="Calibri" w:cs="Times New Roman"/>
        </w:rPr>
        <w:tab/>
        <w:t>0.7%</w:t>
      </w:r>
      <w:r w:rsidRPr="00022F29">
        <w:rPr>
          <w:rFonts w:ascii="Calibri" w:eastAsia="Calibri" w:hAnsi="Calibri" w:cs="Times New Roman"/>
        </w:rPr>
        <w:tab/>
        <w:t>.096</w:t>
      </w:r>
      <w:r w:rsidRPr="00022F29">
        <w:rPr>
          <w:rFonts w:ascii="Calibri" w:eastAsia="Calibri" w:hAnsi="Calibri" w:cs="Times New Roman"/>
        </w:rPr>
        <w:tab/>
        <w:t>.049</w:t>
      </w:r>
    </w:p>
    <w:p w14:paraId="7BE5CED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18.000</w:t>
      </w:r>
      <w:r w:rsidRPr="00022F29">
        <w:rPr>
          <w:rFonts w:ascii="Calibri" w:eastAsia="Calibri" w:hAnsi="Calibri" w:cs="Times New Roman"/>
        </w:rPr>
        <w:tab/>
        <w:t>3.0%</w:t>
      </w:r>
      <w:r w:rsidRPr="00022F29">
        <w:rPr>
          <w:rFonts w:ascii="Calibri" w:eastAsia="Calibri" w:hAnsi="Calibri" w:cs="Times New Roman"/>
        </w:rPr>
        <w:tab/>
        <w:t>18.100</w:t>
      </w:r>
      <w:r w:rsidRPr="00022F29">
        <w:rPr>
          <w:rFonts w:ascii="Calibri" w:eastAsia="Calibri" w:hAnsi="Calibri" w:cs="Times New Roman"/>
        </w:rPr>
        <w:tab/>
        <w:t>3.1%</w:t>
      </w:r>
      <w:r w:rsidRPr="00022F29">
        <w:rPr>
          <w:rFonts w:ascii="Calibri" w:eastAsia="Calibri" w:hAnsi="Calibri" w:cs="Times New Roman"/>
        </w:rPr>
        <w:tab/>
        <w:t>-.100</w:t>
      </w:r>
      <w:r w:rsidRPr="00022F29">
        <w:rPr>
          <w:rFonts w:ascii="Calibri" w:eastAsia="Calibri" w:hAnsi="Calibri" w:cs="Times New Roman"/>
        </w:rPr>
        <w:tab/>
        <w:t>-.024</w:t>
      </w:r>
    </w:p>
    <w:p w14:paraId="3A3CC6E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.000</w:t>
      </w:r>
    </w:p>
    <w:p w14:paraId="48A759C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7.000</w:t>
      </w:r>
      <w:r w:rsidRPr="00022F29">
        <w:rPr>
          <w:rFonts w:ascii="Calibri" w:eastAsia="Calibri" w:hAnsi="Calibri" w:cs="Times New Roman"/>
        </w:rPr>
        <w:tab/>
        <w:t>1.2%</w:t>
      </w:r>
      <w:r w:rsidRPr="00022F29">
        <w:rPr>
          <w:rFonts w:ascii="Calibri" w:eastAsia="Calibri" w:hAnsi="Calibri" w:cs="Times New Roman"/>
        </w:rPr>
        <w:tab/>
        <w:t>7.013</w:t>
      </w:r>
      <w:r w:rsidRPr="00022F29">
        <w:rPr>
          <w:rFonts w:ascii="Calibri" w:eastAsia="Calibri" w:hAnsi="Calibri" w:cs="Times New Roman"/>
        </w:rPr>
        <w:tab/>
        <w:t>1.2%</w:t>
      </w:r>
      <w:r w:rsidRPr="00022F29">
        <w:rPr>
          <w:rFonts w:ascii="Calibri" w:eastAsia="Calibri" w:hAnsi="Calibri" w:cs="Times New Roman"/>
        </w:rPr>
        <w:tab/>
        <w:t>-.013</w:t>
      </w:r>
      <w:r w:rsidRPr="00022F29">
        <w:rPr>
          <w:rFonts w:ascii="Calibri" w:eastAsia="Calibri" w:hAnsi="Calibri" w:cs="Times New Roman"/>
        </w:rPr>
        <w:tab/>
        <w:t>-.005</w:t>
      </w:r>
    </w:p>
    <w:p w14:paraId="572BA9D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.863</w:t>
      </w:r>
      <w:r w:rsidRPr="00022F29">
        <w:rPr>
          <w:rFonts w:ascii="Calibri" w:eastAsia="Calibri" w:hAnsi="Calibri" w:cs="Times New Roman"/>
        </w:rPr>
        <w:tab/>
        <w:t>0.1%</w:t>
      </w:r>
      <w:r w:rsidRPr="00022F29">
        <w:rPr>
          <w:rFonts w:ascii="Calibri" w:eastAsia="Calibri" w:hAnsi="Calibri" w:cs="Times New Roman"/>
        </w:rPr>
        <w:tab/>
        <w:t>.137</w:t>
      </w:r>
      <w:r w:rsidRPr="00022F29">
        <w:rPr>
          <w:rFonts w:ascii="Calibri" w:eastAsia="Calibri" w:hAnsi="Calibri" w:cs="Times New Roman"/>
        </w:rPr>
        <w:tab/>
        <w:t>.148</w:t>
      </w:r>
    </w:p>
    <w:p w14:paraId="411F7DB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1.133</w:t>
      </w:r>
      <w:r w:rsidRPr="00022F29">
        <w:rPr>
          <w:rFonts w:ascii="Calibri" w:eastAsia="Calibri" w:hAnsi="Calibri" w:cs="Times New Roman"/>
        </w:rPr>
        <w:tab/>
        <w:t>0.2%</w:t>
      </w:r>
      <w:r w:rsidRPr="00022F29">
        <w:rPr>
          <w:rFonts w:ascii="Calibri" w:eastAsia="Calibri" w:hAnsi="Calibri" w:cs="Times New Roman"/>
        </w:rPr>
        <w:tab/>
        <w:t>-.133</w:t>
      </w:r>
      <w:r w:rsidRPr="00022F29">
        <w:rPr>
          <w:rFonts w:ascii="Calibri" w:eastAsia="Calibri" w:hAnsi="Calibri" w:cs="Times New Roman"/>
        </w:rPr>
        <w:tab/>
        <w:t>-.125</w:t>
      </w:r>
    </w:p>
    <w:p w14:paraId="7025A7F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.000</w:t>
      </w:r>
    </w:p>
    <w:p w14:paraId="6FA8D50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2.000</w:t>
      </w:r>
      <w:r w:rsidRPr="00022F29">
        <w:rPr>
          <w:rFonts w:ascii="Calibri" w:eastAsia="Calibri" w:hAnsi="Calibri" w:cs="Times New Roman"/>
        </w:rPr>
        <w:tab/>
        <w:t>0.3%</w:t>
      </w:r>
      <w:r w:rsidRPr="00022F29">
        <w:rPr>
          <w:rFonts w:ascii="Calibri" w:eastAsia="Calibri" w:hAnsi="Calibri" w:cs="Times New Roman"/>
        </w:rPr>
        <w:tab/>
        <w:t>1.997</w:t>
      </w:r>
      <w:r w:rsidRPr="00022F29">
        <w:rPr>
          <w:rFonts w:ascii="Calibri" w:eastAsia="Calibri" w:hAnsi="Calibri" w:cs="Times New Roman"/>
        </w:rPr>
        <w:tab/>
        <w:t>0.3%</w:t>
      </w:r>
      <w:r w:rsidRPr="00022F29">
        <w:rPr>
          <w:rFonts w:ascii="Calibri" w:eastAsia="Calibri" w:hAnsi="Calibri" w:cs="Times New Roman"/>
        </w:rPr>
        <w:tab/>
        <w:t>.003</w:t>
      </w:r>
      <w:r w:rsidRPr="00022F29">
        <w:rPr>
          <w:rFonts w:ascii="Calibri" w:eastAsia="Calibri" w:hAnsi="Calibri" w:cs="Times New Roman"/>
        </w:rPr>
        <w:tab/>
        <w:t>.002</w:t>
      </w:r>
    </w:p>
    <w:p w14:paraId="3B01D0A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3.000</w:t>
      </w:r>
      <w:r w:rsidRPr="00022F29">
        <w:rPr>
          <w:rFonts w:ascii="Calibri" w:eastAsia="Calibri" w:hAnsi="Calibri" w:cs="Times New Roman"/>
        </w:rPr>
        <w:tab/>
        <w:t>0.5%</w:t>
      </w:r>
      <w:r w:rsidRPr="00022F29">
        <w:rPr>
          <w:rFonts w:ascii="Calibri" w:eastAsia="Calibri" w:hAnsi="Calibri" w:cs="Times New Roman"/>
        </w:rPr>
        <w:tab/>
        <w:t>3.146</w:t>
      </w:r>
      <w:r w:rsidRPr="00022F29">
        <w:rPr>
          <w:rFonts w:ascii="Calibri" w:eastAsia="Calibri" w:hAnsi="Calibri" w:cs="Times New Roman"/>
        </w:rPr>
        <w:tab/>
        <w:t>0.5%</w:t>
      </w:r>
      <w:r w:rsidRPr="00022F29">
        <w:rPr>
          <w:rFonts w:ascii="Calibri" w:eastAsia="Calibri" w:hAnsi="Calibri" w:cs="Times New Roman"/>
        </w:rPr>
        <w:tab/>
        <w:t>-.146</w:t>
      </w:r>
      <w:r w:rsidRPr="00022F29">
        <w:rPr>
          <w:rFonts w:ascii="Calibri" w:eastAsia="Calibri" w:hAnsi="Calibri" w:cs="Times New Roman"/>
        </w:rPr>
        <w:tab/>
        <w:t>-.082</w:t>
      </w:r>
    </w:p>
    <w:p w14:paraId="4FAE5F6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5.000</w:t>
      </w:r>
      <w:r w:rsidRPr="00022F29">
        <w:rPr>
          <w:rFonts w:ascii="Calibri" w:eastAsia="Calibri" w:hAnsi="Calibri" w:cs="Times New Roman"/>
        </w:rPr>
        <w:tab/>
        <w:t>0.8%</w:t>
      </w:r>
      <w:r w:rsidRPr="00022F29">
        <w:rPr>
          <w:rFonts w:ascii="Calibri" w:eastAsia="Calibri" w:hAnsi="Calibri" w:cs="Times New Roman"/>
        </w:rPr>
        <w:tab/>
        <w:t>4.861</w:t>
      </w:r>
      <w:r w:rsidRPr="00022F29">
        <w:rPr>
          <w:rFonts w:ascii="Calibri" w:eastAsia="Calibri" w:hAnsi="Calibri" w:cs="Times New Roman"/>
        </w:rPr>
        <w:tab/>
        <w:t>0.8%</w:t>
      </w:r>
      <w:r w:rsidRPr="00022F29">
        <w:rPr>
          <w:rFonts w:ascii="Calibri" w:eastAsia="Calibri" w:hAnsi="Calibri" w:cs="Times New Roman"/>
        </w:rPr>
        <w:tab/>
        <w:t>.139</w:t>
      </w:r>
      <w:r w:rsidRPr="00022F29">
        <w:rPr>
          <w:rFonts w:ascii="Calibri" w:eastAsia="Calibri" w:hAnsi="Calibri" w:cs="Times New Roman"/>
        </w:rPr>
        <w:tab/>
        <w:t>.063</w:t>
      </w:r>
    </w:p>
    <w:p w14:paraId="6F8F9A6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1.116</w:t>
      </w:r>
      <w:r w:rsidRPr="00022F29">
        <w:rPr>
          <w:rFonts w:ascii="Calibri" w:eastAsia="Calibri" w:hAnsi="Calibri" w:cs="Times New Roman"/>
        </w:rPr>
        <w:tab/>
        <w:t>0.2%</w:t>
      </w:r>
      <w:r w:rsidRPr="00022F29">
        <w:rPr>
          <w:rFonts w:ascii="Calibri" w:eastAsia="Calibri" w:hAnsi="Calibri" w:cs="Times New Roman"/>
        </w:rPr>
        <w:tab/>
        <w:t>-.116</w:t>
      </w:r>
      <w:r w:rsidRPr="00022F29">
        <w:rPr>
          <w:rFonts w:ascii="Calibri" w:eastAsia="Calibri" w:hAnsi="Calibri" w:cs="Times New Roman"/>
        </w:rPr>
        <w:tab/>
        <w:t>-.109</w:t>
      </w:r>
    </w:p>
    <w:p w14:paraId="73228DD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.886</w:t>
      </w:r>
      <w:r w:rsidRPr="00022F29">
        <w:rPr>
          <w:rFonts w:ascii="Calibri" w:eastAsia="Calibri" w:hAnsi="Calibri" w:cs="Times New Roman"/>
        </w:rPr>
        <w:tab/>
        <w:t>0.1%</w:t>
      </w:r>
      <w:r w:rsidRPr="00022F29">
        <w:rPr>
          <w:rFonts w:ascii="Calibri" w:eastAsia="Calibri" w:hAnsi="Calibri" w:cs="Times New Roman"/>
        </w:rPr>
        <w:tab/>
        <w:t>.114</w:t>
      </w:r>
      <w:r w:rsidRPr="00022F29">
        <w:rPr>
          <w:rFonts w:ascii="Calibri" w:eastAsia="Calibri" w:hAnsi="Calibri" w:cs="Times New Roman"/>
        </w:rPr>
        <w:tab/>
        <w:t>.121</w:t>
      </w:r>
    </w:p>
    <w:p w14:paraId="0FA98FF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1.027</w:t>
      </w:r>
      <w:r w:rsidRPr="00022F29">
        <w:rPr>
          <w:rFonts w:ascii="Calibri" w:eastAsia="Calibri" w:hAnsi="Calibri" w:cs="Times New Roman"/>
        </w:rPr>
        <w:tab/>
        <w:t>0.2%</w:t>
      </w:r>
      <w:r w:rsidRPr="00022F29">
        <w:rPr>
          <w:rFonts w:ascii="Calibri" w:eastAsia="Calibri" w:hAnsi="Calibri" w:cs="Times New Roman"/>
        </w:rPr>
        <w:tab/>
        <w:t>-.027</w:t>
      </w:r>
      <w:r w:rsidRPr="00022F29">
        <w:rPr>
          <w:rFonts w:ascii="Calibri" w:eastAsia="Calibri" w:hAnsi="Calibri" w:cs="Times New Roman"/>
        </w:rPr>
        <w:tab/>
        <w:t>-.027</w:t>
      </w:r>
    </w:p>
    <w:p w14:paraId="770586A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2.000</w:t>
      </w:r>
      <w:r w:rsidRPr="00022F29">
        <w:rPr>
          <w:rFonts w:ascii="Calibri" w:eastAsia="Calibri" w:hAnsi="Calibri" w:cs="Times New Roman"/>
        </w:rPr>
        <w:tab/>
        <w:t>0.3%</w:t>
      </w:r>
      <w:r w:rsidRPr="00022F29">
        <w:rPr>
          <w:rFonts w:ascii="Calibri" w:eastAsia="Calibri" w:hAnsi="Calibri" w:cs="Times New Roman"/>
        </w:rPr>
        <w:tab/>
        <w:t>1.974</w:t>
      </w:r>
      <w:r w:rsidRPr="00022F29">
        <w:rPr>
          <w:rFonts w:ascii="Calibri" w:eastAsia="Calibri" w:hAnsi="Calibri" w:cs="Times New Roman"/>
        </w:rPr>
        <w:tab/>
        <w:t>0.3%</w:t>
      </w:r>
      <w:r w:rsidRPr="00022F29">
        <w:rPr>
          <w:rFonts w:ascii="Calibri" w:eastAsia="Calibri" w:hAnsi="Calibri" w:cs="Times New Roman"/>
        </w:rPr>
        <w:tab/>
        <w:t>.026</w:t>
      </w:r>
      <w:r w:rsidRPr="00022F29">
        <w:rPr>
          <w:rFonts w:ascii="Calibri" w:eastAsia="Calibri" w:hAnsi="Calibri" w:cs="Times New Roman"/>
        </w:rPr>
        <w:tab/>
        <w:t>.019</w:t>
      </w:r>
    </w:p>
    <w:p w14:paraId="2A0B487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.886</w:t>
      </w:r>
      <w:r w:rsidRPr="00022F29">
        <w:rPr>
          <w:rFonts w:ascii="Calibri" w:eastAsia="Calibri" w:hAnsi="Calibri" w:cs="Times New Roman"/>
        </w:rPr>
        <w:tab/>
        <w:t>0.1%</w:t>
      </w:r>
      <w:r w:rsidRPr="00022F29">
        <w:rPr>
          <w:rFonts w:ascii="Calibri" w:eastAsia="Calibri" w:hAnsi="Calibri" w:cs="Times New Roman"/>
        </w:rPr>
        <w:tab/>
        <w:t>.114</w:t>
      </w:r>
      <w:r w:rsidRPr="00022F29">
        <w:rPr>
          <w:rFonts w:ascii="Calibri" w:eastAsia="Calibri" w:hAnsi="Calibri" w:cs="Times New Roman"/>
        </w:rPr>
        <w:tab/>
        <w:t>.121</w:t>
      </w:r>
    </w:p>
    <w:p w14:paraId="0DE73BD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1.114</w:t>
      </w:r>
      <w:r w:rsidRPr="00022F29">
        <w:rPr>
          <w:rFonts w:ascii="Calibri" w:eastAsia="Calibri" w:hAnsi="Calibri" w:cs="Times New Roman"/>
        </w:rPr>
        <w:tab/>
        <w:t>0.2%</w:t>
      </w:r>
      <w:r w:rsidRPr="00022F29">
        <w:rPr>
          <w:rFonts w:ascii="Calibri" w:eastAsia="Calibri" w:hAnsi="Calibri" w:cs="Times New Roman"/>
        </w:rPr>
        <w:tab/>
        <w:t>-.114</w:t>
      </w:r>
      <w:r w:rsidRPr="00022F29">
        <w:rPr>
          <w:rFonts w:ascii="Calibri" w:eastAsia="Calibri" w:hAnsi="Calibri" w:cs="Times New Roman"/>
        </w:rPr>
        <w:tab/>
        <w:t>-.108</w:t>
      </w:r>
    </w:p>
    <w:p w14:paraId="7AEEAB2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3.000</w:t>
      </w:r>
      <w:r w:rsidRPr="00022F29">
        <w:rPr>
          <w:rFonts w:ascii="Calibri" w:eastAsia="Calibri" w:hAnsi="Calibri" w:cs="Times New Roman"/>
        </w:rPr>
        <w:tab/>
        <w:t>0.5%</w:t>
      </w:r>
      <w:r w:rsidRPr="00022F29">
        <w:rPr>
          <w:rFonts w:ascii="Calibri" w:eastAsia="Calibri" w:hAnsi="Calibri" w:cs="Times New Roman"/>
        </w:rPr>
        <w:tab/>
        <w:t>2.969</w:t>
      </w:r>
      <w:r w:rsidRPr="00022F29">
        <w:rPr>
          <w:rFonts w:ascii="Calibri" w:eastAsia="Calibri" w:hAnsi="Calibri" w:cs="Times New Roman"/>
        </w:rPr>
        <w:tab/>
        <w:t>0.5%</w:t>
      </w:r>
      <w:r w:rsidRPr="00022F29">
        <w:rPr>
          <w:rFonts w:ascii="Calibri" w:eastAsia="Calibri" w:hAnsi="Calibri" w:cs="Times New Roman"/>
        </w:rPr>
        <w:tab/>
        <w:t>.031</w:t>
      </w:r>
      <w:r w:rsidRPr="00022F29">
        <w:rPr>
          <w:rFonts w:ascii="Calibri" w:eastAsia="Calibri" w:hAnsi="Calibri" w:cs="Times New Roman"/>
        </w:rPr>
        <w:tab/>
        <w:t>.018</w:t>
      </w:r>
    </w:p>
    <w:p w14:paraId="3129A68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9.000</w:t>
      </w:r>
      <w:r w:rsidRPr="00022F29">
        <w:rPr>
          <w:rFonts w:ascii="Calibri" w:eastAsia="Calibri" w:hAnsi="Calibri" w:cs="Times New Roman"/>
        </w:rPr>
        <w:tab/>
        <w:t>1.5%</w:t>
      </w:r>
      <w:r w:rsidRPr="00022F29">
        <w:rPr>
          <w:rFonts w:ascii="Calibri" w:eastAsia="Calibri" w:hAnsi="Calibri" w:cs="Times New Roman"/>
        </w:rPr>
        <w:tab/>
        <w:t>9.031</w:t>
      </w:r>
      <w:r w:rsidRPr="00022F29">
        <w:rPr>
          <w:rFonts w:ascii="Calibri" w:eastAsia="Calibri" w:hAnsi="Calibri" w:cs="Times New Roman"/>
        </w:rPr>
        <w:tab/>
        <w:t>1.5%</w:t>
      </w:r>
      <w:r w:rsidRPr="00022F29">
        <w:rPr>
          <w:rFonts w:ascii="Calibri" w:eastAsia="Calibri" w:hAnsi="Calibri" w:cs="Times New Roman"/>
        </w:rPr>
        <w:tab/>
        <w:t>-.031</w:t>
      </w:r>
      <w:r w:rsidRPr="00022F29">
        <w:rPr>
          <w:rFonts w:ascii="Calibri" w:eastAsia="Calibri" w:hAnsi="Calibri" w:cs="Times New Roman"/>
        </w:rPr>
        <w:tab/>
        <w:t>-.010</w:t>
      </w:r>
    </w:p>
    <w:p w14:paraId="25E75AE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.000</w:t>
      </w:r>
    </w:p>
    <w:p w14:paraId="3796DDB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7.000</w:t>
      </w:r>
      <w:r w:rsidRPr="00022F29">
        <w:rPr>
          <w:rFonts w:ascii="Calibri" w:eastAsia="Calibri" w:hAnsi="Calibri" w:cs="Times New Roman"/>
        </w:rPr>
        <w:tab/>
        <w:t>1.2%</w:t>
      </w:r>
      <w:r w:rsidRPr="00022F29">
        <w:rPr>
          <w:rFonts w:ascii="Calibri" w:eastAsia="Calibri" w:hAnsi="Calibri" w:cs="Times New Roman"/>
        </w:rPr>
        <w:tab/>
        <w:t>7.057</w:t>
      </w:r>
      <w:r w:rsidRPr="00022F29">
        <w:rPr>
          <w:rFonts w:ascii="Calibri" w:eastAsia="Calibri" w:hAnsi="Calibri" w:cs="Times New Roman"/>
        </w:rPr>
        <w:tab/>
        <w:t>1.2%</w:t>
      </w:r>
      <w:r w:rsidRPr="00022F29">
        <w:rPr>
          <w:rFonts w:ascii="Calibri" w:eastAsia="Calibri" w:hAnsi="Calibri" w:cs="Times New Roman"/>
        </w:rPr>
        <w:tab/>
        <w:t>-.057</w:t>
      </w:r>
      <w:r w:rsidRPr="00022F29">
        <w:rPr>
          <w:rFonts w:ascii="Calibri" w:eastAsia="Calibri" w:hAnsi="Calibri" w:cs="Times New Roman"/>
        </w:rPr>
        <w:tab/>
        <w:t>-.021</w:t>
      </w:r>
    </w:p>
    <w:p w14:paraId="31C42C6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.029</w:t>
      </w:r>
      <w:r w:rsidRPr="00022F29">
        <w:rPr>
          <w:rFonts w:ascii="Calibri" w:eastAsia="Calibri" w:hAnsi="Calibri" w:cs="Times New Roman"/>
        </w:rPr>
        <w:tab/>
        <w:t>0.0%</w:t>
      </w:r>
      <w:r w:rsidRPr="00022F29">
        <w:rPr>
          <w:rFonts w:ascii="Calibri" w:eastAsia="Calibri" w:hAnsi="Calibri" w:cs="Times New Roman"/>
        </w:rPr>
        <w:tab/>
        <w:t>-.029</w:t>
      </w:r>
      <w:r w:rsidRPr="00022F29">
        <w:rPr>
          <w:rFonts w:ascii="Calibri" w:eastAsia="Calibri" w:hAnsi="Calibri" w:cs="Times New Roman"/>
        </w:rPr>
        <w:tab/>
        <w:t>-.171</w:t>
      </w:r>
    </w:p>
    <w:p w14:paraId="4DE8B92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3.000</w:t>
      </w:r>
      <w:r w:rsidRPr="00022F29">
        <w:rPr>
          <w:rFonts w:ascii="Calibri" w:eastAsia="Calibri" w:hAnsi="Calibri" w:cs="Times New Roman"/>
        </w:rPr>
        <w:tab/>
        <w:t>0.5%</w:t>
      </w:r>
      <w:r w:rsidRPr="00022F29">
        <w:rPr>
          <w:rFonts w:ascii="Calibri" w:eastAsia="Calibri" w:hAnsi="Calibri" w:cs="Times New Roman"/>
        </w:rPr>
        <w:tab/>
        <w:t>3.013</w:t>
      </w:r>
      <w:r w:rsidRPr="00022F29">
        <w:rPr>
          <w:rFonts w:ascii="Calibri" w:eastAsia="Calibri" w:hAnsi="Calibri" w:cs="Times New Roman"/>
        </w:rPr>
        <w:tab/>
        <w:t>0.5%</w:t>
      </w:r>
      <w:r w:rsidRPr="00022F29">
        <w:rPr>
          <w:rFonts w:ascii="Calibri" w:eastAsia="Calibri" w:hAnsi="Calibri" w:cs="Times New Roman"/>
        </w:rPr>
        <w:tab/>
        <w:t>-.013</w:t>
      </w:r>
      <w:r w:rsidRPr="00022F29">
        <w:rPr>
          <w:rFonts w:ascii="Calibri" w:eastAsia="Calibri" w:hAnsi="Calibri" w:cs="Times New Roman"/>
        </w:rPr>
        <w:tab/>
        <w:t>-.007</w:t>
      </w:r>
    </w:p>
    <w:p w14:paraId="74149E9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.000</w:t>
      </w:r>
    </w:p>
    <w:p w14:paraId="56148C8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3.000</w:t>
      </w:r>
      <w:r w:rsidRPr="00022F29">
        <w:rPr>
          <w:rFonts w:ascii="Calibri" w:eastAsia="Calibri" w:hAnsi="Calibri" w:cs="Times New Roman"/>
        </w:rPr>
        <w:tab/>
        <w:t>0.5%</w:t>
      </w:r>
      <w:r w:rsidRPr="00022F29">
        <w:rPr>
          <w:rFonts w:ascii="Calibri" w:eastAsia="Calibri" w:hAnsi="Calibri" w:cs="Times New Roman"/>
        </w:rPr>
        <w:tab/>
        <w:t>2.974</w:t>
      </w:r>
      <w:r w:rsidRPr="00022F29">
        <w:rPr>
          <w:rFonts w:ascii="Calibri" w:eastAsia="Calibri" w:hAnsi="Calibri" w:cs="Times New Roman"/>
        </w:rPr>
        <w:tab/>
        <w:t>0.5%</w:t>
      </w:r>
      <w:r w:rsidRPr="00022F29">
        <w:rPr>
          <w:rFonts w:ascii="Calibri" w:eastAsia="Calibri" w:hAnsi="Calibri" w:cs="Times New Roman"/>
        </w:rPr>
        <w:tab/>
        <w:t>.026</w:t>
      </w:r>
      <w:r w:rsidRPr="00022F29">
        <w:rPr>
          <w:rFonts w:ascii="Calibri" w:eastAsia="Calibri" w:hAnsi="Calibri" w:cs="Times New Roman"/>
        </w:rPr>
        <w:tab/>
        <w:t>.015</w:t>
      </w:r>
    </w:p>
    <w:p w14:paraId="6D60CF9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1.001</w:t>
      </w:r>
      <w:r w:rsidRPr="00022F29">
        <w:rPr>
          <w:rFonts w:ascii="Calibri" w:eastAsia="Calibri" w:hAnsi="Calibri" w:cs="Times New Roman"/>
        </w:rPr>
        <w:tab/>
        <w:t>0.2%</w:t>
      </w:r>
      <w:r w:rsidRPr="00022F29">
        <w:rPr>
          <w:rFonts w:ascii="Calibri" w:eastAsia="Calibri" w:hAnsi="Calibri" w:cs="Times New Roman"/>
        </w:rPr>
        <w:tab/>
        <w:t>-.001</w:t>
      </w:r>
      <w:r w:rsidRPr="00022F29">
        <w:rPr>
          <w:rFonts w:ascii="Calibri" w:eastAsia="Calibri" w:hAnsi="Calibri" w:cs="Times New Roman"/>
        </w:rPr>
        <w:tab/>
        <w:t>-.001</w:t>
      </w:r>
    </w:p>
    <w:p w14:paraId="3607DF6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6.000</w:t>
      </w:r>
      <w:r w:rsidRPr="00022F29">
        <w:rPr>
          <w:rFonts w:ascii="Calibri" w:eastAsia="Calibri" w:hAnsi="Calibri" w:cs="Times New Roman"/>
        </w:rPr>
        <w:tab/>
        <w:t>1.0%</w:t>
      </w:r>
      <w:r w:rsidRPr="00022F29">
        <w:rPr>
          <w:rFonts w:ascii="Calibri" w:eastAsia="Calibri" w:hAnsi="Calibri" w:cs="Times New Roman"/>
        </w:rPr>
        <w:tab/>
        <w:t>5.960</w:t>
      </w:r>
      <w:r w:rsidRPr="00022F29">
        <w:rPr>
          <w:rFonts w:ascii="Calibri" w:eastAsia="Calibri" w:hAnsi="Calibri" w:cs="Times New Roman"/>
        </w:rPr>
        <w:tab/>
        <w:t>1.0%</w:t>
      </w:r>
      <w:r w:rsidRPr="00022F29">
        <w:rPr>
          <w:rFonts w:ascii="Calibri" w:eastAsia="Calibri" w:hAnsi="Calibri" w:cs="Times New Roman"/>
        </w:rPr>
        <w:tab/>
        <w:t>.040</w:t>
      </w:r>
      <w:r w:rsidRPr="00022F29">
        <w:rPr>
          <w:rFonts w:ascii="Calibri" w:eastAsia="Calibri" w:hAnsi="Calibri" w:cs="Times New Roman"/>
        </w:rPr>
        <w:tab/>
        <w:t>.016</w:t>
      </w:r>
    </w:p>
    <w:p w14:paraId="6712DB8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.850</w:t>
      </w:r>
      <w:r w:rsidRPr="00022F29">
        <w:rPr>
          <w:rFonts w:ascii="Calibri" w:eastAsia="Calibri" w:hAnsi="Calibri" w:cs="Times New Roman"/>
        </w:rPr>
        <w:tab/>
        <w:t>0.1%</w:t>
      </w:r>
      <w:r w:rsidRPr="00022F29">
        <w:rPr>
          <w:rFonts w:ascii="Calibri" w:eastAsia="Calibri" w:hAnsi="Calibri" w:cs="Times New Roman"/>
        </w:rPr>
        <w:tab/>
        <w:t>.150</w:t>
      </w:r>
      <w:r w:rsidRPr="00022F29">
        <w:rPr>
          <w:rFonts w:ascii="Calibri" w:eastAsia="Calibri" w:hAnsi="Calibri" w:cs="Times New Roman"/>
        </w:rPr>
        <w:tab/>
        <w:t>.163</w:t>
      </w:r>
    </w:p>
    <w:p w14:paraId="597C5A6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4.000</w:t>
      </w:r>
      <w:r w:rsidRPr="00022F29">
        <w:rPr>
          <w:rFonts w:ascii="Calibri" w:eastAsia="Calibri" w:hAnsi="Calibri" w:cs="Times New Roman"/>
        </w:rPr>
        <w:tab/>
        <w:t>0.7%</w:t>
      </w:r>
      <w:r w:rsidRPr="00022F29">
        <w:rPr>
          <w:rFonts w:ascii="Calibri" w:eastAsia="Calibri" w:hAnsi="Calibri" w:cs="Times New Roman"/>
        </w:rPr>
        <w:tab/>
        <w:t>4.051</w:t>
      </w:r>
      <w:r w:rsidRPr="00022F29">
        <w:rPr>
          <w:rFonts w:ascii="Calibri" w:eastAsia="Calibri" w:hAnsi="Calibri" w:cs="Times New Roman"/>
        </w:rPr>
        <w:tab/>
        <w:t>0.7%</w:t>
      </w:r>
      <w:r w:rsidRPr="00022F29">
        <w:rPr>
          <w:rFonts w:ascii="Calibri" w:eastAsia="Calibri" w:hAnsi="Calibri" w:cs="Times New Roman"/>
        </w:rPr>
        <w:tab/>
        <w:t>-.051</w:t>
      </w:r>
      <w:r w:rsidRPr="00022F29">
        <w:rPr>
          <w:rFonts w:ascii="Calibri" w:eastAsia="Calibri" w:hAnsi="Calibri" w:cs="Times New Roman"/>
        </w:rPr>
        <w:tab/>
        <w:t>-.025</w:t>
      </w:r>
    </w:p>
    <w:p w14:paraId="12A405A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.131</w:t>
      </w:r>
      <w:r w:rsidRPr="00022F29">
        <w:rPr>
          <w:rFonts w:ascii="Calibri" w:eastAsia="Calibri" w:hAnsi="Calibri" w:cs="Times New Roman"/>
        </w:rPr>
        <w:tab/>
        <w:t>0.0%</w:t>
      </w:r>
      <w:r w:rsidRPr="00022F29">
        <w:rPr>
          <w:rFonts w:ascii="Calibri" w:eastAsia="Calibri" w:hAnsi="Calibri" w:cs="Times New Roman"/>
        </w:rPr>
        <w:tab/>
        <w:t>-.131</w:t>
      </w:r>
      <w:r w:rsidRPr="00022F29">
        <w:rPr>
          <w:rFonts w:ascii="Calibri" w:eastAsia="Calibri" w:hAnsi="Calibri" w:cs="Times New Roman"/>
        </w:rPr>
        <w:tab/>
        <w:t>-.362</w:t>
      </w:r>
    </w:p>
    <w:p w14:paraId="39794C9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2.000</w:t>
      </w:r>
      <w:r w:rsidRPr="00022F29">
        <w:rPr>
          <w:rFonts w:ascii="Calibri" w:eastAsia="Calibri" w:hAnsi="Calibri" w:cs="Times New Roman"/>
        </w:rPr>
        <w:tab/>
        <w:t>0.3%</w:t>
      </w:r>
      <w:r w:rsidRPr="00022F29">
        <w:rPr>
          <w:rFonts w:ascii="Calibri" w:eastAsia="Calibri" w:hAnsi="Calibri" w:cs="Times New Roman"/>
        </w:rPr>
        <w:tab/>
        <w:t>1.879</w:t>
      </w:r>
      <w:r w:rsidRPr="00022F29">
        <w:rPr>
          <w:rFonts w:ascii="Calibri" w:eastAsia="Calibri" w:hAnsi="Calibri" w:cs="Times New Roman"/>
        </w:rPr>
        <w:tab/>
        <w:t>0.3%</w:t>
      </w:r>
      <w:r w:rsidRPr="00022F29">
        <w:rPr>
          <w:rFonts w:ascii="Calibri" w:eastAsia="Calibri" w:hAnsi="Calibri" w:cs="Times New Roman"/>
        </w:rPr>
        <w:tab/>
        <w:t>.121</w:t>
      </w:r>
      <w:r w:rsidRPr="00022F29">
        <w:rPr>
          <w:rFonts w:ascii="Calibri" w:eastAsia="Calibri" w:hAnsi="Calibri" w:cs="Times New Roman"/>
        </w:rPr>
        <w:tab/>
        <w:t>.088</w:t>
      </w:r>
    </w:p>
    <w:p w14:paraId="7D7BA81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1.085</w:t>
      </w:r>
      <w:r w:rsidRPr="00022F29">
        <w:rPr>
          <w:rFonts w:ascii="Calibri" w:eastAsia="Calibri" w:hAnsi="Calibri" w:cs="Times New Roman"/>
        </w:rPr>
        <w:tab/>
        <w:t>0.2%</w:t>
      </w:r>
      <w:r w:rsidRPr="00022F29">
        <w:rPr>
          <w:rFonts w:ascii="Calibri" w:eastAsia="Calibri" w:hAnsi="Calibri" w:cs="Times New Roman"/>
        </w:rPr>
        <w:tab/>
        <w:t>-.085</w:t>
      </w:r>
      <w:r w:rsidRPr="00022F29">
        <w:rPr>
          <w:rFonts w:ascii="Calibri" w:eastAsia="Calibri" w:hAnsi="Calibri" w:cs="Times New Roman"/>
        </w:rPr>
        <w:tab/>
        <w:t>-.081</w:t>
      </w:r>
    </w:p>
    <w:p w14:paraId="0BECBB3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.974</w:t>
      </w:r>
      <w:r w:rsidRPr="00022F29">
        <w:rPr>
          <w:rFonts w:ascii="Calibri" w:eastAsia="Calibri" w:hAnsi="Calibri" w:cs="Times New Roman"/>
        </w:rPr>
        <w:tab/>
        <w:t>0.2%</w:t>
      </w:r>
      <w:r w:rsidRPr="00022F29">
        <w:rPr>
          <w:rFonts w:ascii="Calibri" w:eastAsia="Calibri" w:hAnsi="Calibri" w:cs="Times New Roman"/>
        </w:rPr>
        <w:tab/>
        <w:t>.026</w:t>
      </w:r>
      <w:r w:rsidRPr="00022F29">
        <w:rPr>
          <w:rFonts w:ascii="Calibri" w:eastAsia="Calibri" w:hAnsi="Calibri" w:cs="Times New Roman"/>
        </w:rPr>
        <w:tab/>
        <w:t>.026</w:t>
      </w:r>
    </w:p>
    <w:p w14:paraId="13D7422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2.000</w:t>
      </w:r>
      <w:r w:rsidRPr="00022F29">
        <w:rPr>
          <w:rFonts w:ascii="Calibri" w:eastAsia="Calibri" w:hAnsi="Calibri" w:cs="Times New Roman"/>
        </w:rPr>
        <w:tab/>
        <w:t>0.3%</w:t>
      </w:r>
      <w:r w:rsidRPr="00022F29">
        <w:rPr>
          <w:rFonts w:ascii="Calibri" w:eastAsia="Calibri" w:hAnsi="Calibri" w:cs="Times New Roman"/>
        </w:rPr>
        <w:tab/>
        <w:t>1.890</w:t>
      </w:r>
      <w:r w:rsidRPr="00022F29">
        <w:rPr>
          <w:rFonts w:ascii="Calibri" w:eastAsia="Calibri" w:hAnsi="Calibri" w:cs="Times New Roman"/>
        </w:rPr>
        <w:tab/>
        <w:t>0.3%</w:t>
      </w:r>
      <w:r w:rsidRPr="00022F29">
        <w:rPr>
          <w:rFonts w:ascii="Calibri" w:eastAsia="Calibri" w:hAnsi="Calibri" w:cs="Times New Roman"/>
        </w:rPr>
        <w:tab/>
        <w:t>.110</w:t>
      </w:r>
      <w:r w:rsidRPr="00022F29">
        <w:rPr>
          <w:rFonts w:ascii="Calibri" w:eastAsia="Calibri" w:hAnsi="Calibri" w:cs="Times New Roman"/>
        </w:rPr>
        <w:tab/>
        <w:t>.080</w:t>
      </w:r>
    </w:p>
    <w:p w14:paraId="4412118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5.000</w:t>
      </w:r>
      <w:r w:rsidRPr="00022F29">
        <w:rPr>
          <w:rFonts w:ascii="Calibri" w:eastAsia="Calibri" w:hAnsi="Calibri" w:cs="Times New Roman"/>
        </w:rPr>
        <w:tab/>
        <w:t>0.8%</w:t>
      </w:r>
      <w:r w:rsidRPr="00022F29">
        <w:rPr>
          <w:rFonts w:ascii="Calibri" w:eastAsia="Calibri" w:hAnsi="Calibri" w:cs="Times New Roman"/>
        </w:rPr>
        <w:tab/>
        <w:t>5.092</w:t>
      </w:r>
      <w:r w:rsidRPr="00022F29">
        <w:rPr>
          <w:rFonts w:ascii="Calibri" w:eastAsia="Calibri" w:hAnsi="Calibri" w:cs="Times New Roman"/>
        </w:rPr>
        <w:tab/>
        <w:t>0.9%</w:t>
      </w:r>
      <w:r w:rsidRPr="00022F29">
        <w:rPr>
          <w:rFonts w:ascii="Calibri" w:eastAsia="Calibri" w:hAnsi="Calibri" w:cs="Times New Roman"/>
        </w:rPr>
        <w:tab/>
        <w:t>-.092</w:t>
      </w:r>
      <w:r w:rsidRPr="00022F29">
        <w:rPr>
          <w:rFonts w:ascii="Calibri" w:eastAsia="Calibri" w:hAnsi="Calibri" w:cs="Times New Roman"/>
        </w:rPr>
        <w:tab/>
        <w:t>-.041</w:t>
      </w:r>
    </w:p>
    <w:p w14:paraId="04378B2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.000</w:t>
      </w:r>
    </w:p>
    <w:p w14:paraId="61E28E4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.000</w:t>
      </w:r>
    </w:p>
    <w:p w14:paraId="4B79AA6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.000</w:t>
      </w:r>
    </w:p>
    <w:p w14:paraId="158A7B5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.926</w:t>
      </w:r>
      <w:r w:rsidRPr="00022F29">
        <w:rPr>
          <w:rFonts w:ascii="Calibri" w:eastAsia="Calibri" w:hAnsi="Calibri" w:cs="Times New Roman"/>
        </w:rPr>
        <w:tab/>
        <w:t>0.2%</w:t>
      </w:r>
      <w:r w:rsidRPr="00022F29">
        <w:rPr>
          <w:rFonts w:ascii="Calibri" w:eastAsia="Calibri" w:hAnsi="Calibri" w:cs="Times New Roman"/>
        </w:rPr>
        <w:tab/>
        <w:t>.074</w:t>
      </w:r>
      <w:r w:rsidRPr="00022F29">
        <w:rPr>
          <w:rFonts w:ascii="Calibri" w:eastAsia="Calibri" w:hAnsi="Calibri" w:cs="Times New Roman"/>
        </w:rPr>
        <w:tab/>
        <w:t>.076</w:t>
      </w:r>
    </w:p>
    <w:p w14:paraId="7CA9CD1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.857</w:t>
      </w:r>
      <w:r w:rsidRPr="00022F29">
        <w:rPr>
          <w:rFonts w:ascii="Calibri" w:eastAsia="Calibri" w:hAnsi="Calibri" w:cs="Times New Roman"/>
        </w:rPr>
        <w:tab/>
        <w:t>0.1%</w:t>
      </w:r>
      <w:r w:rsidRPr="00022F29">
        <w:rPr>
          <w:rFonts w:ascii="Calibri" w:eastAsia="Calibri" w:hAnsi="Calibri" w:cs="Times New Roman"/>
        </w:rPr>
        <w:tab/>
        <w:t>.143</w:t>
      </w:r>
      <w:r w:rsidRPr="00022F29">
        <w:rPr>
          <w:rFonts w:ascii="Calibri" w:eastAsia="Calibri" w:hAnsi="Calibri" w:cs="Times New Roman"/>
        </w:rPr>
        <w:tab/>
        <w:t>.154</w:t>
      </w:r>
    </w:p>
    <w:p w14:paraId="192D85B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.000</w:t>
      </w:r>
    </w:p>
    <w:p w14:paraId="02702E6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.000</w:t>
      </w:r>
    </w:p>
    <w:p w14:paraId="24AFF1B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4.000</w:t>
      </w:r>
      <w:r w:rsidRPr="00022F29">
        <w:rPr>
          <w:rFonts w:ascii="Calibri" w:eastAsia="Calibri" w:hAnsi="Calibri" w:cs="Times New Roman"/>
        </w:rPr>
        <w:tab/>
        <w:t>0.7%</w:t>
      </w:r>
      <w:r w:rsidRPr="00022F29">
        <w:rPr>
          <w:rFonts w:ascii="Calibri" w:eastAsia="Calibri" w:hAnsi="Calibri" w:cs="Times New Roman"/>
        </w:rPr>
        <w:tab/>
        <w:t>4.124</w:t>
      </w:r>
      <w:r w:rsidRPr="00022F29">
        <w:rPr>
          <w:rFonts w:ascii="Calibri" w:eastAsia="Calibri" w:hAnsi="Calibri" w:cs="Times New Roman"/>
        </w:rPr>
        <w:tab/>
        <w:t>0.7%</w:t>
      </w:r>
      <w:r w:rsidRPr="00022F29">
        <w:rPr>
          <w:rFonts w:ascii="Calibri" w:eastAsia="Calibri" w:hAnsi="Calibri" w:cs="Times New Roman"/>
        </w:rPr>
        <w:tab/>
        <w:t>-.124</w:t>
      </w:r>
      <w:r w:rsidRPr="00022F29">
        <w:rPr>
          <w:rFonts w:ascii="Calibri" w:eastAsia="Calibri" w:hAnsi="Calibri" w:cs="Times New Roman"/>
        </w:rPr>
        <w:tab/>
        <w:t>-.061</w:t>
      </w:r>
    </w:p>
    <w:p w14:paraId="0CD9C9D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.000</w:t>
      </w:r>
    </w:p>
    <w:p w14:paraId="1A20EFF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.928</w:t>
      </w:r>
      <w:r w:rsidRPr="00022F29">
        <w:rPr>
          <w:rFonts w:ascii="Calibri" w:eastAsia="Calibri" w:hAnsi="Calibri" w:cs="Times New Roman"/>
        </w:rPr>
        <w:tab/>
        <w:t>0.2%</w:t>
      </w:r>
      <w:r w:rsidRPr="00022F29">
        <w:rPr>
          <w:rFonts w:ascii="Calibri" w:eastAsia="Calibri" w:hAnsi="Calibri" w:cs="Times New Roman"/>
        </w:rPr>
        <w:tab/>
        <w:t>.072</w:t>
      </w:r>
      <w:r w:rsidRPr="00022F29">
        <w:rPr>
          <w:rFonts w:ascii="Calibri" w:eastAsia="Calibri" w:hAnsi="Calibri" w:cs="Times New Roman"/>
        </w:rPr>
        <w:tab/>
        <w:t>.074</w:t>
      </w:r>
    </w:p>
    <w:p w14:paraId="7CA356D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.994</w:t>
      </w:r>
      <w:r w:rsidRPr="00022F29">
        <w:rPr>
          <w:rFonts w:ascii="Calibri" w:eastAsia="Calibri" w:hAnsi="Calibri" w:cs="Times New Roman"/>
        </w:rPr>
        <w:tab/>
        <w:t>0.2%</w:t>
      </w:r>
      <w:r w:rsidRPr="00022F29">
        <w:rPr>
          <w:rFonts w:ascii="Calibri" w:eastAsia="Calibri" w:hAnsi="Calibri" w:cs="Times New Roman"/>
        </w:rPr>
        <w:tab/>
        <w:t>.006</w:t>
      </w:r>
      <w:r w:rsidRPr="00022F29">
        <w:rPr>
          <w:rFonts w:ascii="Calibri" w:eastAsia="Calibri" w:hAnsi="Calibri" w:cs="Times New Roman"/>
        </w:rPr>
        <w:tab/>
        <w:t>.006</w:t>
      </w:r>
    </w:p>
    <w:p w14:paraId="214723B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.146</w:t>
      </w:r>
      <w:r w:rsidRPr="00022F29">
        <w:rPr>
          <w:rFonts w:ascii="Calibri" w:eastAsia="Calibri" w:hAnsi="Calibri" w:cs="Times New Roman"/>
        </w:rPr>
        <w:tab/>
        <w:t>0.0%</w:t>
      </w:r>
      <w:r w:rsidRPr="00022F29">
        <w:rPr>
          <w:rFonts w:ascii="Calibri" w:eastAsia="Calibri" w:hAnsi="Calibri" w:cs="Times New Roman"/>
        </w:rPr>
        <w:tab/>
        <w:t>-.146</w:t>
      </w:r>
      <w:r w:rsidRPr="00022F29">
        <w:rPr>
          <w:rFonts w:ascii="Calibri" w:eastAsia="Calibri" w:hAnsi="Calibri" w:cs="Times New Roman"/>
        </w:rPr>
        <w:tab/>
        <w:t>-.382</w:t>
      </w:r>
    </w:p>
    <w:p w14:paraId="4132D4F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.000</w:t>
      </w:r>
    </w:p>
    <w:p w14:paraId="5620D04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.000</w:t>
      </w:r>
      <w:r w:rsidRPr="00022F29">
        <w:rPr>
          <w:rFonts w:ascii="Calibri" w:eastAsia="Calibri" w:hAnsi="Calibri" w:cs="Times New Roman"/>
        </w:rPr>
        <w:tab/>
        <w:t>.000</w:t>
      </w:r>
    </w:p>
    <w:p w14:paraId="43E26D9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.145</w:t>
      </w:r>
      <w:r w:rsidRPr="00022F29">
        <w:rPr>
          <w:rFonts w:ascii="Calibri" w:eastAsia="Calibri" w:hAnsi="Calibri" w:cs="Times New Roman"/>
        </w:rPr>
        <w:tab/>
        <w:t>0.0%</w:t>
      </w:r>
      <w:r w:rsidRPr="00022F29">
        <w:rPr>
          <w:rFonts w:ascii="Calibri" w:eastAsia="Calibri" w:hAnsi="Calibri" w:cs="Times New Roman"/>
        </w:rPr>
        <w:tab/>
        <w:t>-.145</w:t>
      </w:r>
      <w:r w:rsidRPr="00022F29">
        <w:rPr>
          <w:rFonts w:ascii="Calibri" w:eastAsia="Calibri" w:hAnsi="Calibri" w:cs="Times New Roman"/>
        </w:rPr>
        <w:tab/>
        <w:t>-.380</w:t>
      </w:r>
    </w:p>
    <w:p w14:paraId="6092E5C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.872</w:t>
      </w:r>
      <w:r w:rsidRPr="00022F29">
        <w:rPr>
          <w:rFonts w:ascii="Calibri" w:eastAsia="Calibri" w:hAnsi="Calibri" w:cs="Times New Roman"/>
        </w:rPr>
        <w:tab/>
        <w:t>0.1%</w:t>
      </w:r>
      <w:r w:rsidRPr="00022F29">
        <w:rPr>
          <w:rFonts w:ascii="Calibri" w:eastAsia="Calibri" w:hAnsi="Calibri" w:cs="Times New Roman"/>
        </w:rPr>
        <w:tab/>
        <w:t>.128</w:t>
      </w:r>
      <w:r w:rsidRPr="00022F29">
        <w:rPr>
          <w:rFonts w:ascii="Calibri" w:eastAsia="Calibri" w:hAnsi="Calibri" w:cs="Times New Roman"/>
        </w:rPr>
        <w:tab/>
        <w:t>.137</w:t>
      </w:r>
    </w:p>
    <w:p w14:paraId="7E85549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4.000</w:t>
      </w:r>
      <w:r w:rsidRPr="00022F29">
        <w:rPr>
          <w:rFonts w:ascii="Calibri" w:eastAsia="Calibri" w:hAnsi="Calibri" w:cs="Times New Roman"/>
        </w:rPr>
        <w:tab/>
        <w:t>0.7%</w:t>
      </w:r>
      <w:r w:rsidRPr="00022F29">
        <w:rPr>
          <w:rFonts w:ascii="Calibri" w:eastAsia="Calibri" w:hAnsi="Calibri" w:cs="Times New Roman"/>
        </w:rPr>
        <w:tab/>
        <w:t>4.819</w:t>
      </w:r>
      <w:r w:rsidRPr="00022F29">
        <w:rPr>
          <w:rFonts w:ascii="Calibri" w:eastAsia="Calibri" w:hAnsi="Calibri" w:cs="Times New Roman"/>
        </w:rPr>
        <w:tab/>
        <w:t>0.8%</w:t>
      </w:r>
      <w:r w:rsidRPr="00022F29">
        <w:rPr>
          <w:rFonts w:ascii="Calibri" w:eastAsia="Calibri" w:hAnsi="Calibri" w:cs="Times New Roman"/>
        </w:rPr>
        <w:tab/>
        <w:t>-.819</w:t>
      </w:r>
      <w:r w:rsidRPr="00022F29">
        <w:rPr>
          <w:rFonts w:ascii="Calibri" w:eastAsia="Calibri" w:hAnsi="Calibri" w:cs="Times New Roman"/>
        </w:rPr>
        <w:tab/>
        <w:t>-.373</w:t>
      </w:r>
    </w:p>
    <w:p w14:paraId="5C0BDEA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11.000</w:t>
      </w:r>
      <w:r w:rsidRPr="00022F29">
        <w:rPr>
          <w:rFonts w:ascii="Calibri" w:eastAsia="Calibri" w:hAnsi="Calibri" w:cs="Times New Roman"/>
        </w:rPr>
        <w:tab/>
        <w:t>1.9%</w:t>
      </w:r>
      <w:r w:rsidRPr="00022F29">
        <w:rPr>
          <w:rFonts w:ascii="Calibri" w:eastAsia="Calibri" w:hAnsi="Calibri" w:cs="Times New Roman"/>
        </w:rPr>
        <w:tab/>
        <w:t>10.206</w:t>
      </w:r>
      <w:r w:rsidRPr="00022F29">
        <w:rPr>
          <w:rFonts w:ascii="Calibri" w:eastAsia="Calibri" w:hAnsi="Calibri" w:cs="Times New Roman"/>
        </w:rPr>
        <w:tab/>
        <w:t>1.7%</w:t>
      </w:r>
      <w:r w:rsidRPr="00022F29">
        <w:rPr>
          <w:rFonts w:ascii="Calibri" w:eastAsia="Calibri" w:hAnsi="Calibri" w:cs="Times New Roman"/>
        </w:rPr>
        <w:tab/>
        <w:t>.794</w:t>
      </w:r>
      <w:r w:rsidRPr="00022F29">
        <w:rPr>
          <w:rFonts w:ascii="Calibri" w:eastAsia="Calibri" w:hAnsi="Calibri" w:cs="Times New Roman"/>
        </w:rPr>
        <w:tab/>
        <w:t>.249</w:t>
      </w:r>
    </w:p>
    <w:p w14:paraId="4E69A1C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3.000</w:t>
      </w:r>
      <w:r w:rsidRPr="00022F29">
        <w:rPr>
          <w:rFonts w:ascii="Calibri" w:eastAsia="Calibri" w:hAnsi="Calibri" w:cs="Times New Roman"/>
        </w:rPr>
        <w:tab/>
        <w:t>0.5%</w:t>
      </w:r>
      <w:r w:rsidRPr="00022F29">
        <w:rPr>
          <w:rFonts w:ascii="Calibri" w:eastAsia="Calibri" w:hAnsi="Calibri" w:cs="Times New Roman"/>
        </w:rPr>
        <w:tab/>
        <w:t>2.319</w:t>
      </w:r>
      <w:r w:rsidRPr="00022F29">
        <w:rPr>
          <w:rFonts w:ascii="Calibri" w:eastAsia="Calibri" w:hAnsi="Calibri" w:cs="Times New Roman"/>
        </w:rPr>
        <w:tab/>
        <w:t>0.4%</w:t>
      </w:r>
      <w:r w:rsidRPr="00022F29">
        <w:rPr>
          <w:rFonts w:ascii="Calibri" w:eastAsia="Calibri" w:hAnsi="Calibri" w:cs="Times New Roman"/>
        </w:rPr>
        <w:tab/>
        <w:t>.681</w:t>
      </w:r>
      <w:r w:rsidRPr="00022F29">
        <w:rPr>
          <w:rFonts w:ascii="Calibri" w:eastAsia="Calibri" w:hAnsi="Calibri" w:cs="Times New Roman"/>
        </w:rPr>
        <w:tab/>
        <w:t>.448</w:t>
      </w:r>
    </w:p>
    <w:p w14:paraId="45704BD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2.000</w:t>
      </w:r>
      <w:r w:rsidRPr="00022F29">
        <w:rPr>
          <w:rFonts w:ascii="Calibri" w:eastAsia="Calibri" w:hAnsi="Calibri" w:cs="Times New Roman"/>
        </w:rPr>
        <w:tab/>
        <w:t>0.3%</w:t>
      </w:r>
      <w:r w:rsidRPr="00022F29">
        <w:rPr>
          <w:rFonts w:ascii="Calibri" w:eastAsia="Calibri" w:hAnsi="Calibri" w:cs="Times New Roman"/>
        </w:rPr>
        <w:tab/>
        <w:t>2.696</w:t>
      </w:r>
      <w:r w:rsidRPr="00022F29">
        <w:rPr>
          <w:rFonts w:ascii="Calibri" w:eastAsia="Calibri" w:hAnsi="Calibri" w:cs="Times New Roman"/>
        </w:rPr>
        <w:tab/>
        <w:t>0.5%</w:t>
      </w:r>
      <w:r w:rsidRPr="00022F29">
        <w:rPr>
          <w:rFonts w:ascii="Calibri" w:eastAsia="Calibri" w:hAnsi="Calibri" w:cs="Times New Roman"/>
        </w:rPr>
        <w:tab/>
        <w:t>-.696</w:t>
      </w:r>
      <w:r w:rsidRPr="00022F29">
        <w:rPr>
          <w:rFonts w:ascii="Calibri" w:eastAsia="Calibri" w:hAnsi="Calibri" w:cs="Times New Roman"/>
        </w:rPr>
        <w:tab/>
        <w:t>-.424</w:t>
      </w:r>
    </w:p>
    <w:p w14:paraId="0019B32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3.000</w:t>
      </w:r>
      <w:r w:rsidRPr="00022F29">
        <w:rPr>
          <w:rFonts w:ascii="Calibri" w:eastAsia="Calibri" w:hAnsi="Calibri" w:cs="Times New Roman"/>
        </w:rPr>
        <w:tab/>
        <w:t>0.5%</w:t>
      </w:r>
      <w:r w:rsidRPr="00022F29">
        <w:rPr>
          <w:rFonts w:ascii="Calibri" w:eastAsia="Calibri" w:hAnsi="Calibri" w:cs="Times New Roman"/>
        </w:rPr>
        <w:tab/>
        <w:t>2.209</w:t>
      </w:r>
      <w:r w:rsidRPr="00022F29">
        <w:rPr>
          <w:rFonts w:ascii="Calibri" w:eastAsia="Calibri" w:hAnsi="Calibri" w:cs="Times New Roman"/>
        </w:rPr>
        <w:tab/>
        <w:t>0.4%</w:t>
      </w:r>
      <w:r w:rsidRPr="00022F29">
        <w:rPr>
          <w:rFonts w:ascii="Calibri" w:eastAsia="Calibri" w:hAnsi="Calibri" w:cs="Times New Roman"/>
        </w:rPr>
        <w:tab/>
        <w:t>.791</w:t>
      </w:r>
      <w:r w:rsidRPr="00022F29">
        <w:rPr>
          <w:rFonts w:ascii="Calibri" w:eastAsia="Calibri" w:hAnsi="Calibri" w:cs="Times New Roman"/>
        </w:rPr>
        <w:tab/>
        <w:t>.532</w:t>
      </w:r>
    </w:p>
    <w:p w14:paraId="74FA75F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5.000</w:t>
      </w:r>
      <w:r w:rsidRPr="00022F29">
        <w:rPr>
          <w:rFonts w:ascii="Calibri" w:eastAsia="Calibri" w:hAnsi="Calibri" w:cs="Times New Roman"/>
        </w:rPr>
        <w:tab/>
        <w:t>0.8%</w:t>
      </w:r>
      <w:r w:rsidRPr="00022F29">
        <w:rPr>
          <w:rFonts w:ascii="Calibri" w:eastAsia="Calibri" w:hAnsi="Calibri" w:cs="Times New Roman"/>
        </w:rPr>
        <w:tab/>
        <w:t>5.787</w:t>
      </w:r>
      <w:r w:rsidRPr="00022F29">
        <w:rPr>
          <w:rFonts w:ascii="Calibri" w:eastAsia="Calibri" w:hAnsi="Calibri" w:cs="Times New Roman"/>
        </w:rPr>
        <w:tab/>
        <w:t>1.0%</w:t>
      </w:r>
      <w:r w:rsidRPr="00022F29">
        <w:rPr>
          <w:rFonts w:ascii="Calibri" w:eastAsia="Calibri" w:hAnsi="Calibri" w:cs="Times New Roman"/>
        </w:rPr>
        <w:tab/>
        <w:t>-.787</w:t>
      </w:r>
      <w:r w:rsidRPr="00022F29">
        <w:rPr>
          <w:rFonts w:ascii="Calibri" w:eastAsia="Calibri" w:hAnsi="Calibri" w:cs="Times New Roman"/>
        </w:rPr>
        <w:tab/>
        <w:t>-.327</w:t>
      </w:r>
    </w:p>
    <w:p w14:paraId="478BA72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3.000</w:t>
      </w:r>
      <w:r w:rsidRPr="00022F29">
        <w:rPr>
          <w:rFonts w:ascii="Calibri" w:eastAsia="Calibri" w:hAnsi="Calibri" w:cs="Times New Roman"/>
        </w:rPr>
        <w:tab/>
        <w:t>0.5%</w:t>
      </w:r>
      <w:r w:rsidRPr="00022F29">
        <w:rPr>
          <w:rFonts w:ascii="Calibri" w:eastAsia="Calibri" w:hAnsi="Calibri" w:cs="Times New Roman"/>
        </w:rPr>
        <w:tab/>
        <w:t>3.686</w:t>
      </w:r>
      <w:r w:rsidRPr="00022F29">
        <w:rPr>
          <w:rFonts w:ascii="Calibri" w:eastAsia="Calibri" w:hAnsi="Calibri" w:cs="Times New Roman"/>
        </w:rPr>
        <w:tab/>
        <w:t>0.6%</w:t>
      </w:r>
      <w:r w:rsidRPr="00022F29">
        <w:rPr>
          <w:rFonts w:ascii="Calibri" w:eastAsia="Calibri" w:hAnsi="Calibri" w:cs="Times New Roman"/>
        </w:rPr>
        <w:tab/>
        <w:t>-.686</w:t>
      </w:r>
      <w:r w:rsidRPr="00022F29">
        <w:rPr>
          <w:rFonts w:ascii="Calibri" w:eastAsia="Calibri" w:hAnsi="Calibri" w:cs="Times New Roman"/>
        </w:rPr>
        <w:tab/>
        <w:t>-.357</w:t>
      </w:r>
    </w:p>
    <w:p w14:paraId="5398230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6.000</w:t>
      </w:r>
      <w:r w:rsidRPr="00022F29">
        <w:rPr>
          <w:rFonts w:ascii="Calibri" w:eastAsia="Calibri" w:hAnsi="Calibri" w:cs="Times New Roman"/>
        </w:rPr>
        <w:tab/>
        <w:t>1.0%</w:t>
      </w:r>
      <w:r w:rsidRPr="00022F29">
        <w:rPr>
          <w:rFonts w:ascii="Calibri" w:eastAsia="Calibri" w:hAnsi="Calibri" w:cs="Times New Roman"/>
        </w:rPr>
        <w:tab/>
        <w:t>5.303</w:t>
      </w:r>
      <w:r w:rsidRPr="00022F29">
        <w:rPr>
          <w:rFonts w:ascii="Calibri" w:eastAsia="Calibri" w:hAnsi="Calibri" w:cs="Times New Roman"/>
        </w:rPr>
        <w:tab/>
        <w:t>0.9%</w:t>
      </w:r>
      <w:r w:rsidRPr="00022F29">
        <w:rPr>
          <w:rFonts w:ascii="Calibri" w:eastAsia="Calibri" w:hAnsi="Calibri" w:cs="Times New Roman"/>
        </w:rPr>
        <w:tab/>
        <w:t>.697</w:t>
      </w:r>
      <w:r w:rsidRPr="00022F29">
        <w:rPr>
          <w:rFonts w:ascii="Calibri" w:eastAsia="Calibri" w:hAnsi="Calibri" w:cs="Times New Roman"/>
        </w:rPr>
        <w:tab/>
        <w:t>.303</w:t>
      </w:r>
    </w:p>
    <w:p w14:paraId="0E840B8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1.547</w:t>
      </w:r>
      <w:r w:rsidRPr="00022F29">
        <w:rPr>
          <w:rFonts w:ascii="Calibri" w:eastAsia="Calibri" w:hAnsi="Calibri" w:cs="Times New Roman"/>
        </w:rPr>
        <w:tab/>
        <w:t>0.3%</w:t>
      </w:r>
      <w:r w:rsidRPr="00022F29">
        <w:rPr>
          <w:rFonts w:ascii="Calibri" w:eastAsia="Calibri" w:hAnsi="Calibri" w:cs="Times New Roman"/>
        </w:rPr>
        <w:tab/>
        <w:t>-.547</w:t>
      </w:r>
      <w:r w:rsidRPr="00022F29">
        <w:rPr>
          <w:rFonts w:ascii="Calibri" w:eastAsia="Calibri" w:hAnsi="Calibri" w:cs="Times New Roman"/>
        </w:rPr>
        <w:tab/>
        <w:t>-.440</w:t>
      </w:r>
    </w:p>
    <w:p w14:paraId="7AB9E61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8.000</w:t>
      </w:r>
      <w:r w:rsidRPr="00022F29">
        <w:rPr>
          <w:rFonts w:ascii="Calibri" w:eastAsia="Calibri" w:hAnsi="Calibri" w:cs="Times New Roman"/>
        </w:rPr>
        <w:tab/>
        <w:t>1.4%</w:t>
      </w:r>
      <w:r w:rsidRPr="00022F29">
        <w:rPr>
          <w:rFonts w:ascii="Calibri" w:eastAsia="Calibri" w:hAnsi="Calibri" w:cs="Times New Roman"/>
        </w:rPr>
        <w:tab/>
        <w:t>7.380</w:t>
      </w:r>
      <w:r w:rsidRPr="00022F29">
        <w:rPr>
          <w:rFonts w:ascii="Calibri" w:eastAsia="Calibri" w:hAnsi="Calibri" w:cs="Times New Roman"/>
        </w:rPr>
        <w:tab/>
        <w:t>1.2%</w:t>
      </w:r>
      <w:r w:rsidRPr="00022F29">
        <w:rPr>
          <w:rFonts w:ascii="Calibri" w:eastAsia="Calibri" w:hAnsi="Calibri" w:cs="Times New Roman"/>
        </w:rPr>
        <w:tab/>
        <w:t>.620</w:t>
      </w:r>
      <w:r w:rsidRPr="00022F29">
        <w:rPr>
          <w:rFonts w:ascii="Calibri" w:eastAsia="Calibri" w:hAnsi="Calibri" w:cs="Times New Roman"/>
        </w:rPr>
        <w:tab/>
        <w:t>.228</w:t>
      </w:r>
    </w:p>
    <w:p w14:paraId="48BC1FB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.285</w:t>
      </w:r>
      <w:r w:rsidRPr="00022F29">
        <w:rPr>
          <w:rFonts w:ascii="Calibri" w:eastAsia="Calibri" w:hAnsi="Calibri" w:cs="Times New Roman"/>
        </w:rPr>
        <w:tab/>
        <w:t>0.0%</w:t>
      </w:r>
      <w:r w:rsidRPr="00022F29">
        <w:rPr>
          <w:rFonts w:ascii="Calibri" w:eastAsia="Calibri" w:hAnsi="Calibri" w:cs="Times New Roman"/>
        </w:rPr>
        <w:tab/>
        <w:t>.715</w:t>
      </w:r>
      <w:r w:rsidRPr="00022F29">
        <w:rPr>
          <w:rFonts w:ascii="Calibri" w:eastAsia="Calibri" w:hAnsi="Calibri" w:cs="Times New Roman"/>
        </w:rPr>
        <w:tab/>
        <w:t>1.338</w:t>
      </w:r>
    </w:p>
    <w:p w14:paraId="7418E3E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3.000</w:t>
      </w:r>
      <w:r w:rsidRPr="00022F29">
        <w:rPr>
          <w:rFonts w:ascii="Calibri" w:eastAsia="Calibri" w:hAnsi="Calibri" w:cs="Times New Roman"/>
        </w:rPr>
        <w:tab/>
        <w:t>0.5%</w:t>
      </w:r>
      <w:r w:rsidRPr="00022F29">
        <w:rPr>
          <w:rFonts w:ascii="Calibri" w:eastAsia="Calibri" w:hAnsi="Calibri" w:cs="Times New Roman"/>
        </w:rPr>
        <w:tab/>
        <w:t>3.717</w:t>
      </w:r>
      <w:r w:rsidRPr="00022F29">
        <w:rPr>
          <w:rFonts w:ascii="Calibri" w:eastAsia="Calibri" w:hAnsi="Calibri" w:cs="Times New Roman"/>
        </w:rPr>
        <w:tab/>
        <w:t>0.6%</w:t>
      </w:r>
      <w:r w:rsidRPr="00022F29">
        <w:rPr>
          <w:rFonts w:ascii="Calibri" w:eastAsia="Calibri" w:hAnsi="Calibri" w:cs="Times New Roman"/>
        </w:rPr>
        <w:tab/>
        <w:t>-.717</w:t>
      </w:r>
      <w:r w:rsidRPr="00022F29">
        <w:rPr>
          <w:rFonts w:ascii="Calibri" w:eastAsia="Calibri" w:hAnsi="Calibri" w:cs="Times New Roman"/>
        </w:rPr>
        <w:tab/>
        <w:t>-.372</w:t>
      </w:r>
    </w:p>
    <w:p w14:paraId="79EAFE0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.369</w:t>
      </w:r>
      <w:r w:rsidRPr="00022F29">
        <w:rPr>
          <w:rFonts w:ascii="Calibri" w:eastAsia="Calibri" w:hAnsi="Calibri" w:cs="Times New Roman"/>
        </w:rPr>
        <w:tab/>
        <w:t>0.1%</w:t>
      </w:r>
      <w:r w:rsidRPr="00022F29">
        <w:rPr>
          <w:rFonts w:ascii="Calibri" w:eastAsia="Calibri" w:hAnsi="Calibri" w:cs="Times New Roman"/>
        </w:rPr>
        <w:tab/>
        <w:t>.631</w:t>
      </w:r>
      <w:r w:rsidRPr="00022F29">
        <w:rPr>
          <w:rFonts w:ascii="Calibri" w:eastAsia="Calibri" w:hAnsi="Calibri" w:cs="Times New Roman"/>
        </w:rPr>
        <w:tab/>
        <w:t>1.037</w:t>
      </w:r>
    </w:p>
    <w:p w14:paraId="471F99D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.000</w:t>
      </w:r>
      <w:r w:rsidRPr="00022F29">
        <w:rPr>
          <w:rFonts w:ascii="Calibri" w:eastAsia="Calibri" w:hAnsi="Calibri" w:cs="Times New Roman"/>
        </w:rPr>
        <w:tab/>
        <w:t>0.0%</w:t>
      </w:r>
      <w:r w:rsidRPr="00022F29">
        <w:rPr>
          <w:rFonts w:ascii="Calibri" w:eastAsia="Calibri" w:hAnsi="Calibri" w:cs="Times New Roman"/>
        </w:rPr>
        <w:tab/>
        <w:t>.647</w:t>
      </w:r>
      <w:r w:rsidRPr="00022F29">
        <w:rPr>
          <w:rFonts w:ascii="Calibri" w:eastAsia="Calibri" w:hAnsi="Calibri" w:cs="Times New Roman"/>
        </w:rPr>
        <w:tab/>
        <w:t>0.1%</w:t>
      </w:r>
      <w:r w:rsidRPr="00022F29">
        <w:rPr>
          <w:rFonts w:ascii="Calibri" w:eastAsia="Calibri" w:hAnsi="Calibri" w:cs="Times New Roman"/>
        </w:rPr>
        <w:tab/>
        <w:t>-.647</w:t>
      </w:r>
      <w:r w:rsidRPr="00022F29">
        <w:rPr>
          <w:rFonts w:ascii="Calibri" w:eastAsia="Calibri" w:hAnsi="Calibri" w:cs="Times New Roman"/>
        </w:rPr>
        <w:tab/>
        <w:t>-.805</w:t>
      </w:r>
    </w:p>
    <w:p w14:paraId="225CFA5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1.727</w:t>
      </w:r>
      <w:r w:rsidRPr="00022F29">
        <w:rPr>
          <w:rFonts w:ascii="Calibri" w:eastAsia="Calibri" w:hAnsi="Calibri" w:cs="Times New Roman"/>
        </w:rPr>
        <w:tab/>
        <w:t>0.3%</w:t>
      </w:r>
      <w:r w:rsidRPr="00022F29">
        <w:rPr>
          <w:rFonts w:ascii="Calibri" w:eastAsia="Calibri" w:hAnsi="Calibri" w:cs="Times New Roman"/>
        </w:rPr>
        <w:tab/>
        <w:t>-.727</w:t>
      </w:r>
      <w:r w:rsidRPr="00022F29">
        <w:rPr>
          <w:rFonts w:ascii="Calibri" w:eastAsia="Calibri" w:hAnsi="Calibri" w:cs="Times New Roman"/>
        </w:rPr>
        <w:tab/>
        <w:t>-.553</w:t>
      </w:r>
    </w:p>
    <w:p w14:paraId="63FB8D8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9.000</w:t>
      </w:r>
      <w:r w:rsidRPr="00022F29">
        <w:rPr>
          <w:rFonts w:ascii="Calibri" w:eastAsia="Calibri" w:hAnsi="Calibri" w:cs="Times New Roman"/>
        </w:rPr>
        <w:tab/>
        <w:t>1.5%</w:t>
      </w:r>
      <w:r w:rsidRPr="00022F29">
        <w:rPr>
          <w:rFonts w:ascii="Calibri" w:eastAsia="Calibri" w:hAnsi="Calibri" w:cs="Times New Roman"/>
        </w:rPr>
        <w:tab/>
        <w:t>8.268</w:t>
      </w:r>
      <w:r w:rsidRPr="00022F29">
        <w:rPr>
          <w:rFonts w:ascii="Calibri" w:eastAsia="Calibri" w:hAnsi="Calibri" w:cs="Times New Roman"/>
        </w:rPr>
        <w:tab/>
        <w:t>1.4%</w:t>
      </w:r>
      <w:r w:rsidRPr="00022F29">
        <w:rPr>
          <w:rFonts w:ascii="Calibri" w:eastAsia="Calibri" w:hAnsi="Calibri" w:cs="Times New Roman"/>
        </w:rPr>
        <w:tab/>
        <w:t>.732</w:t>
      </w:r>
      <w:r w:rsidRPr="00022F29">
        <w:rPr>
          <w:rFonts w:ascii="Calibri" w:eastAsia="Calibri" w:hAnsi="Calibri" w:cs="Times New Roman"/>
        </w:rPr>
        <w:tab/>
        <w:t>.255</w:t>
      </w:r>
    </w:p>
    <w:p w14:paraId="447246C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4.000</w:t>
      </w:r>
      <w:r w:rsidRPr="00022F29">
        <w:rPr>
          <w:rFonts w:ascii="Calibri" w:eastAsia="Calibri" w:hAnsi="Calibri" w:cs="Times New Roman"/>
        </w:rPr>
        <w:tab/>
        <w:t>0.7%</w:t>
      </w:r>
      <w:r w:rsidRPr="00022F29">
        <w:rPr>
          <w:rFonts w:ascii="Calibri" w:eastAsia="Calibri" w:hAnsi="Calibri" w:cs="Times New Roman"/>
        </w:rPr>
        <w:tab/>
        <w:t>4.564</w:t>
      </w:r>
      <w:r w:rsidRPr="00022F29">
        <w:rPr>
          <w:rFonts w:ascii="Calibri" w:eastAsia="Calibri" w:hAnsi="Calibri" w:cs="Times New Roman"/>
        </w:rPr>
        <w:tab/>
        <w:t>0.8%</w:t>
      </w:r>
      <w:r w:rsidRPr="00022F29">
        <w:rPr>
          <w:rFonts w:ascii="Calibri" w:eastAsia="Calibri" w:hAnsi="Calibri" w:cs="Times New Roman"/>
        </w:rPr>
        <w:tab/>
        <w:t>-.564</w:t>
      </w:r>
      <w:r w:rsidRPr="00022F29">
        <w:rPr>
          <w:rFonts w:ascii="Calibri" w:eastAsia="Calibri" w:hAnsi="Calibri" w:cs="Times New Roman"/>
        </w:rPr>
        <w:tab/>
        <w:t>-.264</w:t>
      </w:r>
    </w:p>
    <w:p w14:paraId="6F12BB2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12.000</w:t>
      </w:r>
      <w:r w:rsidRPr="00022F29">
        <w:rPr>
          <w:rFonts w:ascii="Calibri" w:eastAsia="Calibri" w:hAnsi="Calibri" w:cs="Times New Roman"/>
        </w:rPr>
        <w:tab/>
        <w:t>2.0%</w:t>
      </w:r>
      <w:r w:rsidRPr="00022F29">
        <w:rPr>
          <w:rFonts w:ascii="Calibri" w:eastAsia="Calibri" w:hAnsi="Calibri" w:cs="Times New Roman"/>
        </w:rPr>
        <w:tab/>
        <w:t>11.407</w:t>
      </w:r>
      <w:r w:rsidRPr="00022F29">
        <w:rPr>
          <w:rFonts w:ascii="Calibri" w:eastAsia="Calibri" w:hAnsi="Calibri" w:cs="Times New Roman"/>
        </w:rPr>
        <w:tab/>
        <w:t>1.9%</w:t>
      </w:r>
      <w:r w:rsidRPr="00022F29">
        <w:rPr>
          <w:rFonts w:ascii="Calibri" w:eastAsia="Calibri" w:hAnsi="Calibri" w:cs="Times New Roman"/>
        </w:rPr>
        <w:tab/>
        <w:t>.593</w:t>
      </w:r>
      <w:r w:rsidRPr="00022F29">
        <w:rPr>
          <w:rFonts w:ascii="Calibri" w:eastAsia="Calibri" w:hAnsi="Calibri" w:cs="Times New Roman"/>
        </w:rPr>
        <w:tab/>
        <w:t>.176</w:t>
      </w:r>
    </w:p>
    <w:p w14:paraId="3CA2A61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.573</w:t>
      </w:r>
      <w:r w:rsidRPr="00022F29">
        <w:rPr>
          <w:rFonts w:ascii="Calibri" w:eastAsia="Calibri" w:hAnsi="Calibri" w:cs="Times New Roman"/>
        </w:rPr>
        <w:tab/>
        <w:t>0.1%</w:t>
      </w:r>
      <w:r w:rsidRPr="00022F29">
        <w:rPr>
          <w:rFonts w:ascii="Calibri" w:eastAsia="Calibri" w:hAnsi="Calibri" w:cs="Times New Roman"/>
        </w:rPr>
        <w:tab/>
        <w:t>.427</w:t>
      </w:r>
      <w:r w:rsidRPr="00022F29">
        <w:rPr>
          <w:rFonts w:ascii="Calibri" w:eastAsia="Calibri" w:hAnsi="Calibri" w:cs="Times New Roman"/>
        </w:rPr>
        <w:tab/>
        <w:t>.564</w:t>
      </w:r>
    </w:p>
    <w:p w14:paraId="46CB12A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5.000</w:t>
      </w:r>
      <w:r w:rsidRPr="00022F29">
        <w:rPr>
          <w:rFonts w:ascii="Calibri" w:eastAsia="Calibri" w:hAnsi="Calibri" w:cs="Times New Roman"/>
        </w:rPr>
        <w:tab/>
        <w:t>0.8%</w:t>
      </w:r>
      <w:r w:rsidRPr="00022F29">
        <w:rPr>
          <w:rFonts w:ascii="Calibri" w:eastAsia="Calibri" w:hAnsi="Calibri" w:cs="Times New Roman"/>
        </w:rPr>
        <w:tab/>
        <w:t>5.447</w:t>
      </w:r>
      <w:r w:rsidRPr="00022F29">
        <w:rPr>
          <w:rFonts w:ascii="Calibri" w:eastAsia="Calibri" w:hAnsi="Calibri" w:cs="Times New Roman"/>
        </w:rPr>
        <w:tab/>
        <w:t>0.9%</w:t>
      </w:r>
      <w:r w:rsidRPr="00022F29">
        <w:rPr>
          <w:rFonts w:ascii="Calibri" w:eastAsia="Calibri" w:hAnsi="Calibri" w:cs="Times New Roman"/>
        </w:rPr>
        <w:tab/>
        <w:t>-.447</w:t>
      </w:r>
      <w:r w:rsidRPr="00022F29">
        <w:rPr>
          <w:rFonts w:ascii="Calibri" w:eastAsia="Calibri" w:hAnsi="Calibri" w:cs="Times New Roman"/>
        </w:rPr>
        <w:tab/>
        <w:t>-.192</w:t>
      </w:r>
    </w:p>
    <w:p w14:paraId="779871E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3.000</w:t>
      </w:r>
      <w:r w:rsidRPr="00022F29">
        <w:rPr>
          <w:rFonts w:ascii="Calibri" w:eastAsia="Calibri" w:hAnsi="Calibri" w:cs="Times New Roman"/>
        </w:rPr>
        <w:tab/>
        <w:t>0.5%</w:t>
      </w:r>
      <w:r w:rsidRPr="00022F29">
        <w:rPr>
          <w:rFonts w:ascii="Calibri" w:eastAsia="Calibri" w:hAnsi="Calibri" w:cs="Times New Roman"/>
        </w:rPr>
        <w:tab/>
        <w:t>2.401</w:t>
      </w:r>
      <w:r w:rsidRPr="00022F29">
        <w:rPr>
          <w:rFonts w:ascii="Calibri" w:eastAsia="Calibri" w:hAnsi="Calibri" w:cs="Times New Roman"/>
        </w:rPr>
        <w:tab/>
        <w:t>0.4%</w:t>
      </w:r>
      <w:r w:rsidRPr="00022F29">
        <w:rPr>
          <w:rFonts w:ascii="Calibri" w:eastAsia="Calibri" w:hAnsi="Calibri" w:cs="Times New Roman"/>
        </w:rPr>
        <w:tab/>
        <w:t>.599</w:t>
      </w:r>
      <w:r w:rsidRPr="00022F29">
        <w:rPr>
          <w:rFonts w:ascii="Calibri" w:eastAsia="Calibri" w:hAnsi="Calibri" w:cs="Times New Roman"/>
        </w:rPr>
        <w:tab/>
        <w:t>.387</w:t>
      </w:r>
    </w:p>
    <w:p w14:paraId="2E55A85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2.000</w:t>
      </w:r>
      <w:r w:rsidRPr="00022F29">
        <w:rPr>
          <w:rFonts w:ascii="Calibri" w:eastAsia="Calibri" w:hAnsi="Calibri" w:cs="Times New Roman"/>
        </w:rPr>
        <w:tab/>
        <w:t>0.3%</w:t>
      </w:r>
      <w:r w:rsidRPr="00022F29">
        <w:rPr>
          <w:rFonts w:ascii="Calibri" w:eastAsia="Calibri" w:hAnsi="Calibri" w:cs="Times New Roman"/>
        </w:rPr>
        <w:tab/>
        <w:t>2.625</w:t>
      </w:r>
      <w:r w:rsidRPr="00022F29">
        <w:rPr>
          <w:rFonts w:ascii="Calibri" w:eastAsia="Calibri" w:hAnsi="Calibri" w:cs="Times New Roman"/>
        </w:rPr>
        <w:tab/>
        <w:t>0.4%</w:t>
      </w:r>
      <w:r w:rsidRPr="00022F29">
        <w:rPr>
          <w:rFonts w:ascii="Calibri" w:eastAsia="Calibri" w:hAnsi="Calibri" w:cs="Times New Roman"/>
        </w:rPr>
        <w:tab/>
        <w:t>-.625</w:t>
      </w:r>
      <w:r w:rsidRPr="00022F29">
        <w:rPr>
          <w:rFonts w:ascii="Calibri" w:eastAsia="Calibri" w:hAnsi="Calibri" w:cs="Times New Roman"/>
        </w:rPr>
        <w:tab/>
        <w:t>-.386</w:t>
      </w:r>
    </w:p>
    <w:p w14:paraId="272714B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4.000</w:t>
      </w:r>
      <w:r w:rsidRPr="00022F29">
        <w:rPr>
          <w:rFonts w:ascii="Calibri" w:eastAsia="Calibri" w:hAnsi="Calibri" w:cs="Times New Roman"/>
        </w:rPr>
        <w:tab/>
        <w:t>0.7%</w:t>
      </w:r>
      <w:r w:rsidRPr="00022F29">
        <w:rPr>
          <w:rFonts w:ascii="Calibri" w:eastAsia="Calibri" w:hAnsi="Calibri" w:cs="Times New Roman"/>
        </w:rPr>
        <w:tab/>
        <w:t>4.454</w:t>
      </w:r>
      <w:r w:rsidRPr="00022F29">
        <w:rPr>
          <w:rFonts w:ascii="Calibri" w:eastAsia="Calibri" w:hAnsi="Calibri" w:cs="Times New Roman"/>
        </w:rPr>
        <w:tab/>
        <w:t>0.8%</w:t>
      </w:r>
      <w:r w:rsidRPr="00022F29">
        <w:rPr>
          <w:rFonts w:ascii="Calibri" w:eastAsia="Calibri" w:hAnsi="Calibri" w:cs="Times New Roman"/>
        </w:rPr>
        <w:tab/>
        <w:t>-.454</w:t>
      </w:r>
      <w:r w:rsidRPr="00022F29">
        <w:rPr>
          <w:rFonts w:ascii="Calibri" w:eastAsia="Calibri" w:hAnsi="Calibri" w:cs="Times New Roman"/>
        </w:rPr>
        <w:tab/>
        <w:t>-.215</w:t>
      </w:r>
    </w:p>
    <w:p w14:paraId="2151F8B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19.000</w:t>
      </w:r>
      <w:r w:rsidRPr="00022F29">
        <w:rPr>
          <w:rFonts w:ascii="Calibri" w:eastAsia="Calibri" w:hAnsi="Calibri" w:cs="Times New Roman"/>
        </w:rPr>
        <w:tab/>
        <w:t>3.2%</w:t>
      </w:r>
      <w:r w:rsidRPr="00022F29">
        <w:rPr>
          <w:rFonts w:ascii="Calibri" w:eastAsia="Calibri" w:hAnsi="Calibri" w:cs="Times New Roman"/>
        </w:rPr>
        <w:tab/>
        <w:t>18.518</w:t>
      </w:r>
      <w:r w:rsidRPr="00022F29">
        <w:rPr>
          <w:rFonts w:ascii="Calibri" w:eastAsia="Calibri" w:hAnsi="Calibri" w:cs="Times New Roman"/>
        </w:rPr>
        <w:tab/>
        <w:t>3.1%</w:t>
      </w:r>
      <w:r w:rsidRPr="00022F29">
        <w:rPr>
          <w:rFonts w:ascii="Calibri" w:eastAsia="Calibri" w:hAnsi="Calibri" w:cs="Times New Roman"/>
        </w:rPr>
        <w:tab/>
        <w:t>.482</w:t>
      </w:r>
      <w:r w:rsidRPr="00022F29">
        <w:rPr>
          <w:rFonts w:ascii="Calibri" w:eastAsia="Calibri" w:hAnsi="Calibri" w:cs="Times New Roman"/>
        </w:rPr>
        <w:tab/>
        <w:t>.112</w:t>
      </w:r>
    </w:p>
    <w:p w14:paraId="60C018B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3.000</w:t>
      </w:r>
      <w:r w:rsidRPr="00022F29">
        <w:rPr>
          <w:rFonts w:ascii="Calibri" w:eastAsia="Calibri" w:hAnsi="Calibri" w:cs="Times New Roman"/>
        </w:rPr>
        <w:tab/>
        <w:t>0.5%</w:t>
      </w:r>
      <w:r w:rsidRPr="00022F29">
        <w:rPr>
          <w:rFonts w:ascii="Calibri" w:eastAsia="Calibri" w:hAnsi="Calibri" w:cs="Times New Roman"/>
        </w:rPr>
        <w:tab/>
        <w:t>3.251</w:t>
      </w:r>
      <w:r w:rsidRPr="00022F29">
        <w:rPr>
          <w:rFonts w:ascii="Calibri" w:eastAsia="Calibri" w:hAnsi="Calibri" w:cs="Times New Roman"/>
        </w:rPr>
        <w:tab/>
        <w:t>0.6%</w:t>
      </w:r>
      <w:r w:rsidRPr="00022F29">
        <w:rPr>
          <w:rFonts w:ascii="Calibri" w:eastAsia="Calibri" w:hAnsi="Calibri" w:cs="Times New Roman"/>
        </w:rPr>
        <w:tab/>
        <w:t>-.251</w:t>
      </w:r>
      <w:r w:rsidRPr="00022F29">
        <w:rPr>
          <w:rFonts w:ascii="Calibri" w:eastAsia="Calibri" w:hAnsi="Calibri" w:cs="Times New Roman"/>
        </w:rPr>
        <w:tab/>
        <w:t>-.139</w:t>
      </w:r>
    </w:p>
    <w:p w14:paraId="4481FFB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8.000</w:t>
      </w:r>
      <w:r w:rsidRPr="00022F29">
        <w:rPr>
          <w:rFonts w:ascii="Calibri" w:eastAsia="Calibri" w:hAnsi="Calibri" w:cs="Times New Roman"/>
        </w:rPr>
        <w:tab/>
        <w:t>1.4%</w:t>
      </w:r>
      <w:r w:rsidRPr="00022F29">
        <w:rPr>
          <w:rFonts w:ascii="Calibri" w:eastAsia="Calibri" w:hAnsi="Calibri" w:cs="Times New Roman"/>
        </w:rPr>
        <w:tab/>
        <w:t>7.745</w:t>
      </w:r>
      <w:r w:rsidRPr="00022F29">
        <w:rPr>
          <w:rFonts w:ascii="Calibri" w:eastAsia="Calibri" w:hAnsi="Calibri" w:cs="Times New Roman"/>
        </w:rPr>
        <w:tab/>
        <w:t>1.3%</w:t>
      </w:r>
      <w:r w:rsidRPr="00022F29">
        <w:rPr>
          <w:rFonts w:ascii="Calibri" w:eastAsia="Calibri" w:hAnsi="Calibri" w:cs="Times New Roman"/>
        </w:rPr>
        <w:tab/>
        <w:t>.255</w:t>
      </w:r>
      <w:r w:rsidRPr="00022F29">
        <w:rPr>
          <w:rFonts w:ascii="Calibri" w:eastAsia="Calibri" w:hAnsi="Calibri" w:cs="Times New Roman"/>
        </w:rPr>
        <w:tab/>
        <w:t>.092</w:t>
      </w:r>
    </w:p>
    <w:p w14:paraId="4A3B453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2.000</w:t>
      </w:r>
      <w:r w:rsidRPr="00022F29">
        <w:rPr>
          <w:rFonts w:ascii="Calibri" w:eastAsia="Calibri" w:hAnsi="Calibri" w:cs="Times New Roman"/>
        </w:rPr>
        <w:tab/>
        <w:t>0.3%</w:t>
      </w:r>
      <w:r w:rsidRPr="00022F29">
        <w:rPr>
          <w:rFonts w:ascii="Calibri" w:eastAsia="Calibri" w:hAnsi="Calibri" w:cs="Times New Roman"/>
        </w:rPr>
        <w:tab/>
        <w:t>1.606</w:t>
      </w:r>
      <w:r w:rsidRPr="00022F29">
        <w:rPr>
          <w:rFonts w:ascii="Calibri" w:eastAsia="Calibri" w:hAnsi="Calibri" w:cs="Times New Roman"/>
        </w:rPr>
        <w:tab/>
        <w:t>0.3%</w:t>
      </w:r>
      <w:r w:rsidRPr="00022F29">
        <w:rPr>
          <w:rFonts w:ascii="Calibri" w:eastAsia="Calibri" w:hAnsi="Calibri" w:cs="Times New Roman"/>
        </w:rPr>
        <w:tab/>
        <w:t>.394</w:t>
      </w:r>
      <w:r w:rsidRPr="00022F29">
        <w:rPr>
          <w:rFonts w:ascii="Calibri" w:eastAsia="Calibri" w:hAnsi="Calibri" w:cs="Times New Roman"/>
        </w:rPr>
        <w:tab/>
        <w:t>.311</w:t>
      </w:r>
    </w:p>
    <w:p w14:paraId="5EDB9BA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8.000</w:t>
      </w:r>
      <w:r w:rsidRPr="00022F29">
        <w:rPr>
          <w:rFonts w:ascii="Calibri" w:eastAsia="Calibri" w:hAnsi="Calibri" w:cs="Times New Roman"/>
        </w:rPr>
        <w:tab/>
        <w:t>1.4%</w:t>
      </w:r>
      <w:r w:rsidRPr="00022F29">
        <w:rPr>
          <w:rFonts w:ascii="Calibri" w:eastAsia="Calibri" w:hAnsi="Calibri" w:cs="Times New Roman"/>
        </w:rPr>
        <w:tab/>
        <w:t>8.395</w:t>
      </w:r>
      <w:r w:rsidRPr="00022F29">
        <w:rPr>
          <w:rFonts w:ascii="Calibri" w:eastAsia="Calibri" w:hAnsi="Calibri" w:cs="Times New Roman"/>
        </w:rPr>
        <w:tab/>
        <w:t>1.4%</w:t>
      </w:r>
      <w:r w:rsidRPr="00022F29">
        <w:rPr>
          <w:rFonts w:ascii="Calibri" w:eastAsia="Calibri" w:hAnsi="Calibri" w:cs="Times New Roman"/>
        </w:rPr>
        <w:tab/>
        <w:t>-.395</w:t>
      </w:r>
      <w:r w:rsidRPr="00022F29">
        <w:rPr>
          <w:rFonts w:ascii="Calibri" w:eastAsia="Calibri" w:hAnsi="Calibri" w:cs="Times New Roman"/>
        </w:rPr>
        <w:tab/>
        <w:t>-.136</w:t>
      </w:r>
    </w:p>
    <w:p w14:paraId="29F06BB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4.000</w:t>
      </w:r>
      <w:r w:rsidRPr="00022F29">
        <w:rPr>
          <w:rFonts w:ascii="Calibri" w:eastAsia="Calibri" w:hAnsi="Calibri" w:cs="Times New Roman"/>
        </w:rPr>
        <w:tab/>
        <w:t>0.7%</w:t>
      </w:r>
      <w:r w:rsidRPr="00022F29">
        <w:rPr>
          <w:rFonts w:ascii="Calibri" w:eastAsia="Calibri" w:hAnsi="Calibri" w:cs="Times New Roman"/>
        </w:rPr>
        <w:tab/>
        <w:t>3.748</w:t>
      </w:r>
      <w:r w:rsidRPr="00022F29">
        <w:rPr>
          <w:rFonts w:ascii="Calibri" w:eastAsia="Calibri" w:hAnsi="Calibri" w:cs="Times New Roman"/>
        </w:rPr>
        <w:tab/>
        <w:t>0.6%</w:t>
      </w:r>
      <w:r w:rsidRPr="00022F29">
        <w:rPr>
          <w:rFonts w:ascii="Calibri" w:eastAsia="Calibri" w:hAnsi="Calibri" w:cs="Times New Roman"/>
        </w:rPr>
        <w:tab/>
        <w:t>.252</w:t>
      </w:r>
      <w:r w:rsidRPr="00022F29">
        <w:rPr>
          <w:rFonts w:ascii="Calibri" w:eastAsia="Calibri" w:hAnsi="Calibri" w:cs="Times New Roman"/>
        </w:rPr>
        <w:tab/>
        <w:t>.130</w:t>
      </w:r>
    </w:p>
    <w:p w14:paraId="0760BE2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5.000</w:t>
      </w:r>
      <w:r w:rsidRPr="00022F29">
        <w:rPr>
          <w:rFonts w:ascii="Calibri" w:eastAsia="Calibri" w:hAnsi="Calibri" w:cs="Times New Roman"/>
        </w:rPr>
        <w:tab/>
        <w:t>0.8%</w:t>
      </w:r>
      <w:r w:rsidRPr="00022F29">
        <w:rPr>
          <w:rFonts w:ascii="Calibri" w:eastAsia="Calibri" w:hAnsi="Calibri" w:cs="Times New Roman"/>
        </w:rPr>
        <w:tab/>
        <w:t>5.254</w:t>
      </w:r>
      <w:r w:rsidRPr="00022F29">
        <w:rPr>
          <w:rFonts w:ascii="Calibri" w:eastAsia="Calibri" w:hAnsi="Calibri" w:cs="Times New Roman"/>
        </w:rPr>
        <w:tab/>
        <w:t>0.9%</w:t>
      </w:r>
      <w:r w:rsidRPr="00022F29">
        <w:rPr>
          <w:rFonts w:ascii="Calibri" w:eastAsia="Calibri" w:hAnsi="Calibri" w:cs="Times New Roman"/>
        </w:rPr>
        <w:tab/>
        <w:t>-.254</w:t>
      </w:r>
      <w:r w:rsidRPr="00022F29">
        <w:rPr>
          <w:rFonts w:ascii="Calibri" w:eastAsia="Calibri" w:hAnsi="Calibri" w:cs="Times New Roman"/>
        </w:rPr>
        <w:tab/>
        <w:t>-.111</w:t>
      </w:r>
    </w:p>
    <w:p w14:paraId="256B5E8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5.000</w:t>
      </w:r>
      <w:r w:rsidRPr="00022F29">
        <w:rPr>
          <w:rFonts w:ascii="Calibri" w:eastAsia="Calibri" w:hAnsi="Calibri" w:cs="Times New Roman"/>
        </w:rPr>
        <w:tab/>
        <w:t>0.8%</w:t>
      </w:r>
      <w:r w:rsidRPr="00022F29">
        <w:rPr>
          <w:rFonts w:ascii="Calibri" w:eastAsia="Calibri" w:hAnsi="Calibri" w:cs="Times New Roman"/>
        </w:rPr>
        <w:tab/>
        <w:t>5.397</w:t>
      </w:r>
      <w:r w:rsidRPr="00022F29">
        <w:rPr>
          <w:rFonts w:ascii="Calibri" w:eastAsia="Calibri" w:hAnsi="Calibri" w:cs="Times New Roman"/>
        </w:rPr>
        <w:tab/>
        <w:t>0.9%</w:t>
      </w:r>
      <w:r w:rsidRPr="00022F29">
        <w:rPr>
          <w:rFonts w:ascii="Calibri" w:eastAsia="Calibri" w:hAnsi="Calibri" w:cs="Times New Roman"/>
        </w:rPr>
        <w:tab/>
        <w:t>-.397</w:t>
      </w:r>
      <w:r w:rsidRPr="00022F29">
        <w:rPr>
          <w:rFonts w:ascii="Calibri" w:eastAsia="Calibri" w:hAnsi="Calibri" w:cs="Times New Roman"/>
        </w:rPr>
        <w:tab/>
        <w:t>-.171</w:t>
      </w:r>
    </w:p>
    <w:p w14:paraId="2316D0D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17.000</w:t>
      </w:r>
      <w:r w:rsidRPr="00022F29">
        <w:rPr>
          <w:rFonts w:ascii="Calibri" w:eastAsia="Calibri" w:hAnsi="Calibri" w:cs="Times New Roman"/>
        </w:rPr>
        <w:tab/>
        <w:t>2.9%</w:t>
      </w:r>
      <w:r w:rsidRPr="00022F29">
        <w:rPr>
          <w:rFonts w:ascii="Calibri" w:eastAsia="Calibri" w:hAnsi="Calibri" w:cs="Times New Roman"/>
        </w:rPr>
        <w:tab/>
        <w:t>16.601</w:t>
      </w:r>
      <w:r w:rsidRPr="00022F29">
        <w:rPr>
          <w:rFonts w:ascii="Calibri" w:eastAsia="Calibri" w:hAnsi="Calibri" w:cs="Times New Roman"/>
        </w:rPr>
        <w:tab/>
        <w:t>2.8%</w:t>
      </w:r>
      <w:r w:rsidRPr="00022F29">
        <w:rPr>
          <w:rFonts w:ascii="Calibri" w:eastAsia="Calibri" w:hAnsi="Calibri" w:cs="Times New Roman"/>
        </w:rPr>
        <w:tab/>
        <w:t>.399</w:t>
      </w:r>
      <w:r w:rsidRPr="00022F29">
        <w:rPr>
          <w:rFonts w:ascii="Calibri" w:eastAsia="Calibri" w:hAnsi="Calibri" w:cs="Times New Roman"/>
        </w:rPr>
        <w:tab/>
        <w:t>.098</w:t>
      </w:r>
    </w:p>
    <w:p w14:paraId="3D559EF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5.000</w:t>
      </w:r>
      <w:r w:rsidRPr="00022F29">
        <w:rPr>
          <w:rFonts w:ascii="Calibri" w:eastAsia="Calibri" w:hAnsi="Calibri" w:cs="Times New Roman"/>
        </w:rPr>
        <w:tab/>
        <w:t>0.8%</w:t>
      </w:r>
      <w:r w:rsidRPr="00022F29">
        <w:rPr>
          <w:rFonts w:ascii="Calibri" w:eastAsia="Calibri" w:hAnsi="Calibri" w:cs="Times New Roman"/>
        </w:rPr>
        <w:tab/>
        <w:t>5.536</w:t>
      </w:r>
      <w:r w:rsidRPr="00022F29">
        <w:rPr>
          <w:rFonts w:ascii="Calibri" w:eastAsia="Calibri" w:hAnsi="Calibri" w:cs="Times New Roman"/>
        </w:rPr>
        <w:tab/>
        <w:t>0.9%</w:t>
      </w:r>
      <w:r w:rsidRPr="00022F29">
        <w:rPr>
          <w:rFonts w:ascii="Calibri" w:eastAsia="Calibri" w:hAnsi="Calibri" w:cs="Times New Roman"/>
        </w:rPr>
        <w:tab/>
        <w:t>-.536</w:t>
      </w:r>
      <w:r w:rsidRPr="00022F29">
        <w:rPr>
          <w:rFonts w:ascii="Calibri" w:eastAsia="Calibri" w:hAnsi="Calibri" w:cs="Times New Roman"/>
        </w:rPr>
        <w:tab/>
        <w:t>-.228</w:t>
      </w:r>
    </w:p>
    <w:p w14:paraId="18C1518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16.000</w:t>
      </w:r>
      <w:r w:rsidRPr="00022F29">
        <w:rPr>
          <w:rFonts w:ascii="Calibri" w:eastAsia="Calibri" w:hAnsi="Calibri" w:cs="Times New Roman"/>
        </w:rPr>
        <w:tab/>
        <w:t>2.7%</w:t>
      </w:r>
      <w:r w:rsidRPr="00022F29">
        <w:rPr>
          <w:rFonts w:ascii="Calibri" w:eastAsia="Calibri" w:hAnsi="Calibri" w:cs="Times New Roman"/>
        </w:rPr>
        <w:tab/>
        <w:t>15.393</w:t>
      </w:r>
      <w:r w:rsidRPr="00022F29">
        <w:rPr>
          <w:rFonts w:ascii="Calibri" w:eastAsia="Calibri" w:hAnsi="Calibri" w:cs="Times New Roman"/>
        </w:rPr>
        <w:tab/>
        <w:t>2.6%</w:t>
      </w:r>
      <w:r w:rsidRPr="00022F29">
        <w:rPr>
          <w:rFonts w:ascii="Calibri" w:eastAsia="Calibri" w:hAnsi="Calibri" w:cs="Times New Roman"/>
        </w:rPr>
        <w:tab/>
        <w:t>.607</w:t>
      </w:r>
      <w:r w:rsidRPr="00022F29">
        <w:rPr>
          <w:rFonts w:ascii="Calibri" w:eastAsia="Calibri" w:hAnsi="Calibri" w:cs="Times New Roman"/>
        </w:rPr>
        <w:tab/>
        <w:t>.155</w:t>
      </w:r>
    </w:p>
    <w:p w14:paraId="4B61D7C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3.000</w:t>
      </w:r>
      <w:r w:rsidRPr="00022F29">
        <w:rPr>
          <w:rFonts w:ascii="Calibri" w:eastAsia="Calibri" w:hAnsi="Calibri" w:cs="Times New Roman"/>
        </w:rPr>
        <w:tab/>
        <w:t>0.5%</w:t>
      </w:r>
      <w:r w:rsidRPr="00022F29">
        <w:rPr>
          <w:rFonts w:ascii="Calibri" w:eastAsia="Calibri" w:hAnsi="Calibri" w:cs="Times New Roman"/>
        </w:rPr>
        <w:tab/>
        <w:t>2.434</w:t>
      </w:r>
      <w:r w:rsidRPr="00022F29">
        <w:rPr>
          <w:rFonts w:ascii="Calibri" w:eastAsia="Calibri" w:hAnsi="Calibri" w:cs="Times New Roman"/>
        </w:rPr>
        <w:tab/>
        <w:t>0.4%</w:t>
      </w:r>
      <w:r w:rsidRPr="00022F29">
        <w:rPr>
          <w:rFonts w:ascii="Calibri" w:eastAsia="Calibri" w:hAnsi="Calibri" w:cs="Times New Roman"/>
        </w:rPr>
        <w:tab/>
        <w:t>.566</w:t>
      </w:r>
      <w:r w:rsidRPr="00022F29">
        <w:rPr>
          <w:rFonts w:ascii="Calibri" w:eastAsia="Calibri" w:hAnsi="Calibri" w:cs="Times New Roman"/>
        </w:rPr>
        <w:tab/>
        <w:t>.362</w:t>
      </w:r>
    </w:p>
    <w:p w14:paraId="039EB89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7.000</w:t>
      </w:r>
      <w:r w:rsidRPr="00022F29">
        <w:rPr>
          <w:rFonts w:ascii="Calibri" w:eastAsia="Calibri" w:hAnsi="Calibri" w:cs="Times New Roman"/>
        </w:rPr>
        <w:tab/>
        <w:t>1.2%</w:t>
      </w:r>
      <w:r w:rsidRPr="00022F29">
        <w:rPr>
          <w:rFonts w:ascii="Calibri" w:eastAsia="Calibri" w:hAnsi="Calibri" w:cs="Times New Roman"/>
        </w:rPr>
        <w:tab/>
        <w:t>7.537</w:t>
      </w:r>
      <w:r w:rsidRPr="00022F29">
        <w:rPr>
          <w:rFonts w:ascii="Calibri" w:eastAsia="Calibri" w:hAnsi="Calibri" w:cs="Times New Roman"/>
        </w:rPr>
        <w:tab/>
        <w:t>1.3%</w:t>
      </w:r>
      <w:r w:rsidRPr="00022F29">
        <w:rPr>
          <w:rFonts w:ascii="Calibri" w:eastAsia="Calibri" w:hAnsi="Calibri" w:cs="Times New Roman"/>
        </w:rPr>
        <w:tab/>
        <w:t>-.537</w:t>
      </w:r>
      <w:r w:rsidRPr="00022F29">
        <w:rPr>
          <w:rFonts w:ascii="Calibri" w:eastAsia="Calibri" w:hAnsi="Calibri" w:cs="Times New Roman"/>
        </w:rPr>
        <w:tab/>
        <w:t>-.196</w:t>
      </w:r>
    </w:p>
    <w:p w14:paraId="7B1B680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5.000</w:t>
      </w:r>
      <w:r w:rsidRPr="00022F29">
        <w:rPr>
          <w:rFonts w:ascii="Calibri" w:eastAsia="Calibri" w:hAnsi="Calibri" w:cs="Times New Roman"/>
        </w:rPr>
        <w:tab/>
        <w:t>0.8%</w:t>
      </w:r>
      <w:r w:rsidRPr="00022F29">
        <w:rPr>
          <w:rFonts w:ascii="Calibri" w:eastAsia="Calibri" w:hAnsi="Calibri" w:cs="Times New Roman"/>
        </w:rPr>
        <w:tab/>
        <w:t>4.428</w:t>
      </w:r>
      <w:r w:rsidRPr="00022F29">
        <w:rPr>
          <w:rFonts w:ascii="Calibri" w:eastAsia="Calibri" w:hAnsi="Calibri" w:cs="Times New Roman"/>
        </w:rPr>
        <w:tab/>
        <w:t>0.7%</w:t>
      </w:r>
      <w:r w:rsidRPr="00022F29">
        <w:rPr>
          <w:rFonts w:ascii="Calibri" w:eastAsia="Calibri" w:hAnsi="Calibri" w:cs="Times New Roman"/>
        </w:rPr>
        <w:tab/>
        <w:t>.572</w:t>
      </w:r>
      <w:r w:rsidRPr="00022F29">
        <w:rPr>
          <w:rFonts w:ascii="Calibri" w:eastAsia="Calibri" w:hAnsi="Calibri" w:cs="Times New Roman"/>
        </w:rPr>
        <w:tab/>
        <w:t>.272</w:t>
      </w:r>
    </w:p>
    <w:p w14:paraId="65725D6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7.000</w:t>
      </w:r>
      <w:r w:rsidRPr="00022F29">
        <w:rPr>
          <w:rFonts w:ascii="Calibri" w:eastAsia="Calibri" w:hAnsi="Calibri" w:cs="Times New Roman"/>
        </w:rPr>
        <w:tab/>
        <w:t>1.2%</w:t>
      </w:r>
      <w:r w:rsidRPr="00022F29">
        <w:rPr>
          <w:rFonts w:ascii="Calibri" w:eastAsia="Calibri" w:hAnsi="Calibri" w:cs="Times New Roman"/>
        </w:rPr>
        <w:tab/>
        <w:t>7.599</w:t>
      </w:r>
      <w:r w:rsidRPr="00022F29">
        <w:rPr>
          <w:rFonts w:ascii="Calibri" w:eastAsia="Calibri" w:hAnsi="Calibri" w:cs="Times New Roman"/>
        </w:rPr>
        <w:tab/>
        <w:t>1.3%</w:t>
      </w:r>
      <w:r w:rsidRPr="00022F29">
        <w:rPr>
          <w:rFonts w:ascii="Calibri" w:eastAsia="Calibri" w:hAnsi="Calibri" w:cs="Times New Roman"/>
        </w:rPr>
        <w:tab/>
        <w:t>-.599</w:t>
      </w:r>
      <w:r w:rsidRPr="00022F29">
        <w:rPr>
          <w:rFonts w:ascii="Calibri" w:eastAsia="Calibri" w:hAnsi="Calibri" w:cs="Times New Roman"/>
        </w:rPr>
        <w:tab/>
        <w:t>-.217</w:t>
      </w:r>
    </w:p>
    <w:p w14:paraId="6F75633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7.000</w:t>
      </w:r>
      <w:r w:rsidRPr="00022F29">
        <w:rPr>
          <w:rFonts w:ascii="Calibri" w:eastAsia="Calibri" w:hAnsi="Calibri" w:cs="Times New Roman"/>
        </w:rPr>
        <w:tab/>
        <w:t>1.2%</w:t>
      </w:r>
      <w:r w:rsidRPr="00022F29">
        <w:rPr>
          <w:rFonts w:ascii="Calibri" w:eastAsia="Calibri" w:hAnsi="Calibri" w:cs="Times New Roman"/>
        </w:rPr>
        <w:tab/>
        <w:t>7.570</w:t>
      </w:r>
      <w:r w:rsidRPr="00022F29">
        <w:rPr>
          <w:rFonts w:ascii="Calibri" w:eastAsia="Calibri" w:hAnsi="Calibri" w:cs="Times New Roman"/>
        </w:rPr>
        <w:tab/>
        <w:t>1.3%</w:t>
      </w:r>
      <w:r w:rsidRPr="00022F29">
        <w:rPr>
          <w:rFonts w:ascii="Calibri" w:eastAsia="Calibri" w:hAnsi="Calibri" w:cs="Times New Roman"/>
        </w:rPr>
        <w:tab/>
        <w:t>-.570</w:t>
      </w:r>
      <w:r w:rsidRPr="00022F29">
        <w:rPr>
          <w:rFonts w:ascii="Calibri" w:eastAsia="Calibri" w:hAnsi="Calibri" w:cs="Times New Roman"/>
        </w:rPr>
        <w:tab/>
        <w:t>-.207</w:t>
      </w:r>
    </w:p>
    <w:p w14:paraId="056C6DC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15.000</w:t>
      </w:r>
      <w:r w:rsidRPr="00022F29">
        <w:rPr>
          <w:rFonts w:ascii="Calibri" w:eastAsia="Calibri" w:hAnsi="Calibri" w:cs="Times New Roman"/>
        </w:rPr>
        <w:tab/>
        <w:t>2.5%</w:t>
      </w:r>
      <w:r w:rsidRPr="00022F29">
        <w:rPr>
          <w:rFonts w:ascii="Calibri" w:eastAsia="Calibri" w:hAnsi="Calibri" w:cs="Times New Roman"/>
        </w:rPr>
        <w:tab/>
        <w:t>14.466</w:t>
      </w:r>
      <w:r w:rsidRPr="00022F29">
        <w:rPr>
          <w:rFonts w:ascii="Calibri" w:eastAsia="Calibri" w:hAnsi="Calibri" w:cs="Times New Roman"/>
        </w:rPr>
        <w:tab/>
        <w:t>2.4%</w:t>
      </w:r>
      <w:r w:rsidRPr="00022F29">
        <w:rPr>
          <w:rFonts w:ascii="Calibri" w:eastAsia="Calibri" w:hAnsi="Calibri" w:cs="Times New Roman"/>
        </w:rPr>
        <w:tab/>
        <w:t>.534</w:t>
      </w:r>
      <w:r w:rsidRPr="00022F29">
        <w:rPr>
          <w:rFonts w:ascii="Calibri" w:eastAsia="Calibri" w:hAnsi="Calibri" w:cs="Times New Roman"/>
        </w:rPr>
        <w:tab/>
        <w:t>.140</w:t>
      </w:r>
    </w:p>
    <w:p w14:paraId="2BBB5C4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7.000</w:t>
      </w:r>
      <w:r w:rsidRPr="00022F29">
        <w:rPr>
          <w:rFonts w:ascii="Calibri" w:eastAsia="Calibri" w:hAnsi="Calibri" w:cs="Times New Roman"/>
        </w:rPr>
        <w:tab/>
        <w:t>1.2%</w:t>
      </w:r>
      <w:r w:rsidRPr="00022F29">
        <w:rPr>
          <w:rFonts w:ascii="Calibri" w:eastAsia="Calibri" w:hAnsi="Calibri" w:cs="Times New Roman"/>
        </w:rPr>
        <w:tab/>
        <w:t>6.611</w:t>
      </w:r>
      <w:r w:rsidRPr="00022F29">
        <w:rPr>
          <w:rFonts w:ascii="Calibri" w:eastAsia="Calibri" w:hAnsi="Calibri" w:cs="Times New Roman"/>
        </w:rPr>
        <w:tab/>
        <w:t>1.1%</w:t>
      </w:r>
      <w:r w:rsidRPr="00022F29">
        <w:rPr>
          <w:rFonts w:ascii="Calibri" w:eastAsia="Calibri" w:hAnsi="Calibri" w:cs="Times New Roman"/>
        </w:rPr>
        <w:tab/>
        <w:t>.389</w:t>
      </w:r>
      <w:r w:rsidRPr="00022F29">
        <w:rPr>
          <w:rFonts w:ascii="Calibri" w:eastAsia="Calibri" w:hAnsi="Calibri" w:cs="Times New Roman"/>
        </w:rPr>
        <w:tab/>
        <w:t>.151</w:t>
      </w:r>
    </w:p>
    <w:p w14:paraId="4DCF0CF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11.000</w:t>
      </w:r>
      <w:r w:rsidRPr="00022F29">
        <w:rPr>
          <w:rFonts w:ascii="Calibri" w:eastAsia="Calibri" w:hAnsi="Calibri" w:cs="Times New Roman"/>
        </w:rPr>
        <w:tab/>
        <w:t>1.9%</w:t>
      </w:r>
      <w:r w:rsidRPr="00022F29">
        <w:rPr>
          <w:rFonts w:ascii="Calibri" w:eastAsia="Calibri" w:hAnsi="Calibri" w:cs="Times New Roman"/>
        </w:rPr>
        <w:tab/>
        <w:t>11.458</w:t>
      </w:r>
      <w:r w:rsidRPr="00022F29">
        <w:rPr>
          <w:rFonts w:ascii="Calibri" w:eastAsia="Calibri" w:hAnsi="Calibri" w:cs="Times New Roman"/>
        </w:rPr>
        <w:tab/>
        <w:t>1.9%</w:t>
      </w:r>
      <w:r w:rsidRPr="00022F29">
        <w:rPr>
          <w:rFonts w:ascii="Calibri" w:eastAsia="Calibri" w:hAnsi="Calibri" w:cs="Times New Roman"/>
        </w:rPr>
        <w:tab/>
        <w:t>-.458</w:t>
      </w:r>
      <w:r w:rsidRPr="00022F29">
        <w:rPr>
          <w:rFonts w:ascii="Calibri" w:eastAsia="Calibri" w:hAnsi="Calibri" w:cs="Times New Roman"/>
        </w:rPr>
        <w:tab/>
        <w:t>-.135</w:t>
      </w:r>
    </w:p>
    <w:p w14:paraId="1B315A6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1.000</w:t>
      </w:r>
      <w:r w:rsidRPr="00022F29">
        <w:rPr>
          <w:rFonts w:ascii="Calibri" w:eastAsia="Calibri" w:hAnsi="Calibri" w:cs="Times New Roman"/>
        </w:rPr>
        <w:tab/>
        <w:t>0.2%</w:t>
      </w:r>
      <w:r w:rsidRPr="00022F29">
        <w:rPr>
          <w:rFonts w:ascii="Calibri" w:eastAsia="Calibri" w:hAnsi="Calibri" w:cs="Times New Roman"/>
        </w:rPr>
        <w:tab/>
        <w:t>1.408</w:t>
      </w:r>
      <w:r w:rsidRPr="00022F29">
        <w:rPr>
          <w:rFonts w:ascii="Calibri" w:eastAsia="Calibri" w:hAnsi="Calibri" w:cs="Times New Roman"/>
        </w:rPr>
        <w:tab/>
        <w:t>0.2%</w:t>
      </w:r>
      <w:r w:rsidRPr="00022F29">
        <w:rPr>
          <w:rFonts w:ascii="Calibri" w:eastAsia="Calibri" w:hAnsi="Calibri" w:cs="Times New Roman"/>
        </w:rPr>
        <w:tab/>
        <w:t>-.408</w:t>
      </w:r>
      <w:r w:rsidRPr="00022F29">
        <w:rPr>
          <w:rFonts w:ascii="Calibri" w:eastAsia="Calibri" w:hAnsi="Calibri" w:cs="Times New Roman"/>
        </w:rPr>
        <w:tab/>
        <w:t>-.344</w:t>
      </w:r>
    </w:p>
    <w:p w14:paraId="4F656F1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7.000</w:t>
      </w:r>
      <w:r w:rsidRPr="00022F29">
        <w:rPr>
          <w:rFonts w:ascii="Calibri" w:eastAsia="Calibri" w:hAnsi="Calibri" w:cs="Times New Roman"/>
        </w:rPr>
        <w:tab/>
        <w:t>1.2%</w:t>
      </w:r>
      <w:r w:rsidRPr="00022F29">
        <w:rPr>
          <w:rFonts w:ascii="Calibri" w:eastAsia="Calibri" w:hAnsi="Calibri" w:cs="Times New Roman"/>
        </w:rPr>
        <w:tab/>
        <w:t>6.612</w:t>
      </w:r>
      <w:r w:rsidRPr="00022F29">
        <w:rPr>
          <w:rFonts w:ascii="Calibri" w:eastAsia="Calibri" w:hAnsi="Calibri" w:cs="Times New Roman"/>
        </w:rPr>
        <w:tab/>
        <w:t>1.1%</w:t>
      </w:r>
      <w:r w:rsidRPr="00022F29">
        <w:rPr>
          <w:rFonts w:ascii="Calibri" w:eastAsia="Calibri" w:hAnsi="Calibri" w:cs="Times New Roman"/>
        </w:rPr>
        <w:tab/>
        <w:t>.388</w:t>
      </w:r>
      <w:r w:rsidRPr="00022F29">
        <w:rPr>
          <w:rFonts w:ascii="Calibri" w:eastAsia="Calibri" w:hAnsi="Calibri" w:cs="Times New Roman"/>
        </w:rPr>
        <w:tab/>
        <w:t>.151</w:t>
      </w:r>
    </w:p>
    <w:p w14:paraId="0162B69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2.000</w:t>
      </w:r>
      <w:r w:rsidRPr="00022F29">
        <w:rPr>
          <w:rFonts w:ascii="Calibri" w:eastAsia="Calibri" w:hAnsi="Calibri" w:cs="Times New Roman"/>
        </w:rPr>
        <w:tab/>
        <w:t>0.3%</w:t>
      </w:r>
      <w:r w:rsidRPr="00022F29">
        <w:rPr>
          <w:rFonts w:ascii="Calibri" w:eastAsia="Calibri" w:hAnsi="Calibri" w:cs="Times New Roman"/>
        </w:rPr>
        <w:tab/>
        <w:t>2.446</w:t>
      </w:r>
      <w:r w:rsidRPr="00022F29">
        <w:rPr>
          <w:rFonts w:ascii="Calibri" w:eastAsia="Calibri" w:hAnsi="Calibri" w:cs="Times New Roman"/>
        </w:rPr>
        <w:tab/>
        <w:t>0.4%</w:t>
      </w:r>
      <w:r w:rsidRPr="00022F29">
        <w:rPr>
          <w:rFonts w:ascii="Calibri" w:eastAsia="Calibri" w:hAnsi="Calibri" w:cs="Times New Roman"/>
        </w:rPr>
        <w:tab/>
        <w:t>-.446</w:t>
      </w:r>
      <w:r w:rsidRPr="00022F29">
        <w:rPr>
          <w:rFonts w:ascii="Calibri" w:eastAsia="Calibri" w:hAnsi="Calibri" w:cs="Times New Roman"/>
        </w:rPr>
        <w:tab/>
        <w:t>-.285</w:t>
      </w:r>
    </w:p>
    <w:p w14:paraId="4304A44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9.000</w:t>
      </w:r>
      <w:r w:rsidRPr="00022F29">
        <w:rPr>
          <w:rFonts w:ascii="Calibri" w:eastAsia="Calibri" w:hAnsi="Calibri" w:cs="Times New Roman"/>
        </w:rPr>
        <w:tab/>
        <w:t>1.5%</w:t>
      </w:r>
      <w:r w:rsidRPr="00022F29">
        <w:rPr>
          <w:rFonts w:ascii="Calibri" w:eastAsia="Calibri" w:hAnsi="Calibri" w:cs="Times New Roman"/>
        </w:rPr>
        <w:tab/>
        <w:t>8.539</w:t>
      </w:r>
      <w:r w:rsidRPr="00022F29">
        <w:rPr>
          <w:rFonts w:ascii="Calibri" w:eastAsia="Calibri" w:hAnsi="Calibri" w:cs="Times New Roman"/>
        </w:rPr>
        <w:tab/>
        <w:t>1.4%</w:t>
      </w:r>
      <w:r w:rsidRPr="00022F29">
        <w:rPr>
          <w:rFonts w:ascii="Calibri" w:eastAsia="Calibri" w:hAnsi="Calibri" w:cs="Times New Roman"/>
        </w:rPr>
        <w:tab/>
        <w:t>.461</w:t>
      </w:r>
      <w:r w:rsidRPr="00022F29">
        <w:rPr>
          <w:rFonts w:ascii="Calibri" w:eastAsia="Calibri" w:hAnsi="Calibri" w:cs="Times New Roman"/>
        </w:rPr>
        <w:tab/>
        <w:t>.158</w:t>
      </w:r>
    </w:p>
    <w:p w14:paraId="241E888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3.000</w:t>
      </w:r>
      <w:r w:rsidRPr="00022F29">
        <w:rPr>
          <w:rFonts w:ascii="Calibri" w:eastAsia="Calibri" w:hAnsi="Calibri" w:cs="Times New Roman"/>
        </w:rPr>
        <w:tab/>
        <w:t>0.5%</w:t>
      </w:r>
      <w:r w:rsidRPr="00022F29">
        <w:rPr>
          <w:rFonts w:ascii="Calibri" w:eastAsia="Calibri" w:hAnsi="Calibri" w:cs="Times New Roman"/>
        </w:rPr>
        <w:tab/>
        <w:t>2.579</w:t>
      </w:r>
      <w:r w:rsidRPr="00022F29">
        <w:rPr>
          <w:rFonts w:ascii="Calibri" w:eastAsia="Calibri" w:hAnsi="Calibri" w:cs="Times New Roman"/>
        </w:rPr>
        <w:tab/>
        <w:t>0.4%</w:t>
      </w:r>
      <w:r w:rsidRPr="00022F29">
        <w:rPr>
          <w:rFonts w:ascii="Calibri" w:eastAsia="Calibri" w:hAnsi="Calibri" w:cs="Times New Roman"/>
        </w:rPr>
        <w:tab/>
        <w:t>.421</w:t>
      </w:r>
      <w:r w:rsidRPr="00022F29">
        <w:rPr>
          <w:rFonts w:ascii="Calibri" w:eastAsia="Calibri" w:hAnsi="Calibri" w:cs="Times New Roman"/>
        </w:rPr>
        <w:tab/>
        <w:t>.262</w:t>
      </w:r>
    </w:p>
    <w:p w14:paraId="4267FDA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24.000</w:t>
      </w:r>
      <w:r w:rsidRPr="00022F29">
        <w:rPr>
          <w:rFonts w:ascii="Calibri" w:eastAsia="Calibri" w:hAnsi="Calibri" w:cs="Times New Roman"/>
        </w:rPr>
        <w:tab/>
        <w:t>4.1%</w:t>
      </w:r>
      <w:r w:rsidRPr="00022F29">
        <w:rPr>
          <w:rFonts w:ascii="Calibri" w:eastAsia="Calibri" w:hAnsi="Calibri" w:cs="Times New Roman"/>
        </w:rPr>
        <w:tab/>
        <w:t>24.395</w:t>
      </w:r>
      <w:r w:rsidRPr="00022F29">
        <w:rPr>
          <w:rFonts w:ascii="Calibri" w:eastAsia="Calibri" w:hAnsi="Calibri" w:cs="Times New Roman"/>
        </w:rPr>
        <w:tab/>
        <w:t>4.1%</w:t>
      </w:r>
      <w:r w:rsidRPr="00022F29">
        <w:rPr>
          <w:rFonts w:ascii="Calibri" w:eastAsia="Calibri" w:hAnsi="Calibri" w:cs="Times New Roman"/>
        </w:rPr>
        <w:tab/>
        <w:t>-.395</w:t>
      </w:r>
      <w:r w:rsidRPr="00022F29">
        <w:rPr>
          <w:rFonts w:ascii="Calibri" w:eastAsia="Calibri" w:hAnsi="Calibri" w:cs="Times New Roman"/>
        </w:rPr>
        <w:tab/>
        <w:t>-.080</w:t>
      </w:r>
    </w:p>
    <w:p w14:paraId="2A7AD75F" w14:textId="77777777" w:rsidR="00022F29" w:rsidRPr="00022F29" w:rsidRDefault="00022F29" w:rsidP="00022F29">
      <w:pPr>
        <w:rPr>
          <w:rFonts w:ascii="Calibri" w:eastAsia="Calibri" w:hAnsi="Calibri" w:cs="Times New Roman"/>
        </w:rPr>
      </w:pPr>
    </w:p>
    <w:p w14:paraId="45A519F9" w14:textId="77777777" w:rsidR="00022F29" w:rsidRPr="00022F29" w:rsidRDefault="00022F29" w:rsidP="00022F29">
      <w:pPr>
        <w:rPr>
          <w:rFonts w:ascii="Calibri" w:eastAsia="Calibri" w:hAnsi="Calibri" w:cs="Times New Roman"/>
        </w:rPr>
      </w:pPr>
    </w:p>
    <w:p w14:paraId="69E243B7" w14:textId="77777777" w:rsidR="00022F29" w:rsidRPr="00022F29" w:rsidRDefault="00022F29" w:rsidP="00022F29">
      <w:pPr>
        <w:rPr>
          <w:rFonts w:ascii="Calibri" w:eastAsia="Calibri" w:hAnsi="Calibri" w:cs="Times New Roman"/>
        </w:rPr>
      </w:pPr>
    </w:p>
    <w:p w14:paraId="284CB0A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Goodness-of-Fit Tests</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2121C31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Chi-Square</w:t>
      </w:r>
      <w:r w:rsidRPr="00022F29">
        <w:rPr>
          <w:rFonts w:ascii="Calibri" w:eastAsia="Calibri" w:hAnsi="Calibri" w:cs="Times New Roman"/>
        </w:rPr>
        <w:tab/>
        <w:t>df</w:t>
      </w:r>
      <w:r w:rsidRPr="00022F29">
        <w:rPr>
          <w:rFonts w:ascii="Calibri" w:eastAsia="Calibri" w:hAnsi="Calibri" w:cs="Times New Roman"/>
        </w:rPr>
        <w:tab/>
        <w:t>Sig.</w:t>
      </w:r>
    </w:p>
    <w:p w14:paraId="2746540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Likelihood Ratio</w:t>
      </w:r>
      <w:r w:rsidRPr="00022F29">
        <w:rPr>
          <w:rFonts w:ascii="Calibri" w:eastAsia="Calibri" w:hAnsi="Calibri" w:cs="Times New Roman"/>
        </w:rPr>
        <w:tab/>
        <w:t>11.250</w:t>
      </w:r>
      <w:r w:rsidRPr="00022F29">
        <w:rPr>
          <w:rFonts w:ascii="Calibri" w:eastAsia="Calibri" w:hAnsi="Calibri" w:cs="Times New Roman"/>
        </w:rPr>
        <w:tab/>
        <w:t>22</w:t>
      </w:r>
      <w:r w:rsidRPr="00022F29">
        <w:rPr>
          <w:rFonts w:ascii="Calibri" w:eastAsia="Calibri" w:hAnsi="Calibri" w:cs="Times New Roman"/>
        </w:rPr>
        <w:tab/>
        <w:t>.971</w:t>
      </w:r>
    </w:p>
    <w:p w14:paraId="5013328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Pearson</w:t>
      </w:r>
      <w:r w:rsidRPr="00022F29">
        <w:rPr>
          <w:rFonts w:ascii="Calibri" w:eastAsia="Calibri" w:hAnsi="Calibri" w:cs="Times New Roman"/>
        </w:rPr>
        <w:tab/>
        <w:t>11.087</w:t>
      </w:r>
      <w:r w:rsidRPr="00022F29">
        <w:rPr>
          <w:rFonts w:ascii="Calibri" w:eastAsia="Calibri" w:hAnsi="Calibri" w:cs="Times New Roman"/>
        </w:rPr>
        <w:tab/>
        <w:t>22</w:t>
      </w:r>
      <w:r w:rsidRPr="00022F29">
        <w:rPr>
          <w:rFonts w:ascii="Calibri" w:eastAsia="Calibri" w:hAnsi="Calibri" w:cs="Times New Roman"/>
        </w:rPr>
        <w:tab/>
        <w:t>.973</w:t>
      </w:r>
    </w:p>
    <w:p w14:paraId="0B85C9D9" w14:textId="77777777" w:rsidR="00022F29" w:rsidRPr="00022F29" w:rsidRDefault="00022F29" w:rsidP="00022F29">
      <w:pPr>
        <w:rPr>
          <w:rFonts w:ascii="Calibri" w:eastAsia="Calibri" w:hAnsi="Calibri" w:cs="Times New Roman"/>
        </w:rPr>
      </w:pPr>
    </w:p>
    <w:p w14:paraId="269D3FC8" w14:textId="77777777" w:rsidR="00022F29" w:rsidRPr="00022F29" w:rsidRDefault="00022F29" w:rsidP="00022F29">
      <w:pPr>
        <w:rPr>
          <w:rFonts w:ascii="Calibri" w:eastAsia="Calibri" w:hAnsi="Calibri" w:cs="Times New Roman"/>
        </w:rPr>
      </w:pPr>
    </w:p>
    <w:p w14:paraId="79A4AD1A" w14:textId="77777777" w:rsidR="00022F29" w:rsidRPr="00022F29" w:rsidRDefault="00022F29" w:rsidP="00022F29">
      <w:pPr>
        <w:rPr>
          <w:rFonts w:ascii="Calibri" w:eastAsia="Calibri" w:hAnsi="Calibri" w:cs="Times New Roman"/>
        </w:rPr>
      </w:pPr>
    </w:p>
    <w:p w14:paraId="3D91A94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GENLOG A FQuartile GenderX AgeBinary RevoveryD RecoveryA</w:t>
      </w:r>
    </w:p>
    <w:p w14:paraId="18187CF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/MODEL=MULTINOMIAL</w:t>
      </w:r>
    </w:p>
    <w:p w14:paraId="7E7FA81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/PRINT=FREQ RESID ADJRESID ZRESID DEV DESIGN ITERATION</w:t>
      </w:r>
    </w:p>
    <w:p w14:paraId="02612ED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/PLOT=RESID(ADJRESID) NORMPROB(ADJRESID)</w:t>
      </w:r>
    </w:p>
    <w:p w14:paraId="654E9A8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/CRITERIA=CIN(95) ITERATE(20) CONVERGE(0.001) DELTA(.5)</w:t>
      </w:r>
    </w:p>
    <w:p w14:paraId="138B6EF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/DESIGN A FQuartile GenderX AgeBinary RevoveryD RecoveryA.</w:t>
      </w:r>
    </w:p>
    <w:p w14:paraId="672CA12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General Loglinear</w:t>
      </w:r>
    </w:p>
    <w:p w14:paraId="362ED0C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Notes</w:t>
      </w:r>
      <w:r w:rsidRPr="00022F29">
        <w:rPr>
          <w:rFonts w:ascii="Calibri" w:eastAsia="Calibri" w:hAnsi="Calibri" w:cs="Times New Roman"/>
        </w:rPr>
        <w:tab/>
      </w:r>
      <w:r w:rsidRPr="00022F29">
        <w:rPr>
          <w:rFonts w:ascii="Calibri" w:eastAsia="Calibri" w:hAnsi="Calibri" w:cs="Times New Roman"/>
        </w:rPr>
        <w:tab/>
      </w:r>
    </w:p>
    <w:p w14:paraId="3D0B141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Output Created</w:t>
      </w:r>
      <w:r w:rsidRPr="00022F29">
        <w:rPr>
          <w:rFonts w:ascii="Calibri" w:eastAsia="Calibri" w:hAnsi="Calibri" w:cs="Times New Roman"/>
        </w:rPr>
        <w:tab/>
      </w:r>
      <w:r w:rsidRPr="00022F29">
        <w:rPr>
          <w:rFonts w:ascii="Calibri" w:eastAsia="Calibri" w:hAnsi="Calibri" w:cs="Times New Roman"/>
        </w:rPr>
        <w:tab/>
        <w:t>02-FEB-2019 08:30:11</w:t>
      </w:r>
    </w:p>
    <w:p w14:paraId="6D0E94F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Comments</w:t>
      </w:r>
      <w:r w:rsidRPr="00022F29">
        <w:rPr>
          <w:rFonts w:ascii="Calibri" w:eastAsia="Calibri" w:hAnsi="Calibri" w:cs="Times New Roman"/>
        </w:rPr>
        <w:tab/>
      </w:r>
      <w:r w:rsidRPr="00022F29">
        <w:rPr>
          <w:rFonts w:ascii="Calibri" w:eastAsia="Calibri" w:hAnsi="Calibri" w:cs="Times New Roman"/>
        </w:rPr>
        <w:tab/>
      </w:r>
    </w:p>
    <w:p w14:paraId="6376978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Input</w:t>
      </w:r>
      <w:r w:rsidRPr="00022F29">
        <w:rPr>
          <w:rFonts w:ascii="Calibri" w:eastAsia="Calibri" w:hAnsi="Calibri" w:cs="Times New Roman"/>
        </w:rPr>
        <w:tab/>
        <w:t>Data</w:t>
      </w:r>
      <w:r w:rsidRPr="00022F29">
        <w:rPr>
          <w:rFonts w:ascii="Calibri" w:eastAsia="Calibri" w:hAnsi="Calibri" w:cs="Times New Roman"/>
        </w:rPr>
        <w:tab/>
        <w:t>/Users/sbateup/Desktop/Loglinear.sav</w:t>
      </w:r>
    </w:p>
    <w:p w14:paraId="57A1274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Active Dataset</w:t>
      </w:r>
      <w:r w:rsidRPr="00022F29">
        <w:rPr>
          <w:rFonts w:ascii="Calibri" w:eastAsia="Calibri" w:hAnsi="Calibri" w:cs="Times New Roman"/>
        </w:rPr>
        <w:tab/>
        <w:t>DataSet8</w:t>
      </w:r>
    </w:p>
    <w:p w14:paraId="5C6CE94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Filter</w:t>
      </w:r>
      <w:r w:rsidRPr="00022F29">
        <w:rPr>
          <w:rFonts w:ascii="Calibri" w:eastAsia="Calibri" w:hAnsi="Calibri" w:cs="Times New Roman"/>
        </w:rPr>
        <w:tab/>
        <w:t>&lt;none&gt;</w:t>
      </w:r>
    </w:p>
    <w:p w14:paraId="593ED0E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Weight</w:t>
      </w:r>
      <w:r w:rsidRPr="00022F29">
        <w:rPr>
          <w:rFonts w:ascii="Calibri" w:eastAsia="Calibri" w:hAnsi="Calibri" w:cs="Times New Roman"/>
        </w:rPr>
        <w:tab/>
        <w:t>&lt;none&gt;</w:t>
      </w:r>
    </w:p>
    <w:p w14:paraId="59E185B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Split File</w:t>
      </w:r>
      <w:r w:rsidRPr="00022F29">
        <w:rPr>
          <w:rFonts w:ascii="Calibri" w:eastAsia="Calibri" w:hAnsi="Calibri" w:cs="Times New Roman"/>
        </w:rPr>
        <w:tab/>
        <w:t>&lt;none&gt;</w:t>
      </w:r>
    </w:p>
    <w:p w14:paraId="3BD375C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N of Rows in Working Data File</w:t>
      </w:r>
      <w:r w:rsidRPr="00022F29">
        <w:rPr>
          <w:rFonts w:ascii="Calibri" w:eastAsia="Calibri" w:hAnsi="Calibri" w:cs="Times New Roman"/>
        </w:rPr>
        <w:tab/>
        <w:t>610</w:t>
      </w:r>
    </w:p>
    <w:p w14:paraId="3A59306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Missing Value Handling</w:t>
      </w:r>
      <w:r w:rsidRPr="00022F29">
        <w:rPr>
          <w:rFonts w:ascii="Calibri" w:eastAsia="Calibri" w:hAnsi="Calibri" w:cs="Times New Roman"/>
        </w:rPr>
        <w:tab/>
        <w:t>Definition of Missing</w:t>
      </w:r>
      <w:r w:rsidRPr="00022F29">
        <w:rPr>
          <w:rFonts w:ascii="Calibri" w:eastAsia="Calibri" w:hAnsi="Calibri" w:cs="Times New Roman"/>
        </w:rPr>
        <w:tab/>
        <w:t>User-defined missing values are treated as missing.</w:t>
      </w:r>
    </w:p>
    <w:p w14:paraId="0AA2973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Cases Used</w:t>
      </w:r>
      <w:r w:rsidRPr="00022F29">
        <w:rPr>
          <w:rFonts w:ascii="Calibri" w:eastAsia="Calibri" w:hAnsi="Calibri" w:cs="Times New Roman"/>
        </w:rPr>
        <w:tab/>
        <w:t>Statistics are based on all cases with valid data for all variables in the model.</w:t>
      </w:r>
    </w:p>
    <w:p w14:paraId="1A90E55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Syntax</w:t>
      </w:r>
      <w:r w:rsidRPr="00022F29">
        <w:rPr>
          <w:rFonts w:ascii="Calibri" w:eastAsia="Calibri" w:hAnsi="Calibri" w:cs="Times New Roman"/>
        </w:rPr>
        <w:tab/>
      </w:r>
      <w:r w:rsidRPr="00022F29">
        <w:rPr>
          <w:rFonts w:ascii="Calibri" w:eastAsia="Calibri" w:hAnsi="Calibri" w:cs="Times New Roman"/>
        </w:rPr>
        <w:tab/>
        <w:t>GENLOG A FQuartile GenderX AgeBinary RevoveryD RecoveryA</w:t>
      </w:r>
    </w:p>
    <w:p w14:paraId="43BBF15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/MODEL=MULTINOMIAL</w:t>
      </w:r>
    </w:p>
    <w:p w14:paraId="1C262DD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/PRINT=FREQ RESID ADJRESID ZRESID DEV DESIGN ITERATION</w:t>
      </w:r>
    </w:p>
    <w:p w14:paraId="7FB92A0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/PLOT=RESID(ADJRESID) NORMPROB(ADJRESID)</w:t>
      </w:r>
    </w:p>
    <w:p w14:paraId="7D8F479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/CRITERIA=CIN(95) ITERATE(20) CONVERGE(0.001) DELTA(.5)</w:t>
      </w:r>
    </w:p>
    <w:p w14:paraId="7CB9F99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 xml:space="preserve">  /DESIGN A FQuartile GenderX AgeBinary RevoveryD RecoveryA.</w:t>
      </w:r>
    </w:p>
    <w:p w14:paraId="05A812C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Resources</w:t>
      </w:r>
      <w:r w:rsidRPr="00022F29">
        <w:rPr>
          <w:rFonts w:ascii="Calibri" w:eastAsia="Calibri" w:hAnsi="Calibri" w:cs="Times New Roman"/>
        </w:rPr>
        <w:tab/>
        <w:t>Processor Time</w:t>
      </w:r>
      <w:r w:rsidRPr="00022F29">
        <w:rPr>
          <w:rFonts w:ascii="Calibri" w:eastAsia="Calibri" w:hAnsi="Calibri" w:cs="Times New Roman"/>
        </w:rPr>
        <w:tab/>
        <w:t>00:00:00.69</w:t>
      </w:r>
    </w:p>
    <w:p w14:paraId="1BE64EA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Elapsed Time</w:t>
      </w:r>
      <w:r w:rsidRPr="00022F29">
        <w:rPr>
          <w:rFonts w:ascii="Calibri" w:eastAsia="Calibri" w:hAnsi="Calibri" w:cs="Times New Roman"/>
        </w:rPr>
        <w:tab/>
        <w:t>00:00:00.00</w:t>
      </w:r>
    </w:p>
    <w:p w14:paraId="6D64A3D3" w14:textId="77777777" w:rsidR="00022F29" w:rsidRPr="00022F29" w:rsidRDefault="00022F29" w:rsidP="00022F29">
      <w:pPr>
        <w:rPr>
          <w:rFonts w:ascii="Calibri" w:eastAsia="Calibri" w:hAnsi="Calibri" w:cs="Times New Roman"/>
        </w:rPr>
      </w:pPr>
    </w:p>
    <w:p w14:paraId="48EDCE36" w14:textId="77777777" w:rsidR="00022F29" w:rsidRPr="00022F29" w:rsidRDefault="00022F29" w:rsidP="00022F29">
      <w:pPr>
        <w:rPr>
          <w:rFonts w:ascii="Calibri" w:eastAsia="Calibri" w:hAnsi="Calibri" w:cs="Times New Roman"/>
        </w:rPr>
      </w:pPr>
    </w:p>
    <w:p w14:paraId="660CD17F" w14:textId="77777777" w:rsidR="00022F29" w:rsidRPr="00022F29" w:rsidRDefault="00022F29" w:rsidP="00022F29">
      <w:pPr>
        <w:rPr>
          <w:rFonts w:ascii="Calibri" w:eastAsia="Calibri" w:hAnsi="Calibri" w:cs="Times New Roman"/>
        </w:rPr>
      </w:pPr>
    </w:p>
    <w:p w14:paraId="14CDD3D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Data Information</w:t>
      </w:r>
      <w:r w:rsidRPr="00022F29">
        <w:rPr>
          <w:rFonts w:ascii="Calibri" w:eastAsia="Calibri" w:hAnsi="Calibri" w:cs="Times New Roman"/>
        </w:rPr>
        <w:tab/>
      </w:r>
      <w:r w:rsidRPr="00022F29">
        <w:rPr>
          <w:rFonts w:ascii="Calibri" w:eastAsia="Calibri" w:hAnsi="Calibri" w:cs="Times New Roman"/>
        </w:rPr>
        <w:tab/>
      </w:r>
    </w:p>
    <w:p w14:paraId="3744F61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N</w:t>
      </w:r>
    </w:p>
    <w:p w14:paraId="6BA1840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Cases</w:t>
      </w:r>
      <w:r w:rsidRPr="00022F29">
        <w:rPr>
          <w:rFonts w:ascii="Calibri" w:eastAsia="Calibri" w:hAnsi="Calibri" w:cs="Times New Roman"/>
        </w:rPr>
        <w:tab/>
        <w:t>Valid</w:t>
      </w:r>
      <w:r w:rsidRPr="00022F29">
        <w:rPr>
          <w:rFonts w:ascii="Calibri" w:eastAsia="Calibri" w:hAnsi="Calibri" w:cs="Times New Roman"/>
        </w:rPr>
        <w:tab/>
        <w:t>591</w:t>
      </w:r>
    </w:p>
    <w:p w14:paraId="2E53F3A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Missing</w:t>
      </w:r>
      <w:r w:rsidRPr="00022F29">
        <w:rPr>
          <w:rFonts w:ascii="Calibri" w:eastAsia="Calibri" w:hAnsi="Calibri" w:cs="Times New Roman"/>
        </w:rPr>
        <w:tab/>
        <w:t>19</w:t>
      </w:r>
    </w:p>
    <w:p w14:paraId="65B78DD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Weighted Valid</w:t>
      </w:r>
      <w:r w:rsidRPr="00022F29">
        <w:rPr>
          <w:rFonts w:ascii="Calibri" w:eastAsia="Calibri" w:hAnsi="Calibri" w:cs="Times New Roman"/>
        </w:rPr>
        <w:tab/>
        <w:t>591</w:t>
      </w:r>
    </w:p>
    <w:p w14:paraId="4DCA073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Cells</w:t>
      </w:r>
      <w:r w:rsidRPr="00022F29">
        <w:rPr>
          <w:rFonts w:ascii="Calibri" w:eastAsia="Calibri" w:hAnsi="Calibri" w:cs="Times New Roman"/>
        </w:rPr>
        <w:tab/>
        <w:t>Defined Cells</w:t>
      </w:r>
      <w:r w:rsidRPr="00022F29">
        <w:rPr>
          <w:rFonts w:ascii="Calibri" w:eastAsia="Calibri" w:hAnsi="Calibri" w:cs="Times New Roman"/>
        </w:rPr>
        <w:tab/>
        <w:t>128</w:t>
      </w:r>
    </w:p>
    <w:p w14:paraId="5A84929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Structural Zeros</w:t>
      </w:r>
      <w:r w:rsidRPr="00022F29">
        <w:rPr>
          <w:rFonts w:ascii="Calibri" w:eastAsia="Calibri" w:hAnsi="Calibri" w:cs="Times New Roman"/>
        </w:rPr>
        <w:tab/>
        <w:t>0</w:t>
      </w:r>
    </w:p>
    <w:p w14:paraId="2AF8861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Sampling Zeros</w:t>
      </w:r>
      <w:r w:rsidRPr="00022F29">
        <w:rPr>
          <w:rFonts w:ascii="Calibri" w:eastAsia="Calibri" w:hAnsi="Calibri" w:cs="Times New Roman"/>
        </w:rPr>
        <w:tab/>
        <w:t>20</w:t>
      </w:r>
    </w:p>
    <w:p w14:paraId="1B3E0FE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Categories</w:t>
      </w:r>
      <w:r w:rsidRPr="00022F29">
        <w:rPr>
          <w:rFonts w:ascii="Calibri" w:eastAsia="Calibri" w:hAnsi="Calibri" w:cs="Times New Roman"/>
        </w:rPr>
        <w:tab/>
        <w:t>A</w:t>
      </w:r>
      <w:r w:rsidRPr="00022F29">
        <w:rPr>
          <w:rFonts w:ascii="Calibri" w:eastAsia="Calibri" w:hAnsi="Calibri" w:cs="Times New Roman"/>
        </w:rPr>
        <w:tab/>
        <w:t>2</w:t>
      </w:r>
    </w:p>
    <w:p w14:paraId="36F4028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FQuartile</w:t>
      </w:r>
      <w:r w:rsidRPr="00022F29">
        <w:rPr>
          <w:rFonts w:ascii="Calibri" w:eastAsia="Calibri" w:hAnsi="Calibri" w:cs="Times New Roman"/>
        </w:rPr>
        <w:tab/>
        <w:t>4</w:t>
      </w:r>
    </w:p>
    <w:p w14:paraId="4A12D6E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GenderX</w:t>
      </w:r>
      <w:r w:rsidRPr="00022F29">
        <w:rPr>
          <w:rFonts w:ascii="Calibri" w:eastAsia="Calibri" w:hAnsi="Calibri" w:cs="Times New Roman"/>
        </w:rPr>
        <w:tab/>
        <w:t>2</w:t>
      </w:r>
    </w:p>
    <w:p w14:paraId="4FCC3E0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AgeBinary</w:t>
      </w:r>
      <w:r w:rsidRPr="00022F29">
        <w:rPr>
          <w:rFonts w:ascii="Calibri" w:eastAsia="Calibri" w:hAnsi="Calibri" w:cs="Times New Roman"/>
        </w:rPr>
        <w:tab/>
        <w:t>2</w:t>
      </w:r>
    </w:p>
    <w:p w14:paraId="69747D0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RevoveryD</w:t>
      </w:r>
      <w:r w:rsidRPr="00022F29">
        <w:rPr>
          <w:rFonts w:ascii="Calibri" w:eastAsia="Calibri" w:hAnsi="Calibri" w:cs="Times New Roman"/>
        </w:rPr>
        <w:tab/>
        <w:t>2</w:t>
      </w:r>
    </w:p>
    <w:p w14:paraId="34ECE09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RecoveryA</w:t>
      </w:r>
      <w:r w:rsidRPr="00022F29">
        <w:rPr>
          <w:rFonts w:ascii="Calibri" w:eastAsia="Calibri" w:hAnsi="Calibri" w:cs="Times New Roman"/>
        </w:rPr>
        <w:tab/>
        <w:t>2</w:t>
      </w:r>
    </w:p>
    <w:p w14:paraId="7E6FD38B" w14:textId="77777777" w:rsidR="00022F29" w:rsidRPr="00022F29" w:rsidRDefault="00022F29" w:rsidP="00022F29">
      <w:pPr>
        <w:rPr>
          <w:rFonts w:ascii="Calibri" w:eastAsia="Calibri" w:hAnsi="Calibri" w:cs="Times New Roman"/>
        </w:rPr>
      </w:pPr>
    </w:p>
    <w:p w14:paraId="23137688" w14:textId="77777777" w:rsidR="00022F29" w:rsidRPr="00022F29" w:rsidRDefault="00022F29" w:rsidP="00022F29">
      <w:pPr>
        <w:rPr>
          <w:rFonts w:ascii="Calibri" w:eastAsia="Calibri" w:hAnsi="Calibri" w:cs="Times New Roman"/>
        </w:rPr>
      </w:pPr>
    </w:p>
    <w:p w14:paraId="3CB6FCC6" w14:textId="77777777" w:rsidR="00022F29" w:rsidRPr="00022F29" w:rsidRDefault="00022F29" w:rsidP="00022F29">
      <w:pPr>
        <w:rPr>
          <w:rFonts w:ascii="Calibri" w:eastAsia="Calibri" w:hAnsi="Calibri" w:cs="Times New Roman"/>
        </w:rPr>
      </w:pPr>
    </w:p>
    <w:p w14:paraId="530C08B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Convergence Informationa,b</w:t>
      </w:r>
      <w:r w:rsidRPr="00022F29">
        <w:rPr>
          <w:rFonts w:ascii="Calibri" w:eastAsia="Calibri" w:hAnsi="Calibri" w:cs="Times New Roman"/>
        </w:rPr>
        <w:tab/>
      </w:r>
    </w:p>
    <w:p w14:paraId="0FB6B3E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Maximum Number of Iterations</w:t>
      </w:r>
      <w:r w:rsidRPr="00022F29">
        <w:rPr>
          <w:rFonts w:ascii="Calibri" w:eastAsia="Calibri" w:hAnsi="Calibri" w:cs="Times New Roman"/>
        </w:rPr>
        <w:tab/>
        <w:t>20</w:t>
      </w:r>
    </w:p>
    <w:p w14:paraId="6F1FE4C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Converge Tolerance</w:t>
      </w:r>
      <w:r w:rsidRPr="00022F29">
        <w:rPr>
          <w:rFonts w:ascii="Calibri" w:eastAsia="Calibri" w:hAnsi="Calibri" w:cs="Times New Roman"/>
        </w:rPr>
        <w:tab/>
        <w:t>.00100</w:t>
      </w:r>
    </w:p>
    <w:p w14:paraId="359893E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Final Maximum Absolute Difference</w:t>
      </w:r>
      <w:r w:rsidRPr="00022F29">
        <w:rPr>
          <w:rFonts w:ascii="Calibri" w:eastAsia="Calibri" w:hAnsi="Calibri" w:cs="Times New Roman"/>
        </w:rPr>
        <w:tab/>
        <w:t>6.42417E-7c</w:t>
      </w:r>
    </w:p>
    <w:p w14:paraId="396F47F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Final Maximum Relative Difference</w:t>
      </w:r>
      <w:r w:rsidRPr="00022F29">
        <w:rPr>
          <w:rFonts w:ascii="Calibri" w:eastAsia="Calibri" w:hAnsi="Calibri" w:cs="Times New Roman"/>
        </w:rPr>
        <w:tab/>
        <w:t>6.15944E-7</w:t>
      </w:r>
    </w:p>
    <w:p w14:paraId="7D28549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Number of Iterations</w:t>
      </w:r>
      <w:r w:rsidRPr="00022F29">
        <w:rPr>
          <w:rFonts w:ascii="Calibri" w:eastAsia="Calibri" w:hAnsi="Calibri" w:cs="Times New Roman"/>
        </w:rPr>
        <w:tab/>
        <w:t>4</w:t>
      </w:r>
    </w:p>
    <w:p w14:paraId="0F416BB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 Model: Multinomial</w:t>
      </w:r>
      <w:r w:rsidRPr="00022F29">
        <w:rPr>
          <w:rFonts w:ascii="Calibri" w:eastAsia="Calibri" w:hAnsi="Calibri" w:cs="Times New Roman"/>
        </w:rPr>
        <w:tab/>
      </w:r>
    </w:p>
    <w:p w14:paraId="5BCD022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b Design: Constant + A + FQuartile + GenderX + AgeBinary + RevoveryD + RecoveryA</w:t>
      </w:r>
      <w:r w:rsidRPr="00022F29">
        <w:rPr>
          <w:rFonts w:ascii="Calibri" w:eastAsia="Calibri" w:hAnsi="Calibri" w:cs="Times New Roman"/>
        </w:rPr>
        <w:tab/>
      </w:r>
    </w:p>
    <w:p w14:paraId="62D8430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 The iteration converged because the maximum absolute changes of parameter estimates is less than the specified convergence criterion.</w:t>
      </w:r>
      <w:r w:rsidRPr="00022F29">
        <w:rPr>
          <w:rFonts w:ascii="Calibri" w:eastAsia="Calibri" w:hAnsi="Calibri" w:cs="Times New Roman"/>
        </w:rPr>
        <w:tab/>
      </w:r>
    </w:p>
    <w:p w14:paraId="1D900124" w14:textId="77777777" w:rsidR="00022F29" w:rsidRPr="00022F29" w:rsidRDefault="00022F29" w:rsidP="00022F29">
      <w:pPr>
        <w:rPr>
          <w:rFonts w:ascii="Calibri" w:eastAsia="Calibri" w:hAnsi="Calibri" w:cs="Times New Roman"/>
        </w:rPr>
      </w:pPr>
    </w:p>
    <w:p w14:paraId="38889241" w14:textId="77777777" w:rsidR="00022F29" w:rsidRPr="00022F29" w:rsidRDefault="00022F29" w:rsidP="00022F29">
      <w:pPr>
        <w:rPr>
          <w:rFonts w:ascii="Calibri" w:eastAsia="Calibri" w:hAnsi="Calibri" w:cs="Times New Roman"/>
        </w:rPr>
      </w:pPr>
    </w:p>
    <w:p w14:paraId="6A5F88B9" w14:textId="77777777" w:rsidR="00022F29" w:rsidRPr="00022F29" w:rsidRDefault="00022F29" w:rsidP="00022F29">
      <w:pPr>
        <w:rPr>
          <w:rFonts w:ascii="Calibri" w:eastAsia="Calibri" w:hAnsi="Calibri" w:cs="Times New Roman"/>
        </w:rPr>
      </w:pPr>
    </w:p>
    <w:p w14:paraId="6E0D1B7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Iteration Historyb,c</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07E4750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Iteration</w:t>
      </w:r>
      <w:r w:rsidRPr="00022F29">
        <w:rPr>
          <w:rFonts w:ascii="Calibri" w:eastAsia="Calibri" w:hAnsi="Calibri" w:cs="Times New Roman"/>
        </w:rPr>
        <w:tab/>
        <w:t>Log Likelihood</w:t>
      </w:r>
      <w:r w:rsidRPr="00022F29">
        <w:rPr>
          <w:rFonts w:ascii="Calibri" w:eastAsia="Calibri" w:hAnsi="Calibri" w:cs="Times New Roman"/>
        </w:rPr>
        <w:tab/>
        <w:t>Parameter</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626AA00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Constant</w:t>
      </w:r>
      <w:r w:rsidRPr="00022F29">
        <w:rPr>
          <w:rFonts w:ascii="Calibri" w:eastAsia="Calibri" w:hAnsi="Calibri" w:cs="Times New Roman"/>
        </w:rPr>
        <w:tab/>
        <w:t>[A = 0]</w:t>
      </w:r>
      <w:r w:rsidRPr="00022F29">
        <w:rPr>
          <w:rFonts w:ascii="Calibri" w:eastAsia="Calibri" w:hAnsi="Calibri" w:cs="Times New Roman"/>
        </w:rPr>
        <w:tab/>
        <w:t>[FQuartile = 1]</w:t>
      </w:r>
      <w:r w:rsidRPr="00022F29">
        <w:rPr>
          <w:rFonts w:ascii="Calibri" w:eastAsia="Calibri" w:hAnsi="Calibri" w:cs="Times New Roman"/>
        </w:rPr>
        <w:tab/>
        <w:t>[FQuartile = 2]</w:t>
      </w:r>
      <w:r w:rsidRPr="00022F29">
        <w:rPr>
          <w:rFonts w:ascii="Calibri" w:eastAsia="Calibri" w:hAnsi="Calibri" w:cs="Times New Roman"/>
        </w:rPr>
        <w:tab/>
        <w:t>[FQuartile = 3]</w:t>
      </w:r>
      <w:r w:rsidRPr="00022F29">
        <w:rPr>
          <w:rFonts w:ascii="Calibri" w:eastAsia="Calibri" w:hAnsi="Calibri" w:cs="Times New Roman"/>
        </w:rPr>
        <w:tab/>
        <w:t>[GenderX = 0]</w:t>
      </w:r>
      <w:r w:rsidRPr="00022F29">
        <w:rPr>
          <w:rFonts w:ascii="Calibri" w:eastAsia="Calibri" w:hAnsi="Calibri" w:cs="Times New Roman"/>
        </w:rPr>
        <w:tab/>
        <w:t>[AgeBinary = 0]</w:t>
      </w:r>
      <w:r w:rsidRPr="00022F29">
        <w:rPr>
          <w:rFonts w:ascii="Calibri" w:eastAsia="Calibri" w:hAnsi="Calibri" w:cs="Times New Roman"/>
        </w:rPr>
        <w:tab/>
        <w:t>[RevoveryD = 0]</w:t>
      </w:r>
      <w:r w:rsidRPr="00022F29">
        <w:rPr>
          <w:rFonts w:ascii="Calibri" w:eastAsia="Calibri" w:hAnsi="Calibri" w:cs="Times New Roman"/>
        </w:rPr>
        <w:tab/>
        <w:t>[RecoveryA = 0]</w:t>
      </w:r>
    </w:p>
    <w:p w14:paraId="2F8A0A8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0</w:t>
      </w:r>
      <w:r w:rsidRPr="00022F29">
        <w:rPr>
          <w:rFonts w:ascii="Calibri" w:eastAsia="Calibri" w:hAnsi="Calibri" w:cs="Times New Roman"/>
        </w:rPr>
        <w:tab/>
        <w:t>904.103</w:t>
      </w:r>
      <w:r w:rsidRPr="00022F29">
        <w:rPr>
          <w:rFonts w:ascii="Calibri" w:eastAsia="Calibri" w:hAnsi="Calibri" w:cs="Times New Roman"/>
        </w:rPr>
        <w:tab/>
        <w:t>1.5298</w:t>
      </w:r>
      <w:r w:rsidRPr="00022F29">
        <w:rPr>
          <w:rFonts w:ascii="Calibri" w:eastAsia="Calibri" w:hAnsi="Calibri" w:cs="Times New Roman"/>
        </w:rPr>
        <w:tab/>
        <w:t>.0000</w:t>
      </w:r>
      <w:r w:rsidRPr="00022F29">
        <w:rPr>
          <w:rFonts w:ascii="Calibri" w:eastAsia="Calibri" w:hAnsi="Calibri" w:cs="Times New Roman"/>
        </w:rPr>
        <w:tab/>
        <w:t>.0000</w:t>
      </w:r>
      <w:r w:rsidRPr="00022F29">
        <w:rPr>
          <w:rFonts w:ascii="Calibri" w:eastAsia="Calibri" w:hAnsi="Calibri" w:cs="Times New Roman"/>
        </w:rPr>
        <w:tab/>
        <w:t>.0000</w:t>
      </w:r>
      <w:r w:rsidRPr="00022F29">
        <w:rPr>
          <w:rFonts w:ascii="Calibri" w:eastAsia="Calibri" w:hAnsi="Calibri" w:cs="Times New Roman"/>
        </w:rPr>
        <w:tab/>
        <w:t>.0000</w:t>
      </w:r>
      <w:r w:rsidRPr="00022F29">
        <w:rPr>
          <w:rFonts w:ascii="Calibri" w:eastAsia="Calibri" w:hAnsi="Calibri" w:cs="Times New Roman"/>
        </w:rPr>
        <w:tab/>
        <w:t>.0000</w:t>
      </w:r>
      <w:r w:rsidRPr="00022F29">
        <w:rPr>
          <w:rFonts w:ascii="Calibri" w:eastAsia="Calibri" w:hAnsi="Calibri" w:cs="Times New Roman"/>
        </w:rPr>
        <w:tab/>
        <w:t>.0000</w:t>
      </w:r>
      <w:r w:rsidRPr="00022F29">
        <w:rPr>
          <w:rFonts w:ascii="Calibri" w:eastAsia="Calibri" w:hAnsi="Calibri" w:cs="Times New Roman"/>
        </w:rPr>
        <w:tab/>
        <w:t>.0000</w:t>
      </w:r>
      <w:r w:rsidRPr="00022F29">
        <w:rPr>
          <w:rFonts w:ascii="Calibri" w:eastAsia="Calibri" w:hAnsi="Calibri" w:cs="Times New Roman"/>
        </w:rPr>
        <w:tab/>
        <w:t>.0000</w:t>
      </w:r>
    </w:p>
    <w:p w14:paraId="5DC1C82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1</w:t>
      </w:r>
      <w:r w:rsidRPr="00022F29">
        <w:rPr>
          <w:rFonts w:ascii="Calibri" w:eastAsia="Calibri" w:hAnsi="Calibri" w:cs="Times New Roman"/>
        </w:rPr>
        <w:tab/>
        <w:t>983.637</w:t>
      </w:r>
      <w:r w:rsidRPr="00022F29">
        <w:rPr>
          <w:rFonts w:ascii="Calibri" w:eastAsia="Calibri" w:hAnsi="Calibri" w:cs="Times New Roman"/>
        </w:rPr>
        <w:tab/>
        <w:t>2.1547</w:t>
      </w:r>
      <w:r w:rsidRPr="00022F29">
        <w:rPr>
          <w:rFonts w:ascii="Calibri" w:eastAsia="Calibri" w:hAnsi="Calibri" w:cs="Times New Roman"/>
        </w:rPr>
        <w:tab/>
        <w:t>-.0372</w:t>
      </w:r>
      <w:r w:rsidRPr="00022F29">
        <w:rPr>
          <w:rFonts w:ascii="Calibri" w:eastAsia="Calibri" w:hAnsi="Calibri" w:cs="Times New Roman"/>
        </w:rPr>
        <w:tab/>
        <w:t>-.1692</w:t>
      </w:r>
      <w:r w:rsidRPr="00022F29">
        <w:rPr>
          <w:rFonts w:ascii="Calibri" w:eastAsia="Calibri" w:hAnsi="Calibri" w:cs="Times New Roman"/>
        </w:rPr>
        <w:tab/>
        <w:t>-.1286</w:t>
      </w:r>
      <w:r w:rsidRPr="00022F29">
        <w:rPr>
          <w:rFonts w:ascii="Calibri" w:eastAsia="Calibri" w:hAnsi="Calibri" w:cs="Times New Roman"/>
        </w:rPr>
        <w:tab/>
        <w:t>-.1692</w:t>
      </w:r>
      <w:r w:rsidRPr="00022F29">
        <w:rPr>
          <w:rFonts w:ascii="Calibri" w:eastAsia="Calibri" w:hAnsi="Calibri" w:cs="Times New Roman"/>
        </w:rPr>
        <w:tab/>
        <w:t>-.9577</w:t>
      </w:r>
      <w:r w:rsidRPr="00022F29">
        <w:rPr>
          <w:rFonts w:ascii="Calibri" w:eastAsia="Calibri" w:hAnsi="Calibri" w:cs="Times New Roman"/>
        </w:rPr>
        <w:tab/>
        <w:t>.1387</w:t>
      </w:r>
      <w:r w:rsidRPr="00022F29">
        <w:rPr>
          <w:rFonts w:ascii="Calibri" w:eastAsia="Calibri" w:hAnsi="Calibri" w:cs="Times New Roman"/>
        </w:rPr>
        <w:tab/>
        <w:t>-.1794</w:t>
      </w:r>
      <w:r w:rsidRPr="00022F29">
        <w:rPr>
          <w:rFonts w:ascii="Calibri" w:eastAsia="Calibri" w:hAnsi="Calibri" w:cs="Times New Roman"/>
        </w:rPr>
        <w:tab/>
        <w:t>-.2335</w:t>
      </w:r>
    </w:p>
    <w:p w14:paraId="6E28A9C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2</w:t>
      </w:r>
      <w:r w:rsidRPr="00022F29">
        <w:rPr>
          <w:rFonts w:ascii="Calibri" w:eastAsia="Calibri" w:hAnsi="Calibri" w:cs="Times New Roman"/>
        </w:rPr>
        <w:tab/>
        <w:t>984.058</w:t>
      </w:r>
      <w:r w:rsidRPr="00022F29">
        <w:rPr>
          <w:rFonts w:ascii="Calibri" w:eastAsia="Calibri" w:hAnsi="Calibri" w:cs="Times New Roman"/>
        </w:rPr>
        <w:tab/>
        <w:t>2.1739</w:t>
      </w:r>
      <w:r w:rsidRPr="00022F29">
        <w:rPr>
          <w:rFonts w:ascii="Calibri" w:eastAsia="Calibri" w:hAnsi="Calibri" w:cs="Times New Roman"/>
        </w:rPr>
        <w:tab/>
        <w:t>-.0372</w:t>
      </w:r>
      <w:r w:rsidRPr="00022F29">
        <w:rPr>
          <w:rFonts w:ascii="Calibri" w:eastAsia="Calibri" w:hAnsi="Calibri" w:cs="Times New Roman"/>
        </w:rPr>
        <w:tab/>
        <w:t>-.1643</w:t>
      </w:r>
      <w:r w:rsidRPr="00022F29">
        <w:rPr>
          <w:rFonts w:ascii="Calibri" w:eastAsia="Calibri" w:hAnsi="Calibri" w:cs="Times New Roman"/>
        </w:rPr>
        <w:tab/>
        <w:t>-.1223</w:t>
      </w:r>
      <w:r w:rsidRPr="00022F29">
        <w:rPr>
          <w:rFonts w:ascii="Calibri" w:eastAsia="Calibri" w:hAnsi="Calibri" w:cs="Times New Roman"/>
        </w:rPr>
        <w:tab/>
        <w:t>-.1643</w:t>
      </w:r>
      <w:r w:rsidRPr="00022F29">
        <w:rPr>
          <w:rFonts w:ascii="Calibri" w:eastAsia="Calibri" w:hAnsi="Calibri" w:cs="Times New Roman"/>
        </w:rPr>
        <w:tab/>
        <w:t>-1.0413</w:t>
      </w:r>
      <w:r w:rsidRPr="00022F29">
        <w:rPr>
          <w:rFonts w:ascii="Calibri" w:eastAsia="Calibri" w:hAnsi="Calibri" w:cs="Times New Roman"/>
        </w:rPr>
        <w:tab/>
        <w:t>.1390</w:t>
      </w:r>
      <w:r w:rsidRPr="00022F29">
        <w:rPr>
          <w:rFonts w:ascii="Calibri" w:eastAsia="Calibri" w:hAnsi="Calibri" w:cs="Times New Roman"/>
        </w:rPr>
        <w:tab/>
        <w:t>-.1798</w:t>
      </w:r>
      <w:r w:rsidRPr="00022F29">
        <w:rPr>
          <w:rFonts w:ascii="Calibri" w:eastAsia="Calibri" w:hAnsi="Calibri" w:cs="Times New Roman"/>
        </w:rPr>
        <w:tab/>
        <w:t>-.2346</w:t>
      </w:r>
    </w:p>
    <w:p w14:paraId="290726A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3</w:t>
      </w:r>
      <w:r w:rsidRPr="00022F29">
        <w:rPr>
          <w:rFonts w:ascii="Calibri" w:eastAsia="Calibri" w:hAnsi="Calibri" w:cs="Times New Roman"/>
        </w:rPr>
        <w:tab/>
        <w:t>984.058</w:t>
      </w:r>
      <w:r w:rsidRPr="00022F29">
        <w:rPr>
          <w:rFonts w:ascii="Calibri" w:eastAsia="Calibri" w:hAnsi="Calibri" w:cs="Times New Roman"/>
        </w:rPr>
        <w:tab/>
        <w:t>2.1743</w:t>
      </w:r>
      <w:r w:rsidRPr="00022F29">
        <w:rPr>
          <w:rFonts w:ascii="Calibri" w:eastAsia="Calibri" w:hAnsi="Calibri" w:cs="Times New Roman"/>
        </w:rPr>
        <w:tab/>
        <w:t>-.0372</w:t>
      </w:r>
      <w:r w:rsidRPr="00022F29">
        <w:rPr>
          <w:rFonts w:ascii="Calibri" w:eastAsia="Calibri" w:hAnsi="Calibri" w:cs="Times New Roman"/>
        </w:rPr>
        <w:tab/>
        <w:t>-.1643</w:t>
      </w:r>
      <w:r w:rsidRPr="00022F29">
        <w:rPr>
          <w:rFonts w:ascii="Calibri" w:eastAsia="Calibri" w:hAnsi="Calibri" w:cs="Times New Roman"/>
        </w:rPr>
        <w:tab/>
        <w:t>-.1223</w:t>
      </w:r>
      <w:r w:rsidRPr="00022F29">
        <w:rPr>
          <w:rFonts w:ascii="Calibri" w:eastAsia="Calibri" w:hAnsi="Calibri" w:cs="Times New Roman"/>
        </w:rPr>
        <w:tab/>
        <w:t>-.1643</w:t>
      </w:r>
      <w:r w:rsidRPr="00022F29">
        <w:rPr>
          <w:rFonts w:ascii="Calibri" w:eastAsia="Calibri" w:hAnsi="Calibri" w:cs="Times New Roman"/>
        </w:rPr>
        <w:tab/>
        <w:t>-1.0430</w:t>
      </w:r>
      <w:r w:rsidRPr="00022F29">
        <w:rPr>
          <w:rFonts w:ascii="Calibri" w:eastAsia="Calibri" w:hAnsi="Calibri" w:cs="Times New Roman"/>
        </w:rPr>
        <w:tab/>
        <w:t>.1390</w:t>
      </w:r>
      <w:r w:rsidRPr="00022F29">
        <w:rPr>
          <w:rFonts w:ascii="Calibri" w:eastAsia="Calibri" w:hAnsi="Calibri" w:cs="Times New Roman"/>
        </w:rPr>
        <w:tab/>
        <w:t>-.1798</w:t>
      </w:r>
      <w:r w:rsidRPr="00022F29">
        <w:rPr>
          <w:rFonts w:ascii="Calibri" w:eastAsia="Calibri" w:hAnsi="Calibri" w:cs="Times New Roman"/>
        </w:rPr>
        <w:tab/>
        <w:t>-.2346</w:t>
      </w:r>
    </w:p>
    <w:p w14:paraId="1263381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4</w:t>
      </w:r>
      <w:r w:rsidRPr="00022F29">
        <w:rPr>
          <w:rFonts w:ascii="Calibri" w:eastAsia="Calibri" w:hAnsi="Calibri" w:cs="Times New Roman"/>
        </w:rPr>
        <w:tab/>
        <w:t>984.058a</w:t>
      </w:r>
      <w:r w:rsidRPr="00022F29">
        <w:rPr>
          <w:rFonts w:ascii="Calibri" w:eastAsia="Calibri" w:hAnsi="Calibri" w:cs="Times New Roman"/>
        </w:rPr>
        <w:tab/>
        <w:t>2.1743</w:t>
      </w:r>
      <w:r w:rsidRPr="00022F29">
        <w:rPr>
          <w:rFonts w:ascii="Calibri" w:eastAsia="Calibri" w:hAnsi="Calibri" w:cs="Times New Roman"/>
        </w:rPr>
        <w:tab/>
        <w:t>-.0372</w:t>
      </w:r>
      <w:r w:rsidRPr="00022F29">
        <w:rPr>
          <w:rFonts w:ascii="Calibri" w:eastAsia="Calibri" w:hAnsi="Calibri" w:cs="Times New Roman"/>
        </w:rPr>
        <w:tab/>
        <w:t>-.1643</w:t>
      </w:r>
      <w:r w:rsidRPr="00022F29">
        <w:rPr>
          <w:rFonts w:ascii="Calibri" w:eastAsia="Calibri" w:hAnsi="Calibri" w:cs="Times New Roman"/>
        </w:rPr>
        <w:tab/>
        <w:t>-.1223</w:t>
      </w:r>
      <w:r w:rsidRPr="00022F29">
        <w:rPr>
          <w:rFonts w:ascii="Calibri" w:eastAsia="Calibri" w:hAnsi="Calibri" w:cs="Times New Roman"/>
        </w:rPr>
        <w:tab/>
        <w:t>-.1643</w:t>
      </w:r>
      <w:r w:rsidRPr="00022F29">
        <w:rPr>
          <w:rFonts w:ascii="Calibri" w:eastAsia="Calibri" w:hAnsi="Calibri" w:cs="Times New Roman"/>
        </w:rPr>
        <w:tab/>
        <w:t>-1.0430</w:t>
      </w:r>
      <w:r w:rsidRPr="00022F29">
        <w:rPr>
          <w:rFonts w:ascii="Calibri" w:eastAsia="Calibri" w:hAnsi="Calibri" w:cs="Times New Roman"/>
        </w:rPr>
        <w:tab/>
        <w:t>.1390</w:t>
      </w:r>
      <w:r w:rsidRPr="00022F29">
        <w:rPr>
          <w:rFonts w:ascii="Calibri" w:eastAsia="Calibri" w:hAnsi="Calibri" w:cs="Times New Roman"/>
        </w:rPr>
        <w:tab/>
        <w:t>-.1798</w:t>
      </w:r>
      <w:r w:rsidRPr="00022F29">
        <w:rPr>
          <w:rFonts w:ascii="Calibri" w:eastAsia="Calibri" w:hAnsi="Calibri" w:cs="Times New Roman"/>
        </w:rPr>
        <w:tab/>
        <w:t>-.2346</w:t>
      </w:r>
    </w:p>
    <w:p w14:paraId="036B157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Redundant parameters are not displayed. Their values are always zero in all iterations.</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3E22FA3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 The iteration converged because the maximum absolute changes of parameter estimates is less than the specified convergence criterion.</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5EE5686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b Model: Multinomial</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21E3AE4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 Design: Constant + A + FQuartile + GenderX + AgeBinary + RevoveryD + RecoveryA</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36A2D395" w14:textId="77777777" w:rsidR="00022F29" w:rsidRPr="00022F29" w:rsidRDefault="00022F29" w:rsidP="00022F29">
      <w:pPr>
        <w:rPr>
          <w:rFonts w:ascii="Calibri" w:eastAsia="Calibri" w:hAnsi="Calibri" w:cs="Times New Roman"/>
        </w:rPr>
      </w:pPr>
    </w:p>
    <w:p w14:paraId="1F9BCE87" w14:textId="77777777" w:rsidR="00022F29" w:rsidRPr="00022F29" w:rsidRDefault="00022F29" w:rsidP="00022F29">
      <w:pPr>
        <w:rPr>
          <w:rFonts w:ascii="Calibri" w:eastAsia="Calibri" w:hAnsi="Calibri" w:cs="Times New Roman"/>
        </w:rPr>
      </w:pPr>
    </w:p>
    <w:p w14:paraId="374ECAE3" w14:textId="77777777" w:rsidR="00022F29" w:rsidRPr="00022F29" w:rsidRDefault="00022F29" w:rsidP="00022F29">
      <w:pPr>
        <w:rPr>
          <w:rFonts w:ascii="Calibri" w:eastAsia="Calibri" w:hAnsi="Calibri" w:cs="Times New Roman"/>
        </w:rPr>
      </w:pPr>
    </w:p>
    <w:p w14:paraId="64CA48F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Goodness-of-Fit Testsa,b</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3F5F330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Value</w:t>
      </w:r>
      <w:r w:rsidRPr="00022F29">
        <w:rPr>
          <w:rFonts w:ascii="Calibri" w:eastAsia="Calibri" w:hAnsi="Calibri" w:cs="Times New Roman"/>
        </w:rPr>
        <w:tab/>
        <w:t>df</w:t>
      </w:r>
      <w:r w:rsidRPr="00022F29">
        <w:rPr>
          <w:rFonts w:ascii="Calibri" w:eastAsia="Calibri" w:hAnsi="Calibri" w:cs="Times New Roman"/>
        </w:rPr>
        <w:tab/>
        <w:t>Sig.</w:t>
      </w:r>
    </w:p>
    <w:p w14:paraId="42349B6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Likelihood Ratio</w:t>
      </w:r>
      <w:r w:rsidRPr="00022F29">
        <w:rPr>
          <w:rFonts w:ascii="Calibri" w:eastAsia="Calibri" w:hAnsi="Calibri" w:cs="Times New Roman"/>
        </w:rPr>
        <w:tab/>
        <w:t>465.134</w:t>
      </w:r>
      <w:r w:rsidRPr="00022F29">
        <w:rPr>
          <w:rFonts w:ascii="Calibri" w:eastAsia="Calibri" w:hAnsi="Calibri" w:cs="Times New Roman"/>
        </w:rPr>
        <w:tab/>
        <w:t>119</w:t>
      </w:r>
      <w:r w:rsidRPr="00022F29">
        <w:rPr>
          <w:rFonts w:ascii="Calibri" w:eastAsia="Calibri" w:hAnsi="Calibri" w:cs="Times New Roman"/>
        </w:rPr>
        <w:tab/>
        <w:t>.000</w:t>
      </w:r>
    </w:p>
    <w:p w14:paraId="773BC4A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Pearson Chi-Square</w:t>
      </w:r>
      <w:r w:rsidRPr="00022F29">
        <w:rPr>
          <w:rFonts w:ascii="Calibri" w:eastAsia="Calibri" w:hAnsi="Calibri" w:cs="Times New Roman"/>
        </w:rPr>
        <w:tab/>
        <w:t>485.295</w:t>
      </w:r>
      <w:r w:rsidRPr="00022F29">
        <w:rPr>
          <w:rFonts w:ascii="Calibri" w:eastAsia="Calibri" w:hAnsi="Calibri" w:cs="Times New Roman"/>
        </w:rPr>
        <w:tab/>
        <w:t>119</w:t>
      </w:r>
      <w:r w:rsidRPr="00022F29">
        <w:rPr>
          <w:rFonts w:ascii="Calibri" w:eastAsia="Calibri" w:hAnsi="Calibri" w:cs="Times New Roman"/>
        </w:rPr>
        <w:tab/>
        <w:t>.000</w:t>
      </w:r>
    </w:p>
    <w:p w14:paraId="4AF3C72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 Model: Multinomial</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052D167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b Design: Constant + A + FQuartile + GenderX + AgeBinary + RevoveryD + RecoveryA</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2DC2A1A7" w14:textId="77777777" w:rsidR="00022F29" w:rsidRPr="00022F29" w:rsidRDefault="00022F29" w:rsidP="00022F29">
      <w:pPr>
        <w:rPr>
          <w:rFonts w:ascii="Calibri" w:eastAsia="Calibri" w:hAnsi="Calibri" w:cs="Times New Roman"/>
        </w:rPr>
      </w:pPr>
    </w:p>
    <w:p w14:paraId="1EC04AC7" w14:textId="77777777" w:rsidR="00022F29" w:rsidRPr="00022F29" w:rsidRDefault="00022F29" w:rsidP="00022F29">
      <w:pPr>
        <w:rPr>
          <w:rFonts w:ascii="Calibri" w:eastAsia="Calibri" w:hAnsi="Calibri" w:cs="Times New Roman"/>
        </w:rPr>
      </w:pPr>
    </w:p>
    <w:p w14:paraId="5201763B" w14:textId="77777777" w:rsidR="00022F29" w:rsidRPr="00022F29" w:rsidRDefault="00022F29" w:rsidP="00022F29">
      <w:pPr>
        <w:rPr>
          <w:rFonts w:ascii="Calibri" w:eastAsia="Calibri" w:hAnsi="Calibri" w:cs="Times New Roman"/>
        </w:rPr>
      </w:pPr>
    </w:p>
    <w:p w14:paraId="1D21894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Design Matrixa,b</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2A9C4C7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Parameter</w:t>
      </w:r>
      <w:r w:rsidRPr="00022F29">
        <w:rPr>
          <w:rFonts w:ascii="Calibri" w:eastAsia="Calibri" w:hAnsi="Calibri" w:cs="Times New Roman"/>
        </w:rPr>
        <w:tab/>
        <w:t>A</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492DA19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lastRenderedPageBreak/>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769CA7B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FQuartile</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FQuartile</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72DC235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2</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3</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4</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2</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3</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4</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0244186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GenderX</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GenderX</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GenderX</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GenderX</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GenderX</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GenderX</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GenderX</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GenderX</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0967B9A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lastRenderedPageBreak/>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6B4AC81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AgeBinary</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AgeBinary</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AgeBinary</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AgeBinary</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AgeBinary</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AgeBinary</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AgeBinary</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AgeBinary</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AgeBinary</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AgeBinary</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AgeBinary</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AgeBinary</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AgeBinary</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AgeBinary</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AgeBinary</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AgeBinary</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2EE9F0B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5FC437D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RevoveryD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059EA55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lastRenderedPageBreak/>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r w:rsidRPr="00022F29">
        <w:rPr>
          <w:rFonts w:ascii="Calibri" w:eastAsia="Calibri" w:hAnsi="Calibri" w:cs="Times New Roman"/>
        </w:rPr>
        <w:tab/>
        <w:t>0</w:t>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r>
    </w:p>
    <w:p w14:paraId="3239047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r w:rsidRPr="00022F29">
        <w:rPr>
          <w:rFonts w:ascii="Calibri" w:eastAsia="Calibri" w:hAnsi="Calibri" w:cs="Times New Roman"/>
        </w:rPr>
        <w:tab/>
        <w:t>RecoveryA</w:t>
      </w:r>
      <w:r w:rsidRPr="00022F29">
        <w:rPr>
          <w:rFonts w:ascii="Calibri" w:eastAsia="Calibri" w:hAnsi="Calibri" w:cs="Times New Roman"/>
        </w:rPr>
        <w:tab/>
      </w:r>
    </w:p>
    <w:p w14:paraId="506C521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p>
    <w:p w14:paraId="669643E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Cell Structure</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p>
    <w:p w14:paraId="2DB7BEF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Constant</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lastRenderedPageBreak/>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p>
    <w:p w14:paraId="7D25356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 = 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p>
    <w:p w14:paraId="177FD64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 = 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p>
    <w:p w14:paraId="1E4BBAC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 = 2]</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p>
    <w:p w14:paraId="5A4865F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[FQuartile = 3]</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lastRenderedPageBreak/>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p>
    <w:p w14:paraId="267C852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[GenderX = 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p>
    <w:p w14:paraId="120C190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[AgeBinary = 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p>
    <w:p w14:paraId="7528294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[RevoveryD = 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p>
    <w:p w14:paraId="20C49AE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[RecoveryA = 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w:t>
      </w:r>
    </w:p>
    <w:p w14:paraId="3177718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The default display of the design matrix is transposed. Redundant parameters are not displayed</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4E4BFBB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 Model: Multinomial</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5403D4D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b Design: Constant + A + FQuartile + GenderX + AgeBinary + RevoveryD + RecoveryA</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3208717A" w14:textId="77777777" w:rsidR="00022F29" w:rsidRPr="00022F29" w:rsidRDefault="00022F29" w:rsidP="00022F29">
      <w:pPr>
        <w:rPr>
          <w:rFonts w:ascii="Calibri" w:eastAsia="Calibri" w:hAnsi="Calibri" w:cs="Times New Roman"/>
        </w:rPr>
      </w:pPr>
    </w:p>
    <w:p w14:paraId="08F63276" w14:textId="77777777" w:rsidR="00022F29" w:rsidRPr="00022F29" w:rsidRDefault="00022F29" w:rsidP="00022F29">
      <w:pPr>
        <w:rPr>
          <w:rFonts w:ascii="Calibri" w:eastAsia="Calibri" w:hAnsi="Calibri" w:cs="Times New Roman"/>
        </w:rPr>
      </w:pPr>
    </w:p>
    <w:p w14:paraId="67FA83E0" w14:textId="77777777" w:rsidR="00022F29" w:rsidRPr="00022F29" w:rsidRDefault="00022F29" w:rsidP="00022F29">
      <w:pPr>
        <w:rPr>
          <w:rFonts w:ascii="Calibri" w:eastAsia="Calibri" w:hAnsi="Calibri" w:cs="Times New Roman"/>
        </w:rPr>
      </w:pPr>
    </w:p>
    <w:p w14:paraId="10A20C4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Cell Counts and Residualsa,b</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33BCF85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w:t>
      </w:r>
      <w:r w:rsidRPr="00022F29">
        <w:rPr>
          <w:rFonts w:ascii="Calibri" w:eastAsia="Calibri" w:hAnsi="Calibri" w:cs="Times New Roman"/>
        </w:rPr>
        <w:tab/>
        <w:t>FQuartile</w:t>
      </w:r>
      <w:r w:rsidRPr="00022F29">
        <w:rPr>
          <w:rFonts w:ascii="Calibri" w:eastAsia="Calibri" w:hAnsi="Calibri" w:cs="Times New Roman"/>
        </w:rPr>
        <w:tab/>
        <w:t>GenderX</w:t>
      </w:r>
      <w:r w:rsidRPr="00022F29">
        <w:rPr>
          <w:rFonts w:ascii="Calibri" w:eastAsia="Calibri" w:hAnsi="Calibri" w:cs="Times New Roman"/>
        </w:rPr>
        <w:tab/>
        <w:t>AgeBinary</w:t>
      </w:r>
      <w:r w:rsidRPr="00022F29">
        <w:rPr>
          <w:rFonts w:ascii="Calibri" w:eastAsia="Calibri" w:hAnsi="Calibri" w:cs="Times New Roman"/>
        </w:rPr>
        <w:tab/>
        <w:t>RevoveryD</w:t>
      </w:r>
      <w:r w:rsidRPr="00022F29">
        <w:rPr>
          <w:rFonts w:ascii="Calibri" w:eastAsia="Calibri" w:hAnsi="Calibri" w:cs="Times New Roman"/>
        </w:rPr>
        <w:tab/>
        <w:t>RecoveryA</w:t>
      </w:r>
      <w:r w:rsidRPr="00022F29">
        <w:rPr>
          <w:rFonts w:ascii="Calibri" w:eastAsia="Calibri" w:hAnsi="Calibri" w:cs="Times New Roman"/>
        </w:rPr>
        <w:tab/>
        <w:t>Observed</w:t>
      </w:r>
      <w:r w:rsidRPr="00022F29">
        <w:rPr>
          <w:rFonts w:ascii="Calibri" w:eastAsia="Calibri" w:hAnsi="Calibri" w:cs="Times New Roman"/>
        </w:rPr>
        <w:tab/>
      </w:r>
      <w:r w:rsidRPr="00022F29">
        <w:rPr>
          <w:rFonts w:ascii="Calibri" w:eastAsia="Calibri" w:hAnsi="Calibri" w:cs="Times New Roman"/>
        </w:rPr>
        <w:tab/>
        <w:t>Expected</w:t>
      </w:r>
      <w:r w:rsidRPr="00022F29">
        <w:rPr>
          <w:rFonts w:ascii="Calibri" w:eastAsia="Calibri" w:hAnsi="Calibri" w:cs="Times New Roman"/>
        </w:rPr>
        <w:tab/>
      </w:r>
      <w:r w:rsidRPr="00022F29">
        <w:rPr>
          <w:rFonts w:ascii="Calibri" w:eastAsia="Calibri" w:hAnsi="Calibri" w:cs="Times New Roman"/>
        </w:rPr>
        <w:tab/>
        <w:t>Residual</w:t>
      </w:r>
      <w:r w:rsidRPr="00022F29">
        <w:rPr>
          <w:rFonts w:ascii="Calibri" w:eastAsia="Calibri" w:hAnsi="Calibri" w:cs="Times New Roman"/>
        </w:rPr>
        <w:tab/>
        <w:t>Standardized Residual</w:t>
      </w:r>
      <w:r w:rsidRPr="00022F29">
        <w:rPr>
          <w:rFonts w:ascii="Calibri" w:eastAsia="Calibri" w:hAnsi="Calibri" w:cs="Times New Roman"/>
        </w:rPr>
        <w:tab/>
        <w:t>Adjusted Residual</w:t>
      </w:r>
      <w:r w:rsidRPr="00022F29">
        <w:rPr>
          <w:rFonts w:ascii="Calibri" w:eastAsia="Calibri" w:hAnsi="Calibri" w:cs="Times New Roman"/>
        </w:rPr>
        <w:tab/>
        <w:t>Deviance</w:t>
      </w:r>
    </w:p>
    <w:p w14:paraId="738F526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Count</w:t>
      </w:r>
      <w:r w:rsidRPr="00022F29">
        <w:rPr>
          <w:rFonts w:ascii="Calibri" w:eastAsia="Calibri" w:hAnsi="Calibri" w:cs="Times New Roman"/>
        </w:rPr>
        <w:tab/>
        <w:t>%</w:t>
      </w:r>
      <w:r w:rsidRPr="00022F29">
        <w:rPr>
          <w:rFonts w:ascii="Calibri" w:eastAsia="Calibri" w:hAnsi="Calibri" w:cs="Times New Roman"/>
        </w:rPr>
        <w:tab/>
        <w:t>Count</w:t>
      </w:r>
      <w:r w:rsidRPr="00022F29">
        <w:rPr>
          <w:rFonts w:ascii="Calibri" w:eastAsia="Calibri" w:hAnsi="Calibri" w:cs="Times New Roman"/>
        </w:rPr>
        <w:tab/>
        <w:t>%</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5C5939D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0</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11</w:t>
      </w:r>
      <w:r w:rsidRPr="00022F29">
        <w:rPr>
          <w:rFonts w:ascii="Calibri" w:eastAsia="Calibri" w:hAnsi="Calibri" w:cs="Times New Roman"/>
        </w:rPr>
        <w:tab/>
        <w:t>1.9%</w:t>
      </w:r>
      <w:r w:rsidRPr="00022F29">
        <w:rPr>
          <w:rFonts w:ascii="Calibri" w:eastAsia="Calibri" w:hAnsi="Calibri" w:cs="Times New Roman"/>
        </w:rPr>
        <w:tab/>
        <w:t>1.924</w:t>
      </w:r>
      <w:r w:rsidRPr="00022F29">
        <w:rPr>
          <w:rFonts w:ascii="Calibri" w:eastAsia="Calibri" w:hAnsi="Calibri" w:cs="Times New Roman"/>
        </w:rPr>
        <w:tab/>
        <w:t>0.3%</w:t>
      </w:r>
      <w:r w:rsidRPr="00022F29">
        <w:rPr>
          <w:rFonts w:ascii="Calibri" w:eastAsia="Calibri" w:hAnsi="Calibri" w:cs="Times New Roman"/>
        </w:rPr>
        <w:tab/>
        <w:t>9.076</w:t>
      </w:r>
      <w:r w:rsidRPr="00022F29">
        <w:rPr>
          <w:rFonts w:ascii="Calibri" w:eastAsia="Calibri" w:hAnsi="Calibri" w:cs="Times New Roman"/>
        </w:rPr>
        <w:tab/>
        <w:t>6.554</w:t>
      </w:r>
      <w:r w:rsidRPr="00022F29">
        <w:rPr>
          <w:rFonts w:ascii="Calibri" w:eastAsia="Calibri" w:hAnsi="Calibri" w:cs="Times New Roman"/>
        </w:rPr>
        <w:tab/>
        <w:t>6.669</w:t>
      </w:r>
      <w:r w:rsidRPr="00022F29">
        <w:rPr>
          <w:rFonts w:ascii="Calibri" w:eastAsia="Calibri" w:hAnsi="Calibri" w:cs="Times New Roman"/>
        </w:rPr>
        <w:tab/>
        <w:t>6.193</w:t>
      </w:r>
    </w:p>
    <w:p w14:paraId="660CFA3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2.433</w:t>
      </w:r>
      <w:r w:rsidRPr="00022F29">
        <w:rPr>
          <w:rFonts w:ascii="Calibri" w:eastAsia="Calibri" w:hAnsi="Calibri" w:cs="Times New Roman"/>
        </w:rPr>
        <w:tab/>
        <w:t>0.4%</w:t>
      </w:r>
      <w:r w:rsidRPr="00022F29">
        <w:rPr>
          <w:rFonts w:ascii="Calibri" w:eastAsia="Calibri" w:hAnsi="Calibri" w:cs="Times New Roman"/>
        </w:rPr>
        <w:tab/>
        <w:t>-1.433</w:t>
      </w:r>
      <w:r w:rsidRPr="00022F29">
        <w:rPr>
          <w:rFonts w:ascii="Calibri" w:eastAsia="Calibri" w:hAnsi="Calibri" w:cs="Times New Roman"/>
        </w:rPr>
        <w:tab/>
        <w:t>-.920</w:t>
      </w:r>
      <w:r w:rsidRPr="00022F29">
        <w:rPr>
          <w:rFonts w:ascii="Calibri" w:eastAsia="Calibri" w:hAnsi="Calibri" w:cs="Times New Roman"/>
        </w:rPr>
        <w:tab/>
        <w:t>-.940</w:t>
      </w:r>
      <w:r w:rsidRPr="00022F29">
        <w:rPr>
          <w:rFonts w:ascii="Calibri" w:eastAsia="Calibri" w:hAnsi="Calibri" w:cs="Times New Roman"/>
        </w:rPr>
        <w:tab/>
        <w:t>-1.333</w:t>
      </w:r>
    </w:p>
    <w:p w14:paraId="1AE72B2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3</w:t>
      </w:r>
      <w:r w:rsidRPr="00022F29">
        <w:rPr>
          <w:rFonts w:ascii="Calibri" w:eastAsia="Calibri" w:hAnsi="Calibri" w:cs="Times New Roman"/>
        </w:rPr>
        <w:tab/>
        <w:t>0.5%</w:t>
      </w:r>
      <w:r w:rsidRPr="00022F29">
        <w:rPr>
          <w:rFonts w:ascii="Calibri" w:eastAsia="Calibri" w:hAnsi="Calibri" w:cs="Times New Roman"/>
        </w:rPr>
        <w:tab/>
        <w:t>2.303</w:t>
      </w:r>
      <w:r w:rsidRPr="00022F29">
        <w:rPr>
          <w:rFonts w:ascii="Calibri" w:eastAsia="Calibri" w:hAnsi="Calibri" w:cs="Times New Roman"/>
        </w:rPr>
        <w:tab/>
        <w:t>0.4%</w:t>
      </w:r>
      <w:r w:rsidRPr="00022F29">
        <w:rPr>
          <w:rFonts w:ascii="Calibri" w:eastAsia="Calibri" w:hAnsi="Calibri" w:cs="Times New Roman"/>
        </w:rPr>
        <w:tab/>
        <w:t>.697</w:t>
      </w:r>
      <w:r w:rsidRPr="00022F29">
        <w:rPr>
          <w:rFonts w:ascii="Calibri" w:eastAsia="Calibri" w:hAnsi="Calibri" w:cs="Times New Roman"/>
        </w:rPr>
        <w:tab/>
        <w:t>.460</w:t>
      </w:r>
      <w:r w:rsidRPr="00022F29">
        <w:rPr>
          <w:rFonts w:ascii="Calibri" w:eastAsia="Calibri" w:hAnsi="Calibri" w:cs="Times New Roman"/>
        </w:rPr>
        <w:tab/>
        <w:t>.470</w:t>
      </w:r>
      <w:r w:rsidRPr="00022F29">
        <w:rPr>
          <w:rFonts w:ascii="Calibri" w:eastAsia="Calibri" w:hAnsi="Calibri" w:cs="Times New Roman"/>
        </w:rPr>
        <w:tab/>
        <w:t>1.260</w:t>
      </w:r>
    </w:p>
    <w:p w14:paraId="316E581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10</w:t>
      </w:r>
      <w:r w:rsidRPr="00022F29">
        <w:rPr>
          <w:rFonts w:ascii="Calibri" w:eastAsia="Calibri" w:hAnsi="Calibri" w:cs="Times New Roman"/>
        </w:rPr>
        <w:tab/>
        <w:t>1.7%</w:t>
      </w:r>
      <w:r w:rsidRPr="00022F29">
        <w:rPr>
          <w:rFonts w:ascii="Calibri" w:eastAsia="Calibri" w:hAnsi="Calibri" w:cs="Times New Roman"/>
        </w:rPr>
        <w:tab/>
        <w:t>2.912</w:t>
      </w:r>
      <w:r w:rsidRPr="00022F29">
        <w:rPr>
          <w:rFonts w:ascii="Calibri" w:eastAsia="Calibri" w:hAnsi="Calibri" w:cs="Times New Roman"/>
        </w:rPr>
        <w:tab/>
        <w:t>0.5%</w:t>
      </w:r>
      <w:r w:rsidRPr="00022F29">
        <w:rPr>
          <w:rFonts w:ascii="Calibri" w:eastAsia="Calibri" w:hAnsi="Calibri" w:cs="Times New Roman"/>
        </w:rPr>
        <w:tab/>
        <w:t>7.088</w:t>
      </w:r>
      <w:r w:rsidRPr="00022F29">
        <w:rPr>
          <w:rFonts w:ascii="Calibri" w:eastAsia="Calibri" w:hAnsi="Calibri" w:cs="Times New Roman"/>
        </w:rPr>
        <w:tab/>
        <w:t>4.164</w:t>
      </w:r>
      <w:r w:rsidRPr="00022F29">
        <w:rPr>
          <w:rFonts w:ascii="Calibri" w:eastAsia="Calibri" w:hAnsi="Calibri" w:cs="Times New Roman"/>
        </w:rPr>
        <w:tab/>
        <w:t>4.267</w:t>
      </w:r>
      <w:r w:rsidRPr="00022F29">
        <w:rPr>
          <w:rFonts w:ascii="Calibri" w:eastAsia="Calibri" w:hAnsi="Calibri" w:cs="Times New Roman"/>
        </w:rPr>
        <w:tab/>
        <w:t>4.968</w:t>
      </w:r>
    </w:p>
    <w:p w14:paraId="7136790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10</w:t>
      </w:r>
      <w:r w:rsidRPr="00022F29">
        <w:rPr>
          <w:rFonts w:ascii="Calibri" w:eastAsia="Calibri" w:hAnsi="Calibri" w:cs="Times New Roman"/>
        </w:rPr>
        <w:tab/>
        <w:t>1.7%</w:t>
      </w:r>
      <w:r w:rsidRPr="00022F29">
        <w:rPr>
          <w:rFonts w:ascii="Calibri" w:eastAsia="Calibri" w:hAnsi="Calibri" w:cs="Times New Roman"/>
        </w:rPr>
        <w:tab/>
        <w:t>1.674</w:t>
      </w:r>
      <w:r w:rsidRPr="00022F29">
        <w:rPr>
          <w:rFonts w:ascii="Calibri" w:eastAsia="Calibri" w:hAnsi="Calibri" w:cs="Times New Roman"/>
        </w:rPr>
        <w:tab/>
        <w:t>0.3%</w:t>
      </w:r>
      <w:r w:rsidRPr="00022F29">
        <w:rPr>
          <w:rFonts w:ascii="Calibri" w:eastAsia="Calibri" w:hAnsi="Calibri" w:cs="Times New Roman"/>
        </w:rPr>
        <w:tab/>
        <w:t>8.326</w:t>
      </w:r>
      <w:r w:rsidRPr="00022F29">
        <w:rPr>
          <w:rFonts w:ascii="Calibri" w:eastAsia="Calibri" w:hAnsi="Calibri" w:cs="Times New Roman"/>
        </w:rPr>
        <w:tab/>
        <w:t>6.443</w:t>
      </w:r>
      <w:r w:rsidRPr="00022F29">
        <w:rPr>
          <w:rFonts w:ascii="Calibri" w:eastAsia="Calibri" w:hAnsi="Calibri" w:cs="Times New Roman"/>
        </w:rPr>
        <w:tab/>
        <w:t>6.544</w:t>
      </w:r>
      <w:r w:rsidRPr="00022F29">
        <w:rPr>
          <w:rFonts w:ascii="Calibri" w:eastAsia="Calibri" w:hAnsi="Calibri" w:cs="Times New Roman"/>
        </w:rPr>
        <w:tab/>
        <w:t>5.979</w:t>
      </w:r>
    </w:p>
    <w:p w14:paraId="51CD88A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4</w:t>
      </w:r>
      <w:r w:rsidRPr="00022F29">
        <w:rPr>
          <w:rFonts w:ascii="Calibri" w:eastAsia="Calibri" w:hAnsi="Calibri" w:cs="Times New Roman"/>
        </w:rPr>
        <w:tab/>
        <w:t>0.7%</w:t>
      </w:r>
      <w:r w:rsidRPr="00022F29">
        <w:rPr>
          <w:rFonts w:ascii="Calibri" w:eastAsia="Calibri" w:hAnsi="Calibri" w:cs="Times New Roman"/>
        </w:rPr>
        <w:tab/>
        <w:t>2.117</w:t>
      </w:r>
      <w:r w:rsidRPr="00022F29">
        <w:rPr>
          <w:rFonts w:ascii="Calibri" w:eastAsia="Calibri" w:hAnsi="Calibri" w:cs="Times New Roman"/>
        </w:rPr>
        <w:tab/>
        <w:t>0.4%</w:t>
      </w:r>
      <w:r w:rsidRPr="00022F29">
        <w:rPr>
          <w:rFonts w:ascii="Calibri" w:eastAsia="Calibri" w:hAnsi="Calibri" w:cs="Times New Roman"/>
        </w:rPr>
        <w:tab/>
        <w:t>1.883</w:t>
      </w:r>
      <w:r w:rsidRPr="00022F29">
        <w:rPr>
          <w:rFonts w:ascii="Calibri" w:eastAsia="Calibri" w:hAnsi="Calibri" w:cs="Times New Roman"/>
        </w:rPr>
        <w:tab/>
        <w:t>1.297</w:t>
      </w:r>
      <w:r w:rsidRPr="00022F29">
        <w:rPr>
          <w:rFonts w:ascii="Calibri" w:eastAsia="Calibri" w:hAnsi="Calibri" w:cs="Times New Roman"/>
        </w:rPr>
        <w:tab/>
        <w:t>1.321</w:t>
      </w:r>
      <w:r w:rsidRPr="00022F29">
        <w:rPr>
          <w:rFonts w:ascii="Calibri" w:eastAsia="Calibri" w:hAnsi="Calibri" w:cs="Times New Roman"/>
        </w:rPr>
        <w:tab/>
        <w:t>2.256</w:t>
      </w:r>
    </w:p>
    <w:p w14:paraId="55009F2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3</w:t>
      </w:r>
      <w:r w:rsidRPr="00022F29">
        <w:rPr>
          <w:rFonts w:ascii="Calibri" w:eastAsia="Calibri" w:hAnsi="Calibri" w:cs="Times New Roman"/>
        </w:rPr>
        <w:tab/>
        <w:t>0.5%</w:t>
      </w:r>
      <w:r w:rsidRPr="00022F29">
        <w:rPr>
          <w:rFonts w:ascii="Calibri" w:eastAsia="Calibri" w:hAnsi="Calibri" w:cs="Times New Roman"/>
        </w:rPr>
        <w:tab/>
        <w:t>2.004</w:t>
      </w:r>
      <w:r w:rsidRPr="00022F29">
        <w:rPr>
          <w:rFonts w:ascii="Calibri" w:eastAsia="Calibri" w:hAnsi="Calibri" w:cs="Times New Roman"/>
        </w:rPr>
        <w:tab/>
        <w:t>0.3%</w:t>
      </w:r>
      <w:r w:rsidRPr="00022F29">
        <w:rPr>
          <w:rFonts w:ascii="Calibri" w:eastAsia="Calibri" w:hAnsi="Calibri" w:cs="Times New Roman"/>
        </w:rPr>
        <w:tab/>
        <w:t>.996</w:t>
      </w:r>
      <w:r w:rsidRPr="00022F29">
        <w:rPr>
          <w:rFonts w:ascii="Calibri" w:eastAsia="Calibri" w:hAnsi="Calibri" w:cs="Times New Roman"/>
        </w:rPr>
        <w:tab/>
        <w:t>.705</w:t>
      </w:r>
      <w:r w:rsidRPr="00022F29">
        <w:rPr>
          <w:rFonts w:ascii="Calibri" w:eastAsia="Calibri" w:hAnsi="Calibri" w:cs="Times New Roman"/>
        </w:rPr>
        <w:tab/>
        <w:t>.717</w:t>
      </w:r>
      <w:r w:rsidRPr="00022F29">
        <w:rPr>
          <w:rFonts w:ascii="Calibri" w:eastAsia="Calibri" w:hAnsi="Calibri" w:cs="Times New Roman"/>
        </w:rPr>
        <w:tab/>
        <w:t>1.556</w:t>
      </w:r>
    </w:p>
    <w:p w14:paraId="13E55F6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4</w:t>
      </w:r>
      <w:r w:rsidRPr="00022F29">
        <w:rPr>
          <w:rFonts w:ascii="Calibri" w:eastAsia="Calibri" w:hAnsi="Calibri" w:cs="Times New Roman"/>
        </w:rPr>
        <w:tab/>
        <w:t>0.7%</w:t>
      </w:r>
      <w:r w:rsidRPr="00022F29">
        <w:rPr>
          <w:rFonts w:ascii="Calibri" w:eastAsia="Calibri" w:hAnsi="Calibri" w:cs="Times New Roman"/>
        </w:rPr>
        <w:tab/>
        <w:t>2.534</w:t>
      </w:r>
      <w:r w:rsidRPr="00022F29">
        <w:rPr>
          <w:rFonts w:ascii="Calibri" w:eastAsia="Calibri" w:hAnsi="Calibri" w:cs="Times New Roman"/>
        </w:rPr>
        <w:tab/>
        <w:t>0.4%</w:t>
      </w:r>
      <w:r w:rsidRPr="00022F29">
        <w:rPr>
          <w:rFonts w:ascii="Calibri" w:eastAsia="Calibri" w:hAnsi="Calibri" w:cs="Times New Roman"/>
        </w:rPr>
        <w:tab/>
        <w:t>1.466</w:t>
      </w:r>
      <w:r w:rsidRPr="00022F29">
        <w:rPr>
          <w:rFonts w:ascii="Calibri" w:eastAsia="Calibri" w:hAnsi="Calibri" w:cs="Times New Roman"/>
        </w:rPr>
        <w:tab/>
        <w:t>.923</w:t>
      </w:r>
      <w:r w:rsidRPr="00022F29">
        <w:rPr>
          <w:rFonts w:ascii="Calibri" w:eastAsia="Calibri" w:hAnsi="Calibri" w:cs="Times New Roman"/>
        </w:rPr>
        <w:tab/>
        <w:t>.943</w:t>
      </w:r>
      <w:r w:rsidRPr="00022F29">
        <w:rPr>
          <w:rFonts w:ascii="Calibri" w:eastAsia="Calibri" w:hAnsi="Calibri" w:cs="Times New Roman"/>
        </w:rPr>
        <w:tab/>
        <w:t>1.911</w:t>
      </w:r>
    </w:p>
    <w:p w14:paraId="61899E8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21</w:t>
      </w:r>
      <w:r w:rsidRPr="00022F29">
        <w:rPr>
          <w:rFonts w:ascii="Calibri" w:eastAsia="Calibri" w:hAnsi="Calibri" w:cs="Times New Roman"/>
        </w:rPr>
        <w:tab/>
        <w:t>3.6%</w:t>
      </w:r>
      <w:r w:rsidRPr="00022F29">
        <w:rPr>
          <w:rFonts w:ascii="Calibri" w:eastAsia="Calibri" w:hAnsi="Calibri" w:cs="Times New Roman"/>
        </w:rPr>
        <w:tab/>
        <w:t>5.459</w:t>
      </w:r>
      <w:r w:rsidRPr="00022F29">
        <w:rPr>
          <w:rFonts w:ascii="Calibri" w:eastAsia="Calibri" w:hAnsi="Calibri" w:cs="Times New Roman"/>
        </w:rPr>
        <w:tab/>
        <w:t>0.9%</w:t>
      </w:r>
      <w:r w:rsidRPr="00022F29">
        <w:rPr>
          <w:rFonts w:ascii="Calibri" w:eastAsia="Calibri" w:hAnsi="Calibri" w:cs="Times New Roman"/>
        </w:rPr>
        <w:tab/>
        <w:t>15.541</w:t>
      </w:r>
      <w:r w:rsidRPr="00022F29">
        <w:rPr>
          <w:rFonts w:ascii="Calibri" w:eastAsia="Calibri" w:hAnsi="Calibri" w:cs="Times New Roman"/>
        </w:rPr>
        <w:tab/>
        <w:t>6.682</w:t>
      </w:r>
      <w:r w:rsidRPr="00022F29">
        <w:rPr>
          <w:rFonts w:ascii="Calibri" w:eastAsia="Calibri" w:hAnsi="Calibri" w:cs="Times New Roman"/>
        </w:rPr>
        <w:tab/>
        <w:t>6.944</w:t>
      </w:r>
      <w:r w:rsidRPr="00022F29">
        <w:rPr>
          <w:rFonts w:ascii="Calibri" w:eastAsia="Calibri" w:hAnsi="Calibri" w:cs="Times New Roman"/>
        </w:rPr>
        <w:tab/>
        <w:t>7.522</w:t>
      </w:r>
    </w:p>
    <w:p w14:paraId="7794608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w:t>
      </w:r>
      <w:r w:rsidRPr="00022F29">
        <w:rPr>
          <w:rFonts w:ascii="Calibri" w:eastAsia="Calibri" w:hAnsi="Calibri" w:cs="Times New Roman"/>
        </w:rPr>
        <w:tab/>
        <w:t>0.8%</w:t>
      </w:r>
      <w:r w:rsidRPr="00022F29">
        <w:rPr>
          <w:rFonts w:ascii="Calibri" w:eastAsia="Calibri" w:hAnsi="Calibri" w:cs="Times New Roman"/>
        </w:rPr>
        <w:tab/>
        <w:t>6.903</w:t>
      </w:r>
      <w:r w:rsidRPr="00022F29">
        <w:rPr>
          <w:rFonts w:ascii="Calibri" w:eastAsia="Calibri" w:hAnsi="Calibri" w:cs="Times New Roman"/>
        </w:rPr>
        <w:tab/>
        <w:t>1.2%</w:t>
      </w:r>
      <w:r w:rsidRPr="00022F29">
        <w:rPr>
          <w:rFonts w:ascii="Calibri" w:eastAsia="Calibri" w:hAnsi="Calibri" w:cs="Times New Roman"/>
        </w:rPr>
        <w:tab/>
        <w:t>-1.903</w:t>
      </w:r>
      <w:r w:rsidRPr="00022F29">
        <w:rPr>
          <w:rFonts w:ascii="Calibri" w:eastAsia="Calibri" w:hAnsi="Calibri" w:cs="Times New Roman"/>
        </w:rPr>
        <w:tab/>
        <w:t>-.728</w:t>
      </w:r>
      <w:r w:rsidRPr="00022F29">
        <w:rPr>
          <w:rFonts w:ascii="Calibri" w:eastAsia="Calibri" w:hAnsi="Calibri" w:cs="Times New Roman"/>
        </w:rPr>
        <w:tab/>
        <w:t>-.763</w:t>
      </w:r>
      <w:r w:rsidRPr="00022F29">
        <w:rPr>
          <w:rFonts w:ascii="Calibri" w:eastAsia="Calibri" w:hAnsi="Calibri" w:cs="Times New Roman"/>
        </w:rPr>
        <w:tab/>
        <w:t>-1.796</w:t>
      </w:r>
    </w:p>
    <w:p w14:paraId="1248556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6</w:t>
      </w:r>
      <w:r w:rsidRPr="00022F29">
        <w:rPr>
          <w:rFonts w:ascii="Calibri" w:eastAsia="Calibri" w:hAnsi="Calibri" w:cs="Times New Roman"/>
        </w:rPr>
        <w:tab/>
        <w:t>1.0%</w:t>
      </w:r>
      <w:r w:rsidRPr="00022F29">
        <w:rPr>
          <w:rFonts w:ascii="Calibri" w:eastAsia="Calibri" w:hAnsi="Calibri" w:cs="Times New Roman"/>
        </w:rPr>
        <w:tab/>
        <w:t>6.535</w:t>
      </w:r>
      <w:r w:rsidRPr="00022F29">
        <w:rPr>
          <w:rFonts w:ascii="Calibri" w:eastAsia="Calibri" w:hAnsi="Calibri" w:cs="Times New Roman"/>
        </w:rPr>
        <w:tab/>
        <w:t>1.1%</w:t>
      </w:r>
      <w:r w:rsidRPr="00022F29">
        <w:rPr>
          <w:rFonts w:ascii="Calibri" w:eastAsia="Calibri" w:hAnsi="Calibri" w:cs="Times New Roman"/>
        </w:rPr>
        <w:tab/>
        <w:t>-.535</w:t>
      </w:r>
      <w:r w:rsidRPr="00022F29">
        <w:rPr>
          <w:rFonts w:ascii="Calibri" w:eastAsia="Calibri" w:hAnsi="Calibri" w:cs="Times New Roman"/>
        </w:rPr>
        <w:tab/>
        <w:t>-.210</w:t>
      </w:r>
      <w:r w:rsidRPr="00022F29">
        <w:rPr>
          <w:rFonts w:ascii="Calibri" w:eastAsia="Calibri" w:hAnsi="Calibri" w:cs="Times New Roman"/>
        </w:rPr>
        <w:tab/>
        <w:t>-.220</w:t>
      </w:r>
      <w:r w:rsidRPr="00022F29">
        <w:rPr>
          <w:rFonts w:ascii="Calibri" w:eastAsia="Calibri" w:hAnsi="Calibri" w:cs="Times New Roman"/>
        </w:rPr>
        <w:tab/>
        <w:t>-1.013</w:t>
      </w:r>
    </w:p>
    <w:p w14:paraId="7C00AD4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17</w:t>
      </w:r>
      <w:r w:rsidRPr="00022F29">
        <w:rPr>
          <w:rFonts w:ascii="Calibri" w:eastAsia="Calibri" w:hAnsi="Calibri" w:cs="Times New Roman"/>
        </w:rPr>
        <w:tab/>
        <w:t>2.9%</w:t>
      </w:r>
      <w:r w:rsidRPr="00022F29">
        <w:rPr>
          <w:rFonts w:ascii="Calibri" w:eastAsia="Calibri" w:hAnsi="Calibri" w:cs="Times New Roman"/>
        </w:rPr>
        <w:tab/>
        <w:t>8.263</w:t>
      </w:r>
      <w:r w:rsidRPr="00022F29">
        <w:rPr>
          <w:rFonts w:ascii="Calibri" w:eastAsia="Calibri" w:hAnsi="Calibri" w:cs="Times New Roman"/>
        </w:rPr>
        <w:tab/>
        <w:t>1.4%</w:t>
      </w:r>
      <w:r w:rsidRPr="00022F29">
        <w:rPr>
          <w:rFonts w:ascii="Calibri" w:eastAsia="Calibri" w:hAnsi="Calibri" w:cs="Times New Roman"/>
        </w:rPr>
        <w:tab/>
        <w:t>8.737</w:t>
      </w:r>
      <w:r w:rsidRPr="00022F29">
        <w:rPr>
          <w:rFonts w:ascii="Calibri" w:eastAsia="Calibri" w:hAnsi="Calibri" w:cs="Times New Roman"/>
        </w:rPr>
        <w:tab/>
        <w:t>3.061</w:t>
      </w:r>
      <w:r w:rsidRPr="00022F29">
        <w:rPr>
          <w:rFonts w:ascii="Calibri" w:eastAsia="Calibri" w:hAnsi="Calibri" w:cs="Times New Roman"/>
        </w:rPr>
        <w:tab/>
        <w:t>3.228</w:t>
      </w:r>
      <w:r w:rsidRPr="00022F29">
        <w:rPr>
          <w:rFonts w:ascii="Calibri" w:eastAsia="Calibri" w:hAnsi="Calibri" w:cs="Times New Roman"/>
        </w:rPr>
        <w:tab/>
        <w:t>4.953</w:t>
      </w:r>
    </w:p>
    <w:p w14:paraId="41044F5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5</w:t>
      </w:r>
      <w:r w:rsidRPr="00022F29">
        <w:rPr>
          <w:rFonts w:ascii="Calibri" w:eastAsia="Calibri" w:hAnsi="Calibri" w:cs="Times New Roman"/>
        </w:rPr>
        <w:tab/>
        <w:t>0.8%</w:t>
      </w:r>
      <w:r w:rsidRPr="00022F29">
        <w:rPr>
          <w:rFonts w:ascii="Calibri" w:eastAsia="Calibri" w:hAnsi="Calibri" w:cs="Times New Roman"/>
        </w:rPr>
        <w:tab/>
        <w:t>4.751</w:t>
      </w:r>
      <w:r w:rsidRPr="00022F29">
        <w:rPr>
          <w:rFonts w:ascii="Calibri" w:eastAsia="Calibri" w:hAnsi="Calibri" w:cs="Times New Roman"/>
        </w:rPr>
        <w:tab/>
        <w:t>0.8%</w:t>
      </w:r>
      <w:r w:rsidRPr="00022F29">
        <w:rPr>
          <w:rFonts w:ascii="Calibri" w:eastAsia="Calibri" w:hAnsi="Calibri" w:cs="Times New Roman"/>
        </w:rPr>
        <w:tab/>
        <w:t>.249</w:t>
      </w:r>
      <w:r w:rsidRPr="00022F29">
        <w:rPr>
          <w:rFonts w:ascii="Calibri" w:eastAsia="Calibri" w:hAnsi="Calibri" w:cs="Times New Roman"/>
        </w:rPr>
        <w:tab/>
        <w:t>.115</w:t>
      </w:r>
      <w:r w:rsidRPr="00022F29">
        <w:rPr>
          <w:rFonts w:ascii="Calibri" w:eastAsia="Calibri" w:hAnsi="Calibri" w:cs="Times New Roman"/>
        </w:rPr>
        <w:tab/>
        <w:t>.119</w:t>
      </w:r>
      <w:r w:rsidRPr="00022F29">
        <w:rPr>
          <w:rFonts w:ascii="Calibri" w:eastAsia="Calibri" w:hAnsi="Calibri" w:cs="Times New Roman"/>
        </w:rPr>
        <w:tab/>
        <w:t>.715</w:t>
      </w:r>
    </w:p>
    <w:p w14:paraId="5D65833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12</w:t>
      </w:r>
      <w:r w:rsidRPr="00022F29">
        <w:rPr>
          <w:rFonts w:ascii="Calibri" w:eastAsia="Calibri" w:hAnsi="Calibri" w:cs="Times New Roman"/>
        </w:rPr>
        <w:tab/>
        <w:t>2.0%</w:t>
      </w:r>
      <w:r w:rsidRPr="00022F29">
        <w:rPr>
          <w:rFonts w:ascii="Calibri" w:eastAsia="Calibri" w:hAnsi="Calibri" w:cs="Times New Roman"/>
        </w:rPr>
        <w:tab/>
        <w:t>6.007</w:t>
      </w:r>
      <w:r w:rsidRPr="00022F29">
        <w:rPr>
          <w:rFonts w:ascii="Calibri" w:eastAsia="Calibri" w:hAnsi="Calibri" w:cs="Times New Roman"/>
        </w:rPr>
        <w:tab/>
        <w:t>1.0%</w:t>
      </w:r>
      <w:r w:rsidRPr="00022F29">
        <w:rPr>
          <w:rFonts w:ascii="Calibri" w:eastAsia="Calibri" w:hAnsi="Calibri" w:cs="Times New Roman"/>
        </w:rPr>
        <w:tab/>
        <w:t>5.993</w:t>
      </w:r>
      <w:r w:rsidRPr="00022F29">
        <w:rPr>
          <w:rFonts w:ascii="Calibri" w:eastAsia="Calibri" w:hAnsi="Calibri" w:cs="Times New Roman"/>
        </w:rPr>
        <w:tab/>
        <w:t>2.458</w:t>
      </w:r>
      <w:r w:rsidRPr="00022F29">
        <w:rPr>
          <w:rFonts w:ascii="Calibri" w:eastAsia="Calibri" w:hAnsi="Calibri" w:cs="Times New Roman"/>
        </w:rPr>
        <w:tab/>
        <w:t>2.562</w:t>
      </w:r>
      <w:r w:rsidRPr="00022F29">
        <w:rPr>
          <w:rFonts w:ascii="Calibri" w:eastAsia="Calibri" w:hAnsi="Calibri" w:cs="Times New Roman"/>
        </w:rPr>
        <w:tab/>
        <w:t>4.075</w:t>
      </w:r>
    </w:p>
    <w:p w14:paraId="1A67CC6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2</w:t>
      </w:r>
      <w:r w:rsidRPr="00022F29">
        <w:rPr>
          <w:rFonts w:ascii="Calibri" w:eastAsia="Calibri" w:hAnsi="Calibri" w:cs="Times New Roman"/>
        </w:rPr>
        <w:tab/>
        <w:t>0.3%</w:t>
      </w:r>
      <w:r w:rsidRPr="00022F29">
        <w:rPr>
          <w:rFonts w:ascii="Calibri" w:eastAsia="Calibri" w:hAnsi="Calibri" w:cs="Times New Roman"/>
        </w:rPr>
        <w:tab/>
        <w:t>5.687</w:t>
      </w:r>
      <w:r w:rsidRPr="00022F29">
        <w:rPr>
          <w:rFonts w:ascii="Calibri" w:eastAsia="Calibri" w:hAnsi="Calibri" w:cs="Times New Roman"/>
        </w:rPr>
        <w:tab/>
        <w:t>1.0%</w:t>
      </w:r>
      <w:r w:rsidRPr="00022F29">
        <w:rPr>
          <w:rFonts w:ascii="Calibri" w:eastAsia="Calibri" w:hAnsi="Calibri" w:cs="Times New Roman"/>
        </w:rPr>
        <w:tab/>
        <w:t>-3.687</w:t>
      </w:r>
      <w:r w:rsidRPr="00022F29">
        <w:rPr>
          <w:rFonts w:ascii="Calibri" w:eastAsia="Calibri" w:hAnsi="Calibri" w:cs="Times New Roman"/>
        </w:rPr>
        <w:tab/>
        <w:t>-1.554</w:t>
      </w:r>
      <w:r w:rsidRPr="00022F29">
        <w:rPr>
          <w:rFonts w:ascii="Calibri" w:eastAsia="Calibri" w:hAnsi="Calibri" w:cs="Times New Roman"/>
        </w:rPr>
        <w:tab/>
        <w:t>-1.617</w:t>
      </w:r>
      <w:r w:rsidRPr="00022F29">
        <w:rPr>
          <w:rFonts w:ascii="Calibri" w:eastAsia="Calibri" w:hAnsi="Calibri" w:cs="Times New Roman"/>
        </w:rPr>
        <w:tab/>
        <w:t>-2.045</w:t>
      </w:r>
    </w:p>
    <w:p w14:paraId="1B19ECE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17</w:t>
      </w:r>
      <w:r w:rsidRPr="00022F29">
        <w:rPr>
          <w:rFonts w:ascii="Calibri" w:eastAsia="Calibri" w:hAnsi="Calibri" w:cs="Times New Roman"/>
        </w:rPr>
        <w:tab/>
        <w:t>2.9%</w:t>
      </w:r>
      <w:r w:rsidRPr="00022F29">
        <w:rPr>
          <w:rFonts w:ascii="Calibri" w:eastAsia="Calibri" w:hAnsi="Calibri" w:cs="Times New Roman"/>
        </w:rPr>
        <w:tab/>
        <w:t>7.191</w:t>
      </w:r>
      <w:r w:rsidRPr="00022F29">
        <w:rPr>
          <w:rFonts w:ascii="Calibri" w:eastAsia="Calibri" w:hAnsi="Calibri" w:cs="Times New Roman"/>
        </w:rPr>
        <w:tab/>
        <w:t>1.2%</w:t>
      </w:r>
      <w:r w:rsidRPr="00022F29">
        <w:rPr>
          <w:rFonts w:ascii="Calibri" w:eastAsia="Calibri" w:hAnsi="Calibri" w:cs="Times New Roman"/>
        </w:rPr>
        <w:tab/>
        <w:t>9.809</w:t>
      </w:r>
      <w:r w:rsidRPr="00022F29">
        <w:rPr>
          <w:rFonts w:ascii="Calibri" w:eastAsia="Calibri" w:hAnsi="Calibri" w:cs="Times New Roman"/>
        </w:rPr>
        <w:tab/>
        <w:t>3.681</w:t>
      </w:r>
      <w:r w:rsidRPr="00022F29">
        <w:rPr>
          <w:rFonts w:ascii="Calibri" w:eastAsia="Calibri" w:hAnsi="Calibri" w:cs="Times New Roman"/>
        </w:rPr>
        <w:tab/>
        <w:t>3.860</w:t>
      </w:r>
      <w:r w:rsidRPr="00022F29">
        <w:rPr>
          <w:rFonts w:ascii="Calibri" w:eastAsia="Calibri" w:hAnsi="Calibri" w:cs="Times New Roman"/>
        </w:rPr>
        <w:tab/>
        <w:t>5.409</w:t>
      </w:r>
    </w:p>
    <w:p w14:paraId="4CA13C9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2</w:t>
      </w:r>
      <w:r w:rsidRPr="00022F29">
        <w:rPr>
          <w:rFonts w:ascii="Calibri" w:eastAsia="Calibri" w:hAnsi="Calibri" w:cs="Times New Roman"/>
        </w:rPr>
        <w:tab/>
        <w:t>0.3%</w:t>
      </w:r>
      <w:r w:rsidRPr="00022F29">
        <w:rPr>
          <w:rFonts w:ascii="Calibri" w:eastAsia="Calibri" w:hAnsi="Calibri" w:cs="Times New Roman"/>
        </w:rPr>
        <w:tab/>
        <w:t>2.006</w:t>
      </w:r>
      <w:r w:rsidRPr="00022F29">
        <w:rPr>
          <w:rFonts w:ascii="Calibri" w:eastAsia="Calibri" w:hAnsi="Calibri" w:cs="Times New Roman"/>
        </w:rPr>
        <w:tab/>
        <w:t>0.3%</w:t>
      </w:r>
      <w:r w:rsidRPr="00022F29">
        <w:rPr>
          <w:rFonts w:ascii="Calibri" w:eastAsia="Calibri" w:hAnsi="Calibri" w:cs="Times New Roman"/>
        </w:rPr>
        <w:tab/>
        <w:t>-.006</w:t>
      </w:r>
      <w:r w:rsidRPr="00022F29">
        <w:rPr>
          <w:rFonts w:ascii="Calibri" w:eastAsia="Calibri" w:hAnsi="Calibri" w:cs="Times New Roman"/>
        </w:rPr>
        <w:tab/>
        <w:t>-.005</w:t>
      </w:r>
      <w:r w:rsidRPr="00022F29">
        <w:rPr>
          <w:rFonts w:ascii="Calibri" w:eastAsia="Calibri" w:hAnsi="Calibri" w:cs="Times New Roman"/>
        </w:rPr>
        <w:tab/>
        <w:t>-.005</w:t>
      </w:r>
      <w:r w:rsidRPr="00022F29">
        <w:rPr>
          <w:rFonts w:ascii="Calibri" w:eastAsia="Calibri" w:hAnsi="Calibri" w:cs="Times New Roman"/>
        </w:rPr>
        <w:tab/>
        <w:t>-.113</w:t>
      </w:r>
    </w:p>
    <w:p w14:paraId="609D75C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0.3%</w:t>
      </w:r>
      <w:r w:rsidRPr="00022F29">
        <w:rPr>
          <w:rFonts w:ascii="Calibri" w:eastAsia="Calibri" w:hAnsi="Calibri" w:cs="Times New Roman"/>
        </w:rPr>
        <w:tab/>
        <w:t>2.537</w:t>
      </w:r>
      <w:r w:rsidRPr="00022F29">
        <w:rPr>
          <w:rFonts w:ascii="Calibri" w:eastAsia="Calibri" w:hAnsi="Calibri" w:cs="Times New Roman"/>
        </w:rPr>
        <w:tab/>
        <w:t>0.4%</w:t>
      </w:r>
      <w:r w:rsidRPr="00022F29">
        <w:rPr>
          <w:rFonts w:ascii="Calibri" w:eastAsia="Calibri" w:hAnsi="Calibri" w:cs="Times New Roman"/>
        </w:rPr>
        <w:tab/>
        <w:t>-.537</w:t>
      </w:r>
      <w:r w:rsidRPr="00022F29">
        <w:rPr>
          <w:rFonts w:ascii="Calibri" w:eastAsia="Calibri" w:hAnsi="Calibri" w:cs="Times New Roman"/>
        </w:rPr>
        <w:tab/>
        <w:t>-.338</w:t>
      </w:r>
      <w:r w:rsidRPr="00022F29">
        <w:rPr>
          <w:rFonts w:ascii="Calibri" w:eastAsia="Calibri" w:hAnsi="Calibri" w:cs="Times New Roman"/>
        </w:rPr>
        <w:tab/>
        <w:t>-.345</w:t>
      </w:r>
      <w:r w:rsidRPr="00022F29">
        <w:rPr>
          <w:rFonts w:ascii="Calibri" w:eastAsia="Calibri" w:hAnsi="Calibri" w:cs="Times New Roman"/>
        </w:rPr>
        <w:tab/>
        <w:t>-.975</w:t>
      </w:r>
    </w:p>
    <w:p w14:paraId="13BCD4E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2.402</w:t>
      </w:r>
      <w:r w:rsidRPr="00022F29">
        <w:rPr>
          <w:rFonts w:ascii="Calibri" w:eastAsia="Calibri" w:hAnsi="Calibri" w:cs="Times New Roman"/>
        </w:rPr>
        <w:tab/>
        <w:t>0.4%</w:t>
      </w:r>
      <w:r w:rsidRPr="00022F29">
        <w:rPr>
          <w:rFonts w:ascii="Calibri" w:eastAsia="Calibri" w:hAnsi="Calibri" w:cs="Times New Roman"/>
        </w:rPr>
        <w:tab/>
        <w:t>-1.402</w:t>
      </w:r>
      <w:r w:rsidRPr="00022F29">
        <w:rPr>
          <w:rFonts w:ascii="Calibri" w:eastAsia="Calibri" w:hAnsi="Calibri" w:cs="Times New Roman"/>
        </w:rPr>
        <w:tab/>
        <w:t>-.906</w:t>
      </w:r>
      <w:r w:rsidRPr="00022F29">
        <w:rPr>
          <w:rFonts w:ascii="Calibri" w:eastAsia="Calibri" w:hAnsi="Calibri" w:cs="Times New Roman"/>
        </w:rPr>
        <w:tab/>
        <w:t>-.925</w:t>
      </w:r>
      <w:r w:rsidRPr="00022F29">
        <w:rPr>
          <w:rFonts w:ascii="Calibri" w:eastAsia="Calibri" w:hAnsi="Calibri" w:cs="Times New Roman"/>
        </w:rPr>
        <w:tab/>
        <w:t>-1.324</w:t>
      </w:r>
    </w:p>
    <w:p w14:paraId="4E40417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6</w:t>
      </w:r>
      <w:r w:rsidRPr="00022F29">
        <w:rPr>
          <w:rFonts w:ascii="Calibri" w:eastAsia="Calibri" w:hAnsi="Calibri" w:cs="Times New Roman"/>
        </w:rPr>
        <w:tab/>
        <w:t>1.0%</w:t>
      </w:r>
      <w:r w:rsidRPr="00022F29">
        <w:rPr>
          <w:rFonts w:ascii="Calibri" w:eastAsia="Calibri" w:hAnsi="Calibri" w:cs="Times New Roman"/>
        </w:rPr>
        <w:tab/>
        <w:t>3.037</w:t>
      </w:r>
      <w:r w:rsidRPr="00022F29">
        <w:rPr>
          <w:rFonts w:ascii="Calibri" w:eastAsia="Calibri" w:hAnsi="Calibri" w:cs="Times New Roman"/>
        </w:rPr>
        <w:tab/>
        <w:t>0.5%</w:t>
      </w:r>
      <w:r w:rsidRPr="00022F29">
        <w:rPr>
          <w:rFonts w:ascii="Calibri" w:eastAsia="Calibri" w:hAnsi="Calibri" w:cs="Times New Roman"/>
        </w:rPr>
        <w:tab/>
        <w:t>2.963</w:t>
      </w:r>
      <w:r w:rsidRPr="00022F29">
        <w:rPr>
          <w:rFonts w:ascii="Calibri" w:eastAsia="Calibri" w:hAnsi="Calibri" w:cs="Times New Roman"/>
        </w:rPr>
        <w:tab/>
        <w:t>1.705</w:t>
      </w:r>
      <w:r w:rsidRPr="00022F29">
        <w:rPr>
          <w:rFonts w:ascii="Calibri" w:eastAsia="Calibri" w:hAnsi="Calibri" w:cs="Times New Roman"/>
        </w:rPr>
        <w:tab/>
        <w:t>1.748</w:t>
      </w:r>
      <w:r w:rsidRPr="00022F29">
        <w:rPr>
          <w:rFonts w:ascii="Calibri" w:eastAsia="Calibri" w:hAnsi="Calibri" w:cs="Times New Roman"/>
        </w:rPr>
        <w:tab/>
        <w:t>2.859</w:t>
      </w:r>
    </w:p>
    <w:p w14:paraId="121C37C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0.0%</w:t>
      </w:r>
      <w:r w:rsidRPr="00022F29">
        <w:rPr>
          <w:rFonts w:ascii="Calibri" w:eastAsia="Calibri" w:hAnsi="Calibri" w:cs="Times New Roman"/>
        </w:rPr>
        <w:tab/>
        <w:t>1.746</w:t>
      </w:r>
      <w:r w:rsidRPr="00022F29">
        <w:rPr>
          <w:rFonts w:ascii="Calibri" w:eastAsia="Calibri" w:hAnsi="Calibri" w:cs="Times New Roman"/>
        </w:rPr>
        <w:tab/>
        <w:t>0.3%</w:t>
      </w:r>
      <w:r w:rsidRPr="00022F29">
        <w:rPr>
          <w:rFonts w:ascii="Calibri" w:eastAsia="Calibri" w:hAnsi="Calibri" w:cs="Times New Roman"/>
        </w:rPr>
        <w:tab/>
        <w:t>-1.746</w:t>
      </w:r>
      <w:r w:rsidRPr="00022F29">
        <w:rPr>
          <w:rFonts w:ascii="Calibri" w:eastAsia="Calibri" w:hAnsi="Calibri" w:cs="Times New Roman"/>
        </w:rPr>
        <w:tab/>
        <w:t>-1.323</w:t>
      </w:r>
      <w:r w:rsidRPr="00022F29">
        <w:rPr>
          <w:rFonts w:ascii="Calibri" w:eastAsia="Calibri" w:hAnsi="Calibri" w:cs="Times New Roman"/>
        </w:rPr>
        <w:tab/>
        <w:t>-1.344</w:t>
      </w:r>
      <w:r w:rsidRPr="00022F29">
        <w:rPr>
          <w:rFonts w:ascii="Calibri" w:eastAsia="Calibri" w:hAnsi="Calibri" w:cs="Times New Roman"/>
        </w:rPr>
        <w:tab/>
        <w:t>.000</w:t>
      </w:r>
    </w:p>
    <w:p w14:paraId="5F94234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0.0%</w:t>
      </w:r>
      <w:r w:rsidRPr="00022F29">
        <w:rPr>
          <w:rFonts w:ascii="Calibri" w:eastAsia="Calibri" w:hAnsi="Calibri" w:cs="Times New Roman"/>
        </w:rPr>
        <w:tab/>
        <w:t>2.208</w:t>
      </w:r>
      <w:r w:rsidRPr="00022F29">
        <w:rPr>
          <w:rFonts w:ascii="Calibri" w:eastAsia="Calibri" w:hAnsi="Calibri" w:cs="Times New Roman"/>
        </w:rPr>
        <w:tab/>
        <w:t>0.4%</w:t>
      </w:r>
      <w:r w:rsidRPr="00022F29">
        <w:rPr>
          <w:rFonts w:ascii="Calibri" w:eastAsia="Calibri" w:hAnsi="Calibri" w:cs="Times New Roman"/>
        </w:rPr>
        <w:tab/>
        <w:t>-2.208</w:t>
      </w:r>
      <w:r w:rsidRPr="00022F29">
        <w:rPr>
          <w:rFonts w:ascii="Calibri" w:eastAsia="Calibri" w:hAnsi="Calibri" w:cs="Times New Roman"/>
        </w:rPr>
        <w:tab/>
        <w:t>-1.489</w:t>
      </w:r>
      <w:r w:rsidRPr="00022F29">
        <w:rPr>
          <w:rFonts w:ascii="Calibri" w:eastAsia="Calibri" w:hAnsi="Calibri" w:cs="Times New Roman"/>
        </w:rPr>
        <w:tab/>
        <w:t>-1.518</w:t>
      </w:r>
      <w:r w:rsidRPr="00022F29">
        <w:rPr>
          <w:rFonts w:ascii="Calibri" w:eastAsia="Calibri" w:hAnsi="Calibri" w:cs="Times New Roman"/>
        </w:rPr>
        <w:tab/>
        <w:t>.000</w:t>
      </w:r>
    </w:p>
    <w:p w14:paraId="511978A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0.0%</w:t>
      </w:r>
      <w:r w:rsidRPr="00022F29">
        <w:rPr>
          <w:rFonts w:ascii="Calibri" w:eastAsia="Calibri" w:hAnsi="Calibri" w:cs="Times New Roman"/>
        </w:rPr>
        <w:tab/>
        <w:t>2.090</w:t>
      </w:r>
      <w:r w:rsidRPr="00022F29">
        <w:rPr>
          <w:rFonts w:ascii="Calibri" w:eastAsia="Calibri" w:hAnsi="Calibri" w:cs="Times New Roman"/>
        </w:rPr>
        <w:tab/>
        <w:t>0.4%</w:t>
      </w:r>
      <w:r w:rsidRPr="00022F29">
        <w:rPr>
          <w:rFonts w:ascii="Calibri" w:eastAsia="Calibri" w:hAnsi="Calibri" w:cs="Times New Roman"/>
        </w:rPr>
        <w:tab/>
        <w:t>-2.090</w:t>
      </w:r>
      <w:r w:rsidRPr="00022F29">
        <w:rPr>
          <w:rFonts w:ascii="Calibri" w:eastAsia="Calibri" w:hAnsi="Calibri" w:cs="Times New Roman"/>
        </w:rPr>
        <w:tab/>
        <w:t>-1.448</w:t>
      </w:r>
      <w:r w:rsidRPr="00022F29">
        <w:rPr>
          <w:rFonts w:ascii="Calibri" w:eastAsia="Calibri" w:hAnsi="Calibri" w:cs="Times New Roman"/>
        </w:rPr>
        <w:tab/>
        <w:t>-1.475</w:t>
      </w:r>
      <w:r w:rsidRPr="00022F29">
        <w:rPr>
          <w:rFonts w:ascii="Calibri" w:eastAsia="Calibri" w:hAnsi="Calibri" w:cs="Times New Roman"/>
        </w:rPr>
        <w:tab/>
        <w:t>.000</w:t>
      </w:r>
    </w:p>
    <w:p w14:paraId="5935E10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4</w:t>
      </w:r>
      <w:r w:rsidRPr="00022F29">
        <w:rPr>
          <w:rFonts w:ascii="Calibri" w:eastAsia="Calibri" w:hAnsi="Calibri" w:cs="Times New Roman"/>
        </w:rPr>
        <w:tab/>
        <w:t>0.7%</w:t>
      </w:r>
      <w:r w:rsidRPr="00022F29">
        <w:rPr>
          <w:rFonts w:ascii="Calibri" w:eastAsia="Calibri" w:hAnsi="Calibri" w:cs="Times New Roman"/>
        </w:rPr>
        <w:tab/>
        <w:t>2.643</w:t>
      </w:r>
      <w:r w:rsidRPr="00022F29">
        <w:rPr>
          <w:rFonts w:ascii="Calibri" w:eastAsia="Calibri" w:hAnsi="Calibri" w:cs="Times New Roman"/>
        </w:rPr>
        <w:tab/>
        <w:t>0.4%</w:t>
      </w:r>
      <w:r w:rsidRPr="00022F29">
        <w:rPr>
          <w:rFonts w:ascii="Calibri" w:eastAsia="Calibri" w:hAnsi="Calibri" w:cs="Times New Roman"/>
        </w:rPr>
        <w:tab/>
        <w:t>1.357</w:t>
      </w:r>
      <w:r w:rsidRPr="00022F29">
        <w:rPr>
          <w:rFonts w:ascii="Calibri" w:eastAsia="Calibri" w:hAnsi="Calibri" w:cs="Times New Roman"/>
        </w:rPr>
        <w:tab/>
        <w:t>.837</w:t>
      </w:r>
      <w:r w:rsidRPr="00022F29">
        <w:rPr>
          <w:rFonts w:ascii="Calibri" w:eastAsia="Calibri" w:hAnsi="Calibri" w:cs="Times New Roman"/>
        </w:rPr>
        <w:tab/>
        <w:t>.856</w:t>
      </w:r>
      <w:r w:rsidRPr="00022F29">
        <w:rPr>
          <w:rFonts w:ascii="Calibri" w:eastAsia="Calibri" w:hAnsi="Calibri" w:cs="Times New Roman"/>
        </w:rPr>
        <w:tab/>
        <w:t>1.821</w:t>
      </w:r>
    </w:p>
    <w:p w14:paraId="0305AA6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11</w:t>
      </w:r>
      <w:r w:rsidRPr="00022F29">
        <w:rPr>
          <w:rFonts w:ascii="Calibri" w:eastAsia="Calibri" w:hAnsi="Calibri" w:cs="Times New Roman"/>
        </w:rPr>
        <w:tab/>
        <w:t>1.9%</w:t>
      </w:r>
      <w:r w:rsidRPr="00022F29">
        <w:rPr>
          <w:rFonts w:ascii="Calibri" w:eastAsia="Calibri" w:hAnsi="Calibri" w:cs="Times New Roman"/>
        </w:rPr>
        <w:tab/>
        <w:t>5.693</w:t>
      </w:r>
      <w:r w:rsidRPr="00022F29">
        <w:rPr>
          <w:rFonts w:ascii="Calibri" w:eastAsia="Calibri" w:hAnsi="Calibri" w:cs="Times New Roman"/>
        </w:rPr>
        <w:tab/>
        <w:t>1.0%</w:t>
      </w:r>
      <w:r w:rsidRPr="00022F29">
        <w:rPr>
          <w:rFonts w:ascii="Calibri" w:eastAsia="Calibri" w:hAnsi="Calibri" w:cs="Times New Roman"/>
        </w:rPr>
        <w:tab/>
        <w:t>5.307</w:t>
      </w:r>
      <w:r w:rsidRPr="00022F29">
        <w:rPr>
          <w:rFonts w:ascii="Calibri" w:eastAsia="Calibri" w:hAnsi="Calibri" w:cs="Times New Roman"/>
        </w:rPr>
        <w:tab/>
        <w:t>2.235</w:t>
      </w:r>
      <w:r w:rsidRPr="00022F29">
        <w:rPr>
          <w:rFonts w:ascii="Calibri" w:eastAsia="Calibri" w:hAnsi="Calibri" w:cs="Times New Roman"/>
        </w:rPr>
        <w:tab/>
        <w:t>2.324</w:t>
      </w:r>
      <w:r w:rsidRPr="00022F29">
        <w:rPr>
          <w:rFonts w:ascii="Calibri" w:eastAsia="Calibri" w:hAnsi="Calibri" w:cs="Times New Roman"/>
        </w:rPr>
        <w:tab/>
        <w:t>3.806</w:t>
      </w:r>
    </w:p>
    <w:p w14:paraId="0B66C60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4</w:t>
      </w:r>
      <w:r w:rsidRPr="00022F29">
        <w:rPr>
          <w:rFonts w:ascii="Calibri" w:eastAsia="Calibri" w:hAnsi="Calibri" w:cs="Times New Roman"/>
        </w:rPr>
        <w:tab/>
        <w:t>0.7%</w:t>
      </w:r>
      <w:r w:rsidRPr="00022F29">
        <w:rPr>
          <w:rFonts w:ascii="Calibri" w:eastAsia="Calibri" w:hAnsi="Calibri" w:cs="Times New Roman"/>
        </w:rPr>
        <w:tab/>
        <w:t>7.199</w:t>
      </w:r>
      <w:r w:rsidRPr="00022F29">
        <w:rPr>
          <w:rFonts w:ascii="Calibri" w:eastAsia="Calibri" w:hAnsi="Calibri" w:cs="Times New Roman"/>
        </w:rPr>
        <w:tab/>
        <w:t>1.2%</w:t>
      </w:r>
      <w:r w:rsidRPr="00022F29">
        <w:rPr>
          <w:rFonts w:ascii="Calibri" w:eastAsia="Calibri" w:hAnsi="Calibri" w:cs="Times New Roman"/>
        </w:rPr>
        <w:tab/>
        <w:t>-3.199</w:t>
      </w:r>
      <w:r w:rsidRPr="00022F29">
        <w:rPr>
          <w:rFonts w:ascii="Calibri" w:eastAsia="Calibri" w:hAnsi="Calibri" w:cs="Times New Roman"/>
        </w:rPr>
        <w:tab/>
        <w:t>-1.199</w:t>
      </w:r>
      <w:r w:rsidRPr="00022F29">
        <w:rPr>
          <w:rFonts w:ascii="Calibri" w:eastAsia="Calibri" w:hAnsi="Calibri" w:cs="Times New Roman"/>
        </w:rPr>
        <w:tab/>
        <w:t>-1.257</w:t>
      </w:r>
      <w:r w:rsidRPr="00022F29">
        <w:rPr>
          <w:rFonts w:ascii="Calibri" w:eastAsia="Calibri" w:hAnsi="Calibri" w:cs="Times New Roman"/>
        </w:rPr>
        <w:tab/>
        <w:t>-2.168</w:t>
      </w:r>
    </w:p>
    <w:p w14:paraId="00C7AC2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3</w:t>
      </w:r>
      <w:r w:rsidRPr="00022F29">
        <w:rPr>
          <w:rFonts w:ascii="Calibri" w:eastAsia="Calibri" w:hAnsi="Calibri" w:cs="Times New Roman"/>
        </w:rPr>
        <w:tab/>
        <w:t>0.5%</w:t>
      </w:r>
      <w:r w:rsidRPr="00022F29">
        <w:rPr>
          <w:rFonts w:ascii="Calibri" w:eastAsia="Calibri" w:hAnsi="Calibri" w:cs="Times New Roman"/>
        </w:rPr>
        <w:tab/>
        <w:t>6.815</w:t>
      </w:r>
      <w:r w:rsidRPr="00022F29">
        <w:rPr>
          <w:rFonts w:ascii="Calibri" w:eastAsia="Calibri" w:hAnsi="Calibri" w:cs="Times New Roman"/>
        </w:rPr>
        <w:tab/>
        <w:t>1.2%</w:t>
      </w:r>
      <w:r w:rsidRPr="00022F29">
        <w:rPr>
          <w:rFonts w:ascii="Calibri" w:eastAsia="Calibri" w:hAnsi="Calibri" w:cs="Times New Roman"/>
        </w:rPr>
        <w:tab/>
        <w:t>-3.815</w:t>
      </w:r>
      <w:r w:rsidRPr="00022F29">
        <w:rPr>
          <w:rFonts w:ascii="Calibri" w:eastAsia="Calibri" w:hAnsi="Calibri" w:cs="Times New Roman"/>
        </w:rPr>
        <w:tab/>
        <w:t>-1.470</w:t>
      </w:r>
      <w:r w:rsidRPr="00022F29">
        <w:rPr>
          <w:rFonts w:ascii="Calibri" w:eastAsia="Calibri" w:hAnsi="Calibri" w:cs="Times New Roman"/>
        </w:rPr>
        <w:tab/>
        <w:t>-1.538</w:t>
      </w:r>
      <w:r w:rsidRPr="00022F29">
        <w:rPr>
          <w:rFonts w:ascii="Calibri" w:eastAsia="Calibri" w:hAnsi="Calibri" w:cs="Times New Roman"/>
        </w:rPr>
        <w:tab/>
        <w:t>-2.219</w:t>
      </w:r>
    </w:p>
    <w:p w14:paraId="072401B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16</w:t>
      </w:r>
      <w:r w:rsidRPr="00022F29">
        <w:rPr>
          <w:rFonts w:ascii="Calibri" w:eastAsia="Calibri" w:hAnsi="Calibri" w:cs="Times New Roman"/>
        </w:rPr>
        <w:tab/>
        <w:t>2.7%</w:t>
      </w:r>
      <w:r w:rsidRPr="00022F29">
        <w:rPr>
          <w:rFonts w:ascii="Calibri" w:eastAsia="Calibri" w:hAnsi="Calibri" w:cs="Times New Roman"/>
        </w:rPr>
        <w:tab/>
        <w:t>8.617</w:t>
      </w:r>
      <w:r w:rsidRPr="00022F29">
        <w:rPr>
          <w:rFonts w:ascii="Calibri" w:eastAsia="Calibri" w:hAnsi="Calibri" w:cs="Times New Roman"/>
        </w:rPr>
        <w:tab/>
        <w:t>1.5%</w:t>
      </w:r>
      <w:r w:rsidRPr="00022F29">
        <w:rPr>
          <w:rFonts w:ascii="Calibri" w:eastAsia="Calibri" w:hAnsi="Calibri" w:cs="Times New Roman"/>
        </w:rPr>
        <w:tab/>
        <w:t>7.383</w:t>
      </w:r>
      <w:r w:rsidRPr="00022F29">
        <w:rPr>
          <w:rFonts w:ascii="Calibri" w:eastAsia="Calibri" w:hAnsi="Calibri" w:cs="Times New Roman"/>
        </w:rPr>
        <w:tab/>
        <w:t>2.534</w:t>
      </w:r>
      <w:r w:rsidRPr="00022F29">
        <w:rPr>
          <w:rFonts w:ascii="Calibri" w:eastAsia="Calibri" w:hAnsi="Calibri" w:cs="Times New Roman"/>
        </w:rPr>
        <w:tab/>
        <w:t>2.675</w:t>
      </w:r>
      <w:r w:rsidRPr="00022F29">
        <w:rPr>
          <w:rFonts w:ascii="Calibri" w:eastAsia="Calibri" w:hAnsi="Calibri" w:cs="Times New Roman"/>
        </w:rPr>
        <w:tab/>
        <w:t>4.450</w:t>
      </w:r>
    </w:p>
    <w:p w14:paraId="0B62A4D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11</w:t>
      </w:r>
      <w:r w:rsidRPr="00022F29">
        <w:rPr>
          <w:rFonts w:ascii="Calibri" w:eastAsia="Calibri" w:hAnsi="Calibri" w:cs="Times New Roman"/>
        </w:rPr>
        <w:tab/>
        <w:t>1.9%</w:t>
      </w:r>
      <w:r w:rsidRPr="00022F29">
        <w:rPr>
          <w:rFonts w:ascii="Calibri" w:eastAsia="Calibri" w:hAnsi="Calibri" w:cs="Times New Roman"/>
        </w:rPr>
        <w:tab/>
        <w:t>4.955</w:t>
      </w:r>
      <w:r w:rsidRPr="00022F29">
        <w:rPr>
          <w:rFonts w:ascii="Calibri" w:eastAsia="Calibri" w:hAnsi="Calibri" w:cs="Times New Roman"/>
        </w:rPr>
        <w:tab/>
        <w:t>0.8%</w:t>
      </w:r>
      <w:r w:rsidRPr="00022F29">
        <w:rPr>
          <w:rFonts w:ascii="Calibri" w:eastAsia="Calibri" w:hAnsi="Calibri" w:cs="Times New Roman"/>
        </w:rPr>
        <w:tab/>
        <w:t>6.045</w:t>
      </w:r>
      <w:r w:rsidRPr="00022F29">
        <w:rPr>
          <w:rFonts w:ascii="Calibri" w:eastAsia="Calibri" w:hAnsi="Calibri" w:cs="Times New Roman"/>
        </w:rPr>
        <w:tab/>
        <w:t>2.727</w:t>
      </w:r>
      <w:r w:rsidRPr="00022F29">
        <w:rPr>
          <w:rFonts w:ascii="Calibri" w:eastAsia="Calibri" w:hAnsi="Calibri" w:cs="Times New Roman"/>
        </w:rPr>
        <w:tab/>
        <w:t>2.825</w:t>
      </w:r>
      <w:r w:rsidRPr="00022F29">
        <w:rPr>
          <w:rFonts w:ascii="Calibri" w:eastAsia="Calibri" w:hAnsi="Calibri" w:cs="Times New Roman"/>
        </w:rPr>
        <w:tab/>
        <w:t>4.189</w:t>
      </w:r>
    </w:p>
    <w:p w14:paraId="625AEF5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3</w:t>
      </w:r>
      <w:r w:rsidRPr="00022F29">
        <w:rPr>
          <w:rFonts w:ascii="Calibri" w:eastAsia="Calibri" w:hAnsi="Calibri" w:cs="Times New Roman"/>
        </w:rPr>
        <w:tab/>
        <w:t>0.5%</w:t>
      </w:r>
      <w:r w:rsidRPr="00022F29">
        <w:rPr>
          <w:rFonts w:ascii="Calibri" w:eastAsia="Calibri" w:hAnsi="Calibri" w:cs="Times New Roman"/>
        </w:rPr>
        <w:tab/>
        <w:t>6.265</w:t>
      </w:r>
      <w:r w:rsidRPr="00022F29">
        <w:rPr>
          <w:rFonts w:ascii="Calibri" w:eastAsia="Calibri" w:hAnsi="Calibri" w:cs="Times New Roman"/>
        </w:rPr>
        <w:tab/>
        <w:t>1.1%</w:t>
      </w:r>
      <w:r w:rsidRPr="00022F29">
        <w:rPr>
          <w:rFonts w:ascii="Calibri" w:eastAsia="Calibri" w:hAnsi="Calibri" w:cs="Times New Roman"/>
        </w:rPr>
        <w:tab/>
        <w:t>-3.265</w:t>
      </w:r>
      <w:r w:rsidRPr="00022F29">
        <w:rPr>
          <w:rFonts w:ascii="Calibri" w:eastAsia="Calibri" w:hAnsi="Calibri" w:cs="Times New Roman"/>
        </w:rPr>
        <w:tab/>
        <w:t>-1.311</w:t>
      </w:r>
      <w:r w:rsidRPr="00022F29">
        <w:rPr>
          <w:rFonts w:ascii="Calibri" w:eastAsia="Calibri" w:hAnsi="Calibri" w:cs="Times New Roman"/>
        </w:rPr>
        <w:tab/>
        <w:t>-1.368</w:t>
      </w:r>
      <w:r w:rsidRPr="00022F29">
        <w:rPr>
          <w:rFonts w:ascii="Calibri" w:eastAsia="Calibri" w:hAnsi="Calibri" w:cs="Times New Roman"/>
        </w:rPr>
        <w:tab/>
        <w:t>-2.102</w:t>
      </w:r>
    </w:p>
    <w:p w14:paraId="559C3BE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4</w:t>
      </w:r>
      <w:r w:rsidRPr="00022F29">
        <w:rPr>
          <w:rFonts w:ascii="Calibri" w:eastAsia="Calibri" w:hAnsi="Calibri" w:cs="Times New Roman"/>
        </w:rPr>
        <w:tab/>
        <w:t>0.7%</w:t>
      </w:r>
      <w:r w:rsidRPr="00022F29">
        <w:rPr>
          <w:rFonts w:ascii="Calibri" w:eastAsia="Calibri" w:hAnsi="Calibri" w:cs="Times New Roman"/>
        </w:rPr>
        <w:tab/>
        <w:t>5.931</w:t>
      </w:r>
      <w:r w:rsidRPr="00022F29">
        <w:rPr>
          <w:rFonts w:ascii="Calibri" w:eastAsia="Calibri" w:hAnsi="Calibri" w:cs="Times New Roman"/>
        </w:rPr>
        <w:tab/>
        <w:t>1.0%</w:t>
      </w:r>
      <w:r w:rsidRPr="00022F29">
        <w:rPr>
          <w:rFonts w:ascii="Calibri" w:eastAsia="Calibri" w:hAnsi="Calibri" w:cs="Times New Roman"/>
        </w:rPr>
        <w:tab/>
        <w:t>-1.931</w:t>
      </w:r>
      <w:r w:rsidRPr="00022F29">
        <w:rPr>
          <w:rFonts w:ascii="Calibri" w:eastAsia="Calibri" w:hAnsi="Calibri" w:cs="Times New Roman"/>
        </w:rPr>
        <w:tab/>
        <w:t>-.797</w:t>
      </w:r>
      <w:r w:rsidRPr="00022F29">
        <w:rPr>
          <w:rFonts w:ascii="Calibri" w:eastAsia="Calibri" w:hAnsi="Calibri" w:cs="Times New Roman"/>
        </w:rPr>
        <w:tab/>
        <w:t>-.830</w:t>
      </w:r>
      <w:r w:rsidRPr="00022F29">
        <w:rPr>
          <w:rFonts w:ascii="Calibri" w:eastAsia="Calibri" w:hAnsi="Calibri" w:cs="Times New Roman"/>
        </w:rPr>
        <w:tab/>
        <w:t>-1.775</w:t>
      </w:r>
    </w:p>
    <w:p w14:paraId="65B3DC8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18</w:t>
      </w:r>
      <w:r w:rsidRPr="00022F29">
        <w:rPr>
          <w:rFonts w:ascii="Calibri" w:eastAsia="Calibri" w:hAnsi="Calibri" w:cs="Times New Roman"/>
        </w:rPr>
        <w:tab/>
        <w:t>3.0%</w:t>
      </w:r>
      <w:r w:rsidRPr="00022F29">
        <w:rPr>
          <w:rFonts w:ascii="Calibri" w:eastAsia="Calibri" w:hAnsi="Calibri" w:cs="Times New Roman"/>
        </w:rPr>
        <w:tab/>
        <w:t>7.499</w:t>
      </w:r>
      <w:r w:rsidRPr="00022F29">
        <w:rPr>
          <w:rFonts w:ascii="Calibri" w:eastAsia="Calibri" w:hAnsi="Calibri" w:cs="Times New Roman"/>
        </w:rPr>
        <w:tab/>
        <w:t>1.3%</w:t>
      </w:r>
      <w:r w:rsidRPr="00022F29">
        <w:rPr>
          <w:rFonts w:ascii="Calibri" w:eastAsia="Calibri" w:hAnsi="Calibri" w:cs="Times New Roman"/>
        </w:rPr>
        <w:tab/>
        <w:t>10.501</w:t>
      </w:r>
      <w:r w:rsidRPr="00022F29">
        <w:rPr>
          <w:rFonts w:ascii="Calibri" w:eastAsia="Calibri" w:hAnsi="Calibri" w:cs="Times New Roman"/>
        </w:rPr>
        <w:tab/>
        <w:t>3.859</w:t>
      </w:r>
      <w:r w:rsidRPr="00022F29">
        <w:rPr>
          <w:rFonts w:ascii="Calibri" w:eastAsia="Calibri" w:hAnsi="Calibri" w:cs="Times New Roman"/>
        </w:rPr>
        <w:tab/>
        <w:t>4.052</w:t>
      </w:r>
      <w:r w:rsidRPr="00022F29">
        <w:rPr>
          <w:rFonts w:ascii="Calibri" w:eastAsia="Calibri" w:hAnsi="Calibri" w:cs="Times New Roman"/>
        </w:rPr>
        <w:tab/>
        <w:t>5.614</w:t>
      </w:r>
    </w:p>
    <w:p w14:paraId="401FC9F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0.0%</w:t>
      </w:r>
      <w:r w:rsidRPr="00022F29">
        <w:rPr>
          <w:rFonts w:ascii="Calibri" w:eastAsia="Calibri" w:hAnsi="Calibri" w:cs="Times New Roman"/>
        </w:rPr>
        <w:tab/>
        <w:t>1.924</w:t>
      </w:r>
      <w:r w:rsidRPr="00022F29">
        <w:rPr>
          <w:rFonts w:ascii="Calibri" w:eastAsia="Calibri" w:hAnsi="Calibri" w:cs="Times New Roman"/>
        </w:rPr>
        <w:tab/>
        <w:t>0.3%</w:t>
      </w:r>
      <w:r w:rsidRPr="00022F29">
        <w:rPr>
          <w:rFonts w:ascii="Calibri" w:eastAsia="Calibri" w:hAnsi="Calibri" w:cs="Times New Roman"/>
        </w:rPr>
        <w:tab/>
        <w:t>-1.924</w:t>
      </w:r>
      <w:r w:rsidRPr="00022F29">
        <w:rPr>
          <w:rFonts w:ascii="Calibri" w:eastAsia="Calibri" w:hAnsi="Calibri" w:cs="Times New Roman"/>
        </w:rPr>
        <w:tab/>
        <w:t>-1.389</w:t>
      </w:r>
      <w:r w:rsidRPr="00022F29">
        <w:rPr>
          <w:rFonts w:ascii="Calibri" w:eastAsia="Calibri" w:hAnsi="Calibri" w:cs="Times New Roman"/>
        </w:rPr>
        <w:tab/>
        <w:t>-1.414</w:t>
      </w:r>
      <w:r w:rsidRPr="00022F29">
        <w:rPr>
          <w:rFonts w:ascii="Calibri" w:eastAsia="Calibri" w:hAnsi="Calibri" w:cs="Times New Roman"/>
        </w:rPr>
        <w:tab/>
        <w:t>.000</w:t>
      </w:r>
    </w:p>
    <w:p w14:paraId="1E93AE9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2.433</w:t>
      </w:r>
      <w:r w:rsidRPr="00022F29">
        <w:rPr>
          <w:rFonts w:ascii="Calibri" w:eastAsia="Calibri" w:hAnsi="Calibri" w:cs="Times New Roman"/>
        </w:rPr>
        <w:tab/>
        <w:t>0.4%</w:t>
      </w:r>
      <w:r w:rsidRPr="00022F29">
        <w:rPr>
          <w:rFonts w:ascii="Calibri" w:eastAsia="Calibri" w:hAnsi="Calibri" w:cs="Times New Roman"/>
        </w:rPr>
        <w:tab/>
        <w:t>-1.433</w:t>
      </w:r>
      <w:r w:rsidRPr="00022F29">
        <w:rPr>
          <w:rFonts w:ascii="Calibri" w:eastAsia="Calibri" w:hAnsi="Calibri" w:cs="Times New Roman"/>
        </w:rPr>
        <w:tab/>
        <w:t>-.920</w:t>
      </w:r>
      <w:r w:rsidRPr="00022F29">
        <w:rPr>
          <w:rFonts w:ascii="Calibri" w:eastAsia="Calibri" w:hAnsi="Calibri" w:cs="Times New Roman"/>
        </w:rPr>
        <w:tab/>
        <w:t>-.940</w:t>
      </w:r>
      <w:r w:rsidRPr="00022F29">
        <w:rPr>
          <w:rFonts w:ascii="Calibri" w:eastAsia="Calibri" w:hAnsi="Calibri" w:cs="Times New Roman"/>
        </w:rPr>
        <w:tab/>
        <w:t>-1.333</w:t>
      </w:r>
    </w:p>
    <w:p w14:paraId="229CE67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0.0%</w:t>
      </w:r>
      <w:r w:rsidRPr="00022F29">
        <w:rPr>
          <w:rFonts w:ascii="Calibri" w:eastAsia="Calibri" w:hAnsi="Calibri" w:cs="Times New Roman"/>
        </w:rPr>
        <w:tab/>
        <w:t>2.303</w:t>
      </w:r>
      <w:r w:rsidRPr="00022F29">
        <w:rPr>
          <w:rFonts w:ascii="Calibri" w:eastAsia="Calibri" w:hAnsi="Calibri" w:cs="Times New Roman"/>
        </w:rPr>
        <w:tab/>
        <w:t>0.4%</w:t>
      </w:r>
      <w:r w:rsidRPr="00022F29">
        <w:rPr>
          <w:rFonts w:ascii="Calibri" w:eastAsia="Calibri" w:hAnsi="Calibri" w:cs="Times New Roman"/>
        </w:rPr>
        <w:tab/>
        <w:t>-2.303</w:t>
      </w:r>
      <w:r w:rsidRPr="00022F29">
        <w:rPr>
          <w:rFonts w:ascii="Calibri" w:eastAsia="Calibri" w:hAnsi="Calibri" w:cs="Times New Roman"/>
        </w:rPr>
        <w:tab/>
        <w:t>-1.521</w:t>
      </w:r>
      <w:r w:rsidRPr="00022F29">
        <w:rPr>
          <w:rFonts w:ascii="Calibri" w:eastAsia="Calibri" w:hAnsi="Calibri" w:cs="Times New Roman"/>
        </w:rPr>
        <w:tab/>
        <w:t>-1.551</w:t>
      </w:r>
      <w:r w:rsidRPr="00022F29">
        <w:rPr>
          <w:rFonts w:ascii="Calibri" w:eastAsia="Calibri" w:hAnsi="Calibri" w:cs="Times New Roman"/>
        </w:rPr>
        <w:tab/>
        <w:t>.000</w:t>
      </w:r>
    </w:p>
    <w:p w14:paraId="78422B6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3</w:t>
      </w:r>
      <w:r w:rsidRPr="00022F29">
        <w:rPr>
          <w:rFonts w:ascii="Calibri" w:eastAsia="Calibri" w:hAnsi="Calibri" w:cs="Times New Roman"/>
        </w:rPr>
        <w:tab/>
        <w:t>0.5%</w:t>
      </w:r>
      <w:r w:rsidRPr="00022F29">
        <w:rPr>
          <w:rFonts w:ascii="Calibri" w:eastAsia="Calibri" w:hAnsi="Calibri" w:cs="Times New Roman"/>
        </w:rPr>
        <w:tab/>
        <w:t>2.912</w:t>
      </w:r>
      <w:r w:rsidRPr="00022F29">
        <w:rPr>
          <w:rFonts w:ascii="Calibri" w:eastAsia="Calibri" w:hAnsi="Calibri" w:cs="Times New Roman"/>
        </w:rPr>
        <w:tab/>
        <w:t>0.5%</w:t>
      </w:r>
      <w:r w:rsidRPr="00022F29">
        <w:rPr>
          <w:rFonts w:ascii="Calibri" w:eastAsia="Calibri" w:hAnsi="Calibri" w:cs="Times New Roman"/>
        </w:rPr>
        <w:tab/>
        <w:t>.088</w:t>
      </w:r>
      <w:r w:rsidRPr="00022F29">
        <w:rPr>
          <w:rFonts w:ascii="Calibri" w:eastAsia="Calibri" w:hAnsi="Calibri" w:cs="Times New Roman"/>
        </w:rPr>
        <w:tab/>
        <w:t>.052</w:t>
      </w:r>
      <w:r w:rsidRPr="00022F29">
        <w:rPr>
          <w:rFonts w:ascii="Calibri" w:eastAsia="Calibri" w:hAnsi="Calibri" w:cs="Times New Roman"/>
        </w:rPr>
        <w:tab/>
        <w:t>.053</w:t>
      </w:r>
      <w:r w:rsidRPr="00022F29">
        <w:rPr>
          <w:rFonts w:ascii="Calibri" w:eastAsia="Calibri" w:hAnsi="Calibri" w:cs="Times New Roman"/>
        </w:rPr>
        <w:tab/>
        <w:t>.423</w:t>
      </w:r>
    </w:p>
    <w:p w14:paraId="1D874BB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1.674</w:t>
      </w:r>
      <w:r w:rsidRPr="00022F29">
        <w:rPr>
          <w:rFonts w:ascii="Calibri" w:eastAsia="Calibri" w:hAnsi="Calibri" w:cs="Times New Roman"/>
        </w:rPr>
        <w:tab/>
        <w:t>0.3%</w:t>
      </w:r>
      <w:r w:rsidRPr="00022F29">
        <w:rPr>
          <w:rFonts w:ascii="Calibri" w:eastAsia="Calibri" w:hAnsi="Calibri" w:cs="Times New Roman"/>
        </w:rPr>
        <w:tab/>
        <w:t>-.674</w:t>
      </w:r>
      <w:r w:rsidRPr="00022F29">
        <w:rPr>
          <w:rFonts w:ascii="Calibri" w:eastAsia="Calibri" w:hAnsi="Calibri" w:cs="Times New Roman"/>
        </w:rPr>
        <w:tab/>
        <w:t>-.522</w:t>
      </w:r>
      <w:r w:rsidRPr="00022F29">
        <w:rPr>
          <w:rFonts w:ascii="Calibri" w:eastAsia="Calibri" w:hAnsi="Calibri" w:cs="Times New Roman"/>
        </w:rPr>
        <w:tab/>
        <w:t>-.530</w:t>
      </w:r>
      <w:r w:rsidRPr="00022F29">
        <w:rPr>
          <w:rFonts w:ascii="Calibri" w:eastAsia="Calibri" w:hAnsi="Calibri" w:cs="Times New Roman"/>
        </w:rPr>
        <w:tab/>
        <w:t>-1.015</w:t>
      </w:r>
    </w:p>
    <w:p w14:paraId="6A712BF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2.117</w:t>
      </w:r>
      <w:r w:rsidRPr="00022F29">
        <w:rPr>
          <w:rFonts w:ascii="Calibri" w:eastAsia="Calibri" w:hAnsi="Calibri" w:cs="Times New Roman"/>
        </w:rPr>
        <w:tab/>
        <w:t>0.4%</w:t>
      </w:r>
      <w:r w:rsidRPr="00022F29">
        <w:rPr>
          <w:rFonts w:ascii="Calibri" w:eastAsia="Calibri" w:hAnsi="Calibri" w:cs="Times New Roman"/>
        </w:rPr>
        <w:tab/>
        <w:t>-1.117</w:t>
      </w:r>
      <w:r w:rsidRPr="00022F29">
        <w:rPr>
          <w:rFonts w:ascii="Calibri" w:eastAsia="Calibri" w:hAnsi="Calibri" w:cs="Times New Roman"/>
        </w:rPr>
        <w:tab/>
        <w:t>-.769</w:t>
      </w:r>
      <w:r w:rsidRPr="00022F29">
        <w:rPr>
          <w:rFonts w:ascii="Calibri" w:eastAsia="Calibri" w:hAnsi="Calibri" w:cs="Times New Roman"/>
        </w:rPr>
        <w:tab/>
        <w:t>-.784</w:t>
      </w:r>
      <w:r w:rsidRPr="00022F29">
        <w:rPr>
          <w:rFonts w:ascii="Calibri" w:eastAsia="Calibri" w:hAnsi="Calibri" w:cs="Times New Roman"/>
        </w:rPr>
        <w:tab/>
        <w:t>-1.225</w:t>
      </w:r>
    </w:p>
    <w:p w14:paraId="12B04CD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2.004</w:t>
      </w:r>
      <w:r w:rsidRPr="00022F29">
        <w:rPr>
          <w:rFonts w:ascii="Calibri" w:eastAsia="Calibri" w:hAnsi="Calibri" w:cs="Times New Roman"/>
        </w:rPr>
        <w:tab/>
        <w:t>0.3%</w:t>
      </w:r>
      <w:r w:rsidRPr="00022F29">
        <w:rPr>
          <w:rFonts w:ascii="Calibri" w:eastAsia="Calibri" w:hAnsi="Calibri" w:cs="Times New Roman"/>
        </w:rPr>
        <w:tab/>
        <w:t>-1.004</w:t>
      </w:r>
      <w:r w:rsidRPr="00022F29">
        <w:rPr>
          <w:rFonts w:ascii="Calibri" w:eastAsia="Calibri" w:hAnsi="Calibri" w:cs="Times New Roman"/>
        </w:rPr>
        <w:tab/>
        <w:t>-.711</w:t>
      </w:r>
      <w:r w:rsidRPr="00022F29">
        <w:rPr>
          <w:rFonts w:ascii="Calibri" w:eastAsia="Calibri" w:hAnsi="Calibri" w:cs="Times New Roman"/>
        </w:rPr>
        <w:tab/>
        <w:t>-.723</w:t>
      </w:r>
      <w:r w:rsidRPr="00022F29">
        <w:rPr>
          <w:rFonts w:ascii="Calibri" w:eastAsia="Calibri" w:hAnsi="Calibri" w:cs="Times New Roman"/>
        </w:rPr>
        <w:tab/>
        <w:t>-1.179</w:t>
      </w:r>
    </w:p>
    <w:p w14:paraId="1080B11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3</w:t>
      </w:r>
      <w:r w:rsidRPr="00022F29">
        <w:rPr>
          <w:rFonts w:ascii="Calibri" w:eastAsia="Calibri" w:hAnsi="Calibri" w:cs="Times New Roman"/>
        </w:rPr>
        <w:tab/>
        <w:t>0.5%</w:t>
      </w:r>
      <w:r w:rsidRPr="00022F29">
        <w:rPr>
          <w:rFonts w:ascii="Calibri" w:eastAsia="Calibri" w:hAnsi="Calibri" w:cs="Times New Roman"/>
        </w:rPr>
        <w:tab/>
        <w:t>2.534</w:t>
      </w:r>
      <w:r w:rsidRPr="00022F29">
        <w:rPr>
          <w:rFonts w:ascii="Calibri" w:eastAsia="Calibri" w:hAnsi="Calibri" w:cs="Times New Roman"/>
        </w:rPr>
        <w:tab/>
        <w:t>0.4%</w:t>
      </w:r>
      <w:r w:rsidRPr="00022F29">
        <w:rPr>
          <w:rFonts w:ascii="Calibri" w:eastAsia="Calibri" w:hAnsi="Calibri" w:cs="Times New Roman"/>
        </w:rPr>
        <w:tab/>
        <w:t>.466</w:t>
      </w:r>
      <w:r w:rsidRPr="00022F29">
        <w:rPr>
          <w:rFonts w:ascii="Calibri" w:eastAsia="Calibri" w:hAnsi="Calibri" w:cs="Times New Roman"/>
        </w:rPr>
        <w:tab/>
        <w:t>.293</w:t>
      </w:r>
      <w:r w:rsidRPr="00022F29">
        <w:rPr>
          <w:rFonts w:ascii="Calibri" w:eastAsia="Calibri" w:hAnsi="Calibri" w:cs="Times New Roman"/>
        </w:rPr>
        <w:tab/>
        <w:t>.300</w:t>
      </w:r>
      <w:r w:rsidRPr="00022F29">
        <w:rPr>
          <w:rFonts w:ascii="Calibri" w:eastAsia="Calibri" w:hAnsi="Calibri" w:cs="Times New Roman"/>
        </w:rPr>
        <w:tab/>
        <w:t>1.006</w:t>
      </w:r>
    </w:p>
    <w:p w14:paraId="3416A92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7</w:t>
      </w:r>
      <w:r w:rsidRPr="00022F29">
        <w:rPr>
          <w:rFonts w:ascii="Calibri" w:eastAsia="Calibri" w:hAnsi="Calibri" w:cs="Times New Roman"/>
        </w:rPr>
        <w:tab/>
        <w:t>1.2%</w:t>
      </w:r>
      <w:r w:rsidRPr="00022F29">
        <w:rPr>
          <w:rFonts w:ascii="Calibri" w:eastAsia="Calibri" w:hAnsi="Calibri" w:cs="Times New Roman"/>
        </w:rPr>
        <w:tab/>
        <w:t>5.459</w:t>
      </w:r>
      <w:r w:rsidRPr="00022F29">
        <w:rPr>
          <w:rFonts w:ascii="Calibri" w:eastAsia="Calibri" w:hAnsi="Calibri" w:cs="Times New Roman"/>
        </w:rPr>
        <w:tab/>
        <w:t>0.9%</w:t>
      </w:r>
      <w:r w:rsidRPr="00022F29">
        <w:rPr>
          <w:rFonts w:ascii="Calibri" w:eastAsia="Calibri" w:hAnsi="Calibri" w:cs="Times New Roman"/>
        </w:rPr>
        <w:tab/>
        <w:t>1.541</w:t>
      </w:r>
      <w:r w:rsidRPr="00022F29">
        <w:rPr>
          <w:rFonts w:ascii="Calibri" w:eastAsia="Calibri" w:hAnsi="Calibri" w:cs="Times New Roman"/>
        </w:rPr>
        <w:tab/>
        <w:t>.662</w:t>
      </w:r>
      <w:r w:rsidRPr="00022F29">
        <w:rPr>
          <w:rFonts w:ascii="Calibri" w:eastAsia="Calibri" w:hAnsi="Calibri" w:cs="Times New Roman"/>
        </w:rPr>
        <w:tab/>
        <w:t>.688</w:t>
      </w:r>
      <w:r w:rsidRPr="00022F29">
        <w:rPr>
          <w:rFonts w:ascii="Calibri" w:eastAsia="Calibri" w:hAnsi="Calibri" w:cs="Times New Roman"/>
        </w:rPr>
        <w:tab/>
        <w:t>1.865</w:t>
      </w:r>
    </w:p>
    <w:p w14:paraId="6464294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6.903</w:t>
      </w:r>
      <w:r w:rsidRPr="00022F29">
        <w:rPr>
          <w:rFonts w:ascii="Calibri" w:eastAsia="Calibri" w:hAnsi="Calibri" w:cs="Times New Roman"/>
        </w:rPr>
        <w:tab/>
        <w:t>1.2%</w:t>
      </w:r>
      <w:r w:rsidRPr="00022F29">
        <w:rPr>
          <w:rFonts w:ascii="Calibri" w:eastAsia="Calibri" w:hAnsi="Calibri" w:cs="Times New Roman"/>
        </w:rPr>
        <w:tab/>
        <w:t>-5.903</w:t>
      </w:r>
      <w:r w:rsidRPr="00022F29">
        <w:rPr>
          <w:rFonts w:ascii="Calibri" w:eastAsia="Calibri" w:hAnsi="Calibri" w:cs="Times New Roman"/>
        </w:rPr>
        <w:tab/>
        <w:t>-2.260</w:t>
      </w:r>
      <w:r w:rsidRPr="00022F29">
        <w:rPr>
          <w:rFonts w:ascii="Calibri" w:eastAsia="Calibri" w:hAnsi="Calibri" w:cs="Times New Roman"/>
        </w:rPr>
        <w:tab/>
        <w:t>-2.367</w:t>
      </w:r>
      <w:r w:rsidRPr="00022F29">
        <w:rPr>
          <w:rFonts w:ascii="Calibri" w:eastAsia="Calibri" w:hAnsi="Calibri" w:cs="Times New Roman"/>
        </w:rPr>
        <w:tab/>
        <w:t>-1.966</w:t>
      </w:r>
    </w:p>
    <w:p w14:paraId="7190D9D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2</w:t>
      </w:r>
      <w:r w:rsidRPr="00022F29">
        <w:rPr>
          <w:rFonts w:ascii="Calibri" w:eastAsia="Calibri" w:hAnsi="Calibri" w:cs="Times New Roman"/>
        </w:rPr>
        <w:tab/>
        <w:t>0.3%</w:t>
      </w:r>
      <w:r w:rsidRPr="00022F29">
        <w:rPr>
          <w:rFonts w:ascii="Calibri" w:eastAsia="Calibri" w:hAnsi="Calibri" w:cs="Times New Roman"/>
        </w:rPr>
        <w:tab/>
        <w:t>6.535</w:t>
      </w:r>
      <w:r w:rsidRPr="00022F29">
        <w:rPr>
          <w:rFonts w:ascii="Calibri" w:eastAsia="Calibri" w:hAnsi="Calibri" w:cs="Times New Roman"/>
        </w:rPr>
        <w:tab/>
        <w:t>1.1%</w:t>
      </w:r>
      <w:r w:rsidRPr="00022F29">
        <w:rPr>
          <w:rFonts w:ascii="Calibri" w:eastAsia="Calibri" w:hAnsi="Calibri" w:cs="Times New Roman"/>
        </w:rPr>
        <w:tab/>
        <w:t>-4.535</w:t>
      </w:r>
      <w:r w:rsidRPr="00022F29">
        <w:rPr>
          <w:rFonts w:ascii="Calibri" w:eastAsia="Calibri" w:hAnsi="Calibri" w:cs="Times New Roman"/>
        </w:rPr>
        <w:tab/>
        <w:t>-1.784</w:t>
      </w:r>
      <w:r w:rsidRPr="00022F29">
        <w:rPr>
          <w:rFonts w:ascii="Calibri" w:eastAsia="Calibri" w:hAnsi="Calibri" w:cs="Times New Roman"/>
        </w:rPr>
        <w:tab/>
        <w:t>-1.865</w:t>
      </w:r>
      <w:r w:rsidRPr="00022F29">
        <w:rPr>
          <w:rFonts w:ascii="Calibri" w:eastAsia="Calibri" w:hAnsi="Calibri" w:cs="Times New Roman"/>
        </w:rPr>
        <w:tab/>
        <w:t>-2.176</w:t>
      </w:r>
    </w:p>
    <w:p w14:paraId="5D0204C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w:t>
      </w:r>
      <w:r w:rsidRPr="00022F29">
        <w:rPr>
          <w:rFonts w:ascii="Calibri" w:eastAsia="Calibri" w:hAnsi="Calibri" w:cs="Times New Roman"/>
        </w:rPr>
        <w:tab/>
        <w:t>0.8%</w:t>
      </w:r>
      <w:r w:rsidRPr="00022F29">
        <w:rPr>
          <w:rFonts w:ascii="Calibri" w:eastAsia="Calibri" w:hAnsi="Calibri" w:cs="Times New Roman"/>
        </w:rPr>
        <w:tab/>
        <w:t>8.263</w:t>
      </w:r>
      <w:r w:rsidRPr="00022F29">
        <w:rPr>
          <w:rFonts w:ascii="Calibri" w:eastAsia="Calibri" w:hAnsi="Calibri" w:cs="Times New Roman"/>
        </w:rPr>
        <w:tab/>
        <w:t>1.4%</w:t>
      </w:r>
      <w:r w:rsidRPr="00022F29">
        <w:rPr>
          <w:rFonts w:ascii="Calibri" w:eastAsia="Calibri" w:hAnsi="Calibri" w:cs="Times New Roman"/>
        </w:rPr>
        <w:tab/>
        <w:t>-3.263</w:t>
      </w:r>
      <w:r w:rsidRPr="00022F29">
        <w:rPr>
          <w:rFonts w:ascii="Calibri" w:eastAsia="Calibri" w:hAnsi="Calibri" w:cs="Times New Roman"/>
        </w:rPr>
        <w:tab/>
        <w:t>-1.143</w:t>
      </w:r>
      <w:r w:rsidRPr="00022F29">
        <w:rPr>
          <w:rFonts w:ascii="Calibri" w:eastAsia="Calibri" w:hAnsi="Calibri" w:cs="Times New Roman"/>
        </w:rPr>
        <w:tab/>
        <w:t>-1.205</w:t>
      </w:r>
      <w:r w:rsidRPr="00022F29">
        <w:rPr>
          <w:rFonts w:ascii="Calibri" w:eastAsia="Calibri" w:hAnsi="Calibri" w:cs="Times New Roman"/>
        </w:rPr>
        <w:tab/>
        <w:t>-2.241</w:t>
      </w:r>
    </w:p>
    <w:p w14:paraId="317DB03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4.751</w:t>
      </w:r>
      <w:r w:rsidRPr="00022F29">
        <w:rPr>
          <w:rFonts w:ascii="Calibri" w:eastAsia="Calibri" w:hAnsi="Calibri" w:cs="Times New Roman"/>
        </w:rPr>
        <w:tab/>
        <w:t>0.8%</w:t>
      </w:r>
      <w:r w:rsidRPr="00022F29">
        <w:rPr>
          <w:rFonts w:ascii="Calibri" w:eastAsia="Calibri" w:hAnsi="Calibri" w:cs="Times New Roman"/>
        </w:rPr>
        <w:tab/>
        <w:t>-3.751</w:t>
      </w:r>
      <w:r w:rsidRPr="00022F29">
        <w:rPr>
          <w:rFonts w:ascii="Calibri" w:eastAsia="Calibri" w:hAnsi="Calibri" w:cs="Times New Roman"/>
        </w:rPr>
        <w:tab/>
        <w:t>-1.728</w:t>
      </w:r>
      <w:r w:rsidRPr="00022F29">
        <w:rPr>
          <w:rFonts w:ascii="Calibri" w:eastAsia="Calibri" w:hAnsi="Calibri" w:cs="Times New Roman"/>
        </w:rPr>
        <w:tab/>
        <w:t>-1.789</w:t>
      </w:r>
      <w:r w:rsidRPr="00022F29">
        <w:rPr>
          <w:rFonts w:ascii="Calibri" w:eastAsia="Calibri" w:hAnsi="Calibri" w:cs="Times New Roman"/>
        </w:rPr>
        <w:tab/>
        <w:t>-1.765</w:t>
      </w:r>
    </w:p>
    <w:p w14:paraId="3DDD0B3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0.3%</w:t>
      </w:r>
      <w:r w:rsidRPr="00022F29">
        <w:rPr>
          <w:rFonts w:ascii="Calibri" w:eastAsia="Calibri" w:hAnsi="Calibri" w:cs="Times New Roman"/>
        </w:rPr>
        <w:tab/>
        <w:t>6.007</w:t>
      </w:r>
      <w:r w:rsidRPr="00022F29">
        <w:rPr>
          <w:rFonts w:ascii="Calibri" w:eastAsia="Calibri" w:hAnsi="Calibri" w:cs="Times New Roman"/>
        </w:rPr>
        <w:tab/>
        <w:t>1.0%</w:t>
      </w:r>
      <w:r w:rsidRPr="00022F29">
        <w:rPr>
          <w:rFonts w:ascii="Calibri" w:eastAsia="Calibri" w:hAnsi="Calibri" w:cs="Times New Roman"/>
        </w:rPr>
        <w:tab/>
        <w:t>-4.007</w:t>
      </w:r>
      <w:r w:rsidRPr="00022F29">
        <w:rPr>
          <w:rFonts w:ascii="Calibri" w:eastAsia="Calibri" w:hAnsi="Calibri" w:cs="Times New Roman"/>
        </w:rPr>
        <w:tab/>
        <w:t>-1.643</w:t>
      </w:r>
      <w:r w:rsidRPr="00022F29">
        <w:rPr>
          <w:rFonts w:ascii="Calibri" w:eastAsia="Calibri" w:hAnsi="Calibri" w:cs="Times New Roman"/>
        </w:rPr>
        <w:tab/>
        <w:t>-1.713</w:t>
      </w:r>
      <w:r w:rsidRPr="00022F29">
        <w:rPr>
          <w:rFonts w:ascii="Calibri" w:eastAsia="Calibri" w:hAnsi="Calibri" w:cs="Times New Roman"/>
        </w:rPr>
        <w:tab/>
        <w:t>-2.097</w:t>
      </w:r>
    </w:p>
    <w:p w14:paraId="6404E8E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5.687</w:t>
      </w:r>
      <w:r w:rsidRPr="00022F29">
        <w:rPr>
          <w:rFonts w:ascii="Calibri" w:eastAsia="Calibri" w:hAnsi="Calibri" w:cs="Times New Roman"/>
        </w:rPr>
        <w:tab/>
        <w:t>1.0%</w:t>
      </w:r>
      <w:r w:rsidRPr="00022F29">
        <w:rPr>
          <w:rFonts w:ascii="Calibri" w:eastAsia="Calibri" w:hAnsi="Calibri" w:cs="Times New Roman"/>
        </w:rPr>
        <w:tab/>
        <w:t>-4.687</w:t>
      </w:r>
      <w:r w:rsidRPr="00022F29">
        <w:rPr>
          <w:rFonts w:ascii="Calibri" w:eastAsia="Calibri" w:hAnsi="Calibri" w:cs="Times New Roman"/>
        </w:rPr>
        <w:tab/>
        <w:t>-1.975</w:t>
      </w:r>
      <w:r w:rsidRPr="00022F29">
        <w:rPr>
          <w:rFonts w:ascii="Calibri" w:eastAsia="Calibri" w:hAnsi="Calibri" w:cs="Times New Roman"/>
        </w:rPr>
        <w:tab/>
        <w:t>-2.055</w:t>
      </w:r>
      <w:r w:rsidRPr="00022F29">
        <w:rPr>
          <w:rFonts w:ascii="Calibri" w:eastAsia="Calibri" w:hAnsi="Calibri" w:cs="Times New Roman"/>
        </w:rPr>
        <w:tab/>
        <w:t>-1.865</w:t>
      </w:r>
    </w:p>
    <w:p w14:paraId="2B685D5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9</w:t>
      </w:r>
      <w:r w:rsidRPr="00022F29">
        <w:rPr>
          <w:rFonts w:ascii="Calibri" w:eastAsia="Calibri" w:hAnsi="Calibri" w:cs="Times New Roman"/>
        </w:rPr>
        <w:tab/>
        <w:t>1.5%</w:t>
      </w:r>
      <w:r w:rsidRPr="00022F29">
        <w:rPr>
          <w:rFonts w:ascii="Calibri" w:eastAsia="Calibri" w:hAnsi="Calibri" w:cs="Times New Roman"/>
        </w:rPr>
        <w:tab/>
        <w:t>7.191</w:t>
      </w:r>
      <w:r w:rsidRPr="00022F29">
        <w:rPr>
          <w:rFonts w:ascii="Calibri" w:eastAsia="Calibri" w:hAnsi="Calibri" w:cs="Times New Roman"/>
        </w:rPr>
        <w:tab/>
        <w:t>1.2%</w:t>
      </w:r>
      <w:r w:rsidRPr="00022F29">
        <w:rPr>
          <w:rFonts w:ascii="Calibri" w:eastAsia="Calibri" w:hAnsi="Calibri" w:cs="Times New Roman"/>
        </w:rPr>
        <w:tab/>
        <w:t>1.809</w:t>
      </w:r>
      <w:r w:rsidRPr="00022F29">
        <w:rPr>
          <w:rFonts w:ascii="Calibri" w:eastAsia="Calibri" w:hAnsi="Calibri" w:cs="Times New Roman"/>
        </w:rPr>
        <w:tab/>
        <w:t>.679</w:t>
      </w:r>
      <w:r w:rsidRPr="00022F29">
        <w:rPr>
          <w:rFonts w:ascii="Calibri" w:eastAsia="Calibri" w:hAnsi="Calibri" w:cs="Times New Roman"/>
        </w:rPr>
        <w:tab/>
        <w:t>.712</w:t>
      </w:r>
      <w:r w:rsidRPr="00022F29">
        <w:rPr>
          <w:rFonts w:ascii="Calibri" w:eastAsia="Calibri" w:hAnsi="Calibri" w:cs="Times New Roman"/>
        </w:rPr>
        <w:tab/>
        <w:t>2.010</w:t>
      </w:r>
    </w:p>
    <w:p w14:paraId="5DD1572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0.0%</w:t>
      </w:r>
      <w:r w:rsidRPr="00022F29">
        <w:rPr>
          <w:rFonts w:ascii="Calibri" w:eastAsia="Calibri" w:hAnsi="Calibri" w:cs="Times New Roman"/>
        </w:rPr>
        <w:tab/>
        <w:t>2.267</w:t>
      </w:r>
      <w:r w:rsidRPr="00022F29">
        <w:rPr>
          <w:rFonts w:ascii="Calibri" w:eastAsia="Calibri" w:hAnsi="Calibri" w:cs="Times New Roman"/>
        </w:rPr>
        <w:tab/>
        <w:t>0.4%</w:t>
      </w:r>
      <w:r w:rsidRPr="00022F29">
        <w:rPr>
          <w:rFonts w:ascii="Calibri" w:eastAsia="Calibri" w:hAnsi="Calibri" w:cs="Times New Roman"/>
        </w:rPr>
        <w:tab/>
        <w:t>-2.267</w:t>
      </w:r>
      <w:r w:rsidRPr="00022F29">
        <w:rPr>
          <w:rFonts w:ascii="Calibri" w:eastAsia="Calibri" w:hAnsi="Calibri" w:cs="Times New Roman"/>
        </w:rPr>
        <w:tab/>
        <w:t>-1.509</w:t>
      </w:r>
      <w:r w:rsidRPr="00022F29">
        <w:rPr>
          <w:rFonts w:ascii="Calibri" w:eastAsia="Calibri" w:hAnsi="Calibri" w:cs="Times New Roman"/>
        </w:rPr>
        <w:tab/>
        <w:t>-1.538</w:t>
      </w:r>
      <w:r w:rsidRPr="00022F29">
        <w:rPr>
          <w:rFonts w:ascii="Calibri" w:eastAsia="Calibri" w:hAnsi="Calibri" w:cs="Times New Roman"/>
        </w:rPr>
        <w:tab/>
        <w:t>.000</w:t>
      </w:r>
    </w:p>
    <w:p w14:paraId="430A364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0.0%</w:t>
      </w:r>
      <w:r w:rsidRPr="00022F29">
        <w:rPr>
          <w:rFonts w:ascii="Calibri" w:eastAsia="Calibri" w:hAnsi="Calibri" w:cs="Times New Roman"/>
        </w:rPr>
        <w:tab/>
        <w:t>2.867</w:t>
      </w:r>
      <w:r w:rsidRPr="00022F29">
        <w:rPr>
          <w:rFonts w:ascii="Calibri" w:eastAsia="Calibri" w:hAnsi="Calibri" w:cs="Times New Roman"/>
        </w:rPr>
        <w:tab/>
        <w:t>0.5%</w:t>
      </w:r>
      <w:r w:rsidRPr="00022F29">
        <w:rPr>
          <w:rFonts w:ascii="Calibri" w:eastAsia="Calibri" w:hAnsi="Calibri" w:cs="Times New Roman"/>
        </w:rPr>
        <w:tab/>
        <w:t>-2.867</w:t>
      </w:r>
      <w:r w:rsidRPr="00022F29">
        <w:rPr>
          <w:rFonts w:ascii="Calibri" w:eastAsia="Calibri" w:hAnsi="Calibri" w:cs="Times New Roman"/>
        </w:rPr>
        <w:tab/>
        <w:t>-1.697</w:t>
      </w:r>
      <w:r w:rsidRPr="00022F29">
        <w:rPr>
          <w:rFonts w:ascii="Calibri" w:eastAsia="Calibri" w:hAnsi="Calibri" w:cs="Times New Roman"/>
        </w:rPr>
        <w:tab/>
        <w:t>-1.737</w:t>
      </w:r>
      <w:r w:rsidRPr="00022F29">
        <w:rPr>
          <w:rFonts w:ascii="Calibri" w:eastAsia="Calibri" w:hAnsi="Calibri" w:cs="Times New Roman"/>
        </w:rPr>
        <w:tab/>
        <w:t>.000</w:t>
      </w:r>
    </w:p>
    <w:p w14:paraId="79D064C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0.0%</w:t>
      </w:r>
      <w:r w:rsidRPr="00022F29">
        <w:rPr>
          <w:rFonts w:ascii="Calibri" w:eastAsia="Calibri" w:hAnsi="Calibri" w:cs="Times New Roman"/>
        </w:rPr>
        <w:tab/>
        <w:t>2.714</w:t>
      </w:r>
      <w:r w:rsidRPr="00022F29">
        <w:rPr>
          <w:rFonts w:ascii="Calibri" w:eastAsia="Calibri" w:hAnsi="Calibri" w:cs="Times New Roman"/>
        </w:rPr>
        <w:tab/>
        <w:t>0.5%</w:t>
      </w:r>
      <w:r w:rsidRPr="00022F29">
        <w:rPr>
          <w:rFonts w:ascii="Calibri" w:eastAsia="Calibri" w:hAnsi="Calibri" w:cs="Times New Roman"/>
        </w:rPr>
        <w:tab/>
        <w:t>-2.714</w:t>
      </w:r>
      <w:r w:rsidRPr="00022F29">
        <w:rPr>
          <w:rFonts w:ascii="Calibri" w:eastAsia="Calibri" w:hAnsi="Calibri" w:cs="Times New Roman"/>
        </w:rPr>
        <w:tab/>
        <w:t>-1.651</w:t>
      </w:r>
      <w:r w:rsidRPr="00022F29">
        <w:rPr>
          <w:rFonts w:ascii="Calibri" w:eastAsia="Calibri" w:hAnsi="Calibri" w:cs="Times New Roman"/>
        </w:rPr>
        <w:tab/>
        <w:t>-1.688</w:t>
      </w:r>
      <w:r w:rsidRPr="00022F29">
        <w:rPr>
          <w:rFonts w:ascii="Calibri" w:eastAsia="Calibri" w:hAnsi="Calibri" w:cs="Times New Roman"/>
        </w:rPr>
        <w:tab/>
        <w:t>.000</w:t>
      </w:r>
    </w:p>
    <w:p w14:paraId="4AB8231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3.432</w:t>
      </w:r>
      <w:r w:rsidRPr="00022F29">
        <w:rPr>
          <w:rFonts w:ascii="Calibri" w:eastAsia="Calibri" w:hAnsi="Calibri" w:cs="Times New Roman"/>
        </w:rPr>
        <w:tab/>
        <w:t>0.6%</w:t>
      </w:r>
      <w:r w:rsidRPr="00022F29">
        <w:rPr>
          <w:rFonts w:ascii="Calibri" w:eastAsia="Calibri" w:hAnsi="Calibri" w:cs="Times New Roman"/>
        </w:rPr>
        <w:tab/>
        <w:t>-2.432</w:t>
      </w:r>
      <w:r w:rsidRPr="00022F29">
        <w:rPr>
          <w:rFonts w:ascii="Calibri" w:eastAsia="Calibri" w:hAnsi="Calibri" w:cs="Times New Roman"/>
        </w:rPr>
        <w:tab/>
        <w:t>-1.317</w:t>
      </w:r>
      <w:r w:rsidRPr="00022F29">
        <w:rPr>
          <w:rFonts w:ascii="Calibri" w:eastAsia="Calibri" w:hAnsi="Calibri" w:cs="Times New Roman"/>
        </w:rPr>
        <w:tab/>
        <w:t>-1.352</w:t>
      </w:r>
      <w:r w:rsidRPr="00022F29">
        <w:rPr>
          <w:rFonts w:ascii="Calibri" w:eastAsia="Calibri" w:hAnsi="Calibri" w:cs="Times New Roman"/>
        </w:rPr>
        <w:tab/>
        <w:t>-1.570</w:t>
      </w:r>
    </w:p>
    <w:p w14:paraId="1526940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1.973</w:t>
      </w:r>
      <w:r w:rsidRPr="00022F29">
        <w:rPr>
          <w:rFonts w:ascii="Calibri" w:eastAsia="Calibri" w:hAnsi="Calibri" w:cs="Times New Roman"/>
        </w:rPr>
        <w:tab/>
        <w:t>0.3%</w:t>
      </w:r>
      <w:r w:rsidRPr="00022F29">
        <w:rPr>
          <w:rFonts w:ascii="Calibri" w:eastAsia="Calibri" w:hAnsi="Calibri" w:cs="Times New Roman"/>
        </w:rPr>
        <w:tab/>
        <w:t>-.973</w:t>
      </w:r>
      <w:r w:rsidRPr="00022F29">
        <w:rPr>
          <w:rFonts w:ascii="Calibri" w:eastAsia="Calibri" w:hAnsi="Calibri" w:cs="Times New Roman"/>
        </w:rPr>
        <w:tab/>
        <w:t>-.694</w:t>
      </w:r>
      <w:r w:rsidRPr="00022F29">
        <w:rPr>
          <w:rFonts w:ascii="Calibri" w:eastAsia="Calibri" w:hAnsi="Calibri" w:cs="Times New Roman"/>
        </w:rPr>
        <w:tab/>
        <w:t>-.706</w:t>
      </w:r>
      <w:r w:rsidRPr="00022F29">
        <w:rPr>
          <w:rFonts w:ascii="Calibri" w:eastAsia="Calibri" w:hAnsi="Calibri" w:cs="Times New Roman"/>
        </w:rPr>
        <w:tab/>
        <w:t>-1.166</w:t>
      </w:r>
    </w:p>
    <w:p w14:paraId="0408A6C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0.0%</w:t>
      </w:r>
      <w:r w:rsidRPr="00022F29">
        <w:rPr>
          <w:rFonts w:ascii="Calibri" w:eastAsia="Calibri" w:hAnsi="Calibri" w:cs="Times New Roman"/>
        </w:rPr>
        <w:tab/>
        <w:t>2.495</w:t>
      </w:r>
      <w:r w:rsidRPr="00022F29">
        <w:rPr>
          <w:rFonts w:ascii="Calibri" w:eastAsia="Calibri" w:hAnsi="Calibri" w:cs="Times New Roman"/>
        </w:rPr>
        <w:tab/>
        <w:t>0.4%</w:t>
      </w:r>
      <w:r w:rsidRPr="00022F29">
        <w:rPr>
          <w:rFonts w:ascii="Calibri" w:eastAsia="Calibri" w:hAnsi="Calibri" w:cs="Times New Roman"/>
        </w:rPr>
        <w:tab/>
        <w:t>-2.495</w:t>
      </w:r>
      <w:r w:rsidRPr="00022F29">
        <w:rPr>
          <w:rFonts w:ascii="Calibri" w:eastAsia="Calibri" w:hAnsi="Calibri" w:cs="Times New Roman"/>
        </w:rPr>
        <w:tab/>
        <w:t>-1.583</w:t>
      </w:r>
      <w:r w:rsidRPr="00022F29">
        <w:rPr>
          <w:rFonts w:ascii="Calibri" w:eastAsia="Calibri" w:hAnsi="Calibri" w:cs="Times New Roman"/>
        </w:rPr>
        <w:tab/>
        <w:t>-1.616</w:t>
      </w:r>
      <w:r w:rsidRPr="00022F29">
        <w:rPr>
          <w:rFonts w:ascii="Calibri" w:eastAsia="Calibri" w:hAnsi="Calibri" w:cs="Times New Roman"/>
        </w:rPr>
        <w:tab/>
        <w:t>.000</w:t>
      </w:r>
    </w:p>
    <w:p w14:paraId="5AF2236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2.362</w:t>
      </w:r>
      <w:r w:rsidRPr="00022F29">
        <w:rPr>
          <w:rFonts w:ascii="Calibri" w:eastAsia="Calibri" w:hAnsi="Calibri" w:cs="Times New Roman"/>
        </w:rPr>
        <w:tab/>
        <w:t>0.4%</w:t>
      </w:r>
      <w:r w:rsidRPr="00022F29">
        <w:rPr>
          <w:rFonts w:ascii="Calibri" w:eastAsia="Calibri" w:hAnsi="Calibri" w:cs="Times New Roman"/>
        </w:rPr>
        <w:tab/>
        <w:t>-1.362</w:t>
      </w:r>
      <w:r w:rsidRPr="00022F29">
        <w:rPr>
          <w:rFonts w:ascii="Calibri" w:eastAsia="Calibri" w:hAnsi="Calibri" w:cs="Times New Roman"/>
        </w:rPr>
        <w:tab/>
        <w:t>-.888</w:t>
      </w:r>
      <w:r w:rsidRPr="00022F29">
        <w:rPr>
          <w:rFonts w:ascii="Calibri" w:eastAsia="Calibri" w:hAnsi="Calibri" w:cs="Times New Roman"/>
        </w:rPr>
        <w:tab/>
        <w:t>-.906</w:t>
      </w:r>
      <w:r w:rsidRPr="00022F29">
        <w:rPr>
          <w:rFonts w:ascii="Calibri" w:eastAsia="Calibri" w:hAnsi="Calibri" w:cs="Times New Roman"/>
        </w:rPr>
        <w:tab/>
        <w:t>-1.311</w:t>
      </w:r>
    </w:p>
    <w:p w14:paraId="16446EA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0.3%</w:t>
      </w:r>
      <w:r w:rsidRPr="00022F29">
        <w:rPr>
          <w:rFonts w:ascii="Calibri" w:eastAsia="Calibri" w:hAnsi="Calibri" w:cs="Times New Roman"/>
        </w:rPr>
        <w:tab/>
        <w:t>2.987</w:t>
      </w:r>
      <w:r w:rsidRPr="00022F29">
        <w:rPr>
          <w:rFonts w:ascii="Calibri" w:eastAsia="Calibri" w:hAnsi="Calibri" w:cs="Times New Roman"/>
        </w:rPr>
        <w:tab/>
        <w:t>0.5%</w:t>
      </w:r>
      <w:r w:rsidRPr="00022F29">
        <w:rPr>
          <w:rFonts w:ascii="Calibri" w:eastAsia="Calibri" w:hAnsi="Calibri" w:cs="Times New Roman"/>
        </w:rPr>
        <w:tab/>
        <w:t>-.987</w:t>
      </w:r>
      <w:r w:rsidRPr="00022F29">
        <w:rPr>
          <w:rFonts w:ascii="Calibri" w:eastAsia="Calibri" w:hAnsi="Calibri" w:cs="Times New Roman"/>
        </w:rPr>
        <w:tab/>
        <w:t>-.572</w:t>
      </w:r>
      <w:r w:rsidRPr="00022F29">
        <w:rPr>
          <w:rFonts w:ascii="Calibri" w:eastAsia="Calibri" w:hAnsi="Calibri" w:cs="Times New Roman"/>
        </w:rPr>
        <w:tab/>
        <w:t>-.586</w:t>
      </w:r>
      <w:r w:rsidRPr="00022F29">
        <w:rPr>
          <w:rFonts w:ascii="Calibri" w:eastAsia="Calibri" w:hAnsi="Calibri" w:cs="Times New Roman"/>
        </w:rPr>
        <w:tab/>
        <w:t>-1.266</w:t>
      </w:r>
    </w:p>
    <w:p w14:paraId="5A5690E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7</w:t>
      </w:r>
      <w:r w:rsidRPr="00022F29">
        <w:rPr>
          <w:rFonts w:ascii="Calibri" w:eastAsia="Calibri" w:hAnsi="Calibri" w:cs="Times New Roman"/>
        </w:rPr>
        <w:tab/>
        <w:t>1.2%</w:t>
      </w:r>
      <w:r w:rsidRPr="00022F29">
        <w:rPr>
          <w:rFonts w:ascii="Calibri" w:eastAsia="Calibri" w:hAnsi="Calibri" w:cs="Times New Roman"/>
        </w:rPr>
        <w:tab/>
        <w:t>6.434</w:t>
      </w:r>
      <w:r w:rsidRPr="00022F29">
        <w:rPr>
          <w:rFonts w:ascii="Calibri" w:eastAsia="Calibri" w:hAnsi="Calibri" w:cs="Times New Roman"/>
        </w:rPr>
        <w:tab/>
        <w:t>1.1%</w:t>
      </w:r>
      <w:r w:rsidRPr="00022F29">
        <w:rPr>
          <w:rFonts w:ascii="Calibri" w:eastAsia="Calibri" w:hAnsi="Calibri" w:cs="Times New Roman"/>
        </w:rPr>
        <w:tab/>
        <w:t>.566</w:t>
      </w:r>
      <w:r w:rsidRPr="00022F29">
        <w:rPr>
          <w:rFonts w:ascii="Calibri" w:eastAsia="Calibri" w:hAnsi="Calibri" w:cs="Times New Roman"/>
        </w:rPr>
        <w:tab/>
        <w:t>.224</w:t>
      </w:r>
      <w:r w:rsidRPr="00022F29">
        <w:rPr>
          <w:rFonts w:ascii="Calibri" w:eastAsia="Calibri" w:hAnsi="Calibri" w:cs="Times New Roman"/>
        </w:rPr>
        <w:tab/>
        <w:t>.234</w:t>
      </w:r>
      <w:r w:rsidRPr="00022F29">
        <w:rPr>
          <w:rFonts w:ascii="Calibri" w:eastAsia="Calibri" w:hAnsi="Calibri" w:cs="Times New Roman"/>
        </w:rPr>
        <w:tab/>
        <w:t>1.086</w:t>
      </w:r>
    </w:p>
    <w:p w14:paraId="4602C92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3</w:t>
      </w:r>
      <w:r w:rsidRPr="00022F29">
        <w:rPr>
          <w:rFonts w:ascii="Calibri" w:eastAsia="Calibri" w:hAnsi="Calibri" w:cs="Times New Roman"/>
        </w:rPr>
        <w:tab/>
        <w:t>0.5%</w:t>
      </w:r>
      <w:r w:rsidRPr="00022F29">
        <w:rPr>
          <w:rFonts w:ascii="Calibri" w:eastAsia="Calibri" w:hAnsi="Calibri" w:cs="Times New Roman"/>
        </w:rPr>
        <w:tab/>
        <w:t>8.135</w:t>
      </w:r>
      <w:r w:rsidRPr="00022F29">
        <w:rPr>
          <w:rFonts w:ascii="Calibri" w:eastAsia="Calibri" w:hAnsi="Calibri" w:cs="Times New Roman"/>
        </w:rPr>
        <w:tab/>
        <w:t>1.4%</w:t>
      </w:r>
      <w:r w:rsidRPr="00022F29">
        <w:rPr>
          <w:rFonts w:ascii="Calibri" w:eastAsia="Calibri" w:hAnsi="Calibri" w:cs="Times New Roman"/>
        </w:rPr>
        <w:tab/>
        <w:t>-5.135</w:t>
      </w:r>
      <w:r w:rsidRPr="00022F29">
        <w:rPr>
          <w:rFonts w:ascii="Calibri" w:eastAsia="Calibri" w:hAnsi="Calibri" w:cs="Times New Roman"/>
        </w:rPr>
        <w:tab/>
        <w:t>-1.813</w:t>
      </w:r>
      <w:r w:rsidRPr="00022F29">
        <w:rPr>
          <w:rFonts w:ascii="Calibri" w:eastAsia="Calibri" w:hAnsi="Calibri" w:cs="Times New Roman"/>
        </w:rPr>
        <w:tab/>
        <w:t>-1.906</w:t>
      </w:r>
      <w:r w:rsidRPr="00022F29">
        <w:rPr>
          <w:rFonts w:ascii="Calibri" w:eastAsia="Calibri" w:hAnsi="Calibri" w:cs="Times New Roman"/>
        </w:rPr>
        <w:tab/>
        <w:t>-2.447</w:t>
      </w:r>
    </w:p>
    <w:p w14:paraId="73EB12E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3</w:t>
      </w:r>
      <w:r w:rsidRPr="00022F29">
        <w:rPr>
          <w:rFonts w:ascii="Calibri" w:eastAsia="Calibri" w:hAnsi="Calibri" w:cs="Times New Roman"/>
        </w:rPr>
        <w:tab/>
        <w:t>0.5%</w:t>
      </w:r>
      <w:r w:rsidRPr="00022F29">
        <w:rPr>
          <w:rFonts w:ascii="Calibri" w:eastAsia="Calibri" w:hAnsi="Calibri" w:cs="Times New Roman"/>
        </w:rPr>
        <w:tab/>
        <w:t>7.702</w:t>
      </w:r>
      <w:r w:rsidRPr="00022F29">
        <w:rPr>
          <w:rFonts w:ascii="Calibri" w:eastAsia="Calibri" w:hAnsi="Calibri" w:cs="Times New Roman"/>
        </w:rPr>
        <w:tab/>
        <w:t>1.3%</w:t>
      </w:r>
      <w:r w:rsidRPr="00022F29">
        <w:rPr>
          <w:rFonts w:ascii="Calibri" w:eastAsia="Calibri" w:hAnsi="Calibri" w:cs="Times New Roman"/>
        </w:rPr>
        <w:tab/>
        <w:t>-4.702</w:t>
      </w:r>
      <w:r w:rsidRPr="00022F29">
        <w:rPr>
          <w:rFonts w:ascii="Calibri" w:eastAsia="Calibri" w:hAnsi="Calibri" w:cs="Times New Roman"/>
        </w:rPr>
        <w:tab/>
        <w:t>-1.705</w:t>
      </w:r>
      <w:r w:rsidRPr="00022F29">
        <w:rPr>
          <w:rFonts w:ascii="Calibri" w:eastAsia="Calibri" w:hAnsi="Calibri" w:cs="Times New Roman"/>
        </w:rPr>
        <w:tab/>
        <w:t>-1.789</w:t>
      </w:r>
      <w:r w:rsidRPr="00022F29">
        <w:rPr>
          <w:rFonts w:ascii="Calibri" w:eastAsia="Calibri" w:hAnsi="Calibri" w:cs="Times New Roman"/>
        </w:rPr>
        <w:tab/>
        <w:t>-2.379</w:t>
      </w:r>
    </w:p>
    <w:p w14:paraId="1C4174A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6</w:t>
      </w:r>
      <w:r w:rsidRPr="00022F29">
        <w:rPr>
          <w:rFonts w:ascii="Calibri" w:eastAsia="Calibri" w:hAnsi="Calibri" w:cs="Times New Roman"/>
        </w:rPr>
        <w:tab/>
        <w:t>1.0%</w:t>
      </w:r>
      <w:r w:rsidRPr="00022F29">
        <w:rPr>
          <w:rFonts w:ascii="Calibri" w:eastAsia="Calibri" w:hAnsi="Calibri" w:cs="Times New Roman"/>
        </w:rPr>
        <w:tab/>
        <w:t>9.738</w:t>
      </w:r>
      <w:r w:rsidRPr="00022F29">
        <w:rPr>
          <w:rFonts w:ascii="Calibri" w:eastAsia="Calibri" w:hAnsi="Calibri" w:cs="Times New Roman"/>
        </w:rPr>
        <w:tab/>
        <w:t>1.6%</w:t>
      </w:r>
      <w:r w:rsidRPr="00022F29">
        <w:rPr>
          <w:rFonts w:ascii="Calibri" w:eastAsia="Calibri" w:hAnsi="Calibri" w:cs="Times New Roman"/>
        </w:rPr>
        <w:tab/>
        <w:t>-3.738</w:t>
      </w:r>
      <w:r w:rsidRPr="00022F29">
        <w:rPr>
          <w:rFonts w:ascii="Calibri" w:eastAsia="Calibri" w:hAnsi="Calibri" w:cs="Times New Roman"/>
        </w:rPr>
        <w:tab/>
        <w:t>-1.208</w:t>
      </w:r>
      <w:r w:rsidRPr="00022F29">
        <w:rPr>
          <w:rFonts w:ascii="Calibri" w:eastAsia="Calibri" w:hAnsi="Calibri" w:cs="Times New Roman"/>
        </w:rPr>
        <w:tab/>
        <w:t>-1.279</w:t>
      </w:r>
      <w:r w:rsidRPr="00022F29">
        <w:rPr>
          <w:rFonts w:ascii="Calibri" w:eastAsia="Calibri" w:hAnsi="Calibri" w:cs="Times New Roman"/>
        </w:rPr>
        <w:tab/>
        <w:t>-2.411</w:t>
      </w:r>
    </w:p>
    <w:p w14:paraId="1623DAE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4</w:t>
      </w:r>
      <w:r w:rsidRPr="00022F29">
        <w:rPr>
          <w:rFonts w:ascii="Calibri" w:eastAsia="Calibri" w:hAnsi="Calibri" w:cs="Times New Roman"/>
        </w:rPr>
        <w:tab/>
        <w:t>0.7%</w:t>
      </w:r>
      <w:r w:rsidRPr="00022F29">
        <w:rPr>
          <w:rFonts w:ascii="Calibri" w:eastAsia="Calibri" w:hAnsi="Calibri" w:cs="Times New Roman"/>
        </w:rPr>
        <w:tab/>
        <w:t>5.600</w:t>
      </w:r>
      <w:r w:rsidRPr="00022F29">
        <w:rPr>
          <w:rFonts w:ascii="Calibri" w:eastAsia="Calibri" w:hAnsi="Calibri" w:cs="Times New Roman"/>
        </w:rPr>
        <w:tab/>
        <w:t>0.9%</w:t>
      </w:r>
      <w:r w:rsidRPr="00022F29">
        <w:rPr>
          <w:rFonts w:ascii="Calibri" w:eastAsia="Calibri" w:hAnsi="Calibri" w:cs="Times New Roman"/>
        </w:rPr>
        <w:tab/>
        <w:t>-1.600</w:t>
      </w:r>
      <w:r w:rsidRPr="00022F29">
        <w:rPr>
          <w:rFonts w:ascii="Calibri" w:eastAsia="Calibri" w:hAnsi="Calibri" w:cs="Times New Roman"/>
        </w:rPr>
        <w:tab/>
        <w:t>-.679</w:t>
      </w:r>
      <w:r w:rsidRPr="00022F29">
        <w:rPr>
          <w:rFonts w:ascii="Calibri" w:eastAsia="Calibri" w:hAnsi="Calibri" w:cs="Times New Roman"/>
        </w:rPr>
        <w:tab/>
        <w:t>-.705</w:t>
      </w:r>
      <w:r w:rsidRPr="00022F29">
        <w:rPr>
          <w:rFonts w:ascii="Calibri" w:eastAsia="Calibri" w:hAnsi="Calibri" w:cs="Times New Roman"/>
        </w:rPr>
        <w:tab/>
        <w:t>-1.640</w:t>
      </w:r>
    </w:p>
    <w:p w14:paraId="7891429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0.3%</w:t>
      </w:r>
      <w:r w:rsidRPr="00022F29">
        <w:rPr>
          <w:rFonts w:ascii="Calibri" w:eastAsia="Calibri" w:hAnsi="Calibri" w:cs="Times New Roman"/>
        </w:rPr>
        <w:tab/>
        <w:t>7.080</w:t>
      </w:r>
      <w:r w:rsidRPr="00022F29">
        <w:rPr>
          <w:rFonts w:ascii="Calibri" w:eastAsia="Calibri" w:hAnsi="Calibri" w:cs="Times New Roman"/>
        </w:rPr>
        <w:tab/>
        <w:t>1.2%</w:t>
      </w:r>
      <w:r w:rsidRPr="00022F29">
        <w:rPr>
          <w:rFonts w:ascii="Calibri" w:eastAsia="Calibri" w:hAnsi="Calibri" w:cs="Times New Roman"/>
        </w:rPr>
        <w:tab/>
        <w:t>-5.080</w:t>
      </w:r>
      <w:r w:rsidRPr="00022F29">
        <w:rPr>
          <w:rFonts w:ascii="Calibri" w:eastAsia="Calibri" w:hAnsi="Calibri" w:cs="Times New Roman"/>
        </w:rPr>
        <w:tab/>
        <w:t>-1.921</w:t>
      </w:r>
      <w:r w:rsidRPr="00022F29">
        <w:rPr>
          <w:rFonts w:ascii="Calibri" w:eastAsia="Calibri" w:hAnsi="Calibri" w:cs="Times New Roman"/>
        </w:rPr>
        <w:tab/>
        <w:t>-2.009</w:t>
      </w:r>
      <w:r w:rsidRPr="00022F29">
        <w:rPr>
          <w:rFonts w:ascii="Calibri" w:eastAsia="Calibri" w:hAnsi="Calibri" w:cs="Times New Roman"/>
        </w:rPr>
        <w:tab/>
        <w:t>-2.249</w:t>
      </w:r>
    </w:p>
    <w:p w14:paraId="77B41B3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6.703</w:t>
      </w:r>
      <w:r w:rsidRPr="00022F29">
        <w:rPr>
          <w:rFonts w:ascii="Calibri" w:eastAsia="Calibri" w:hAnsi="Calibri" w:cs="Times New Roman"/>
        </w:rPr>
        <w:tab/>
        <w:t>1.1%</w:t>
      </w:r>
      <w:r w:rsidRPr="00022F29">
        <w:rPr>
          <w:rFonts w:ascii="Calibri" w:eastAsia="Calibri" w:hAnsi="Calibri" w:cs="Times New Roman"/>
        </w:rPr>
        <w:tab/>
        <w:t>-5.703</w:t>
      </w:r>
      <w:r w:rsidRPr="00022F29">
        <w:rPr>
          <w:rFonts w:ascii="Calibri" w:eastAsia="Calibri" w:hAnsi="Calibri" w:cs="Times New Roman"/>
        </w:rPr>
        <w:tab/>
        <w:t>-2.215</w:t>
      </w:r>
      <w:r w:rsidRPr="00022F29">
        <w:rPr>
          <w:rFonts w:ascii="Calibri" w:eastAsia="Calibri" w:hAnsi="Calibri" w:cs="Times New Roman"/>
        </w:rPr>
        <w:tab/>
        <w:t>-2.313</w:t>
      </w:r>
      <w:r w:rsidRPr="00022F29">
        <w:rPr>
          <w:rFonts w:ascii="Calibri" w:eastAsia="Calibri" w:hAnsi="Calibri" w:cs="Times New Roman"/>
        </w:rPr>
        <w:tab/>
        <w:t>-1.951</w:t>
      </w:r>
    </w:p>
    <w:p w14:paraId="53857CD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w:t>
      </w:r>
      <w:r w:rsidRPr="00022F29">
        <w:rPr>
          <w:rFonts w:ascii="Calibri" w:eastAsia="Calibri" w:hAnsi="Calibri" w:cs="Times New Roman"/>
        </w:rPr>
        <w:tab/>
        <w:t>0.8%</w:t>
      </w:r>
      <w:r w:rsidRPr="00022F29">
        <w:rPr>
          <w:rFonts w:ascii="Calibri" w:eastAsia="Calibri" w:hAnsi="Calibri" w:cs="Times New Roman"/>
        </w:rPr>
        <w:tab/>
        <w:t>8.475</w:t>
      </w:r>
      <w:r w:rsidRPr="00022F29">
        <w:rPr>
          <w:rFonts w:ascii="Calibri" w:eastAsia="Calibri" w:hAnsi="Calibri" w:cs="Times New Roman"/>
        </w:rPr>
        <w:tab/>
        <w:t>1.4%</w:t>
      </w:r>
      <w:r w:rsidRPr="00022F29">
        <w:rPr>
          <w:rFonts w:ascii="Calibri" w:eastAsia="Calibri" w:hAnsi="Calibri" w:cs="Times New Roman"/>
        </w:rPr>
        <w:tab/>
        <w:t>-3.475</w:t>
      </w:r>
      <w:r w:rsidRPr="00022F29">
        <w:rPr>
          <w:rFonts w:ascii="Calibri" w:eastAsia="Calibri" w:hAnsi="Calibri" w:cs="Times New Roman"/>
        </w:rPr>
        <w:tab/>
        <w:t>-1.202</w:t>
      </w:r>
      <w:r w:rsidRPr="00022F29">
        <w:rPr>
          <w:rFonts w:ascii="Calibri" w:eastAsia="Calibri" w:hAnsi="Calibri" w:cs="Times New Roman"/>
        </w:rPr>
        <w:tab/>
        <w:t>-1.266</w:t>
      </w:r>
      <w:r w:rsidRPr="00022F29">
        <w:rPr>
          <w:rFonts w:ascii="Calibri" w:eastAsia="Calibri" w:hAnsi="Calibri" w:cs="Times New Roman"/>
        </w:rPr>
        <w:tab/>
        <w:t>-2.297</w:t>
      </w:r>
    </w:p>
    <w:p w14:paraId="4312952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1</w:t>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0.0%</w:t>
      </w:r>
      <w:r w:rsidRPr="00022F29">
        <w:rPr>
          <w:rFonts w:ascii="Calibri" w:eastAsia="Calibri" w:hAnsi="Calibri" w:cs="Times New Roman"/>
        </w:rPr>
        <w:tab/>
        <w:t>1.997</w:t>
      </w:r>
      <w:r w:rsidRPr="00022F29">
        <w:rPr>
          <w:rFonts w:ascii="Calibri" w:eastAsia="Calibri" w:hAnsi="Calibri" w:cs="Times New Roman"/>
        </w:rPr>
        <w:tab/>
        <w:t>0.3%</w:t>
      </w:r>
      <w:r w:rsidRPr="00022F29">
        <w:rPr>
          <w:rFonts w:ascii="Calibri" w:eastAsia="Calibri" w:hAnsi="Calibri" w:cs="Times New Roman"/>
        </w:rPr>
        <w:tab/>
        <w:t>-1.997</w:t>
      </w:r>
      <w:r w:rsidRPr="00022F29">
        <w:rPr>
          <w:rFonts w:ascii="Calibri" w:eastAsia="Calibri" w:hAnsi="Calibri" w:cs="Times New Roman"/>
        </w:rPr>
        <w:tab/>
        <w:t>-1.416</w:t>
      </w:r>
      <w:r w:rsidRPr="00022F29">
        <w:rPr>
          <w:rFonts w:ascii="Calibri" w:eastAsia="Calibri" w:hAnsi="Calibri" w:cs="Times New Roman"/>
        </w:rPr>
        <w:tab/>
        <w:t>-1.441</w:t>
      </w:r>
      <w:r w:rsidRPr="00022F29">
        <w:rPr>
          <w:rFonts w:ascii="Calibri" w:eastAsia="Calibri" w:hAnsi="Calibri" w:cs="Times New Roman"/>
        </w:rPr>
        <w:tab/>
        <w:t>.000</w:t>
      </w:r>
    </w:p>
    <w:p w14:paraId="3AEFCAB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0.0%</w:t>
      </w:r>
      <w:r w:rsidRPr="00022F29">
        <w:rPr>
          <w:rFonts w:ascii="Calibri" w:eastAsia="Calibri" w:hAnsi="Calibri" w:cs="Times New Roman"/>
        </w:rPr>
        <w:tab/>
        <w:t>2.525</w:t>
      </w:r>
      <w:r w:rsidRPr="00022F29">
        <w:rPr>
          <w:rFonts w:ascii="Calibri" w:eastAsia="Calibri" w:hAnsi="Calibri" w:cs="Times New Roman"/>
        </w:rPr>
        <w:tab/>
        <w:t>0.4%</w:t>
      </w:r>
      <w:r w:rsidRPr="00022F29">
        <w:rPr>
          <w:rFonts w:ascii="Calibri" w:eastAsia="Calibri" w:hAnsi="Calibri" w:cs="Times New Roman"/>
        </w:rPr>
        <w:tab/>
        <w:t>-2.525</w:t>
      </w:r>
      <w:r w:rsidRPr="00022F29">
        <w:rPr>
          <w:rFonts w:ascii="Calibri" w:eastAsia="Calibri" w:hAnsi="Calibri" w:cs="Times New Roman"/>
        </w:rPr>
        <w:tab/>
        <w:t>-1.592</w:t>
      </w:r>
      <w:r w:rsidRPr="00022F29">
        <w:rPr>
          <w:rFonts w:ascii="Calibri" w:eastAsia="Calibri" w:hAnsi="Calibri" w:cs="Times New Roman"/>
        </w:rPr>
        <w:tab/>
        <w:t>-1.627</w:t>
      </w:r>
      <w:r w:rsidRPr="00022F29">
        <w:rPr>
          <w:rFonts w:ascii="Calibri" w:eastAsia="Calibri" w:hAnsi="Calibri" w:cs="Times New Roman"/>
        </w:rPr>
        <w:tab/>
        <w:t>.000</w:t>
      </w:r>
    </w:p>
    <w:p w14:paraId="1C416D8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2.390</w:t>
      </w:r>
      <w:r w:rsidRPr="00022F29">
        <w:rPr>
          <w:rFonts w:ascii="Calibri" w:eastAsia="Calibri" w:hAnsi="Calibri" w:cs="Times New Roman"/>
        </w:rPr>
        <w:tab/>
        <w:t>0.4%</w:t>
      </w:r>
      <w:r w:rsidRPr="00022F29">
        <w:rPr>
          <w:rFonts w:ascii="Calibri" w:eastAsia="Calibri" w:hAnsi="Calibri" w:cs="Times New Roman"/>
        </w:rPr>
        <w:tab/>
        <w:t>-1.390</w:t>
      </w:r>
      <w:r w:rsidRPr="00022F29">
        <w:rPr>
          <w:rFonts w:ascii="Calibri" w:eastAsia="Calibri" w:hAnsi="Calibri" w:cs="Times New Roman"/>
        </w:rPr>
        <w:tab/>
        <w:t>-.901</w:t>
      </w:r>
      <w:r w:rsidRPr="00022F29">
        <w:rPr>
          <w:rFonts w:ascii="Calibri" w:eastAsia="Calibri" w:hAnsi="Calibri" w:cs="Times New Roman"/>
        </w:rPr>
        <w:tab/>
        <w:t>-.920</w:t>
      </w:r>
      <w:r w:rsidRPr="00022F29">
        <w:rPr>
          <w:rFonts w:ascii="Calibri" w:eastAsia="Calibri" w:hAnsi="Calibri" w:cs="Times New Roman"/>
        </w:rPr>
        <w:tab/>
        <w:t>-1.320</w:t>
      </w:r>
    </w:p>
    <w:p w14:paraId="1513CF14"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0.0%</w:t>
      </w:r>
      <w:r w:rsidRPr="00022F29">
        <w:rPr>
          <w:rFonts w:ascii="Calibri" w:eastAsia="Calibri" w:hAnsi="Calibri" w:cs="Times New Roman"/>
        </w:rPr>
        <w:tab/>
        <w:t>3.022</w:t>
      </w:r>
      <w:r w:rsidRPr="00022F29">
        <w:rPr>
          <w:rFonts w:ascii="Calibri" w:eastAsia="Calibri" w:hAnsi="Calibri" w:cs="Times New Roman"/>
        </w:rPr>
        <w:tab/>
        <w:t>0.5%</w:t>
      </w:r>
      <w:r w:rsidRPr="00022F29">
        <w:rPr>
          <w:rFonts w:ascii="Calibri" w:eastAsia="Calibri" w:hAnsi="Calibri" w:cs="Times New Roman"/>
        </w:rPr>
        <w:tab/>
        <w:t>-3.022</w:t>
      </w:r>
      <w:r w:rsidRPr="00022F29">
        <w:rPr>
          <w:rFonts w:ascii="Calibri" w:eastAsia="Calibri" w:hAnsi="Calibri" w:cs="Times New Roman"/>
        </w:rPr>
        <w:tab/>
        <w:t>-1.743</w:t>
      </w:r>
      <w:r w:rsidRPr="00022F29">
        <w:rPr>
          <w:rFonts w:ascii="Calibri" w:eastAsia="Calibri" w:hAnsi="Calibri" w:cs="Times New Roman"/>
        </w:rPr>
        <w:tab/>
        <w:t>-1.787</w:t>
      </w:r>
      <w:r w:rsidRPr="00022F29">
        <w:rPr>
          <w:rFonts w:ascii="Calibri" w:eastAsia="Calibri" w:hAnsi="Calibri" w:cs="Times New Roman"/>
        </w:rPr>
        <w:tab/>
        <w:t>.000</w:t>
      </w:r>
    </w:p>
    <w:p w14:paraId="33FBEF7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0.0%</w:t>
      </w:r>
      <w:r w:rsidRPr="00022F29">
        <w:rPr>
          <w:rFonts w:ascii="Calibri" w:eastAsia="Calibri" w:hAnsi="Calibri" w:cs="Times New Roman"/>
        </w:rPr>
        <w:tab/>
        <w:t>1.738</w:t>
      </w:r>
      <w:r w:rsidRPr="00022F29">
        <w:rPr>
          <w:rFonts w:ascii="Calibri" w:eastAsia="Calibri" w:hAnsi="Calibri" w:cs="Times New Roman"/>
        </w:rPr>
        <w:tab/>
        <w:t>0.3%</w:t>
      </w:r>
      <w:r w:rsidRPr="00022F29">
        <w:rPr>
          <w:rFonts w:ascii="Calibri" w:eastAsia="Calibri" w:hAnsi="Calibri" w:cs="Times New Roman"/>
        </w:rPr>
        <w:tab/>
        <w:t>-1.738</w:t>
      </w:r>
      <w:r w:rsidRPr="00022F29">
        <w:rPr>
          <w:rFonts w:ascii="Calibri" w:eastAsia="Calibri" w:hAnsi="Calibri" w:cs="Times New Roman"/>
        </w:rPr>
        <w:tab/>
        <w:t>-1.320</w:t>
      </w:r>
      <w:r w:rsidRPr="00022F29">
        <w:rPr>
          <w:rFonts w:ascii="Calibri" w:eastAsia="Calibri" w:hAnsi="Calibri" w:cs="Times New Roman"/>
        </w:rPr>
        <w:tab/>
        <w:t>-1.341</w:t>
      </w:r>
      <w:r w:rsidRPr="00022F29">
        <w:rPr>
          <w:rFonts w:ascii="Calibri" w:eastAsia="Calibri" w:hAnsi="Calibri" w:cs="Times New Roman"/>
        </w:rPr>
        <w:tab/>
        <w:t>.000</w:t>
      </w:r>
    </w:p>
    <w:p w14:paraId="631F2AE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2.197</w:t>
      </w:r>
      <w:r w:rsidRPr="00022F29">
        <w:rPr>
          <w:rFonts w:ascii="Calibri" w:eastAsia="Calibri" w:hAnsi="Calibri" w:cs="Times New Roman"/>
        </w:rPr>
        <w:tab/>
        <w:t>0.4%</w:t>
      </w:r>
      <w:r w:rsidRPr="00022F29">
        <w:rPr>
          <w:rFonts w:ascii="Calibri" w:eastAsia="Calibri" w:hAnsi="Calibri" w:cs="Times New Roman"/>
        </w:rPr>
        <w:tab/>
        <w:t>-1.197</w:t>
      </w:r>
      <w:r w:rsidRPr="00022F29">
        <w:rPr>
          <w:rFonts w:ascii="Calibri" w:eastAsia="Calibri" w:hAnsi="Calibri" w:cs="Times New Roman"/>
        </w:rPr>
        <w:tab/>
        <w:t>-.809</w:t>
      </w:r>
      <w:r w:rsidRPr="00022F29">
        <w:rPr>
          <w:rFonts w:ascii="Calibri" w:eastAsia="Calibri" w:hAnsi="Calibri" w:cs="Times New Roman"/>
        </w:rPr>
        <w:tab/>
        <w:t>-.825</w:t>
      </w:r>
      <w:r w:rsidRPr="00022F29">
        <w:rPr>
          <w:rFonts w:ascii="Calibri" w:eastAsia="Calibri" w:hAnsi="Calibri" w:cs="Times New Roman"/>
        </w:rPr>
        <w:tab/>
        <w:t>-1.255</w:t>
      </w:r>
    </w:p>
    <w:p w14:paraId="3DBCFAD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0.0%</w:t>
      </w:r>
      <w:r w:rsidRPr="00022F29">
        <w:rPr>
          <w:rFonts w:ascii="Calibri" w:eastAsia="Calibri" w:hAnsi="Calibri" w:cs="Times New Roman"/>
        </w:rPr>
        <w:tab/>
        <w:t>2.080</w:t>
      </w:r>
      <w:r w:rsidRPr="00022F29">
        <w:rPr>
          <w:rFonts w:ascii="Calibri" w:eastAsia="Calibri" w:hAnsi="Calibri" w:cs="Times New Roman"/>
        </w:rPr>
        <w:tab/>
        <w:t>0.4%</w:t>
      </w:r>
      <w:r w:rsidRPr="00022F29">
        <w:rPr>
          <w:rFonts w:ascii="Calibri" w:eastAsia="Calibri" w:hAnsi="Calibri" w:cs="Times New Roman"/>
        </w:rPr>
        <w:tab/>
        <w:t>-2.080</w:t>
      </w:r>
      <w:r w:rsidRPr="00022F29">
        <w:rPr>
          <w:rFonts w:ascii="Calibri" w:eastAsia="Calibri" w:hAnsi="Calibri" w:cs="Times New Roman"/>
        </w:rPr>
        <w:tab/>
        <w:t>-1.445</w:t>
      </w:r>
      <w:r w:rsidRPr="00022F29">
        <w:rPr>
          <w:rFonts w:ascii="Calibri" w:eastAsia="Calibri" w:hAnsi="Calibri" w:cs="Times New Roman"/>
        </w:rPr>
        <w:tab/>
        <w:t>-1.472</w:t>
      </w:r>
      <w:r w:rsidRPr="00022F29">
        <w:rPr>
          <w:rFonts w:ascii="Calibri" w:eastAsia="Calibri" w:hAnsi="Calibri" w:cs="Times New Roman"/>
        </w:rPr>
        <w:tab/>
        <w:t>.000</w:t>
      </w:r>
    </w:p>
    <w:p w14:paraId="15EFE2A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0.0%</w:t>
      </w:r>
      <w:r w:rsidRPr="00022F29">
        <w:rPr>
          <w:rFonts w:ascii="Calibri" w:eastAsia="Calibri" w:hAnsi="Calibri" w:cs="Times New Roman"/>
        </w:rPr>
        <w:tab/>
        <w:t>2.630</w:t>
      </w:r>
      <w:r w:rsidRPr="00022F29">
        <w:rPr>
          <w:rFonts w:ascii="Calibri" w:eastAsia="Calibri" w:hAnsi="Calibri" w:cs="Times New Roman"/>
        </w:rPr>
        <w:tab/>
        <w:t>0.4%</w:t>
      </w:r>
      <w:r w:rsidRPr="00022F29">
        <w:rPr>
          <w:rFonts w:ascii="Calibri" w:eastAsia="Calibri" w:hAnsi="Calibri" w:cs="Times New Roman"/>
        </w:rPr>
        <w:tab/>
        <w:t>-2.630</w:t>
      </w:r>
      <w:r w:rsidRPr="00022F29">
        <w:rPr>
          <w:rFonts w:ascii="Calibri" w:eastAsia="Calibri" w:hAnsi="Calibri" w:cs="Times New Roman"/>
        </w:rPr>
        <w:tab/>
        <w:t>-1.625</w:t>
      </w:r>
      <w:r w:rsidRPr="00022F29">
        <w:rPr>
          <w:rFonts w:ascii="Calibri" w:eastAsia="Calibri" w:hAnsi="Calibri" w:cs="Times New Roman"/>
        </w:rPr>
        <w:tab/>
        <w:t>-1.662</w:t>
      </w:r>
      <w:r w:rsidRPr="00022F29">
        <w:rPr>
          <w:rFonts w:ascii="Calibri" w:eastAsia="Calibri" w:hAnsi="Calibri" w:cs="Times New Roman"/>
        </w:rPr>
        <w:tab/>
        <w:t>.000</w:t>
      </w:r>
    </w:p>
    <w:p w14:paraId="2ED7AEC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0.0%</w:t>
      </w:r>
      <w:r w:rsidRPr="00022F29">
        <w:rPr>
          <w:rFonts w:ascii="Calibri" w:eastAsia="Calibri" w:hAnsi="Calibri" w:cs="Times New Roman"/>
        </w:rPr>
        <w:tab/>
        <w:t>5.667</w:t>
      </w:r>
      <w:r w:rsidRPr="00022F29">
        <w:rPr>
          <w:rFonts w:ascii="Calibri" w:eastAsia="Calibri" w:hAnsi="Calibri" w:cs="Times New Roman"/>
        </w:rPr>
        <w:tab/>
        <w:t>1.0%</w:t>
      </w:r>
      <w:r w:rsidRPr="00022F29">
        <w:rPr>
          <w:rFonts w:ascii="Calibri" w:eastAsia="Calibri" w:hAnsi="Calibri" w:cs="Times New Roman"/>
        </w:rPr>
        <w:tab/>
        <w:t>-5.667</w:t>
      </w:r>
      <w:r w:rsidRPr="00022F29">
        <w:rPr>
          <w:rFonts w:ascii="Calibri" w:eastAsia="Calibri" w:hAnsi="Calibri" w:cs="Times New Roman"/>
        </w:rPr>
        <w:tab/>
        <w:t>-2.392</w:t>
      </w:r>
      <w:r w:rsidRPr="00022F29">
        <w:rPr>
          <w:rFonts w:ascii="Calibri" w:eastAsia="Calibri" w:hAnsi="Calibri" w:cs="Times New Roman"/>
        </w:rPr>
        <w:tab/>
        <w:t>-2.489</w:t>
      </w:r>
      <w:r w:rsidRPr="00022F29">
        <w:rPr>
          <w:rFonts w:ascii="Calibri" w:eastAsia="Calibri" w:hAnsi="Calibri" w:cs="Times New Roman"/>
        </w:rPr>
        <w:tab/>
        <w:t>.000</w:t>
      </w:r>
    </w:p>
    <w:p w14:paraId="235927B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7.165</w:t>
      </w:r>
      <w:r w:rsidRPr="00022F29">
        <w:rPr>
          <w:rFonts w:ascii="Calibri" w:eastAsia="Calibri" w:hAnsi="Calibri" w:cs="Times New Roman"/>
        </w:rPr>
        <w:tab/>
        <w:t>1.2%</w:t>
      </w:r>
      <w:r w:rsidRPr="00022F29">
        <w:rPr>
          <w:rFonts w:ascii="Calibri" w:eastAsia="Calibri" w:hAnsi="Calibri" w:cs="Times New Roman"/>
        </w:rPr>
        <w:tab/>
        <w:t>-6.165</w:t>
      </w:r>
      <w:r w:rsidRPr="00022F29">
        <w:rPr>
          <w:rFonts w:ascii="Calibri" w:eastAsia="Calibri" w:hAnsi="Calibri" w:cs="Times New Roman"/>
        </w:rPr>
        <w:tab/>
        <w:t>-2.317</w:t>
      </w:r>
      <w:r w:rsidRPr="00022F29">
        <w:rPr>
          <w:rFonts w:ascii="Calibri" w:eastAsia="Calibri" w:hAnsi="Calibri" w:cs="Times New Roman"/>
        </w:rPr>
        <w:tab/>
        <w:t>-2.430</w:t>
      </w:r>
      <w:r w:rsidRPr="00022F29">
        <w:rPr>
          <w:rFonts w:ascii="Calibri" w:eastAsia="Calibri" w:hAnsi="Calibri" w:cs="Times New Roman"/>
        </w:rPr>
        <w:tab/>
        <w:t>-1.985</w:t>
      </w:r>
    </w:p>
    <w:p w14:paraId="2E566BE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0.0%</w:t>
      </w:r>
      <w:r w:rsidRPr="00022F29">
        <w:rPr>
          <w:rFonts w:ascii="Calibri" w:eastAsia="Calibri" w:hAnsi="Calibri" w:cs="Times New Roman"/>
        </w:rPr>
        <w:tab/>
        <w:t>6.783</w:t>
      </w:r>
      <w:r w:rsidRPr="00022F29">
        <w:rPr>
          <w:rFonts w:ascii="Calibri" w:eastAsia="Calibri" w:hAnsi="Calibri" w:cs="Times New Roman"/>
        </w:rPr>
        <w:tab/>
        <w:t>1.1%</w:t>
      </w:r>
      <w:r w:rsidRPr="00022F29">
        <w:rPr>
          <w:rFonts w:ascii="Calibri" w:eastAsia="Calibri" w:hAnsi="Calibri" w:cs="Times New Roman"/>
        </w:rPr>
        <w:tab/>
        <w:t>-6.783</w:t>
      </w:r>
      <w:r w:rsidRPr="00022F29">
        <w:rPr>
          <w:rFonts w:ascii="Calibri" w:eastAsia="Calibri" w:hAnsi="Calibri" w:cs="Times New Roman"/>
        </w:rPr>
        <w:tab/>
        <w:t>-2.619</w:t>
      </w:r>
      <w:r w:rsidRPr="00022F29">
        <w:rPr>
          <w:rFonts w:ascii="Calibri" w:eastAsia="Calibri" w:hAnsi="Calibri" w:cs="Times New Roman"/>
        </w:rPr>
        <w:tab/>
        <w:t>-2.742</w:t>
      </w:r>
      <w:r w:rsidRPr="00022F29">
        <w:rPr>
          <w:rFonts w:ascii="Calibri" w:eastAsia="Calibri" w:hAnsi="Calibri" w:cs="Times New Roman"/>
        </w:rPr>
        <w:tab/>
        <w:t>.000</w:t>
      </w:r>
    </w:p>
    <w:p w14:paraId="447577F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4</w:t>
      </w:r>
      <w:r w:rsidRPr="00022F29">
        <w:rPr>
          <w:rFonts w:ascii="Calibri" w:eastAsia="Calibri" w:hAnsi="Calibri" w:cs="Times New Roman"/>
        </w:rPr>
        <w:tab/>
        <w:t>0.7%</w:t>
      </w:r>
      <w:r w:rsidRPr="00022F29">
        <w:rPr>
          <w:rFonts w:ascii="Calibri" w:eastAsia="Calibri" w:hAnsi="Calibri" w:cs="Times New Roman"/>
        </w:rPr>
        <w:tab/>
        <w:t>8.576</w:t>
      </w:r>
      <w:r w:rsidRPr="00022F29">
        <w:rPr>
          <w:rFonts w:ascii="Calibri" w:eastAsia="Calibri" w:hAnsi="Calibri" w:cs="Times New Roman"/>
        </w:rPr>
        <w:tab/>
        <w:t>1.5%</w:t>
      </w:r>
      <w:r w:rsidRPr="00022F29">
        <w:rPr>
          <w:rFonts w:ascii="Calibri" w:eastAsia="Calibri" w:hAnsi="Calibri" w:cs="Times New Roman"/>
        </w:rPr>
        <w:tab/>
        <w:t>-4.576</w:t>
      </w:r>
      <w:r w:rsidRPr="00022F29">
        <w:rPr>
          <w:rFonts w:ascii="Calibri" w:eastAsia="Calibri" w:hAnsi="Calibri" w:cs="Times New Roman"/>
        </w:rPr>
        <w:tab/>
        <w:t>-1.574</w:t>
      </w:r>
      <w:r w:rsidRPr="00022F29">
        <w:rPr>
          <w:rFonts w:ascii="Calibri" w:eastAsia="Calibri" w:hAnsi="Calibri" w:cs="Times New Roman"/>
        </w:rPr>
        <w:tab/>
        <w:t>-1.663</w:t>
      </w:r>
      <w:r w:rsidRPr="00022F29">
        <w:rPr>
          <w:rFonts w:ascii="Calibri" w:eastAsia="Calibri" w:hAnsi="Calibri" w:cs="Times New Roman"/>
        </w:rPr>
        <w:tab/>
        <w:t>-2.470</w:t>
      </w:r>
    </w:p>
    <w:p w14:paraId="698942A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4.931</w:t>
      </w:r>
      <w:r w:rsidRPr="00022F29">
        <w:rPr>
          <w:rFonts w:ascii="Calibri" w:eastAsia="Calibri" w:hAnsi="Calibri" w:cs="Times New Roman"/>
        </w:rPr>
        <w:tab/>
        <w:t>0.8%</w:t>
      </w:r>
      <w:r w:rsidRPr="00022F29">
        <w:rPr>
          <w:rFonts w:ascii="Calibri" w:eastAsia="Calibri" w:hAnsi="Calibri" w:cs="Times New Roman"/>
        </w:rPr>
        <w:tab/>
        <w:t>-3.931</w:t>
      </w:r>
      <w:r w:rsidRPr="00022F29">
        <w:rPr>
          <w:rFonts w:ascii="Calibri" w:eastAsia="Calibri" w:hAnsi="Calibri" w:cs="Times New Roman"/>
        </w:rPr>
        <w:tab/>
        <w:t>-1.778</w:t>
      </w:r>
      <w:r w:rsidRPr="00022F29">
        <w:rPr>
          <w:rFonts w:ascii="Calibri" w:eastAsia="Calibri" w:hAnsi="Calibri" w:cs="Times New Roman"/>
        </w:rPr>
        <w:tab/>
        <w:t>-1.842</w:t>
      </w:r>
      <w:r w:rsidRPr="00022F29">
        <w:rPr>
          <w:rFonts w:ascii="Calibri" w:eastAsia="Calibri" w:hAnsi="Calibri" w:cs="Times New Roman"/>
        </w:rPr>
        <w:tab/>
        <w:t>-1.786</w:t>
      </w:r>
    </w:p>
    <w:p w14:paraId="51CE284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0.0%</w:t>
      </w:r>
      <w:r w:rsidRPr="00022F29">
        <w:rPr>
          <w:rFonts w:ascii="Calibri" w:eastAsia="Calibri" w:hAnsi="Calibri" w:cs="Times New Roman"/>
        </w:rPr>
        <w:tab/>
        <w:t>6.235</w:t>
      </w:r>
      <w:r w:rsidRPr="00022F29">
        <w:rPr>
          <w:rFonts w:ascii="Calibri" w:eastAsia="Calibri" w:hAnsi="Calibri" w:cs="Times New Roman"/>
        </w:rPr>
        <w:tab/>
        <w:t>1.1%</w:t>
      </w:r>
      <w:r w:rsidRPr="00022F29">
        <w:rPr>
          <w:rFonts w:ascii="Calibri" w:eastAsia="Calibri" w:hAnsi="Calibri" w:cs="Times New Roman"/>
        </w:rPr>
        <w:tab/>
        <w:t>-6.235</w:t>
      </w:r>
      <w:r w:rsidRPr="00022F29">
        <w:rPr>
          <w:rFonts w:ascii="Calibri" w:eastAsia="Calibri" w:hAnsi="Calibri" w:cs="Times New Roman"/>
        </w:rPr>
        <w:tab/>
        <w:t>-2.510</w:t>
      </w:r>
      <w:r w:rsidRPr="00022F29">
        <w:rPr>
          <w:rFonts w:ascii="Calibri" w:eastAsia="Calibri" w:hAnsi="Calibri" w:cs="Times New Roman"/>
        </w:rPr>
        <w:tab/>
        <w:t>-2.620</w:t>
      </w:r>
      <w:r w:rsidRPr="00022F29">
        <w:rPr>
          <w:rFonts w:ascii="Calibri" w:eastAsia="Calibri" w:hAnsi="Calibri" w:cs="Times New Roman"/>
        </w:rPr>
        <w:tab/>
        <w:t>.000</w:t>
      </w:r>
    </w:p>
    <w:p w14:paraId="6CEB129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0.0%</w:t>
      </w:r>
      <w:r w:rsidRPr="00022F29">
        <w:rPr>
          <w:rFonts w:ascii="Calibri" w:eastAsia="Calibri" w:hAnsi="Calibri" w:cs="Times New Roman"/>
        </w:rPr>
        <w:tab/>
        <w:t>5.903</w:t>
      </w:r>
      <w:r w:rsidRPr="00022F29">
        <w:rPr>
          <w:rFonts w:ascii="Calibri" w:eastAsia="Calibri" w:hAnsi="Calibri" w:cs="Times New Roman"/>
        </w:rPr>
        <w:tab/>
        <w:t>1.0%</w:t>
      </w:r>
      <w:r w:rsidRPr="00022F29">
        <w:rPr>
          <w:rFonts w:ascii="Calibri" w:eastAsia="Calibri" w:hAnsi="Calibri" w:cs="Times New Roman"/>
        </w:rPr>
        <w:tab/>
        <w:t>-5.903</w:t>
      </w:r>
      <w:r w:rsidRPr="00022F29">
        <w:rPr>
          <w:rFonts w:ascii="Calibri" w:eastAsia="Calibri" w:hAnsi="Calibri" w:cs="Times New Roman"/>
        </w:rPr>
        <w:tab/>
        <w:t>-2.442</w:t>
      </w:r>
      <w:r w:rsidRPr="00022F29">
        <w:rPr>
          <w:rFonts w:ascii="Calibri" w:eastAsia="Calibri" w:hAnsi="Calibri" w:cs="Times New Roman"/>
        </w:rPr>
        <w:tab/>
        <w:t>-2.544</w:t>
      </w:r>
      <w:r w:rsidRPr="00022F29">
        <w:rPr>
          <w:rFonts w:ascii="Calibri" w:eastAsia="Calibri" w:hAnsi="Calibri" w:cs="Times New Roman"/>
        </w:rPr>
        <w:tab/>
        <w:t>.000</w:t>
      </w:r>
    </w:p>
    <w:p w14:paraId="11340D0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7.463</w:t>
      </w:r>
      <w:r w:rsidRPr="00022F29">
        <w:rPr>
          <w:rFonts w:ascii="Calibri" w:eastAsia="Calibri" w:hAnsi="Calibri" w:cs="Times New Roman"/>
        </w:rPr>
        <w:tab/>
        <w:t>1.3%</w:t>
      </w:r>
      <w:r w:rsidRPr="00022F29">
        <w:rPr>
          <w:rFonts w:ascii="Calibri" w:eastAsia="Calibri" w:hAnsi="Calibri" w:cs="Times New Roman"/>
        </w:rPr>
        <w:tab/>
        <w:t>-6.463</w:t>
      </w:r>
      <w:r w:rsidRPr="00022F29">
        <w:rPr>
          <w:rFonts w:ascii="Calibri" w:eastAsia="Calibri" w:hAnsi="Calibri" w:cs="Times New Roman"/>
        </w:rPr>
        <w:tab/>
        <w:t>-2.381</w:t>
      </w:r>
      <w:r w:rsidRPr="00022F29">
        <w:rPr>
          <w:rFonts w:ascii="Calibri" w:eastAsia="Calibri" w:hAnsi="Calibri" w:cs="Times New Roman"/>
        </w:rPr>
        <w:tab/>
        <w:t>-2.501</w:t>
      </w:r>
      <w:r w:rsidRPr="00022F29">
        <w:rPr>
          <w:rFonts w:ascii="Calibri" w:eastAsia="Calibri" w:hAnsi="Calibri" w:cs="Times New Roman"/>
        </w:rPr>
        <w:tab/>
        <w:t>-2.005</w:t>
      </w:r>
    </w:p>
    <w:p w14:paraId="14E5BDE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2</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4</w:t>
      </w:r>
      <w:r w:rsidRPr="00022F29">
        <w:rPr>
          <w:rFonts w:ascii="Calibri" w:eastAsia="Calibri" w:hAnsi="Calibri" w:cs="Times New Roman"/>
        </w:rPr>
        <w:tab/>
        <w:t>0.7%</w:t>
      </w:r>
      <w:r w:rsidRPr="00022F29">
        <w:rPr>
          <w:rFonts w:ascii="Calibri" w:eastAsia="Calibri" w:hAnsi="Calibri" w:cs="Times New Roman"/>
        </w:rPr>
        <w:tab/>
        <w:t>2.082</w:t>
      </w:r>
      <w:r w:rsidRPr="00022F29">
        <w:rPr>
          <w:rFonts w:ascii="Calibri" w:eastAsia="Calibri" w:hAnsi="Calibri" w:cs="Times New Roman"/>
        </w:rPr>
        <w:tab/>
        <w:t>0.4%</w:t>
      </w:r>
      <w:r w:rsidRPr="00022F29">
        <w:rPr>
          <w:rFonts w:ascii="Calibri" w:eastAsia="Calibri" w:hAnsi="Calibri" w:cs="Times New Roman"/>
        </w:rPr>
        <w:tab/>
        <w:t>1.918</w:t>
      </w:r>
      <w:r w:rsidRPr="00022F29">
        <w:rPr>
          <w:rFonts w:ascii="Calibri" w:eastAsia="Calibri" w:hAnsi="Calibri" w:cs="Times New Roman"/>
        </w:rPr>
        <w:tab/>
        <w:t>1.331</w:t>
      </w:r>
      <w:r w:rsidRPr="00022F29">
        <w:rPr>
          <w:rFonts w:ascii="Calibri" w:eastAsia="Calibri" w:hAnsi="Calibri" w:cs="Times New Roman"/>
        </w:rPr>
        <w:tab/>
        <w:t>1.356</w:t>
      </w:r>
      <w:r w:rsidRPr="00022F29">
        <w:rPr>
          <w:rFonts w:ascii="Calibri" w:eastAsia="Calibri" w:hAnsi="Calibri" w:cs="Times New Roman"/>
        </w:rPr>
        <w:tab/>
        <w:t>2.285</w:t>
      </w:r>
    </w:p>
    <w:p w14:paraId="4CB355B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3</w:t>
      </w:r>
      <w:r w:rsidRPr="00022F29">
        <w:rPr>
          <w:rFonts w:ascii="Calibri" w:eastAsia="Calibri" w:hAnsi="Calibri" w:cs="Times New Roman"/>
        </w:rPr>
        <w:tab/>
        <w:t>0.5%</w:t>
      </w:r>
      <w:r w:rsidRPr="00022F29">
        <w:rPr>
          <w:rFonts w:ascii="Calibri" w:eastAsia="Calibri" w:hAnsi="Calibri" w:cs="Times New Roman"/>
        </w:rPr>
        <w:tab/>
        <w:t>2.633</w:t>
      </w:r>
      <w:r w:rsidRPr="00022F29">
        <w:rPr>
          <w:rFonts w:ascii="Calibri" w:eastAsia="Calibri" w:hAnsi="Calibri" w:cs="Times New Roman"/>
        </w:rPr>
        <w:tab/>
        <w:t>0.4%</w:t>
      </w:r>
      <w:r w:rsidRPr="00022F29">
        <w:rPr>
          <w:rFonts w:ascii="Calibri" w:eastAsia="Calibri" w:hAnsi="Calibri" w:cs="Times New Roman"/>
        </w:rPr>
        <w:tab/>
        <w:t>.367</w:t>
      </w:r>
      <w:r w:rsidRPr="00022F29">
        <w:rPr>
          <w:rFonts w:ascii="Calibri" w:eastAsia="Calibri" w:hAnsi="Calibri" w:cs="Times New Roman"/>
        </w:rPr>
        <w:tab/>
        <w:t>.227</w:t>
      </w:r>
      <w:r w:rsidRPr="00022F29">
        <w:rPr>
          <w:rFonts w:ascii="Calibri" w:eastAsia="Calibri" w:hAnsi="Calibri" w:cs="Times New Roman"/>
        </w:rPr>
        <w:tab/>
        <w:t>.232</w:t>
      </w:r>
      <w:r w:rsidRPr="00022F29">
        <w:rPr>
          <w:rFonts w:ascii="Calibri" w:eastAsia="Calibri" w:hAnsi="Calibri" w:cs="Times New Roman"/>
        </w:rPr>
        <w:tab/>
        <w:t>.885</w:t>
      </w:r>
    </w:p>
    <w:p w14:paraId="16ECC8B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3</w:t>
      </w:r>
      <w:r w:rsidRPr="00022F29">
        <w:rPr>
          <w:rFonts w:ascii="Calibri" w:eastAsia="Calibri" w:hAnsi="Calibri" w:cs="Times New Roman"/>
        </w:rPr>
        <w:tab/>
        <w:t>0.5%</w:t>
      </w:r>
      <w:r w:rsidRPr="00022F29">
        <w:rPr>
          <w:rFonts w:ascii="Calibri" w:eastAsia="Calibri" w:hAnsi="Calibri" w:cs="Times New Roman"/>
        </w:rPr>
        <w:tab/>
        <w:t>2.493</w:t>
      </w:r>
      <w:r w:rsidRPr="00022F29">
        <w:rPr>
          <w:rFonts w:ascii="Calibri" w:eastAsia="Calibri" w:hAnsi="Calibri" w:cs="Times New Roman"/>
        </w:rPr>
        <w:tab/>
        <w:t>0.4%</w:t>
      </w:r>
      <w:r w:rsidRPr="00022F29">
        <w:rPr>
          <w:rFonts w:ascii="Calibri" w:eastAsia="Calibri" w:hAnsi="Calibri" w:cs="Times New Roman"/>
        </w:rPr>
        <w:tab/>
        <w:t>.507</w:t>
      </w:r>
      <w:r w:rsidRPr="00022F29">
        <w:rPr>
          <w:rFonts w:ascii="Calibri" w:eastAsia="Calibri" w:hAnsi="Calibri" w:cs="Times New Roman"/>
        </w:rPr>
        <w:tab/>
        <w:t>.322</w:t>
      </w:r>
      <w:r w:rsidRPr="00022F29">
        <w:rPr>
          <w:rFonts w:ascii="Calibri" w:eastAsia="Calibri" w:hAnsi="Calibri" w:cs="Times New Roman"/>
        </w:rPr>
        <w:tab/>
        <w:t>.329</w:t>
      </w:r>
      <w:r w:rsidRPr="00022F29">
        <w:rPr>
          <w:rFonts w:ascii="Calibri" w:eastAsia="Calibri" w:hAnsi="Calibri" w:cs="Times New Roman"/>
        </w:rPr>
        <w:tab/>
        <w:t>1.054</w:t>
      </w:r>
    </w:p>
    <w:p w14:paraId="14DCEFE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3</w:t>
      </w:r>
      <w:r w:rsidRPr="00022F29">
        <w:rPr>
          <w:rFonts w:ascii="Calibri" w:eastAsia="Calibri" w:hAnsi="Calibri" w:cs="Times New Roman"/>
        </w:rPr>
        <w:tab/>
        <w:t>0.5%</w:t>
      </w:r>
      <w:r w:rsidRPr="00022F29">
        <w:rPr>
          <w:rFonts w:ascii="Calibri" w:eastAsia="Calibri" w:hAnsi="Calibri" w:cs="Times New Roman"/>
        </w:rPr>
        <w:tab/>
        <w:t>3.152</w:t>
      </w:r>
      <w:r w:rsidRPr="00022F29">
        <w:rPr>
          <w:rFonts w:ascii="Calibri" w:eastAsia="Calibri" w:hAnsi="Calibri" w:cs="Times New Roman"/>
        </w:rPr>
        <w:tab/>
        <w:t>0.5%</w:t>
      </w:r>
      <w:r w:rsidRPr="00022F29">
        <w:rPr>
          <w:rFonts w:ascii="Calibri" w:eastAsia="Calibri" w:hAnsi="Calibri" w:cs="Times New Roman"/>
        </w:rPr>
        <w:tab/>
        <w:t>-.152</w:t>
      </w:r>
      <w:r w:rsidRPr="00022F29">
        <w:rPr>
          <w:rFonts w:ascii="Calibri" w:eastAsia="Calibri" w:hAnsi="Calibri" w:cs="Times New Roman"/>
        </w:rPr>
        <w:tab/>
        <w:t>-.086</w:t>
      </w:r>
      <w:r w:rsidRPr="00022F29">
        <w:rPr>
          <w:rFonts w:ascii="Calibri" w:eastAsia="Calibri" w:hAnsi="Calibri" w:cs="Times New Roman"/>
        </w:rPr>
        <w:tab/>
        <w:t>-.088</w:t>
      </w:r>
      <w:r w:rsidRPr="00022F29">
        <w:rPr>
          <w:rFonts w:ascii="Calibri" w:eastAsia="Calibri" w:hAnsi="Calibri" w:cs="Times New Roman"/>
        </w:rPr>
        <w:tab/>
        <w:t>-.544</w:t>
      </w:r>
    </w:p>
    <w:p w14:paraId="7AEBEEB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1.812</w:t>
      </w:r>
      <w:r w:rsidRPr="00022F29">
        <w:rPr>
          <w:rFonts w:ascii="Calibri" w:eastAsia="Calibri" w:hAnsi="Calibri" w:cs="Times New Roman"/>
        </w:rPr>
        <w:tab/>
        <w:t>0.3%</w:t>
      </w:r>
      <w:r w:rsidRPr="00022F29">
        <w:rPr>
          <w:rFonts w:ascii="Calibri" w:eastAsia="Calibri" w:hAnsi="Calibri" w:cs="Times New Roman"/>
        </w:rPr>
        <w:tab/>
        <w:t>-.812</w:t>
      </w:r>
      <w:r w:rsidRPr="00022F29">
        <w:rPr>
          <w:rFonts w:ascii="Calibri" w:eastAsia="Calibri" w:hAnsi="Calibri" w:cs="Times New Roman"/>
        </w:rPr>
        <w:tab/>
        <w:t>-.604</w:t>
      </w:r>
      <w:r w:rsidRPr="00022F29">
        <w:rPr>
          <w:rFonts w:ascii="Calibri" w:eastAsia="Calibri" w:hAnsi="Calibri" w:cs="Times New Roman"/>
        </w:rPr>
        <w:tab/>
        <w:t>-.614</w:t>
      </w:r>
      <w:r w:rsidRPr="00022F29">
        <w:rPr>
          <w:rFonts w:ascii="Calibri" w:eastAsia="Calibri" w:hAnsi="Calibri" w:cs="Times New Roman"/>
        </w:rPr>
        <w:tab/>
        <w:t>-1.090</w:t>
      </w:r>
    </w:p>
    <w:p w14:paraId="4832E4F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2.291</w:t>
      </w:r>
      <w:r w:rsidRPr="00022F29">
        <w:rPr>
          <w:rFonts w:ascii="Calibri" w:eastAsia="Calibri" w:hAnsi="Calibri" w:cs="Times New Roman"/>
        </w:rPr>
        <w:tab/>
        <w:t>0.4%</w:t>
      </w:r>
      <w:r w:rsidRPr="00022F29">
        <w:rPr>
          <w:rFonts w:ascii="Calibri" w:eastAsia="Calibri" w:hAnsi="Calibri" w:cs="Times New Roman"/>
        </w:rPr>
        <w:tab/>
        <w:t>-1.291</w:t>
      </w:r>
      <w:r w:rsidRPr="00022F29">
        <w:rPr>
          <w:rFonts w:ascii="Calibri" w:eastAsia="Calibri" w:hAnsi="Calibri" w:cs="Times New Roman"/>
        </w:rPr>
        <w:tab/>
        <w:t>-.855</w:t>
      </w:r>
      <w:r w:rsidRPr="00022F29">
        <w:rPr>
          <w:rFonts w:ascii="Calibri" w:eastAsia="Calibri" w:hAnsi="Calibri" w:cs="Times New Roman"/>
        </w:rPr>
        <w:tab/>
        <w:t>-.872</w:t>
      </w:r>
      <w:r w:rsidRPr="00022F29">
        <w:rPr>
          <w:rFonts w:ascii="Calibri" w:eastAsia="Calibri" w:hAnsi="Calibri" w:cs="Times New Roman"/>
        </w:rPr>
        <w:tab/>
        <w:t>-1.288</w:t>
      </w:r>
    </w:p>
    <w:p w14:paraId="6386879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2.169</w:t>
      </w:r>
      <w:r w:rsidRPr="00022F29">
        <w:rPr>
          <w:rFonts w:ascii="Calibri" w:eastAsia="Calibri" w:hAnsi="Calibri" w:cs="Times New Roman"/>
        </w:rPr>
        <w:tab/>
        <w:t>0.4%</w:t>
      </w:r>
      <w:r w:rsidRPr="00022F29">
        <w:rPr>
          <w:rFonts w:ascii="Calibri" w:eastAsia="Calibri" w:hAnsi="Calibri" w:cs="Times New Roman"/>
        </w:rPr>
        <w:tab/>
        <w:t>-1.169</w:t>
      </w:r>
      <w:r w:rsidRPr="00022F29">
        <w:rPr>
          <w:rFonts w:ascii="Calibri" w:eastAsia="Calibri" w:hAnsi="Calibri" w:cs="Times New Roman"/>
        </w:rPr>
        <w:tab/>
        <w:t>-.795</w:t>
      </w:r>
      <w:r w:rsidRPr="00022F29">
        <w:rPr>
          <w:rFonts w:ascii="Calibri" w:eastAsia="Calibri" w:hAnsi="Calibri" w:cs="Times New Roman"/>
        </w:rPr>
        <w:tab/>
        <w:t>-.811</w:t>
      </w:r>
      <w:r w:rsidRPr="00022F29">
        <w:rPr>
          <w:rFonts w:ascii="Calibri" w:eastAsia="Calibri" w:hAnsi="Calibri" w:cs="Times New Roman"/>
        </w:rPr>
        <w:tab/>
        <w:t>-1.245</w:t>
      </w:r>
    </w:p>
    <w:p w14:paraId="3B0D482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2.743</w:t>
      </w:r>
      <w:r w:rsidRPr="00022F29">
        <w:rPr>
          <w:rFonts w:ascii="Calibri" w:eastAsia="Calibri" w:hAnsi="Calibri" w:cs="Times New Roman"/>
        </w:rPr>
        <w:tab/>
        <w:t>0.5%</w:t>
      </w:r>
      <w:r w:rsidRPr="00022F29">
        <w:rPr>
          <w:rFonts w:ascii="Calibri" w:eastAsia="Calibri" w:hAnsi="Calibri" w:cs="Times New Roman"/>
        </w:rPr>
        <w:tab/>
        <w:t>-1.743</w:t>
      </w:r>
      <w:r w:rsidRPr="00022F29">
        <w:rPr>
          <w:rFonts w:ascii="Calibri" w:eastAsia="Calibri" w:hAnsi="Calibri" w:cs="Times New Roman"/>
        </w:rPr>
        <w:tab/>
        <w:t>-1.055</w:t>
      </w:r>
      <w:r w:rsidRPr="00022F29">
        <w:rPr>
          <w:rFonts w:ascii="Calibri" w:eastAsia="Calibri" w:hAnsi="Calibri" w:cs="Times New Roman"/>
        </w:rPr>
        <w:tab/>
        <w:t>-1.079</w:t>
      </w:r>
      <w:r w:rsidRPr="00022F29">
        <w:rPr>
          <w:rFonts w:ascii="Calibri" w:eastAsia="Calibri" w:hAnsi="Calibri" w:cs="Times New Roman"/>
        </w:rPr>
        <w:tab/>
        <w:t>-1.421</w:t>
      </w:r>
    </w:p>
    <w:p w14:paraId="07951FB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11</w:t>
      </w:r>
      <w:r w:rsidRPr="00022F29">
        <w:rPr>
          <w:rFonts w:ascii="Calibri" w:eastAsia="Calibri" w:hAnsi="Calibri" w:cs="Times New Roman"/>
        </w:rPr>
        <w:tab/>
        <w:t>1.9%</w:t>
      </w:r>
      <w:r w:rsidRPr="00022F29">
        <w:rPr>
          <w:rFonts w:ascii="Calibri" w:eastAsia="Calibri" w:hAnsi="Calibri" w:cs="Times New Roman"/>
        </w:rPr>
        <w:tab/>
        <w:t>5.909</w:t>
      </w:r>
      <w:r w:rsidRPr="00022F29">
        <w:rPr>
          <w:rFonts w:ascii="Calibri" w:eastAsia="Calibri" w:hAnsi="Calibri" w:cs="Times New Roman"/>
        </w:rPr>
        <w:tab/>
        <w:t>1.0%</w:t>
      </w:r>
      <w:r w:rsidRPr="00022F29">
        <w:rPr>
          <w:rFonts w:ascii="Calibri" w:eastAsia="Calibri" w:hAnsi="Calibri" w:cs="Times New Roman"/>
        </w:rPr>
        <w:tab/>
        <w:t>5.091</w:t>
      </w:r>
      <w:r w:rsidRPr="00022F29">
        <w:rPr>
          <w:rFonts w:ascii="Calibri" w:eastAsia="Calibri" w:hAnsi="Calibri" w:cs="Times New Roman"/>
        </w:rPr>
        <w:tab/>
        <w:t>2.105</w:t>
      </w:r>
      <w:r w:rsidRPr="00022F29">
        <w:rPr>
          <w:rFonts w:ascii="Calibri" w:eastAsia="Calibri" w:hAnsi="Calibri" w:cs="Times New Roman"/>
        </w:rPr>
        <w:tab/>
        <w:t>2.192</w:t>
      </w:r>
      <w:r w:rsidRPr="00022F29">
        <w:rPr>
          <w:rFonts w:ascii="Calibri" w:eastAsia="Calibri" w:hAnsi="Calibri" w:cs="Times New Roman"/>
        </w:rPr>
        <w:tab/>
        <w:t>3.697</w:t>
      </w:r>
    </w:p>
    <w:p w14:paraId="7EEF51E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0.3%</w:t>
      </w:r>
      <w:r w:rsidRPr="00022F29">
        <w:rPr>
          <w:rFonts w:ascii="Calibri" w:eastAsia="Calibri" w:hAnsi="Calibri" w:cs="Times New Roman"/>
        </w:rPr>
        <w:tab/>
        <w:t>7.472</w:t>
      </w:r>
      <w:r w:rsidRPr="00022F29">
        <w:rPr>
          <w:rFonts w:ascii="Calibri" w:eastAsia="Calibri" w:hAnsi="Calibri" w:cs="Times New Roman"/>
        </w:rPr>
        <w:tab/>
        <w:t>1.3%</w:t>
      </w:r>
      <w:r w:rsidRPr="00022F29">
        <w:rPr>
          <w:rFonts w:ascii="Calibri" w:eastAsia="Calibri" w:hAnsi="Calibri" w:cs="Times New Roman"/>
        </w:rPr>
        <w:tab/>
        <w:t>-5.472</w:t>
      </w:r>
      <w:r w:rsidRPr="00022F29">
        <w:rPr>
          <w:rFonts w:ascii="Calibri" w:eastAsia="Calibri" w:hAnsi="Calibri" w:cs="Times New Roman"/>
        </w:rPr>
        <w:tab/>
        <w:t>-2.015</w:t>
      </w:r>
      <w:r w:rsidRPr="00022F29">
        <w:rPr>
          <w:rFonts w:ascii="Calibri" w:eastAsia="Calibri" w:hAnsi="Calibri" w:cs="Times New Roman"/>
        </w:rPr>
        <w:tab/>
        <w:t>-2.115</w:t>
      </w:r>
      <w:r w:rsidRPr="00022F29">
        <w:rPr>
          <w:rFonts w:ascii="Calibri" w:eastAsia="Calibri" w:hAnsi="Calibri" w:cs="Times New Roman"/>
        </w:rPr>
        <w:tab/>
        <w:t>-2.296</w:t>
      </w:r>
    </w:p>
    <w:p w14:paraId="3E25E64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5</w:t>
      </w:r>
      <w:r w:rsidRPr="00022F29">
        <w:rPr>
          <w:rFonts w:ascii="Calibri" w:eastAsia="Calibri" w:hAnsi="Calibri" w:cs="Times New Roman"/>
        </w:rPr>
        <w:tab/>
        <w:t>0.8%</w:t>
      </w:r>
      <w:r w:rsidRPr="00022F29">
        <w:rPr>
          <w:rFonts w:ascii="Calibri" w:eastAsia="Calibri" w:hAnsi="Calibri" w:cs="Times New Roman"/>
        </w:rPr>
        <w:tab/>
        <w:t>7.074</w:t>
      </w:r>
      <w:r w:rsidRPr="00022F29">
        <w:rPr>
          <w:rFonts w:ascii="Calibri" w:eastAsia="Calibri" w:hAnsi="Calibri" w:cs="Times New Roman"/>
        </w:rPr>
        <w:tab/>
        <w:t>1.2%</w:t>
      </w:r>
      <w:r w:rsidRPr="00022F29">
        <w:rPr>
          <w:rFonts w:ascii="Calibri" w:eastAsia="Calibri" w:hAnsi="Calibri" w:cs="Times New Roman"/>
        </w:rPr>
        <w:tab/>
        <w:t>-2.074</w:t>
      </w:r>
      <w:r w:rsidRPr="00022F29">
        <w:rPr>
          <w:rFonts w:ascii="Calibri" w:eastAsia="Calibri" w:hAnsi="Calibri" w:cs="Times New Roman"/>
        </w:rPr>
        <w:tab/>
        <w:t>-.784</w:t>
      </w:r>
      <w:r w:rsidRPr="00022F29">
        <w:rPr>
          <w:rFonts w:ascii="Calibri" w:eastAsia="Calibri" w:hAnsi="Calibri" w:cs="Times New Roman"/>
        </w:rPr>
        <w:tab/>
        <w:t>-.822</w:t>
      </w:r>
      <w:r w:rsidRPr="00022F29">
        <w:rPr>
          <w:rFonts w:ascii="Calibri" w:eastAsia="Calibri" w:hAnsi="Calibri" w:cs="Times New Roman"/>
        </w:rPr>
        <w:tab/>
        <w:t>-1.863</w:t>
      </w:r>
    </w:p>
    <w:p w14:paraId="4EFF35A3"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6</w:t>
      </w:r>
      <w:r w:rsidRPr="00022F29">
        <w:rPr>
          <w:rFonts w:ascii="Calibri" w:eastAsia="Calibri" w:hAnsi="Calibri" w:cs="Times New Roman"/>
        </w:rPr>
        <w:tab/>
        <w:t>1.0%</w:t>
      </w:r>
      <w:r w:rsidRPr="00022F29">
        <w:rPr>
          <w:rFonts w:ascii="Calibri" w:eastAsia="Calibri" w:hAnsi="Calibri" w:cs="Times New Roman"/>
        </w:rPr>
        <w:tab/>
        <w:t>8.944</w:t>
      </w:r>
      <w:r w:rsidRPr="00022F29">
        <w:rPr>
          <w:rFonts w:ascii="Calibri" w:eastAsia="Calibri" w:hAnsi="Calibri" w:cs="Times New Roman"/>
        </w:rPr>
        <w:tab/>
        <w:t>1.5%</w:t>
      </w:r>
      <w:r w:rsidRPr="00022F29">
        <w:rPr>
          <w:rFonts w:ascii="Calibri" w:eastAsia="Calibri" w:hAnsi="Calibri" w:cs="Times New Roman"/>
        </w:rPr>
        <w:tab/>
        <w:t>-2.944</w:t>
      </w:r>
      <w:r w:rsidRPr="00022F29">
        <w:rPr>
          <w:rFonts w:ascii="Calibri" w:eastAsia="Calibri" w:hAnsi="Calibri" w:cs="Times New Roman"/>
        </w:rPr>
        <w:tab/>
        <w:t>-.992</w:t>
      </w:r>
      <w:r w:rsidRPr="00022F29">
        <w:rPr>
          <w:rFonts w:ascii="Calibri" w:eastAsia="Calibri" w:hAnsi="Calibri" w:cs="Times New Roman"/>
        </w:rPr>
        <w:tab/>
        <w:t>-1.049</w:t>
      </w:r>
      <w:r w:rsidRPr="00022F29">
        <w:rPr>
          <w:rFonts w:ascii="Calibri" w:eastAsia="Calibri" w:hAnsi="Calibri" w:cs="Times New Roman"/>
        </w:rPr>
        <w:tab/>
        <w:t>-2.189</w:t>
      </w:r>
    </w:p>
    <w:p w14:paraId="2FB988E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8</w:t>
      </w:r>
      <w:r w:rsidRPr="00022F29">
        <w:rPr>
          <w:rFonts w:ascii="Calibri" w:eastAsia="Calibri" w:hAnsi="Calibri" w:cs="Times New Roman"/>
        </w:rPr>
        <w:tab/>
        <w:t>1.4%</w:t>
      </w:r>
      <w:r w:rsidRPr="00022F29">
        <w:rPr>
          <w:rFonts w:ascii="Calibri" w:eastAsia="Calibri" w:hAnsi="Calibri" w:cs="Times New Roman"/>
        </w:rPr>
        <w:tab/>
        <w:t>5.143</w:t>
      </w:r>
      <w:r w:rsidRPr="00022F29">
        <w:rPr>
          <w:rFonts w:ascii="Calibri" w:eastAsia="Calibri" w:hAnsi="Calibri" w:cs="Times New Roman"/>
        </w:rPr>
        <w:tab/>
        <w:t>0.9%</w:t>
      </w:r>
      <w:r w:rsidRPr="00022F29">
        <w:rPr>
          <w:rFonts w:ascii="Calibri" w:eastAsia="Calibri" w:hAnsi="Calibri" w:cs="Times New Roman"/>
        </w:rPr>
        <w:tab/>
        <w:t>2.857</w:t>
      </w:r>
      <w:r w:rsidRPr="00022F29">
        <w:rPr>
          <w:rFonts w:ascii="Calibri" w:eastAsia="Calibri" w:hAnsi="Calibri" w:cs="Times New Roman"/>
        </w:rPr>
        <w:tab/>
        <w:t>1.266</w:t>
      </w:r>
      <w:r w:rsidRPr="00022F29">
        <w:rPr>
          <w:rFonts w:ascii="Calibri" w:eastAsia="Calibri" w:hAnsi="Calibri" w:cs="Times New Roman"/>
        </w:rPr>
        <w:tab/>
        <w:t>1.312</w:t>
      </w:r>
      <w:r w:rsidRPr="00022F29">
        <w:rPr>
          <w:rFonts w:ascii="Calibri" w:eastAsia="Calibri" w:hAnsi="Calibri" w:cs="Times New Roman"/>
        </w:rPr>
        <w:tab/>
        <w:t>2.659</w:t>
      </w:r>
    </w:p>
    <w:p w14:paraId="7BC4F155"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3</w:t>
      </w:r>
      <w:r w:rsidRPr="00022F29">
        <w:rPr>
          <w:rFonts w:ascii="Calibri" w:eastAsia="Calibri" w:hAnsi="Calibri" w:cs="Times New Roman"/>
        </w:rPr>
        <w:tab/>
        <w:t>0.5%</w:t>
      </w:r>
      <w:r w:rsidRPr="00022F29">
        <w:rPr>
          <w:rFonts w:ascii="Calibri" w:eastAsia="Calibri" w:hAnsi="Calibri" w:cs="Times New Roman"/>
        </w:rPr>
        <w:tab/>
        <w:t>6.502</w:t>
      </w:r>
      <w:r w:rsidRPr="00022F29">
        <w:rPr>
          <w:rFonts w:ascii="Calibri" w:eastAsia="Calibri" w:hAnsi="Calibri" w:cs="Times New Roman"/>
        </w:rPr>
        <w:tab/>
        <w:t>1.1%</w:t>
      </w:r>
      <w:r w:rsidRPr="00022F29">
        <w:rPr>
          <w:rFonts w:ascii="Calibri" w:eastAsia="Calibri" w:hAnsi="Calibri" w:cs="Times New Roman"/>
        </w:rPr>
        <w:tab/>
        <w:t>-3.502</w:t>
      </w:r>
      <w:r w:rsidRPr="00022F29">
        <w:rPr>
          <w:rFonts w:ascii="Calibri" w:eastAsia="Calibri" w:hAnsi="Calibri" w:cs="Times New Roman"/>
        </w:rPr>
        <w:tab/>
        <w:t>-1.381</w:t>
      </w:r>
      <w:r w:rsidRPr="00022F29">
        <w:rPr>
          <w:rFonts w:ascii="Calibri" w:eastAsia="Calibri" w:hAnsi="Calibri" w:cs="Times New Roman"/>
        </w:rPr>
        <w:tab/>
        <w:t>-1.443</w:t>
      </w:r>
      <w:r w:rsidRPr="00022F29">
        <w:rPr>
          <w:rFonts w:ascii="Calibri" w:eastAsia="Calibri" w:hAnsi="Calibri" w:cs="Times New Roman"/>
        </w:rPr>
        <w:tab/>
        <w:t>-2.154</w:t>
      </w:r>
    </w:p>
    <w:p w14:paraId="4D6B42A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0.0%</w:t>
      </w:r>
      <w:r w:rsidRPr="00022F29">
        <w:rPr>
          <w:rFonts w:ascii="Calibri" w:eastAsia="Calibri" w:hAnsi="Calibri" w:cs="Times New Roman"/>
        </w:rPr>
        <w:tab/>
        <w:t>6.156</w:t>
      </w:r>
      <w:r w:rsidRPr="00022F29">
        <w:rPr>
          <w:rFonts w:ascii="Calibri" w:eastAsia="Calibri" w:hAnsi="Calibri" w:cs="Times New Roman"/>
        </w:rPr>
        <w:tab/>
        <w:t>1.0%</w:t>
      </w:r>
      <w:r w:rsidRPr="00022F29">
        <w:rPr>
          <w:rFonts w:ascii="Calibri" w:eastAsia="Calibri" w:hAnsi="Calibri" w:cs="Times New Roman"/>
        </w:rPr>
        <w:tab/>
        <w:t>-6.156</w:t>
      </w:r>
      <w:r w:rsidRPr="00022F29">
        <w:rPr>
          <w:rFonts w:ascii="Calibri" w:eastAsia="Calibri" w:hAnsi="Calibri" w:cs="Times New Roman"/>
        </w:rPr>
        <w:tab/>
        <w:t>-2.494</w:t>
      </w:r>
      <w:r w:rsidRPr="00022F29">
        <w:rPr>
          <w:rFonts w:ascii="Calibri" w:eastAsia="Calibri" w:hAnsi="Calibri" w:cs="Times New Roman"/>
        </w:rPr>
        <w:tab/>
        <w:t>-2.600</w:t>
      </w:r>
      <w:r w:rsidRPr="00022F29">
        <w:rPr>
          <w:rFonts w:ascii="Calibri" w:eastAsia="Calibri" w:hAnsi="Calibri" w:cs="Times New Roman"/>
        </w:rPr>
        <w:tab/>
        <w:t>.000</w:t>
      </w:r>
    </w:p>
    <w:p w14:paraId="26E9461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9</w:t>
      </w:r>
      <w:r w:rsidRPr="00022F29">
        <w:rPr>
          <w:rFonts w:ascii="Calibri" w:eastAsia="Calibri" w:hAnsi="Calibri" w:cs="Times New Roman"/>
        </w:rPr>
        <w:tab/>
        <w:t>1.5%</w:t>
      </w:r>
      <w:r w:rsidRPr="00022F29">
        <w:rPr>
          <w:rFonts w:ascii="Calibri" w:eastAsia="Calibri" w:hAnsi="Calibri" w:cs="Times New Roman"/>
        </w:rPr>
        <w:tab/>
        <w:t>7.783</w:t>
      </w:r>
      <w:r w:rsidRPr="00022F29">
        <w:rPr>
          <w:rFonts w:ascii="Calibri" w:eastAsia="Calibri" w:hAnsi="Calibri" w:cs="Times New Roman"/>
        </w:rPr>
        <w:tab/>
        <w:t>1.3%</w:t>
      </w:r>
      <w:r w:rsidRPr="00022F29">
        <w:rPr>
          <w:rFonts w:ascii="Calibri" w:eastAsia="Calibri" w:hAnsi="Calibri" w:cs="Times New Roman"/>
        </w:rPr>
        <w:tab/>
        <w:t>1.217</w:t>
      </w:r>
      <w:r w:rsidRPr="00022F29">
        <w:rPr>
          <w:rFonts w:ascii="Calibri" w:eastAsia="Calibri" w:hAnsi="Calibri" w:cs="Times New Roman"/>
        </w:rPr>
        <w:tab/>
        <w:t>.439</w:t>
      </w:r>
      <w:r w:rsidRPr="00022F29">
        <w:rPr>
          <w:rFonts w:ascii="Calibri" w:eastAsia="Calibri" w:hAnsi="Calibri" w:cs="Times New Roman"/>
        </w:rPr>
        <w:tab/>
        <w:t>.462</w:t>
      </w:r>
      <w:r w:rsidRPr="00022F29">
        <w:rPr>
          <w:rFonts w:ascii="Calibri" w:eastAsia="Calibri" w:hAnsi="Calibri" w:cs="Times New Roman"/>
        </w:rPr>
        <w:tab/>
        <w:t>1.617</w:t>
      </w:r>
    </w:p>
    <w:p w14:paraId="5E33452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3</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4</w:t>
      </w:r>
      <w:r w:rsidRPr="00022F29">
        <w:rPr>
          <w:rFonts w:ascii="Calibri" w:eastAsia="Calibri" w:hAnsi="Calibri" w:cs="Times New Roman"/>
        </w:rPr>
        <w:tab/>
        <w:t>0.7%</w:t>
      </w:r>
      <w:r w:rsidRPr="00022F29">
        <w:rPr>
          <w:rFonts w:ascii="Calibri" w:eastAsia="Calibri" w:hAnsi="Calibri" w:cs="Times New Roman"/>
        </w:rPr>
        <w:tab/>
        <w:t>1.997</w:t>
      </w:r>
      <w:r w:rsidRPr="00022F29">
        <w:rPr>
          <w:rFonts w:ascii="Calibri" w:eastAsia="Calibri" w:hAnsi="Calibri" w:cs="Times New Roman"/>
        </w:rPr>
        <w:tab/>
        <w:t>0.3%</w:t>
      </w:r>
      <w:r w:rsidRPr="00022F29">
        <w:rPr>
          <w:rFonts w:ascii="Calibri" w:eastAsia="Calibri" w:hAnsi="Calibri" w:cs="Times New Roman"/>
        </w:rPr>
        <w:tab/>
        <w:t>2.003</w:t>
      </w:r>
      <w:r w:rsidRPr="00022F29">
        <w:rPr>
          <w:rFonts w:ascii="Calibri" w:eastAsia="Calibri" w:hAnsi="Calibri" w:cs="Times New Roman"/>
        </w:rPr>
        <w:tab/>
        <w:t>1.420</w:t>
      </w:r>
      <w:r w:rsidRPr="00022F29">
        <w:rPr>
          <w:rFonts w:ascii="Calibri" w:eastAsia="Calibri" w:hAnsi="Calibri" w:cs="Times New Roman"/>
        </w:rPr>
        <w:tab/>
        <w:t>1.445</w:t>
      </w:r>
      <w:r w:rsidRPr="00022F29">
        <w:rPr>
          <w:rFonts w:ascii="Calibri" w:eastAsia="Calibri" w:hAnsi="Calibri" w:cs="Times New Roman"/>
        </w:rPr>
        <w:tab/>
        <w:t>2.357</w:t>
      </w:r>
    </w:p>
    <w:p w14:paraId="6FF211E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2.525</w:t>
      </w:r>
      <w:r w:rsidRPr="00022F29">
        <w:rPr>
          <w:rFonts w:ascii="Calibri" w:eastAsia="Calibri" w:hAnsi="Calibri" w:cs="Times New Roman"/>
        </w:rPr>
        <w:tab/>
        <w:t>0.4%</w:t>
      </w:r>
      <w:r w:rsidRPr="00022F29">
        <w:rPr>
          <w:rFonts w:ascii="Calibri" w:eastAsia="Calibri" w:hAnsi="Calibri" w:cs="Times New Roman"/>
        </w:rPr>
        <w:tab/>
        <w:t>-1.525</w:t>
      </w:r>
      <w:r w:rsidRPr="00022F29">
        <w:rPr>
          <w:rFonts w:ascii="Calibri" w:eastAsia="Calibri" w:hAnsi="Calibri" w:cs="Times New Roman"/>
        </w:rPr>
        <w:tab/>
        <w:t>-.962</w:t>
      </w:r>
      <w:r w:rsidRPr="00022F29">
        <w:rPr>
          <w:rFonts w:ascii="Calibri" w:eastAsia="Calibri" w:hAnsi="Calibri" w:cs="Times New Roman"/>
        </w:rPr>
        <w:tab/>
        <w:t>-.983</w:t>
      </w:r>
      <w:r w:rsidRPr="00022F29">
        <w:rPr>
          <w:rFonts w:ascii="Calibri" w:eastAsia="Calibri" w:hAnsi="Calibri" w:cs="Times New Roman"/>
        </w:rPr>
        <w:tab/>
        <w:t>-1.361</w:t>
      </w:r>
    </w:p>
    <w:p w14:paraId="34A6F35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3</w:t>
      </w:r>
      <w:r w:rsidRPr="00022F29">
        <w:rPr>
          <w:rFonts w:ascii="Calibri" w:eastAsia="Calibri" w:hAnsi="Calibri" w:cs="Times New Roman"/>
        </w:rPr>
        <w:tab/>
        <w:t>0.5%</w:t>
      </w:r>
      <w:r w:rsidRPr="00022F29">
        <w:rPr>
          <w:rFonts w:ascii="Calibri" w:eastAsia="Calibri" w:hAnsi="Calibri" w:cs="Times New Roman"/>
        </w:rPr>
        <w:tab/>
        <w:t>2.390</w:t>
      </w:r>
      <w:r w:rsidRPr="00022F29">
        <w:rPr>
          <w:rFonts w:ascii="Calibri" w:eastAsia="Calibri" w:hAnsi="Calibri" w:cs="Times New Roman"/>
        </w:rPr>
        <w:tab/>
        <w:t>0.4%</w:t>
      </w:r>
      <w:r w:rsidRPr="00022F29">
        <w:rPr>
          <w:rFonts w:ascii="Calibri" w:eastAsia="Calibri" w:hAnsi="Calibri" w:cs="Times New Roman"/>
        </w:rPr>
        <w:tab/>
        <w:t>.610</w:t>
      </w:r>
      <w:r w:rsidRPr="00022F29">
        <w:rPr>
          <w:rFonts w:ascii="Calibri" w:eastAsia="Calibri" w:hAnsi="Calibri" w:cs="Times New Roman"/>
        </w:rPr>
        <w:tab/>
        <w:t>.395</w:t>
      </w:r>
      <w:r w:rsidRPr="00022F29">
        <w:rPr>
          <w:rFonts w:ascii="Calibri" w:eastAsia="Calibri" w:hAnsi="Calibri" w:cs="Times New Roman"/>
        </w:rPr>
        <w:tab/>
        <w:t>.403</w:t>
      </w:r>
      <w:r w:rsidRPr="00022F29">
        <w:rPr>
          <w:rFonts w:ascii="Calibri" w:eastAsia="Calibri" w:hAnsi="Calibri" w:cs="Times New Roman"/>
        </w:rPr>
        <w:tab/>
        <w:t>1.167</w:t>
      </w:r>
    </w:p>
    <w:p w14:paraId="03D116B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4</w:t>
      </w:r>
      <w:r w:rsidRPr="00022F29">
        <w:rPr>
          <w:rFonts w:ascii="Calibri" w:eastAsia="Calibri" w:hAnsi="Calibri" w:cs="Times New Roman"/>
        </w:rPr>
        <w:tab/>
        <w:t>0.7%</w:t>
      </w:r>
      <w:r w:rsidRPr="00022F29">
        <w:rPr>
          <w:rFonts w:ascii="Calibri" w:eastAsia="Calibri" w:hAnsi="Calibri" w:cs="Times New Roman"/>
        </w:rPr>
        <w:tab/>
        <w:t>3.022</w:t>
      </w:r>
      <w:r w:rsidRPr="00022F29">
        <w:rPr>
          <w:rFonts w:ascii="Calibri" w:eastAsia="Calibri" w:hAnsi="Calibri" w:cs="Times New Roman"/>
        </w:rPr>
        <w:tab/>
        <w:t>0.5%</w:t>
      </w:r>
      <w:r w:rsidRPr="00022F29">
        <w:rPr>
          <w:rFonts w:ascii="Calibri" w:eastAsia="Calibri" w:hAnsi="Calibri" w:cs="Times New Roman"/>
        </w:rPr>
        <w:tab/>
        <w:t>.978</w:t>
      </w:r>
      <w:r w:rsidRPr="00022F29">
        <w:rPr>
          <w:rFonts w:ascii="Calibri" w:eastAsia="Calibri" w:hAnsi="Calibri" w:cs="Times New Roman"/>
        </w:rPr>
        <w:tab/>
        <w:t>.564</w:t>
      </w:r>
      <w:r w:rsidRPr="00022F29">
        <w:rPr>
          <w:rFonts w:ascii="Calibri" w:eastAsia="Calibri" w:hAnsi="Calibri" w:cs="Times New Roman"/>
        </w:rPr>
        <w:tab/>
        <w:t>.578</w:t>
      </w:r>
      <w:r w:rsidRPr="00022F29">
        <w:rPr>
          <w:rFonts w:ascii="Calibri" w:eastAsia="Calibri" w:hAnsi="Calibri" w:cs="Times New Roman"/>
        </w:rPr>
        <w:tab/>
        <w:t>1.497</w:t>
      </w:r>
    </w:p>
    <w:p w14:paraId="0761050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3</w:t>
      </w:r>
      <w:r w:rsidRPr="00022F29">
        <w:rPr>
          <w:rFonts w:ascii="Calibri" w:eastAsia="Calibri" w:hAnsi="Calibri" w:cs="Times New Roman"/>
        </w:rPr>
        <w:tab/>
        <w:t>0.5%</w:t>
      </w:r>
      <w:r w:rsidRPr="00022F29">
        <w:rPr>
          <w:rFonts w:ascii="Calibri" w:eastAsia="Calibri" w:hAnsi="Calibri" w:cs="Times New Roman"/>
        </w:rPr>
        <w:tab/>
        <w:t>1.738</w:t>
      </w:r>
      <w:r w:rsidRPr="00022F29">
        <w:rPr>
          <w:rFonts w:ascii="Calibri" w:eastAsia="Calibri" w:hAnsi="Calibri" w:cs="Times New Roman"/>
        </w:rPr>
        <w:tab/>
        <w:t>0.3%</w:t>
      </w:r>
      <w:r w:rsidRPr="00022F29">
        <w:rPr>
          <w:rFonts w:ascii="Calibri" w:eastAsia="Calibri" w:hAnsi="Calibri" w:cs="Times New Roman"/>
        </w:rPr>
        <w:tab/>
        <w:t>1.262</w:t>
      </w:r>
      <w:r w:rsidRPr="00022F29">
        <w:rPr>
          <w:rFonts w:ascii="Calibri" w:eastAsia="Calibri" w:hAnsi="Calibri" w:cs="Times New Roman"/>
        </w:rPr>
        <w:tab/>
        <w:t>.959</w:t>
      </w:r>
      <w:r w:rsidRPr="00022F29">
        <w:rPr>
          <w:rFonts w:ascii="Calibri" w:eastAsia="Calibri" w:hAnsi="Calibri" w:cs="Times New Roman"/>
        </w:rPr>
        <w:tab/>
        <w:t>.974</w:t>
      </w:r>
      <w:r w:rsidRPr="00022F29">
        <w:rPr>
          <w:rFonts w:ascii="Calibri" w:eastAsia="Calibri" w:hAnsi="Calibri" w:cs="Times New Roman"/>
        </w:rPr>
        <w:tab/>
        <w:t>1.810</w:t>
      </w:r>
    </w:p>
    <w:p w14:paraId="3009DCB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2</w:t>
      </w:r>
      <w:r w:rsidRPr="00022F29">
        <w:rPr>
          <w:rFonts w:ascii="Calibri" w:eastAsia="Calibri" w:hAnsi="Calibri" w:cs="Times New Roman"/>
        </w:rPr>
        <w:tab/>
        <w:t>0.3%</w:t>
      </w:r>
      <w:r w:rsidRPr="00022F29">
        <w:rPr>
          <w:rFonts w:ascii="Calibri" w:eastAsia="Calibri" w:hAnsi="Calibri" w:cs="Times New Roman"/>
        </w:rPr>
        <w:tab/>
        <w:t>2.197</w:t>
      </w:r>
      <w:r w:rsidRPr="00022F29">
        <w:rPr>
          <w:rFonts w:ascii="Calibri" w:eastAsia="Calibri" w:hAnsi="Calibri" w:cs="Times New Roman"/>
        </w:rPr>
        <w:tab/>
        <w:t>0.4%</w:t>
      </w:r>
      <w:r w:rsidRPr="00022F29">
        <w:rPr>
          <w:rFonts w:ascii="Calibri" w:eastAsia="Calibri" w:hAnsi="Calibri" w:cs="Times New Roman"/>
        </w:rPr>
        <w:tab/>
        <w:t>-.197</w:t>
      </w:r>
      <w:r w:rsidRPr="00022F29">
        <w:rPr>
          <w:rFonts w:ascii="Calibri" w:eastAsia="Calibri" w:hAnsi="Calibri" w:cs="Times New Roman"/>
        </w:rPr>
        <w:tab/>
        <w:t>-.133</w:t>
      </w:r>
      <w:r w:rsidRPr="00022F29">
        <w:rPr>
          <w:rFonts w:ascii="Calibri" w:eastAsia="Calibri" w:hAnsi="Calibri" w:cs="Times New Roman"/>
        </w:rPr>
        <w:tab/>
        <w:t>-.136</w:t>
      </w:r>
      <w:r w:rsidRPr="00022F29">
        <w:rPr>
          <w:rFonts w:ascii="Calibri" w:eastAsia="Calibri" w:hAnsi="Calibri" w:cs="Times New Roman"/>
        </w:rPr>
        <w:tab/>
        <w:t>-.613</w:t>
      </w:r>
    </w:p>
    <w:p w14:paraId="056635A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4</w:t>
      </w:r>
      <w:r w:rsidRPr="00022F29">
        <w:rPr>
          <w:rFonts w:ascii="Calibri" w:eastAsia="Calibri" w:hAnsi="Calibri" w:cs="Times New Roman"/>
        </w:rPr>
        <w:tab/>
        <w:t>0.7%</w:t>
      </w:r>
      <w:r w:rsidRPr="00022F29">
        <w:rPr>
          <w:rFonts w:ascii="Calibri" w:eastAsia="Calibri" w:hAnsi="Calibri" w:cs="Times New Roman"/>
        </w:rPr>
        <w:tab/>
        <w:t>2.080</w:t>
      </w:r>
      <w:r w:rsidRPr="00022F29">
        <w:rPr>
          <w:rFonts w:ascii="Calibri" w:eastAsia="Calibri" w:hAnsi="Calibri" w:cs="Times New Roman"/>
        </w:rPr>
        <w:tab/>
        <w:t>0.4%</w:t>
      </w:r>
      <w:r w:rsidRPr="00022F29">
        <w:rPr>
          <w:rFonts w:ascii="Calibri" w:eastAsia="Calibri" w:hAnsi="Calibri" w:cs="Times New Roman"/>
        </w:rPr>
        <w:tab/>
        <w:t>1.920</w:t>
      </w:r>
      <w:r w:rsidRPr="00022F29">
        <w:rPr>
          <w:rFonts w:ascii="Calibri" w:eastAsia="Calibri" w:hAnsi="Calibri" w:cs="Times New Roman"/>
        </w:rPr>
        <w:tab/>
        <w:t>1.333</w:t>
      </w:r>
      <w:r w:rsidRPr="00022F29">
        <w:rPr>
          <w:rFonts w:ascii="Calibri" w:eastAsia="Calibri" w:hAnsi="Calibri" w:cs="Times New Roman"/>
        </w:rPr>
        <w:tab/>
        <w:t>1.358</w:t>
      </w:r>
      <w:r w:rsidRPr="00022F29">
        <w:rPr>
          <w:rFonts w:ascii="Calibri" w:eastAsia="Calibri" w:hAnsi="Calibri" w:cs="Times New Roman"/>
        </w:rPr>
        <w:tab/>
        <w:t>2.287</w:t>
      </w:r>
    </w:p>
    <w:p w14:paraId="3D24E5D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w:t>
      </w:r>
      <w:r w:rsidRPr="00022F29">
        <w:rPr>
          <w:rFonts w:ascii="Calibri" w:eastAsia="Calibri" w:hAnsi="Calibri" w:cs="Times New Roman"/>
        </w:rPr>
        <w:tab/>
        <w:t>0.8%</w:t>
      </w:r>
      <w:r w:rsidRPr="00022F29">
        <w:rPr>
          <w:rFonts w:ascii="Calibri" w:eastAsia="Calibri" w:hAnsi="Calibri" w:cs="Times New Roman"/>
        </w:rPr>
        <w:tab/>
        <w:t>2.630</w:t>
      </w:r>
      <w:r w:rsidRPr="00022F29">
        <w:rPr>
          <w:rFonts w:ascii="Calibri" w:eastAsia="Calibri" w:hAnsi="Calibri" w:cs="Times New Roman"/>
        </w:rPr>
        <w:tab/>
        <w:t>0.4%</w:t>
      </w:r>
      <w:r w:rsidRPr="00022F29">
        <w:rPr>
          <w:rFonts w:ascii="Calibri" w:eastAsia="Calibri" w:hAnsi="Calibri" w:cs="Times New Roman"/>
        </w:rPr>
        <w:tab/>
        <w:t>2.370</w:t>
      </w:r>
      <w:r w:rsidRPr="00022F29">
        <w:rPr>
          <w:rFonts w:ascii="Calibri" w:eastAsia="Calibri" w:hAnsi="Calibri" w:cs="Times New Roman"/>
        </w:rPr>
        <w:tab/>
        <w:t>1.465</w:t>
      </w:r>
      <w:r w:rsidRPr="00022F29">
        <w:rPr>
          <w:rFonts w:ascii="Calibri" w:eastAsia="Calibri" w:hAnsi="Calibri" w:cs="Times New Roman"/>
        </w:rPr>
        <w:tab/>
        <w:t>1.498</w:t>
      </w:r>
      <w:r w:rsidRPr="00022F29">
        <w:rPr>
          <w:rFonts w:ascii="Calibri" w:eastAsia="Calibri" w:hAnsi="Calibri" w:cs="Times New Roman"/>
        </w:rPr>
        <w:tab/>
        <w:t>2.535</w:t>
      </w:r>
    </w:p>
    <w:p w14:paraId="4B9330D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12</w:t>
      </w:r>
      <w:r w:rsidRPr="00022F29">
        <w:rPr>
          <w:rFonts w:ascii="Calibri" w:eastAsia="Calibri" w:hAnsi="Calibri" w:cs="Times New Roman"/>
        </w:rPr>
        <w:tab/>
        <w:t>2.0%</w:t>
      </w:r>
      <w:r w:rsidRPr="00022F29">
        <w:rPr>
          <w:rFonts w:ascii="Calibri" w:eastAsia="Calibri" w:hAnsi="Calibri" w:cs="Times New Roman"/>
        </w:rPr>
        <w:tab/>
        <w:t>5.667</w:t>
      </w:r>
      <w:r w:rsidRPr="00022F29">
        <w:rPr>
          <w:rFonts w:ascii="Calibri" w:eastAsia="Calibri" w:hAnsi="Calibri" w:cs="Times New Roman"/>
        </w:rPr>
        <w:tab/>
        <w:t>1.0%</w:t>
      </w:r>
      <w:r w:rsidRPr="00022F29">
        <w:rPr>
          <w:rFonts w:ascii="Calibri" w:eastAsia="Calibri" w:hAnsi="Calibri" w:cs="Times New Roman"/>
        </w:rPr>
        <w:tab/>
        <w:t>6.333</w:t>
      </w:r>
      <w:r w:rsidRPr="00022F29">
        <w:rPr>
          <w:rFonts w:ascii="Calibri" w:eastAsia="Calibri" w:hAnsi="Calibri" w:cs="Times New Roman"/>
        </w:rPr>
        <w:tab/>
        <w:t>2.673</w:t>
      </w:r>
      <w:r w:rsidRPr="00022F29">
        <w:rPr>
          <w:rFonts w:ascii="Calibri" w:eastAsia="Calibri" w:hAnsi="Calibri" w:cs="Times New Roman"/>
        </w:rPr>
        <w:tab/>
        <w:t>2.782</w:t>
      </w:r>
      <w:r w:rsidRPr="00022F29">
        <w:rPr>
          <w:rFonts w:ascii="Calibri" w:eastAsia="Calibri" w:hAnsi="Calibri" w:cs="Times New Roman"/>
        </w:rPr>
        <w:tab/>
        <w:t>4.244</w:t>
      </w:r>
    </w:p>
    <w:p w14:paraId="68C594F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5</w:t>
      </w:r>
      <w:r w:rsidRPr="00022F29">
        <w:rPr>
          <w:rFonts w:ascii="Calibri" w:eastAsia="Calibri" w:hAnsi="Calibri" w:cs="Times New Roman"/>
        </w:rPr>
        <w:tab/>
        <w:t>0.8%</w:t>
      </w:r>
      <w:r w:rsidRPr="00022F29">
        <w:rPr>
          <w:rFonts w:ascii="Calibri" w:eastAsia="Calibri" w:hAnsi="Calibri" w:cs="Times New Roman"/>
        </w:rPr>
        <w:tab/>
        <w:t>7.165</w:t>
      </w:r>
      <w:r w:rsidRPr="00022F29">
        <w:rPr>
          <w:rFonts w:ascii="Calibri" w:eastAsia="Calibri" w:hAnsi="Calibri" w:cs="Times New Roman"/>
        </w:rPr>
        <w:tab/>
        <w:t>1.2%</w:t>
      </w:r>
      <w:r w:rsidRPr="00022F29">
        <w:rPr>
          <w:rFonts w:ascii="Calibri" w:eastAsia="Calibri" w:hAnsi="Calibri" w:cs="Times New Roman"/>
        </w:rPr>
        <w:tab/>
        <w:t>-2.165</w:t>
      </w:r>
      <w:r w:rsidRPr="00022F29">
        <w:rPr>
          <w:rFonts w:ascii="Calibri" w:eastAsia="Calibri" w:hAnsi="Calibri" w:cs="Times New Roman"/>
        </w:rPr>
        <w:tab/>
        <w:t>-.814</w:t>
      </w:r>
      <w:r w:rsidRPr="00022F29">
        <w:rPr>
          <w:rFonts w:ascii="Calibri" w:eastAsia="Calibri" w:hAnsi="Calibri" w:cs="Times New Roman"/>
        </w:rPr>
        <w:tab/>
        <w:t>-.853</w:t>
      </w:r>
      <w:r w:rsidRPr="00022F29">
        <w:rPr>
          <w:rFonts w:ascii="Calibri" w:eastAsia="Calibri" w:hAnsi="Calibri" w:cs="Times New Roman"/>
        </w:rPr>
        <w:tab/>
        <w:t>-1.897</w:t>
      </w:r>
    </w:p>
    <w:p w14:paraId="7EF111BC"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2</w:t>
      </w:r>
      <w:r w:rsidRPr="00022F29">
        <w:rPr>
          <w:rFonts w:ascii="Calibri" w:eastAsia="Calibri" w:hAnsi="Calibri" w:cs="Times New Roman"/>
        </w:rPr>
        <w:tab/>
        <w:t>0.3%</w:t>
      </w:r>
      <w:r w:rsidRPr="00022F29">
        <w:rPr>
          <w:rFonts w:ascii="Calibri" w:eastAsia="Calibri" w:hAnsi="Calibri" w:cs="Times New Roman"/>
        </w:rPr>
        <w:tab/>
        <w:t>6.783</w:t>
      </w:r>
      <w:r w:rsidRPr="00022F29">
        <w:rPr>
          <w:rFonts w:ascii="Calibri" w:eastAsia="Calibri" w:hAnsi="Calibri" w:cs="Times New Roman"/>
        </w:rPr>
        <w:tab/>
        <w:t>1.1%</w:t>
      </w:r>
      <w:r w:rsidRPr="00022F29">
        <w:rPr>
          <w:rFonts w:ascii="Calibri" w:eastAsia="Calibri" w:hAnsi="Calibri" w:cs="Times New Roman"/>
        </w:rPr>
        <w:tab/>
        <w:t>-4.783</w:t>
      </w:r>
      <w:r w:rsidRPr="00022F29">
        <w:rPr>
          <w:rFonts w:ascii="Calibri" w:eastAsia="Calibri" w:hAnsi="Calibri" w:cs="Times New Roman"/>
        </w:rPr>
        <w:tab/>
        <w:t>-1.847</w:t>
      </w:r>
      <w:r w:rsidRPr="00022F29">
        <w:rPr>
          <w:rFonts w:ascii="Calibri" w:eastAsia="Calibri" w:hAnsi="Calibri" w:cs="Times New Roman"/>
        </w:rPr>
        <w:tab/>
        <w:t>-1.933</w:t>
      </w:r>
      <w:r w:rsidRPr="00022F29">
        <w:rPr>
          <w:rFonts w:ascii="Calibri" w:eastAsia="Calibri" w:hAnsi="Calibri" w:cs="Times New Roman"/>
        </w:rPr>
        <w:tab/>
        <w:t>-2.210</w:t>
      </w:r>
    </w:p>
    <w:p w14:paraId="01424E1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19</w:t>
      </w:r>
      <w:r w:rsidRPr="00022F29">
        <w:rPr>
          <w:rFonts w:ascii="Calibri" w:eastAsia="Calibri" w:hAnsi="Calibri" w:cs="Times New Roman"/>
        </w:rPr>
        <w:tab/>
        <w:t>3.2%</w:t>
      </w:r>
      <w:r w:rsidRPr="00022F29">
        <w:rPr>
          <w:rFonts w:ascii="Calibri" w:eastAsia="Calibri" w:hAnsi="Calibri" w:cs="Times New Roman"/>
        </w:rPr>
        <w:tab/>
        <w:t>8.576</w:t>
      </w:r>
      <w:r w:rsidRPr="00022F29">
        <w:rPr>
          <w:rFonts w:ascii="Calibri" w:eastAsia="Calibri" w:hAnsi="Calibri" w:cs="Times New Roman"/>
        </w:rPr>
        <w:tab/>
        <w:t>1.5%</w:t>
      </w:r>
      <w:r w:rsidRPr="00022F29">
        <w:rPr>
          <w:rFonts w:ascii="Calibri" w:eastAsia="Calibri" w:hAnsi="Calibri" w:cs="Times New Roman"/>
        </w:rPr>
        <w:tab/>
        <w:t>10.424</w:t>
      </w:r>
      <w:r w:rsidRPr="00022F29">
        <w:rPr>
          <w:rFonts w:ascii="Calibri" w:eastAsia="Calibri" w:hAnsi="Calibri" w:cs="Times New Roman"/>
        </w:rPr>
        <w:tab/>
        <w:t>3.586</w:t>
      </w:r>
      <w:r w:rsidRPr="00022F29">
        <w:rPr>
          <w:rFonts w:ascii="Calibri" w:eastAsia="Calibri" w:hAnsi="Calibri" w:cs="Times New Roman"/>
        </w:rPr>
        <w:tab/>
        <w:t>3.787</w:t>
      </w:r>
      <w:r w:rsidRPr="00022F29">
        <w:rPr>
          <w:rFonts w:ascii="Calibri" w:eastAsia="Calibri" w:hAnsi="Calibri" w:cs="Times New Roman"/>
        </w:rPr>
        <w:tab/>
        <w:t>5.498</w:t>
      </w:r>
    </w:p>
    <w:p w14:paraId="67BB68E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8</w:t>
      </w:r>
      <w:r w:rsidRPr="00022F29">
        <w:rPr>
          <w:rFonts w:ascii="Calibri" w:eastAsia="Calibri" w:hAnsi="Calibri" w:cs="Times New Roman"/>
        </w:rPr>
        <w:tab/>
        <w:t>1.4%</w:t>
      </w:r>
      <w:r w:rsidRPr="00022F29">
        <w:rPr>
          <w:rFonts w:ascii="Calibri" w:eastAsia="Calibri" w:hAnsi="Calibri" w:cs="Times New Roman"/>
        </w:rPr>
        <w:tab/>
        <w:t>4.931</w:t>
      </w:r>
      <w:r w:rsidRPr="00022F29">
        <w:rPr>
          <w:rFonts w:ascii="Calibri" w:eastAsia="Calibri" w:hAnsi="Calibri" w:cs="Times New Roman"/>
        </w:rPr>
        <w:tab/>
        <w:t>0.8%</w:t>
      </w:r>
      <w:r w:rsidRPr="00022F29">
        <w:rPr>
          <w:rFonts w:ascii="Calibri" w:eastAsia="Calibri" w:hAnsi="Calibri" w:cs="Times New Roman"/>
        </w:rPr>
        <w:tab/>
        <w:t>3.069</w:t>
      </w:r>
      <w:r w:rsidRPr="00022F29">
        <w:rPr>
          <w:rFonts w:ascii="Calibri" w:eastAsia="Calibri" w:hAnsi="Calibri" w:cs="Times New Roman"/>
        </w:rPr>
        <w:tab/>
        <w:t>1.388</w:t>
      </w:r>
      <w:r w:rsidRPr="00022F29">
        <w:rPr>
          <w:rFonts w:ascii="Calibri" w:eastAsia="Calibri" w:hAnsi="Calibri" w:cs="Times New Roman"/>
        </w:rPr>
        <w:tab/>
        <w:t>1.438</w:t>
      </w:r>
      <w:r w:rsidRPr="00022F29">
        <w:rPr>
          <w:rFonts w:ascii="Calibri" w:eastAsia="Calibri" w:hAnsi="Calibri" w:cs="Times New Roman"/>
        </w:rPr>
        <w:tab/>
        <w:t>2.782</w:t>
      </w:r>
    </w:p>
    <w:p w14:paraId="1BB452D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8</w:t>
      </w:r>
      <w:r w:rsidRPr="00022F29">
        <w:rPr>
          <w:rFonts w:ascii="Calibri" w:eastAsia="Calibri" w:hAnsi="Calibri" w:cs="Times New Roman"/>
        </w:rPr>
        <w:tab/>
        <w:t>1.4%</w:t>
      </w:r>
      <w:r w:rsidRPr="00022F29">
        <w:rPr>
          <w:rFonts w:ascii="Calibri" w:eastAsia="Calibri" w:hAnsi="Calibri" w:cs="Times New Roman"/>
        </w:rPr>
        <w:tab/>
        <w:t>6.235</w:t>
      </w:r>
      <w:r w:rsidRPr="00022F29">
        <w:rPr>
          <w:rFonts w:ascii="Calibri" w:eastAsia="Calibri" w:hAnsi="Calibri" w:cs="Times New Roman"/>
        </w:rPr>
        <w:tab/>
        <w:t>1.1%</w:t>
      </w:r>
      <w:r w:rsidRPr="00022F29">
        <w:rPr>
          <w:rFonts w:ascii="Calibri" w:eastAsia="Calibri" w:hAnsi="Calibri" w:cs="Times New Roman"/>
        </w:rPr>
        <w:tab/>
        <w:t>1.765</w:t>
      </w:r>
      <w:r w:rsidRPr="00022F29">
        <w:rPr>
          <w:rFonts w:ascii="Calibri" w:eastAsia="Calibri" w:hAnsi="Calibri" w:cs="Times New Roman"/>
        </w:rPr>
        <w:tab/>
        <w:t>.711</w:t>
      </w:r>
      <w:r w:rsidRPr="00022F29">
        <w:rPr>
          <w:rFonts w:ascii="Calibri" w:eastAsia="Calibri" w:hAnsi="Calibri" w:cs="Times New Roman"/>
        </w:rPr>
        <w:tab/>
        <w:t>.742</w:t>
      </w:r>
      <w:r w:rsidRPr="00022F29">
        <w:rPr>
          <w:rFonts w:ascii="Calibri" w:eastAsia="Calibri" w:hAnsi="Calibri" w:cs="Times New Roman"/>
        </w:rPr>
        <w:tab/>
        <w:t>1.997</w:t>
      </w:r>
    </w:p>
    <w:p w14:paraId="6FDBD1A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5</w:t>
      </w:r>
      <w:r w:rsidRPr="00022F29">
        <w:rPr>
          <w:rFonts w:ascii="Calibri" w:eastAsia="Calibri" w:hAnsi="Calibri" w:cs="Times New Roman"/>
        </w:rPr>
        <w:tab/>
        <w:t>0.8%</w:t>
      </w:r>
      <w:r w:rsidRPr="00022F29">
        <w:rPr>
          <w:rFonts w:ascii="Calibri" w:eastAsia="Calibri" w:hAnsi="Calibri" w:cs="Times New Roman"/>
        </w:rPr>
        <w:tab/>
        <w:t>5.903</w:t>
      </w:r>
      <w:r w:rsidRPr="00022F29">
        <w:rPr>
          <w:rFonts w:ascii="Calibri" w:eastAsia="Calibri" w:hAnsi="Calibri" w:cs="Times New Roman"/>
        </w:rPr>
        <w:tab/>
        <w:t>1.0%</w:t>
      </w:r>
      <w:r w:rsidRPr="00022F29">
        <w:rPr>
          <w:rFonts w:ascii="Calibri" w:eastAsia="Calibri" w:hAnsi="Calibri" w:cs="Times New Roman"/>
        </w:rPr>
        <w:tab/>
        <w:t>-.903</w:t>
      </w:r>
      <w:r w:rsidRPr="00022F29">
        <w:rPr>
          <w:rFonts w:ascii="Calibri" w:eastAsia="Calibri" w:hAnsi="Calibri" w:cs="Times New Roman"/>
        </w:rPr>
        <w:tab/>
        <w:t>-.374</w:t>
      </w:r>
      <w:r w:rsidRPr="00022F29">
        <w:rPr>
          <w:rFonts w:ascii="Calibri" w:eastAsia="Calibri" w:hAnsi="Calibri" w:cs="Times New Roman"/>
        </w:rPr>
        <w:tab/>
        <w:t>-.389</w:t>
      </w:r>
      <w:r w:rsidRPr="00022F29">
        <w:rPr>
          <w:rFonts w:ascii="Calibri" w:eastAsia="Calibri" w:hAnsi="Calibri" w:cs="Times New Roman"/>
        </w:rPr>
        <w:tab/>
        <w:t>-1.288</w:t>
      </w:r>
    </w:p>
    <w:p w14:paraId="5F061C86"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17</w:t>
      </w:r>
      <w:r w:rsidRPr="00022F29">
        <w:rPr>
          <w:rFonts w:ascii="Calibri" w:eastAsia="Calibri" w:hAnsi="Calibri" w:cs="Times New Roman"/>
        </w:rPr>
        <w:tab/>
        <w:t>2.9%</w:t>
      </w:r>
      <w:r w:rsidRPr="00022F29">
        <w:rPr>
          <w:rFonts w:ascii="Calibri" w:eastAsia="Calibri" w:hAnsi="Calibri" w:cs="Times New Roman"/>
        </w:rPr>
        <w:tab/>
        <w:t>7.463</w:t>
      </w:r>
      <w:r w:rsidRPr="00022F29">
        <w:rPr>
          <w:rFonts w:ascii="Calibri" w:eastAsia="Calibri" w:hAnsi="Calibri" w:cs="Times New Roman"/>
        </w:rPr>
        <w:tab/>
        <w:t>1.3%</w:t>
      </w:r>
      <w:r w:rsidRPr="00022F29">
        <w:rPr>
          <w:rFonts w:ascii="Calibri" w:eastAsia="Calibri" w:hAnsi="Calibri" w:cs="Times New Roman"/>
        </w:rPr>
        <w:tab/>
        <w:t>9.537</w:t>
      </w:r>
      <w:r w:rsidRPr="00022F29">
        <w:rPr>
          <w:rFonts w:ascii="Calibri" w:eastAsia="Calibri" w:hAnsi="Calibri" w:cs="Times New Roman"/>
        </w:rPr>
        <w:tab/>
        <w:t>3.513</w:t>
      </w:r>
      <w:r w:rsidRPr="00022F29">
        <w:rPr>
          <w:rFonts w:ascii="Calibri" w:eastAsia="Calibri" w:hAnsi="Calibri" w:cs="Times New Roman"/>
        </w:rPr>
        <w:tab/>
        <w:t>3.690</w:t>
      </w:r>
      <w:r w:rsidRPr="00022F29">
        <w:rPr>
          <w:rFonts w:ascii="Calibri" w:eastAsia="Calibri" w:hAnsi="Calibri" w:cs="Times New Roman"/>
        </w:rPr>
        <w:tab/>
        <w:t>5.290</w:t>
      </w:r>
    </w:p>
    <w:p w14:paraId="0881377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t>4</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5</w:t>
      </w:r>
      <w:r w:rsidRPr="00022F29">
        <w:rPr>
          <w:rFonts w:ascii="Calibri" w:eastAsia="Calibri" w:hAnsi="Calibri" w:cs="Times New Roman"/>
        </w:rPr>
        <w:tab/>
        <w:t>0.8%</w:t>
      </w:r>
      <w:r w:rsidRPr="00022F29">
        <w:rPr>
          <w:rFonts w:ascii="Calibri" w:eastAsia="Calibri" w:hAnsi="Calibri" w:cs="Times New Roman"/>
        </w:rPr>
        <w:tab/>
        <w:t>2.353</w:t>
      </w:r>
      <w:r w:rsidRPr="00022F29">
        <w:rPr>
          <w:rFonts w:ascii="Calibri" w:eastAsia="Calibri" w:hAnsi="Calibri" w:cs="Times New Roman"/>
        </w:rPr>
        <w:tab/>
        <w:t>0.4%</w:t>
      </w:r>
      <w:r w:rsidRPr="00022F29">
        <w:rPr>
          <w:rFonts w:ascii="Calibri" w:eastAsia="Calibri" w:hAnsi="Calibri" w:cs="Times New Roman"/>
        </w:rPr>
        <w:tab/>
        <w:t>2.647</w:t>
      </w:r>
      <w:r w:rsidRPr="00022F29">
        <w:rPr>
          <w:rFonts w:ascii="Calibri" w:eastAsia="Calibri" w:hAnsi="Calibri" w:cs="Times New Roman"/>
        </w:rPr>
        <w:tab/>
        <w:t>1.729</w:t>
      </w:r>
      <w:r w:rsidRPr="00022F29">
        <w:rPr>
          <w:rFonts w:ascii="Calibri" w:eastAsia="Calibri" w:hAnsi="Calibri" w:cs="Times New Roman"/>
        </w:rPr>
        <w:tab/>
        <w:t>1.763</w:t>
      </w:r>
      <w:r w:rsidRPr="00022F29">
        <w:rPr>
          <w:rFonts w:ascii="Calibri" w:eastAsia="Calibri" w:hAnsi="Calibri" w:cs="Times New Roman"/>
        </w:rPr>
        <w:tab/>
        <w:t>2.745</w:t>
      </w:r>
    </w:p>
    <w:p w14:paraId="6038C01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3</w:t>
      </w:r>
      <w:r w:rsidRPr="00022F29">
        <w:rPr>
          <w:rFonts w:ascii="Calibri" w:eastAsia="Calibri" w:hAnsi="Calibri" w:cs="Times New Roman"/>
        </w:rPr>
        <w:tab/>
        <w:t>0.5%</w:t>
      </w:r>
      <w:r w:rsidRPr="00022F29">
        <w:rPr>
          <w:rFonts w:ascii="Calibri" w:eastAsia="Calibri" w:hAnsi="Calibri" w:cs="Times New Roman"/>
        </w:rPr>
        <w:tab/>
        <w:t>2.976</w:t>
      </w:r>
      <w:r w:rsidRPr="00022F29">
        <w:rPr>
          <w:rFonts w:ascii="Calibri" w:eastAsia="Calibri" w:hAnsi="Calibri" w:cs="Times New Roman"/>
        </w:rPr>
        <w:tab/>
        <w:t>0.5%</w:t>
      </w:r>
      <w:r w:rsidRPr="00022F29">
        <w:rPr>
          <w:rFonts w:ascii="Calibri" w:eastAsia="Calibri" w:hAnsi="Calibri" w:cs="Times New Roman"/>
        </w:rPr>
        <w:tab/>
        <w:t>.024</w:t>
      </w:r>
      <w:r w:rsidRPr="00022F29">
        <w:rPr>
          <w:rFonts w:ascii="Calibri" w:eastAsia="Calibri" w:hAnsi="Calibri" w:cs="Times New Roman"/>
        </w:rPr>
        <w:tab/>
        <w:t>.014</w:t>
      </w:r>
      <w:r w:rsidRPr="00022F29">
        <w:rPr>
          <w:rFonts w:ascii="Calibri" w:eastAsia="Calibri" w:hAnsi="Calibri" w:cs="Times New Roman"/>
        </w:rPr>
        <w:tab/>
        <w:t>.014</w:t>
      </w:r>
      <w:r w:rsidRPr="00022F29">
        <w:rPr>
          <w:rFonts w:ascii="Calibri" w:eastAsia="Calibri" w:hAnsi="Calibri" w:cs="Times New Roman"/>
        </w:rPr>
        <w:tab/>
        <w:t>.221</w:t>
      </w:r>
    </w:p>
    <w:p w14:paraId="7C2D3A1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5</w:t>
      </w:r>
      <w:r w:rsidRPr="00022F29">
        <w:rPr>
          <w:rFonts w:ascii="Calibri" w:eastAsia="Calibri" w:hAnsi="Calibri" w:cs="Times New Roman"/>
        </w:rPr>
        <w:tab/>
        <w:t>0.8%</w:t>
      </w:r>
      <w:r w:rsidRPr="00022F29">
        <w:rPr>
          <w:rFonts w:ascii="Calibri" w:eastAsia="Calibri" w:hAnsi="Calibri" w:cs="Times New Roman"/>
        </w:rPr>
        <w:tab/>
        <w:t>2.817</w:t>
      </w:r>
      <w:r w:rsidRPr="00022F29">
        <w:rPr>
          <w:rFonts w:ascii="Calibri" w:eastAsia="Calibri" w:hAnsi="Calibri" w:cs="Times New Roman"/>
        </w:rPr>
        <w:tab/>
        <w:t>0.5%</w:t>
      </w:r>
      <w:r w:rsidRPr="00022F29">
        <w:rPr>
          <w:rFonts w:ascii="Calibri" w:eastAsia="Calibri" w:hAnsi="Calibri" w:cs="Times New Roman"/>
        </w:rPr>
        <w:tab/>
        <w:t>2.183</w:t>
      </w:r>
      <w:r w:rsidRPr="00022F29">
        <w:rPr>
          <w:rFonts w:ascii="Calibri" w:eastAsia="Calibri" w:hAnsi="Calibri" w:cs="Times New Roman"/>
        </w:rPr>
        <w:tab/>
        <w:t>1.304</w:t>
      </w:r>
      <w:r w:rsidRPr="00022F29">
        <w:rPr>
          <w:rFonts w:ascii="Calibri" w:eastAsia="Calibri" w:hAnsi="Calibri" w:cs="Times New Roman"/>
        </w:rPr>
        <w:tab/>
        <w:t>1.334</w:t>
      </w:r>
      <w:r w:rsidRPr="00022F29">
        <w:rPr>
          <w:rFonts w:ascii="Calibri" w:eastAsia="Calibri" w:hAnsi="Calibri" w:cs="Times New Roman"/>
        </w:rPr>
        <w:tab/>
        <w:t>2.395</w:t>
      </w:r>
    </w:p>
    <w:p w14:paraId="6E1A967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7</w:t>
      </w:r>
      <w:r w:rsidRPr="00022F29">
        <w:rPr>
          <w:rFonts w:ascii="Calibri" w:eastAsia="Calibri" w:hAnsi="Calibri" w:cs="Times New Roman"/>
        </w:rPr>
        <w:tab/>
        <w:t>1.2%</w:t>
      </w:r>
      <w:r w:rsidRPr="00022F29">
        <w:rPr>
          <w:rFonts w:ascii="Calibri" w:eastAsia="Calibri" w:hAnsi="Calibri" w:cs="Times New Roman"/>
        </w:rPr>
        <w:tab/>
        <w:t>3.562</w:t>
      </w:r>
      <w:r w:rsidRPr="00022F29">
        <w:rPr>
          <w:rFonts w:ascii="Calibri" w:eastAsia="Calibri" w:hAnsi="Calibri" w:cs="Times New Roman"/>
        </w:rPr>
        <w:tab/>
        <w:t>0.6%</w:t>
      </w:r>
      <w:r w:rsidRPr="00022F29">
        <w:rPr>
          <w:rFonts w:ascii="Calibri" w:eastAsia="Calibri" w:hAnsi="Calibri" w:cs="Times New Roman"/>
        </w:rPr>
        <w:tab/>
        <w:t>3.438</w:t>
      </w:r>
      <w:r w:rsidRPr="00022F29">
        <w:rPr>
          <w:rFonts w:ascii="Calibri" w:eastAsia="Calibri" w:hAnsi="Calibri" w:cs="Times New Roman"/>
        </w:rPr>
        <w:tab/>
        <w:t>1.827</w:t>
      </w:r>
      <w:r w:rsidRPr="00022F29">
        <w:rPr>
          <w:rFonts w:ascii="Calibri" w:eastAsia="Calibri" w:hAnsi="Calibri" w:cs="Times New Roman"/>
        </w:rPr>
        <w:tab/>
        <w:t>1.878</w:t>
      </w:r>
      <w:r w:rsidRPr="00022F29">
        <w:rPr>
          <w:rFonts w:ascii="Calibri" w:eastAsia="Calibri" w:hAnsi="Calibri" w:cs="Times New Roman"/>
        </w:rPr>
        <w:tab/>
        <w:t>3.075</w:t>
      </w:r>
    </w:p>
    <w:p w14:paraId="0D0B34DE"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lastRenderedPageBreak/>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7</w:t>
      </w:r>
      <w:r w:rsidRPr="00022F29">
        <w:rPr>
          <w:rFonts w:ascii="Calibri" w:eastAsia="Calibri" w:hAnsi="Calibri" w:cs="Times New Roman"/>
        </w:rPr>
        <w:tab/>
        <w:t>1.2%</w:t>
      </w:r>
      <w:r w:rsidRPr="00022F29">
        <w:rPr>
          <w:rFonts w:ascii="Calibri" w:eastAsia="Calibri" w:hAnsi="Calibri" w:cs="Times New Roman"/>
        </w:rPr>
        <w:tab/>
        <w:t>2.048</w:t>
      </w:r>
      <w:r w:rsidRPr="00022F29">
        <w:rPr>
          <w:rFonts w:ascii="Calibri" w:eastAsia="Calibri" w:hAnsi="Calibri" w:cs="Times New Roman"/>
        </w:rPr>
        <w:tab/>
        <w:t>0.3%</w:t>
      </w:r>
      <w:r w:rsidRPr="00022F29">
        <w:rPr>
          <w:rFonts w:ascii="Calibri" w:eastAsia="Calibri" w:hAnsi="Calibri" w:cs="Times New Roman"/>
        </w:rPr>
        <w:tab/>
        <w:t>4.952</w:t>
      </w:r>
      <w:r w:rsidRPr="00022F29">
        <w:rPr>
          <w:rFonts w:ascii="Calibri" w:eastAsia="Calibri" w:hAnsi="Calibri" w:cs="Times New Roman"/>
        </w:rPr>
        <w:tab/>
        <w:t>3.466</w:t>
      </w:r>
      <w:r w:rsidRPr="00022F29">
        <w:rPr>
          <w:rFonts w:ascii="Calibri" w:eastAsia="Calibri" w:hAnsi="Calibri" w:cs="Times New Roman"/>
        </w:rPr>
        <w:tab/>
        <w:t>3.528</w:t>
      </w:r>
      <w:r w:rsidRPr="00022F29">
        <w:rPr>
          <w:rFonts w:ascii="Calibri" w:eastAsia="Calibri" w:hAnsi="Calibri" w:cs="Times New Roman"/>
        </w:rPr>
        <w:tab/>
        <w:t>4.148</w:t>
      </w:r>
    </w:p>
    <w:p w14:paraId="01F7CFD7"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w:t>
      </w:r>
      <w:r w:rsidRPr="00022F29">
        <w:rPr>
          <w:rFonts w:ascii="Calibri" w:eastAsia="Calibri" w:hAnsi="Calibri" w:cs="Times New Roman"/>
        </w:rPr>
        <w:tab/>
        <w:t>0.2%</w:t>
      </w:r>
      <w:r w:rsidRPr="00022F29">
        <w:rPr>
          <w:rFonts w:ascii="Calibri" w:eastAsia="Calibri" w:hAnsi="Calibri" w:cs="Times New Roman"/>
        </w:rPr>
        <w:tab/>
        <w:t>2.590</w:t>
      </w:r>
      <w:r w:rsidRPr="00022F29">
        <w:rPr>
          <w:rFonts w:ascii="Calibri" w:eastAsia="Calibri" w:hAnsi="Calibri" w:cs="Times New Roman"/>
        </w:rPr>
        <w:tab/>
        <w:t>0.4%</w:t>
      </w:r>
      <w:r w:rsidRPr="00022F29">
        <w:rPr>
          <w:rFonts w:ascii="Calibri" w:eastAsia="Calibri" w:hAnsi="Calibri" w:cs="Times New Roman"/>
        </w:rPr>
        <w:tab/>
        <w:t>-1.590</w:t>
      </w:r>
      <w:r w:rsidRPr="00022F29">
        <w:rPr>
          <w:rFonts w:ascii="Calibri" w:eastAsia="Calibri" w:hAnsi="Calibri" w:cs="Times New Roman"/>
        </w:rPr>
        <w:tab/>
        <w:t>-.990</w:t>
      </w:r>
      <w:r w:rsidRPr="00022F29">
        <w:rPr>
          <w:rFonts w:ascii="Calibri" w:eastAsia="Calibri" w:hAnsi="Calibri" w:cs="Times New Roman"/>
        </w:rPr>
        <w:tab/>
        <w:t>-1.011</w:t>
      </w:r>
      <w:r w:rsidRPr="00022F29">
        <w:rPr>
          <w:rFonts w:ascii="Calibri" w:eastAsia="Calibri" w:hAnsi="Calibri" w:cs="Times New Roman"/>
        </w:rPr>
        <w:tab/>
        <w:t>-1.379</w:t>
      </w:r>
    </w:p>
    <w:p w14:paraId="1AED1E82"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2</w:t>
      </w:r>
      <w:r w:rsidRPr="00022F29">
        <w:rPr>
          <w:rFonts w:ascii="Calibri" w:eastAsia="Calibri" w:hAnsi="Calibri" w:cs="Times New Roman"/>
        </w:rPr>
        <w:tab/>
        <w:t>0.3%</w:t>
      </w:r>
      <w:r w:rsidRPr="00022F29">
        <w:rPr>
          <w:rFonts w:ascii="Calibri" w:eastAsia="Calibri" w:hAnsi="Calibri" w:cs="Times New Roman"/>
        </w:rPr>
        <w:tab/>
        <w:t>2.452</w:t>
      </w:r>
      <w:r w:rsidRPr="00022F29">
        <w:rPr>
          <w:rFonts w:ascii="Calibri" w:eastAsia="Calibri" w:hAnsi="Calibri" w:cs="Times New Roman"/>
        </w:rPr>
        <w:tab/>
        <w:t>0.4%</w:t>
      </w:r>
      <w:r w:rsidRPr="00022F29">
        <w:rPr>
          <w:rFonts w:ascii="Calibri" w:eastAsia="Calibri" w:hAnsi="Calibri" w:cs="Times New Roman"/>
        </w:rPr>
        <w:tab/>
        <w:t>-.452</w:t>
      </w:r>
      <w:r w:rsidRPr="00022F29">
        <w:rPr>
          <w:rFonts w:ascii="Calibri" w:eastAsia="Calibri" w:hAnsi="Calibri" w:cs="Times New Roman"/>
        </w:rPr>
        <w:tab/>
        <w:t>-.289</w:t>
      </w:r>
      <w:r w:rsidRPr="00022F29">
        <w:rPr>
          <w:rFonts w:ascii="Calibri" w:eastAsia="Calibri" w:hAnsi="Calibri" w:cs="Times New Roman"/>
        </w:rPr>
        <w:tab/>
        <w:t>-.295</w:t>
      </w:r>
      <w:r w:rsidRPr="00022F29">
        <w:rPr>
          <w:rFonts w:ascii="Calibri" w:eastAsia="Calibri" w:hAnsi="Calibri" w:cs="Times New Roman"/>
        </w:rPr>
        <w:tab/>
        <w:t>-.902</w:t>
      </w:r>
    </w:p>
    <w:p w14:paraId="15B82BEF"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3</w:t>
      </w:r>
      <w:r w:rsidRPr="00022F29">
        <w:rPr>
          <w:rFonts w:ascii="Calibri" w:eastAsia="Calibri" w:hAnsi="Calibri" w:cs="Times New Roman"/>
        </w:rPr>
        <w:tab/>
        <w:t>0.5%</w:t>
      </w:r>
      <w:r w:rsidRPr="00022F29">
        <w:rPr>
          <w:rFonts w:ascii="Calibri" w:eastAsia="Calibri" w:hAnsi="Calibri" w:cs="Times New Roman"/>
        </w:rPr>
        <w:tab/>
        <w:t>3.100</w:t>
      </w:r>
      <w:r w:rsidRPr="00022F29">
        <w:rPr>
          <w:rFonts w:ascii="Calibri" w:eastAsia="Calibri" w:hAnsi="Calibri" w:cs="Times New Roman"/>
        </w:rPr>
        <w:tab/>
        <w:t>0.5%</w:t>
      </w:r>
      <w:r w:rsidRPr="00022F29">
        <w:rPr>
          <w:rFonts w:ascii="Calibri" w:eastAsia="Calibri" w:hAnsi="Calibri" w:cs="Times New Roman"/>
        </w:rPr>
        <w:tab/>
        <w:t>-.100</w:t>
      </w:r>
      <w:r w:rsidRPr="00022F29">
        <w:rPr>
          <w:rFonts w:ascii="Calibri" w:eastAsia="Calibri" w:hAnsi="Calibri" w:cs="Times New Roman"/>
        </w:rPr>
        <w:tab/>
        <w:t>-.057</w:t>
      </w:r>
      <w:r w:rsidRPr="00022F29">
        <w:rPr>
          <w:rFonts w:ascii="Calibri" w:eastAsia="Calibri" w:hAnsi="Calibri" w:cs="Times New Roman"/>
        </w:rPr>
        <w:tab/>
        <w:t>-.058</w:t>
      </w:r>
      <w:r w:rsidRPr="00022F29">
        <w:rPr>
          <w:rFonts w:ascii="Calibri" w:eastAsia="Calibri" w:hAnsi="Calibri" w:cs="Times New Roman"/>
        </w:rPr>
        <w:tab/>
        <w:t>-.443</w:t>
      </w:r>
    </w:p>
    <w:p w14:paraId="557A3DF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16</w:t>
      </w:r>
      <w:r w:rsidRPr="00022F29">
        <w:rPr>
          <w:rFonts w:ascii="Calibri" w:eastAsia="Calibri" w:hAnsi="Calibri" w:cs="Times New Roman"/>
        </w:rPr>
        <w:tab/>
        <w:t>2.7%</w:t>
      </w:r>
      <w:r w:rsidRPr="00022F29">
        <w:rPr>
          <w:rFonts w:ascii="Calibri" w:eastAsia="Calibri" w:hAnsi="Calibri" w:cs="Times New Roman"/>
        </w:rPr>
        <w:tab/>
        <w:t>6.678</w:t>
      </w:r>
      <w:r w:rsidRPr="00022F29">
        <w:rPr>
          <w:rFonts w:ascii="Calibri" w:eastAsia="Calibri" w:hAnsi="Calibri" w:cs="Times New Roman"/>
        </w:rPr>
        <w:tab/>
        <w:t>1.1%</w:t>
      </w:r>
      <w:r w:rsidRPr="00022F29">
        <w:rPr>
          <w:rFonts w:ascii="Calibri" w:eastAsia="Calibri" w:hAnsi="Calibri" w:cs="Times New Roman"/>
        </w:rPr>
        <w:tab/>
        <w:t>9.322</w:t>
      </w:r>
      <w:r w:rsidRPr="00022F29">
        <w:rPr>
          <w:rFonts w:ascii="Calibri" w:eastAsia="Calibri" w:hAnsi="Calibri" w:cs="Times New Roman"/>
        </w:rPr>
        <w:tab/>
        <w:t>3.628</w:t>
      </w:r>
      <w:r w:rsidRPr="00022F29">
        <w:rPr>
          <w:rFonts w:ascii="Calibri" w:eastAsia="Calibri" w:hAnsi="Calibri" w:cs="Times New Roman"/>
        </w:rPr>
        <w:tab/>
        <w:t>3.787</w:t>
      </w:r>
      <w:r w:rsidRPr="00022F29">
        <w:rPr>
          <w:rFonts w:ascii="Calibri" w:eastAsia="Calibri" w:hAnsi="Calibri" w:cs="Times New Roman"/>
        </w:rPr>
        <w:tab/>
        <w:t>5.288</w:t>
      </w:r>
    </w:p>
    <w:p w14:paraId="4DA8649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7</w:t>
      </w:r>
      <w:r w:rsidRPr="00022F29">
        <w:rPr>
          <w:rFonts w:ascii="Calibri" w:eastAsia="Calibri" w:hAnsi="Calibri" w:cs="Times New Roman"/>
        </w:rPr>
        <w:tab/>
        <w:t>1.2%</w:t>
      </w:r>
      <w:r w:rsidRPr="00022F29">
        <w:rPr>
          <w:rFonts w:ascii="Calibri" w:eastAsia="Calibri" w:hAnsi="Calibri" w:cs="Times New Roman"/>
        </w:rPr>
        <w:tab/>
        <w:t>8.444</w:t>
      </w:r>
      <w:r w:rsidRPr="00022F29">
        <w:rPr>
          <w:rFonts w:ascii="Calibri" w:eastAsia="Calibri" w:hAnsi="Calibri" w:cs="Times New Roman"/>
        </w:rPr>
        <w:tab/>
        <w:t>1.4%</w:t>
      </w:r>
      <w:r w:rsidRPr="00022F29">
        <w:rPr>
          <w:rFonts w:ascii="Calibri" w:eastAsia="Calibri" w:hAnsi="Calibri" w:cs="Times New Roman"/>
        </w:rPr>
        <w:tab/>
        <w:t>-1.444</w:t>
      </w:r>
      <w:r w:rsidRPr="00022F29">
        <w:rPr>
          <w:rFonts w:ascii="Calibri" w:eastAsia="Calibri" w:hAnsi="Calibri" w:cs="Times New Roman"/>
        </w:rPr>
        <w:tab/>
        <w:t>-.501</w:t>
      </w:r>
      <w:r w:rsidRPr="00022F29">
        <w:rPr>
          <w:rFonts w:ascii="Calibri" w:eastAsia="Calibri" w:hAnsi="Calibri" w:cs="Times New Roman"/>
        </w:rPr>
        <w:tab/>
        <w:t>-.527</w:t>
      </w:r>
      <w:r w:rsidRPr="00022F29">
        <w:rPr>
          <w:rFonts w:ascii="Calibri" w:eastAsia="Calibri" w:hAnsi="Calibri" w:cs="Times New Roman"/>
        </w:rPr>
        <w:tab/>
        <w:t>-1.620</w:t>
      </w:r>
    </w:p>
    <w:p w14:paraId="50285E68"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7</w:t>
      </w:r>
      <w:r w:rsidRPr="00022F29">
        <w:rPr>
          <w:rFonts w:ascii="Calibri" w:eastAsia="Calibri" w:hAnsi="Calibri" w:cs="Times New Roman"/>
        </w:rPr>
        <w:tab/>
        <w:t>1.2%</w:t>
      </w:r>
      <w:r w:rsidRPr="00022F29">
        <w:rPr>
          <w:rFonts w:ascii="Calibri" w:eastAsia="Calibri" w:hAnsi="Calibri" w:cs="Times New Roman"/>
        </w:rPr>
        <w:tab/>
        <w:t>7.994</w:t>
      </w:r>
      <w:r w:rsidRPr="00022F29">
        <w:rPr>
          <w:rFonts w:ascii="Calibri" w:eastAsia="Calibri" w:hAnsi="Calibri" w:cs="Times New Roman"/>
        </w:rPr>
        <w:tab/>
        <w:t>1.4%</w:t>
      </w:r>
      <w:r w:rsidRPr="00022F29">
        <w:rPr>
          <w:rFonts w:ascii="Calibri" w:eastAsia="Calibri" w:hAnsi="Calibri" w:cs="Times New Roman"/>
        </w:rPr>
        <w:tab/>
        <w:t>-.994</w:t>
      </w:r>
      <w:r w:rsidRPr="00022F29">
        <w:rPr>
          <w:rFonts w:ascii="Calibri" w:eastAsia="Calibri" w:hAnsi="Calibri" w:cs="Times New Roman"/>
        </w:rPr>
        <w:tab/>
        <w:t>-.354</w:t>
      </w:r>
      <w:r w:rsidRPr="00022F29">
        <w:rPr>
          <w:rFonts w:ascii="Calibri" w:eastAsia="Calibri" w:hAnsi="Calibri" w:cs="Times New Roman"/>
        </w:rPr>
        <w:tab/>
        <w:t>-.372</w:t>
      </w:r>
      <w:r w:rsidRPr="00022F29">
        <w:rPr>
          <w:rFonts w:ascii="Calibri" w:eastAsia="Calibri" w:hAnsi="Calibri" w:cs="Times New Roman"/>
        </w:rPr>
        <w:tab/>
        <w:t>-1.364</w:t>
      </w:r>
    </w:p>
    <w:p w14:paraId="37BA9C4A"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15</w:t>
      </w:r>
      <w:r w:rsidRPr="00022F29">
        <w:rPr>
          <w:rFonts w:ascii="Calibri" w:eastAsia="Calibri" w:hAnsi="Calibri" w:cs="Times New Roman"/>
        </w:rPr>
        <w:tab/>
        <w:t>2.5%</w:t>
      </w:r>
      <w:r w:rsidRPr="00022F29">
        <w:rPr>
          <w:rFonts w:ascii="Calibri" w:eastAsia="Calibri" w:hAnsi="Calibri" w:cs="Times New Roman"/>
        </w:rPr>
        <w:tab/>
        <w:t>10.108</w:t>
      </w:r>
      <w:r w:rsidRPr="00022F29">
        <w:rPr>
          <w:rFonts w:ascii="Calibri" w:eastAsia="Calibri" w:hAnsi="Calibri" w:cs="Times New Roman"/>
        </w:rPr>
        <w:tab/>
        <w:t>1.7%</w:t>
      </w:r>
      <w:r w:rsidRPr="00022F29">
        <w:rPr>
          <w:rFonts w:ascii="Calibri" w:eastAsia="Calibri" w:hAnsi="Calibri" w:cs="Times New Roman"/>
        </w:rPr>
        <w:tab/>
        <w:t>4.892</w:t>
      </w:r>
      <w:r w:rsidRPr="00022F29">
        <w:rPr>
          <w:rFonts w:ascii="Calibri" w:eastAsia="Calibri" w:hAnsi="Calibri" w:cs="Times New Roman"/>
        </w:rPr>
        <w:tab/>
        <w:t>1.552</w:t>
      </w:r>
      <w:r w:rsidRPr="00022F29">
        <w:rPr>
          <w:rFonts w:ascii="Calibri" w:eastAsia="Calibri" w:hAnsi="Calibri" w:cs="Times New Roman"/>
        </w:rPr>
        <w:tab/>
        <w:t>1.646</w:t>
      </w:r>
      <w:r w:rsidRPr="00022F29">
        <w:rPr>
          <w:rFonts w:ascii="Calibri" w:eastAsia="Calibri" w:hAnsi="Calibri" w:cs="Times New Roman"/>
        </w:rPr>
        <w:tab/>
        <w:t>3.441</w:t>
      </w:r>
    </w:p>
    <w:p w14:paraId="0D0A9AED"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0</w:t>
      </w:r>
      <w:r w:rsidRPr="00022F29">
        <w:rPr>
          <w:rFonts w:ascii="Calibri" w:eastAsia="Calibri" w:hAnsi="Calibri" w:cs="Times New Roman"/>
        </w:rPr>
        <w:tab/>
        <w:t>11</w:t>
      </w:r>
      <w:r w:rsidRPr="00022F29">
        <w:rPr>
          <w:rFonts w:ascii="Calibri" w:eastAsia="Calibri" w:hAnsi="Calibri" w:cs="Times New Roman"/>
        </w:rPr>
        <w:tab/>
        <w:t>1.9%</w:t>
      </w:r>
      <w:r w:rsidRPr="00022F29">
        <w:rPr>
          <w:rFonts w:ascii="Calibri" w:eastAsia="Calibri" w:hAnsi="Calibri" w:cs="Times New Roman"/>
        </w:rPr>
        <w:tab/>
        <w:t>5.812</w:t>
      </w:r>
      <w:r w:rsidRPr="00022F29">
        <w:rPr>
          <w:rFonts w:ascii="Calibri" w:eastAsia="Calibri" w:hAnsi="Calibri" w:cs="Times New Roman"/>
        </w:rPr>
        <w:tab/>
        <w:t>1.0%</w:t>
      </w:r>
      <w:r w:rsidRPr="00022F29">
        <w:rPr>
          <w:rFonts w:ascii="Calibri" w:eastAsia="Calibri" w:hAnsi="Calibri" w:cs="Times New Roman"/>
        </w:rPr>
        <w:tab/>
        <w:t>5.188</w:t>
      </w:r>
      <w:r w:rsidRPr="00022F29">
        <w:rPr>
          <w:rFonts w:ascii="Calibri" w:eastAsia="Calibri" w:hAnsi="Calibri" w:cs="Times New Roman"/>
        </w:rPr>
        <w:tab/>
        <w:t>2.163</w:t>
      </w:r>
      <w:r w:rsidRPr="00022F29">
        <w:rPr>
          <w:rFonts w:ascii="Calibri" w:eastAsia="Calibri" w:hAnsi="Calibri" w:cs="Times New Roman"/>
        </w:rPr>
        <w:tab/>
        <w:t>2.248</w:t>
      </w:r>
      <w:r w:rsidRPr="00022F29">
        <w:rPr>
          <w:rFonts w:ascii="Calibri" w:eastAsia="Calibri" w:hAnsi="Calibri" w:cs="Times New Roman"/>
        </w:rPr>
        <w:tab/>
        <w:t>3.746</w:t>
      </w:r>
    </w:p>
    <w:p w14:paraId="6AE639F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7</w:t>
      </w:r>
      <w:r w:rsidRPr="00022F29">
        <w:rPr>
          <w:rFonts w:ascii="Calibri" w:eastAsia="Calibri" w:hAnsi="Calibri" w:cs="Times New Roman"/>
        </w:rPr>
        <w:tab/>
        <w:t>1.2%</w:t>
      </w:r>
      <w:r w:rsidRPr="00022F29">
        <w:rPr>
          <w:rFonts w:ascii="Calibri" w:eastAsia="Calibri" w:hAnsi="Calibri" w:cs="Times New Roman"/>
        </w:rPr>
        <w:tab/>
        <w:t>7.348</w:t>
      </w:r>
      <w:r w:rsidRPr="00022F29">
        <w:rPr>
          <w:rFonts w:ascii="Calibri" w:eastAsia="Calibri" w:hAnsi="Calibri" w:cs="Times New Roman"/>
        </w:rPr>
        <w:tab/>
        <w:t>1.2%</w:t>
      </w:r>
      <w:r w:rsidRPr="00022F29">
        <w:rPr>
          <w:rFonts w:ascii="Calibri" w:eastAsia="Calibri" w:hAnsi="Calibri" w:cs="Times New Roman"/>
        </w:rPr>
        <w:tab/>
        <w:t>-.348</w:t>
      </w:r>
      <w:r w:rsidRPr="00022F29">
        <w:rPr>
          <w:rFonts w:ascii="Calibri" w:eastAsia="Calibri" w:hAnsi="Calibri" w:cs="Times New Roman"/>
        </w:rPr>
        <w:tab/>
        <w:t>-.129</w:t>
      </w:r>
      <w:r w:rsidRPr="00022F29">
        <w:rPr>
          <w:rFonts w:ascii="Calibri" w:eastAsia="Calibri" w:hAnsi="Calibri" w:cs="Times New Roman"/>
        </w:rPr>
        <w:tab/>
        <w:t>-.135</w:t>
      </w:r>
      <w:r w:rsidRPr="00022F29">
        <w:rPr>
          <w:rFonts w:ascii="Calibri" w:eastAsia="Calibri" w:hAnsi="Calibri" w:cs="Times New Roman"/>
        </w:rPr>
        <w:tab/>
        <w:t>-.825</w:t>
      </w:r>
    </w:p>
    <w:p w14:paraId="1D4B41C1"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0</w:t>
      </w:r>
      <w:r w:rsidRPr="00022F29">
        <w:rPr>
          <w:rFonts w:ascii="Calibri" w:eastAsia="Calibri" w:hAnsi="Calibri" w:cs="Times New Roman"/>
        </w:rPr>
        <w:tab/>
        <w:t>9</w:t>
      </w:r>
      <w:r w:rsidRPr="00022F29">
        <w:rPr>
          <w:rFonts w:ascii="Calibri" w:eastAsia="Calibri" w:hAnsi="Calibri" w:cs="Times New Roman"/>
        </w:rPr>
        <w:tab/>
        <w:t>1.5%</w:t>
      </w:r>
      <w:r w:rsidRPr="00022F29">
        <w:rPr>
          <w:rFonts w:ascii="Calibri" w:eastAsia="Calibri" w:hAnsi="Calibri" w:cs="Times New Roman"/>
        </w:rPr>
        <w:tab/>
        <w:t>6.957</w:t>
      </w:r>
      <w:r w:rsidRPr="00022F29">
        <w:rPr>
          <w:rFonts w:ascii="Calibri" w:eastAsia="Calibri" w:hAnsi="Calibri" w:cs="Times New Roman"/>
        </w:rPr>
        <w:tab/>
        <w:t>1.2%</w:t>
      </w:r>
      <w:r w:rsidRPr="00022F29">
        <w:rPr>
          <w:rFonts w:ascii="Calibri" w:eastAsia="Calibri" w:hAnsi="Calibri" w:cs="Times New Roman"/>
        </w:rPr>
        <w:tab/>
        <w:t>2.043</w:t>
      </w:r>
      <w:r w:rsidRPr="00022F29">
        <w:rPr>
          <w:rFonts w:ascii="Calibri" w:eastAsia="Calibri" w:hAnsi="Calibri" w:cs="Times New Roman"/>
        </w:rPr>
        <w:tab/>
        <w:t>.779</w:t>
      </w:r>
      <w:r w:rsidRPr="00022F29">
        <w:rPr>
          <w:rFonts w:ascii="Calibri" w:eastAsia="Calibri" w:hAnsi="Calibri" w:cs="Times New Roman"/>
        </w:rPr>
        <w:tab/>
        <w:t>.815</w:t>
      </w:r>
      <w:r w:rsidRPr="00022F29">
        <w:rPr>
          <w:rFonts w:ascii="Calibri" w:eastAsia="Calibri" w:hAnsi="Calibri" w:cs="Times New Roman"/>
        </w:rPr>
        <w:tab/>
        <w:t>2.153</w:t>
      </w:r>
    </w:p>
    <w:p w14:paraId="6B264E6B"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t>1</w:t>
      </w:r>
      <w:r w:rsidRPr="00022F29">
        <w:rPr>
          <w:rFonts w:ascii="Calibri" w:eastAsia="Calibri" w:hAnsi="Calibri" w:cs="Times New Roman"/>
        </w:rPr>
        <w:tab/>
        <w:t>24</w:t>
      </w:r>
      <w:r w:rsidRPr="00022F29">
        <w:rPr>
          <w:rFonts w:ascii="Calibri" w:eastAsia="Calibri" w:hAnsi="Calibri" w:cs="Times New Roman"/>
        </w:rPr>
        <w:tab/>
        <w:t>4.1%</w:t>
      </w:r>
      <w:r w:rsidRPr="00022F29">
        <w:rPr>
          <w:rFonts w:ascii="Calibri" w:eastAsia="Calibri" w:hAnsi="Calibri" w:cs="Times New Roman"/>
        </w:rPr>
        <w:tab/>
        <w:t>8.796</w:t>
      </w:r>
      <w:r w:rsidRPr="00022F29">
        <w:rPr>
          <w:rFonts w:ascii="Calibri" w:eastAsia="Calibri" w:hAnsi="Calibri" w:cs="Times New Roman"/>
        </w:rPr>
        <w:tab/>
        <w:t>1.5%</w:t>
      </w:r>
      <w:r w:rsidRPr="00022F29">
        <w:rPr>
          <w:rFonts w:ascii="Calibri" w:eastAsia="Calibri" w:hAnsi="Calibri" w:cs="Times New Roman"/>
        </w:rPr>
        <w:tab/>
        <w:t>15.204</w:t>
      </w:r>
      <w:r w:rsidRPr="00022F29">
        <w:rPr>
          <w:rFonts w:ascii="Calibri" w:eastAsia="Calibri" w:hAnsi="Calibri" w:cs="Times New Roman"/>
        </w:rPr>
        <w:tab/>
        <w:t>5.165</w:t>
      </w:r>
      <w:r w:rsidRPr="00022F29">
        <w:rPr>
          <w:rFonts w:ascii="Calibri" w:eastAsia="Calibri" w:hAnsi="Calibri" w:cs="Times New Roman"/>
        </w:rPr>
        <w:tab/>
        <w:t>5.447</w:t>
      </w:r>
      <w:r w:rsidRPr="00022F29">
        <w:rPr>
          <w:rFonts w:ascii="Calibri" w:eastAsia="Calibri" w:hAnsi="Calibri" w:cs="Times New Roman"/>
        </w:rPr>
        <w:tab/>
        <w:t>6.941</w:t>
      </w:r>
    </w:p>
    <w:p w14:paraId="379B5FC0"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a Model: Multinomial</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5EB50C69" w14:textId="77777777" w:rsidR="00022F29" w:rsidRPr="00022F29" w:rsidRDefault="00022F29" w:rsidP="00022F29">
      <w:pPr>
        <w:rPr>
          <w:rFonts w:ascii="Calibri" w:eastAsia="Calibri" w:hAnsi="Calibri" w:cs="Times New Roman"/>
        </w:rPr>
      </w:pPr>
      <w:r w:rsidRPr="00022F29">
        <w:rPr>
          <w:rFonts w:ascii="Calibri" w:eastAsia="Calibri" w:hAnsi="Calibri" w:cs="Times New Roman"/>
        </w:rPr>
        <w:t>b Design: Constant + A + FQuartile + GenderX + AgeBinary + RevoveryD + RecoveryA</w:t>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r w:rsidRPr="00022F29">
        <w:rPr>
          <w:rFonts w:ascii="Calibri" w:eastAsia="Calibri" w:hAnsi="Calibri" w:cs="Times New Roman"/>
        </w:rPr>
        <w:tab/>
      </w:r>
    </w:p>
    <w:p w14:paraId="62A9F2CE" w14:textId="77777777" w:rsidR="00022F29" w:rsidRPr="00022F29" w:rsidRDefault="00022F29" w:rsidP="00022F29">
      <w:pPr>
        <w:rPr>
          <w:rFonts w:ascii="Calibri" w:eastAsia="Calibri" w:hAnsi="Calibri" w:cs="Times New Roman"/>
        </w:rPr>
      </w:pPr>
    </w:p>
    <w:p w14:paraId="2CD4C0CC" w14:textId="77777777" w:rsidR="00022F29" w:rsidRPr="00022F29" w:rsidRDefault="00022F29" w:rsidP="00022F29">
      <w:pPr>
        <w:rPr>
          <w:rFonts w:ascii="Calibri" w:eastAsia="Calibri" w:hAnsi="Calibri" w:cs="Times New Roman"/>
        </w:rPr>
      </w:pPr>
    </w:p>
    <w:p w14:paraId="78F52487" w14:textId="77777777" w:rsidR="00022F29" w:rsidRPr="00022F29" w:rsidRDefault="00022F29" w:rsidP="00022F29">
      <w:pPr>
        <w:rPr>
          <w:rFonts w:ascii="Calibri" w:eastAsia="Calibri" w:hAnsi="Calibri" w:cs="Times New Roman"/>
        </w:rPr>
      </w:pPr>
    </w:p>
    <w:p w14:paraId="5FAA9563" w14:textId="2E31F12D" w:rsidR="007F596B" w:rsidRDefault="007F596B" w:rsidP="007F596B">
      <w:pPr>
        <w:spacing w:line="480" w:lineRule="auto"/>
        <w:rPr>
          <w:rFonts w:ascii="Arial" w:hAnsi="Arial" w:cs="Arial"/>
          <w:sz w:val="22"/>
          <w:szCs w:val="22"/>
        </w:rPr>
      </w:pPr>
    </w:p>
    <w:p w14:paraId="4CFE08A3" w14:textId="489E4562" w:rsidR="007F596B" w:rsidRDefault="007F596B" w:rsidP="007F596B">
      <w:pPr>
        <w:spacing w:line="480" w:lineRule="auto"/>
        <w:rPr>
          <w:rFonts w:ascii="Arial" w:hAnsi="Arial" w:cs="Arial"/>
          <w:sz w:val="22"/>
          <w:szCs w:val="22"/>
        </w:rPr>
      </w:pPr>
    </w:p>
    <w:p w14:paraId="7AD89737" w14:textId="622E1848" w:rsidR="007F596B" w:rsidRDefault="007F596B" w:rsidP="007F596B">
      <w:pPr>
        <w:spacing w:line="480" w:lineRule="auto"/>
        <w:rPr>
          <w:rFonts w:ascii="Arial" w:hAnsi="Arial" w:cs="Arial"/>
          <w:sz w:val="22"/>
          <w:szCs w:val="22"/>
        </w:rPr>
      </w:pPr>
    </w:p>
    <w:p w14:paraId="4B525DE1" w14:textId="05ADFBE1" w:rsidR="007F596B" w:rsidRDefault="007F596B" w:rsidP="007F596B">
      <w:pPr>
        <w:spacing w:line="480" w:lineRule="auto"/>
        <w:rPr>
          <w:rFonts w:ascii="Arial" w:hAnsi="Arial" w:cs="Arial"/>
          <w:sz w:val="22"/>
          <w:szCs w:val="22"/>
        </w:rPr>
      </w:pPr>
    </w:p>
    <w:p w14:paraId="7EA48B73" w14:textId="77777777" w:rsidR="007F596B" w:rsidRPr="00F90E30" w:rsidRDefault="007F596B" w:rsidP="007F596B">
      <w:pPr>
        <w:spacing w:line="480" w:lineRule="auto"/>
        <w:rPr>
          <w:rFonts w:ascii="Arial" w:hAnsi="Arial" w:cs="Arial"/>
          <w:sz w:val="22"/>
          <w:szCs w:val="22"/>
        </w:rPr>
      </w:pPr>
    </w:p>
    <w:p w14:paraId="273DE8BE" w14:textId="77777777" w:rsidR="007F596B" w:rsidRPr="00F90E30" w:rsidRDefault="007F596B" w:rsidP="007F596B">
      <w:pPr>
        <w:spacing w:line="480" w:lineRule="auto"/>
        <w:rPr>
          <w:rFonts w:ascii="Arial" w:hAnsi="Arial" w:cs="Arial"/>
          <w:sz w:val="22"/>
          <w:szCs w:val="22"/>
        </w:rPr>
      </w:pPr>
    </w:p>
    <w:p w14:paraId="0D169AB7" w14:textId="77777777" w:rsidR="007F596B" w:rsidRPr="00F90E30" w:rsidRDefault="007F596B" w:rsidP="007F596B">
      <w:pPr>
        <w:spacing w:line="480" w:lineRule="auto"/>
        <w:rPr>
          <w:rFonts w:ascii="Arial" w:hAnsi="Arial" w:cs="Arial"/>
          <w:sz w:val="22"/>
          <w:szCs w:val="22"/>
        </w:rPr>
      </w:pPr>
    </w:p>
    <w:p w14:paraId="373A2237" w14:textId="77777777" w:rsidR="007F596B" w:rsidRPr="00F90E30" w:rsidRDefault="007F596B" w:rsidP="007F596B">
      <w:pPr>
        <w:rPr>
          <w:sz w:val="22"/>
          <w:szCs w:val="22"/>
        </w:rPr>
      </w:pPr>
    </w:p>
    <w:p w14:paraId="65132EF3" w14:textId="77777777" w:rsidR="007F596B" w:rsidRDefault="007F596B" w:rsidP="007F596B">
      <w:pPr>
        <w:spacing w:line="480" w:lineRule="auto"/>
        <w:rPr>
          <w:rFonts w:ascii="Arial" w:hAnsi="Arial"/>
          <w:b/>
        </w:rPr>
      </w:pPr>
    </w:p>
    <w:sectPr w:rsidR="007F596B" w:rsidSect="007F596B">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342E51" w14:textId="77777777" w:rsidR="00D66A5A" w:rsidRDefault="00D66A5A">
      <w:r>
        <w:separator/>
      </w:r>
    </w:p>
  </w:endnote>
  <w:endnote w:type="continuationSeparator" w:id="0">
    <w:p w14:paraId="0F4AB67F" w14:textId="77777777" w:rsidR="00D66A5A" w:rsidRDefault="00D66A5A">
      <w:r>
        <w:continuationSeparator/>
      </w:r>
    </w:p>
  </w:endnote>
  <w:endnote w:type="continuationNotice" w:id="1">
    <w:p w14:paraId="21349989" w14:textId="77777777" w:rsidR="00D66A5A" w:rsidRDefault="00D66A5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Times">
    <w:panose1 w:val="02020603050405020304"/>
    <w:charset w:val="00"/>
    <w:family w:val="auto"/>
    <w:pitch w:val="variable"/>
    <w:sig w:usb0="E00002FF" w:usb1="5000205A" w:usb2="00000000" w:usb3="00000000" w:csb0="0000019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ZWAdobeF">
    <w:panose1 w:val="00000000000000000000"/>
    <w:charset w:val="00"/>
    <w:family w:val="auto"/>
    <w:pitch w:val="variable"/>
    <w:sig w:usb0="20002A87" w:usb1="00000000" w:usb2="00000000" w:usb3="00000000" w:csb0="000001FF" w:csb1="00000000"/>
  </w:font>
  <w:font w:name="Helvetica">
    <w:panose1 w:val="020B0604020202020204"/>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95643877"/>
      <w:docPartObj>
        <w:docPartGallery w:val="Page Numbers (Bottom of Page)"/>
        <w:docPartUnique/>
      </w:docPartObj>
    </w:sdtPr>
    <w:sdtEndPr>
      <w:rPr>
        <w:rStyle w:val="PageNumber"/>
      </w:rPr>
    </w:sdtEndPr>
    <w:sdtContent>
      <w:p w14:paraId="2CAA1FDD" w14:textId="166C4A6F" w:rsidR="008815D7" w:rsidRDefault="008815D7" w:rsidP="00A53975">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5EC7DFD" w14:textId="77777777" w:rsidR="008815D7" w:rsidRDefault="008815D7" w:rsidP="00204C3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84874253"/>
      <w:docPartObj>
        <w:docPartGallery w:val="Page Numbers (Bottom of Page)"/>
        <w:docPartUnique/>
      </w:docPartObj>
    </w:sdtPr>
    <w:sdtEndPr>
      <w:rPr>
        <w:noProof/>
      </w:rPr>
    </w:sdtEndPr>
    <w:sdtContent>
      <w:p w14:paraId="75274A65" w14:textId="5250D525" w:rsidR="008815D7" w:rsidRDefault="008815D7">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0AABFDC" w14:textId="77777777" w:rsidR="008815D7" w:rsidRDefault="008815D7" w:rsidP="00204C3E">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60372831"/>
      <w:docPartObj>
        <w:docPartGallery w:val="Page Numbers (Bottom of Page)"/>
        <w:docPartUnique/>
      </w:docPartObj>
    </w:sdtPr>
    <w:sdtEndPr>
      <w:rPr>
        <w:rFonts w:ascii="Arial" w:hAnsi="Arial" w:cs="Arial"/>
        <w:noProof/>
        <w:sz w:val="22"/>
        <w:szCs w:val="22"/>
      </w:rPr>
    </w:sdtEndPr>
    <w:sdtContent>
      <w:p w14:paraId="096F5D5E" w14:textId="77777777" w:rsidR="008815D7" w:rsidRPr="00313954" w:rsidRDefault="008815D7">
        <w:pPr>
          <w:pStyle w:val="Footer"/>
          <w:jc w:val="right"/>
          <w:rPr>
            <w:rFonts w:ascii="Arial" w:hAnsi="Arial" w:cs="Arial"/>
            <w:sz w:val="22"/>
            <w:szCs w:val="22"/>
          </w:rPr>
        </w:pPr>
        <w:r w:rsidRPr="00313954">
          <w:rPr>
            <w:rFonts w:ascii="Arial" w:hAnsi="Arial" w:cs="Arial"/>
            <w:sz w:val="22"/>
            <w:szCs w:val="22"/>
          </w:rPr>
          <w:fldChar w:fldCharType="begin"/>
        </w:r>
        <w:r w:rsidRPr="00313954">
          <w:rPr>
            <w:rFonts w:ascii="Arial" w:hAnsi="Arial" w:cs="Arial"/>
            <w:sz w:val="22"/>
            <w:szCs w:val="22"/>
          </w:rPr>
          <w:instrText xml:space="preserve"> PAGE   \* MERGEFORMAT </w:instrText>
        </w:r>
        <w:r w:rsidRPr="00313954">
          <w:rPr>
            <w:rFonts w:ascii="Arial" w:hAnsi="Arial" w:cs="Arial"/>
            <w:sz w:val="22"/>
            <w:szCs w:val="22"/>
          </w:rPr>
          <w:fldChar w:fldCharType="separate"/>
        </w:r>
        <w:r w:rsidRPr="00313954">
          <w:rPr>
            <w:rFonts w:ascii="Arial" w:hAnsi="Arial" w:cs="Arial"/>
            <w:noProof/>
            <w:sz w:val="22"/>
            <w:szCs w:val="22"/>
          </w:rPr>
          <w:t>2</w:t>
        </w:r>
        <w:r w:rsidRPr="00313954">
          <w:rPr>
            <w:rFonts w:ascii="Arial" w:hAnsi="Arial" w:cs="Arial"/>
            <w:noProof/>
            <w:sz w:val="22"/>
            <w:szCs w:val="22"/>
          </w:rPr>
          <w:fldChar w:fldCharType="end"/>
        </w:r>
      </w:p>
    </w:sdtContent>
  </w:sdt>
  <w:p w14:paraId="105D86DD" w14:textId="77777777" w:rsidR="008815D7" w:rsidRDefault="008815D7" w:rsidP="00204C3E">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97552023"/>
      <w:docPartObj>
        <w:docPartGallery w:val="Page Numbers (Bottom of Page)"/>
        <w:docPartUnique/>
      </w:docPartObj>
    </w:sdtPr>
    <w:sdtEndPr>
      <w:rPr>
        <w:rFonts w:ascii="Arial" w:hAnsi="Arial" w:cs="Arial"/>
        <w:noProof/>
        <w:sz w:val="22"/>
        <w:szCs w:val="22"/>
      </w:rPr>
    </w:sdtEndPr>
    <w:sdtContent>
      <w:p w14:paraId="1BECF2C6" w14:textId="77777777" w:rsidR="008815D7" w:rsidRPr="00257745" w:rsidRDefault="008815D7">
        <w:pPr>
          <w:pStyle w:val="Footer"/>
          <w:jc w:val="right"/>
          <w:rPr>
            <w:rFonts w:ascii="Arial" w:hAnsi="Arial" w:cs="Arial"/>
            <w:sz w:val="22"/>
            <w:szCs w:val="22"/>
          </w:rPr>
        </w:pPr>
        <w:r w:rsidRPr="00257745">
          <w:rPr>
            <w:rFonts w:ascii="Arial" w:hAnsi="Arial" w:cs="Arial"/>
            <w:sz w:val="22"/>
            <w:szCs w:val="22"/>
          </w:rPr>
          <w:fldChar w:fldCharType="begin"/>
        </w:r>
        <w:r w:rsidRPr="00257745">
          <w:rPr>
            <w:rFonts w:ascii="Arial" w:hAnsi="Arial" w:cs="Arial"/>
            <w:sz w:val="22"/>
            <w:szCs w:val="22"/>
          </w:rPr>
          <w:instrText xml:space="preserve"> PAGE   \* MERGEFORMAT </w:instrText>
        </w:r>
        <w:r w:rsidRPr="00257745">
          <w:rPr>
            <w:rFonts w:ascii="Arial" w:hAnsi="Arial" w:cs="Arial"/>
            <w:sz w:val="22"/>
            <w:szCs w:val="22"/>
          </w:rPr>
          <w:fldChar w:fldCharType="separate"/>
        </w:r>
        <w:r w:rsidRPr="00257745">
          <w:rPr>
            <w:rFonts w:ascii="Arial" w:hAnsi="Arial" w:cs="Arial"/>
            <w:noProof/>
            <w:sz w:val="22"/>
            <w:szCs w:val="22"/>
          </w:rPr>
          <w:t>2</w:t>
        </w:r>
        <w:r w:rsidRPr="00257745">
          <w:rPr>
            <w:rFonts w:ascii="Arial" w:hAnsi="Arial" w:cs="Arial"/>
            <w:noProof/>
            <w:sz w:val="22"/>
            <w:szCs w:val="22"/>
          </w:rPr>
          <w:fldChar w:fldCharType="end"/>
        </w:r>
      </w:p>
    </w:sdtContent>
  </w:sdt>
  <w:p w14:paraId="6C2A4788" w14:textId="77777777" w:rsidR="008815D7" w:rsidRDefault="008815D7" w:rsidP="00204C3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970E49" w14:textId="77777777" w:rsidR="00D66A5A" w:rsidRDefault="00D66A5A">
      <w:r>
        <w:separator/>
      </w:r>
    </w:p>
  </w:footnote>
  <w:footnote w:type="continuationSeparator" w:id="0">
    <w:p w14:paraId="3A9C703B" w14:textId="77777777" w:rsidR="00D66A5A" w:rsidRDefault="00D66A5A">
      <w:r>
        <w:continuationSeparator/>
      </w:r>
    </w:p>
  </w:footnote>
  <w:footnote w:type="continuationNotice" w:id="1">
    <w:p w14:paraId="3D8ECE6E" w14:textId="77777777" w:rsidR="00D66A5A" w:rsidRDefault="00D66A5A"/>
  </w:footnote>
  <w:footnote w:id="2">
    <w:p w14:paraId="0192FB6F" w14:textId="7830B28D" w:rsidR="008815D7" w:rsidRPr="00A02886" w:rsidRDefault="008815D7">
      <w:pPr>
        <w:pStyle w:val="FootnoteText"/>
        <w:rPr>
          <w:rFonts w:ascii="Arial" w:hAnsi="Arial" w:cs="Arial"/>
        </w:rPr>
      </w:pPr>
      <w:r w:rsidRPr="00A02886">
        <w:rPr>
          <w:rStyle w:val="FootnoteReference"/>
          <w:rFonts w:ascii="Arial" w:hAnsi="Arial" w:cs="Arial"/>
        </w:rPr>
        <w:footnoteRef/>
      </w:r>
      <w:r w:rsidRPr="00A02886">
        <w:rPr>
          <w:rFonts w:ascii="Arial" w:hAnsi="Arial" w:cs="Arial"/>
        </w:rPr>
        <w:t xml:space="preserve"> Correct at the time of writing </w:t>
      </w:r>
    </w:p>
  </w:footnote>
  <w:footnote w:id="3">
    <w:p w14:paraId="0CAB630F" w14:textId="2574A0B5" w:rsidR="008815D7" w:rsidRPr="00F50DFE" w:rsidRDefault="008815D7">
      <w:pPr>
        <w:pStyle w:val="FootnoteText"/>
        <w:rPr>
          <w:rFonts w:ascii="Arial" w:hAnsi="Arial" w:cs="Arial"/>
        </w:rPr>
      </w:pPr>
      <w:r w:rsidRPr="00F50DFE">
        <w:rPr>
          <w:rStyle w:val="FootnoteReference"/>
          <w:rFonts w:ascii="Arial" w:hAnsi="Arial" w:cs="Arial"/>
        </w:rPr>
        <w:footnoteRef/>
      </w:r>
      <w:r w:rsidRPr="00F50DFE">
        <w:rPr>
          <w:rFonts w:ascii="Arial" w:hAnsi="Arial" w:cs="Arial"/>
        </w:rPr>
        <w:t xml:space="preserve"> </w:t>
      </w:r>
      <w:r>
        <w:rPr>
          <w:rFonts w:ascii="Arial" w:hAnsi="Arial" w:cs="Arial"/>
        </w:rPr>
        <w:t>4</w:t>
      </w:r>
      <w:r w:rsidRPr="00F50DFE">
        <w:rPr>
          <w:rFonts w:ascii="Arial" w:hAnsi="Arial" w:cs="Arial"/>
        </w:rPr>
        <w:t>0,000 patients had completed treatment at the time this research was conducted</w:t>
      </w:r>
    </w:p>
  </w:footnote>
  <w:footnote w:id="4">
    <w:p w14:paraId="4828A834" w14:textId="77777777" w:rsidR="008815D7" w:rsidRDefault="008815D7" w:rsidP="00853D39">
      <w:pPr>
        <w:spacing w:line="480" w:lineRule="auto"/>
        <w:rPr>
          <w:rFonts w:ascii="Arial" w:hAnsi="Arial" w:cs="Arial"/>
          <w:color w:val="642A8F"/>
          <w:sz w:val="22"/>
          <w:szCs w:val="22"/>
          <w:u w:val="single"/>
        </w:rPr>
      </w:pPr>
      <w:r>
        <w:rPr>
          <w:rStyle w:val="FootnoteReference"/>
        </w:rPr>
        <w:footnoteRef/>
      </w:r>
      <w:r>
        <w:t xml:space="preserve"> </w:t>
      </w:r>
      <w:r w:rsidRPr="00C2589F">
        <w:rPr>
          <w:rFonts w:ascii="Arial" w:hAnsi="Arial" w:cs="Arial"/>
          <w:color w:val="000000"/>
          <w:sz w:val="22"/>
          <w:szCs w:val="22"/>
          <w:lang w:val="en-US"/>
        </w:rPr>
        <w:t xml:space="preserve">Full details of the Roth and Pilling competency framework for each of the disorder specific protocols taught on the High Intensity CBT training programme can be found on the University College London website here: </w:t>
      </w:r>
      <w:r w:rsidRPr="00C2589F">
        <w:rPr>
          <w:rFonts w:ascii="Arial" w:hAnsi="Arial" w:cs="Arial"/>
          <w:color w:val="000000"/>
          <w:sz w:val="22"/>
          <w:szCs w:val="22"/>
          <w:shd w:val="clear" w:color="auto" w:fill="FFFFFF"/>
        </w:rPr>
        <w:t> </w:t>
      </w:r>
      <w:hyperlink r:id="rId1" w:tgtFrame="_blank" w:history="1">
        <w:r w:rsidRPr="00C2589F">
          <w:rPr>
            <w:rFonts w:ascii="Arial" w:hAnsi="Arial" w:cs="Arial"/>
            <w:color w:val="642A8F"/>
            <w:sz w:val="22"/>
            <w:szCs w:val="22"/>
            <w:u w:val="single"/>
          </w:rPr>
          <w:t>http://www.ucl.ac.uk/pals/research/cehp/research-groups/core/competence-frameworks</w:t>
        </w:r>
      </w:hyperlink>
    </w:p>
    <w:p w14:paraId="34659462" w14:textId="5AC9A323" w:rsidR="008815D7" w:rsidRDefault="008815D7">
      <w:pPr>
        <w:pStyle w:val="FootnoteText"/>
      </w:pPr>
    </w:p>
  </w:footnote>
  <w:footnote w:id="5">
    <w:p w14:paraId="58540339" w14:textId="18722629" w:rsidR="008815D7" w:rsidRPr="005109DA" w:rsidRDefault="008815D7">
      <w:pPr>
        <w:pStyle w:val="FootnoteText"/>
        <w:rPr>
          <w:rFonts w:ascii="Arial" w:hAnsi="Arial" w:cs="Arial"/>
        </w:rPr>
      </w:pPr>
      <w:r w:rsidRPr="005109DA">
        <w:rPr>
          <w:rStyle w:val="FootnoteReference"/>
          <w:rFonts w:ascii="Arial" w:hAnsi="Arial" w:cs="Arial"/>
        </w:rPr>
        <w:t>1</w:t>
      </w:r>
      <w:r w:rsidRPr="005109DA">
        <w:rPr>
          <w:rFonts w:ascii="Arial" w:hAnsi="Arial" w:cs="Arial"/>
        </w:rPr>
        <w:t xml:space="preserve"> Correct at time of writing October, 2019</w:t>
      </w:r>
    </w:p>
  </w:footnote>
  <w:footnote w:id="6">
    <w:p w14:paraId="7F76EB15" w14:textId="068F0EB4" w:rsidR="008815D7" w:rsidRPr="005109DA" w:rsidRDefault="008815D7">
      <w:pPr>
        <w:pStyle w:val="FootnoteText"/>
        <w:rPr>
          <w:rFonts w:ascii="Arial" w:hAnsi="Arial" w:cs="Arial"/>
        </w:rPr>
      </w:pPr>
      <w:r w:rsidRPr="005109DA">
        <w:rPr>
          <w:rStyle w:val="FootnoteReference"/>
          <w:rFonts w:ascii="Arial" w:hAnsi="Arial" w:cs="Arial"/>
        </w:rPr>
        <w:t>2</w:t>
      </w:r>
      <w:r w:rsidRPr="005109DA">
        <w:rPr>
          <w:rFonts w:ascii="Arial" w:hAnsi="Arial" w:cs="Arial"/>
        </w:rPr>
        <w:t xml:space="preserve"> Correct at the time of writing October, 2019</w:t>
      </w:r>
    </w:p>
  </w:footnote>
  <w:footnote w:id="7">
    <w:p w14:paraId="4D2D6588" w14:textId="10A7A2A8" w:rsidR="008815D7" w:rsidRPr="00B76F6D" w:rsidRDefault="008815D7">
      <w:pPr>
        <w:pStyle w:val="FootnoteText"/>
        <w:rPr>
          <w:rFonts w:ascii="Arial" w:hAnsi="Arial" w:cs="Arial"/>
        </w:rPr>
      </w:pPr>
      <w:r>
        <w:rPr>
          <w:rStyle w:val="FootnoteReference"/>
        </w:rPr>
        <w:footnoteRef/>
      </w:r>
      <w:r>
        <w:t xml:space="preserve"> </w:t>
      </w:r>
      <w:r w:rsidRPr="00B76F6D">
        <w:rPr>
          <w:rFonts w:ascii="Arial" w:hAnsi="Arial" w:cs="Arial"/>
        </w:rPr>
        <w:t xml:space="preserve">Correct at the time this research was conducted, although the Data Protection Act (1998) has now been </w:t>
      </w:r>
      <w:r>
        <w:rPr>
          <w:rFonts w:ascii="Arial" w:hAnsi="Arial" w:cs="Arial"/>
        </w:rPr>
        <w:t>superceded</w:t>
      </w:r>
      <w:r w:rsidRPr="00B76F6D">
        <w:rPr>
          <w:rFonts w:ascii="Arial" w:hAnsi="Arial" w:cs="Arial"/>
        </w:rPr>
        <w:t xml:space="preserve"> by the Data Protection Act (2018)</w:t>
      </w:r>
    </w:p>
  </w:footnote>
  <w:footnote w:id="8">
    <w:p w14:paraId="60FDF823" w14:textId="77777777" w:rsidR="008815D7" w:rsidRPr="00525B47" w:rsidRDefault="008815D7" w:rsidP="007F596B">
      <w:pPr>
        <w:pStyle w:val="FootnoteText"/>
        <w:rPr>
          <w:rFonts w:ascii="Arial" w:hAnsi="Arial" w:cs="Arial"/>
        </w:rPr>
      </w:pPr>
      <w:r w:rsidRPr="00525B47">
        <w:rPr>
          <w:rStyle w:val="FootnoteReference"/>
          <w:rFonts w:ascii="Arial" w:hAnsi="Arial" w:cs="Arial"/>
        </w:rPr>
        <w:footnoteRef/>
      </w:r>
      <w:r w:rsidRPr="00525B47">
        <w:rPr>
          <w:rFonts w:ascii="Arial" w:hAnsi="Arial" w:cs="Arial"/>
        </w:rPr>
        <w:t xml:space="preserve">  The number patients who had completed treatment at Ieso Digital for the period 2014-June 2019</w:t>
      </w:r>
    </w:p>
  </w:footnote>
  <w:footnote w:id="9">
    <w:p w14:paraId="249E33F1" w14:textId="25754336" w:rsidR="008815D7" w:rsidRPr="00525B47" w:rsidRDefault="008815D7" w:rsidP="006B6205">
      <w:pPr>
        <w:pStyle w:val="FootnoteText"/>
        <w:rPr>
          <w:rFonts w:ascii="Arial" w:hAnsi="Arial" w:cs="Arial"/>
        </w:rPr>
      </w:pPr>
      <w:r w:rsidRPr="00525B47">
        <w:rPr>
          <w:rStyle w:val="FootnoteReference"/>
          <w:rFonts w:ascii="Arial" w:hAnsi="Arial" w:cs="Arial"/>
        </w:rPr>
        <w:footnoteRef/>
      </w:r>
      <w:r w:rsidRPr="00525B47">
        <w:rPr>
          <w:rFonts w:ascii="Arial" w:hAnsi="Arial" w:cs="Arial"/>
        </w:rPr>
        <w:t xml:space="preserve"> For further details of the automated tool TIM see Ewbank, Cummins,</w:t>
      </w:r>
      <w:r>
        <w:rPr>
          <w:rFonts w:ascii="Arial" w:hAnsi="Arial" w:cs="Arial"/>
        </w:rPr>
        <w:t xml:space="preserve"> </w:t>
      </w:r>
      <w:r w:rsidRPr="00525B47">
        <w:rPr>
          <w:rFonts w:ascii="Arial" w:hAnsi="Arial" w:cs="Arial"/>
        </w:rPr>
        <w:t>Tablan, Bateup, Catarino, Martin &amp; Blackwell,   (2019).</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D6252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786B2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FEEB01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B704D3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E6A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80824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F86A7A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54EFA1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92AB26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1EE477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DA6213"/>
    <w:multiLevelType w:val="hybridMultilevel"/>
    <w:tmpl w:val="85A8E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276A48"/>
    <w:multiLevelType w:val="hybridMultilevel"/>
    <w:tmpl w:val="67ACBF1A"/>
    <w:lvl w:ilvl="0" w:tplc="C33EDB68">
      <w:start w:val="1"/>
      <w:numFmt w:val="lowerLetter"/>
      <w:lvlText w:val="%1)"/>
      <w:lvlJc w:val="left"/>
      <w:pPr>
        <w:ind w:left="720" w:hanging="360"/>
      </w:pPr>
      <w:rPr>
        <w:rFonts w:ascii="Arial" w:eastAsiaTheme="minorEastAsia" w:hAnsi="Arial" w:cs="Arial"/>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5151F8B"/>
    <w:multiLevelType w:val="hybridMultilevel"/>
    <w:tmpl w:val="5F1AD0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75A275E"/>
    <w:multiLevelType w:val="hybridMultilevel"/>
    <w:tmpl w:val="5F1AD0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A7C668D"/>
    <w:multiLevelType w:val="hybridMultilevel"/>
    <w:tmpl w:val="80D6FC4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0AAA3E9A"/>
    <w:multiLevelType w:val="hybridMultilevel"/>
    <w:tmpl w:val="44D0762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0B9F7BBD"/>
    <w:multiLevelType w:val="hybridMultilevel"/>
    <w:tmpl w:val="9E08161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E3A054C"/>
    <w:multiLevelType w:val="hybridMultilevel"/>
    <w:tmpl w:val="A3242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0ED1A8E"/>
    <w:multiLevelType w:val="hybridMultilevel"/>
    <w:tmpl w:val="C616F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F60618"/>
    <w:multiLevelType w:val="hybridMultilevel"/>
    <w:tmpl w:val="9A9488C8"/>
    <w:lvl w:ilvl="0" w:tplc="110C5A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B177920"/>
    <w:multiLevelType w:val="hybridMultilevel"/>
    <w:tmpl w:val="4518089C"/>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1ED87917"/>
    <w:multiLevelType w:val="hybridMultilevel"/>
    <w:tmpl w:val="7DBE537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1F5B2749"/>
    <w:multiLevelType w:val="multilevel"/>
    <w:tmpl w:val="CA4C3E42"/>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20F6459F"/>
    <w:multiLevelType w:val="hybridMultilevel"/>
    <w:tmpl w:val="0026FC6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24784ABD"/>
    <w:multiLevelType w:val="hybridMultilevel"/>
    <w:tmpl w:val="3E56CA7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2839500A"/>
    <w:multiLevelType w:val="hybridMultilevel"/>
    <w:tmpl w:val="989E887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27B49F4"/>
    <w:multiLevelType w:val="hybridMultilevel"/>
    <w:tmpl w:val="D2D84FA8"/>
    <w:lvl w:ilvl="0" w:tplc="0809000F">
      <w:start w:val="1"/>
      <w:numFmt w:val="decimal"/>
      <w:lvlText w:val="%1."/>
      <w:lvlJc w:val="left"/>
      <w:pPr>
        <w:ind w:left="1800" w:hanging="360"/>
      </w:p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7" w15:restartNumberingAfterBreak="0">
    <w:nsid w:val="342B25AF"/>
    <w:multiLevelType w:val="hybridMultilevel"/>
    <w:tmpl w:val="947A82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61629BD"/>
    <w:multiLevelType w:val="hybridMultilevel"/>
    <w:tmpl w:val="F8EE5740"/>
    <w:lvl w:ilvl="0" w:tplc="8A66F078">
      <w:start w:val="1"/>
      <w:numFmt w:val="bullet"/>
      <w:lvlText w:val="•"/>
      <w:lvlJc w:val="left"/>
      <w:pPr>
        <w:tabs>
          <w:tab w:val="num" w:pos="720"/>
        </w:tabs>
        <w:ind w:left="720" w:hanging="360"/>
      </w:pPr>
      <w:rPr>
        <w:rFonts w:ascii="Times New Roman" w:hAnsi="Times New Roman" w:hint="default"/>
      </w:rPr>
    </w:lvl>
    <w:lvl w:ilvl="1" w:tplc="E36A1708" w:tentative="1">
      <w:start w:val="1"/>
      <w:numFmt w:val="bullet"/>
      <w:lvlText w:val="•"/>
      <w:lvlJc w:val="left"/>
      <w:pPr>
        <w:tabs>
          <w:tab w:val="num" w:pos="1440"/>
        </w:tabs>
        <w:ind w:left="1440" w:hanging="360"/>
      </w:pPr>
      <w:rPr>
        <w:rFonts w:ascii="Times New Roman" w:hAnsi="Times New Roman" w:hint="default"/>
      </w:rPr>
    </w:lvl>
    <w:lvl w:ilvl="2" w:tplc="F524F0F2" w:tentative="1">
      <w:start w:val="1"/>
      <w:numFmt w:val="bullet"/>
      <w:lvlText w:val="•"/>
      <w:lvlJc w:val="left"/>
      <w:pPr>
        <w:tabs>
          <w:tab w:val="num" w:pos="2160"/>
        </w:tabs>
        <w:ind w:left="2160" w:hanging="360"/>
      </w:pPr>
      <w:rPr>
        <w:rFonts w:ascii="Times New Roman" w:hAnsi="Times New Roman" w:hint="default"/>
      </w:rPr>
    </w:lvl>
    <w:lvl w:ilvl="3" w:tplc="17100908" w:tentative="1">
      <w:start w:val="1"/>
      <w:numFmt w:val="bullet"/>
      <w:lvlText w:val="•"/>
      <w:lvlJc w:val="left"/>
      <w:pPr>
        <w:tabs>
          <w:tab w:val="num" w:pos="2880"/>
        </w:tabs>
        <w:ind w:left="2880" w:hanging="360"/>
      </w:pPr>
      <w:rPr>
        <w:rFonts w:ascii="Times New Roman" w:hAnsi="Times New Roman" w:hint="default"/>
      </w:rPr>
    </w:lvl>
    <w:lvl w:ilvl="4" w:tplc="E8883C92" w:tentative="1">
      <w:start w:val="1"/>
      <w:numFmt w:val="bullet"/>
      <w:lvlText w:val="•"/>
      <w:lvlJc w:val="left"/>
      <w:pPr>
        <w:tabs>
          <w:tab w:val="num" w:pos="3600"/>
        </w:tabs>
        <w:ind w:left="3600" w:hanging="360"/>
      </w:pPr>
      <w:rPr>
        <w:rFonts w:ascii="Times New Roman" w:hAnsi="Times New Roman" w:hint="default"/>
      </w:rPr>
    </w:lvl>
    <w:lvl w:ilvl="5" w:tplc="403A5DDC" w:tentative="1">
      <w:start w:val="1"/>
      <w:numFmt w:val="bullet"/>
      <w:lvlText w:val="•"/>
      <w:lvlJc w:val="left"/>
      <w:pPr>
        <w:tabs>
          <w:tab w:val="num" w:pos="4320"/>
        </w:tabs>
        <w:ind w:left="4320" w:hanging="360"/>
      </w:pPr>
      <w:rPr>
        <w:rFonts w:ascii="Times New Roman" w:hAnsi="Times New Roman" w:hint="default"/>
      </w:rPr>
    </w:lvl>
    <w:lvl w:ilvl="6" w:tplc="3BF20D16" w:tentative="1">
      <w:start w:val="1"/>
      <w:numFmt w:val="bullet"/>
      <w:lvlText w:val="•"/>
      <w:lvlJc w:val="left"/>
      <w:pPr>
        <w:tabs>
          <w:tab w:val="num" w:pos="5040"/>
        </w:tabs>
        <w:ind w:left="5040" w:hanging="360"/>
      </w:pPr>
      <w:rPr>
        <w:rFonts w:ascii="Times New Roman" w:hAnsi="Times New Roman" w:hint="default"/>
      </w:rPr>
    </w:lvl>
    <w:lvl w:ilvl="7" w:tplc="66E01558" w:tentative="1">
      <w:start w:val="1"/>
      <w:numFmt w:val="bullet"/>
      <w:lvlText w:val="•"/>
      <w:lvlJc w:val="left"/>
      <w:pPr>
        <w:tabs>
          <w:tab w:val="num" w:pos="5760"/>
        </w:tabs>
        <w:ind w:left="5760" w:hanging="360"/>
      </w:pPr>
      <w:rPr>
        <w:rFonts w:ascii="Times New Roman" w:hAnsi="Times New Roman" w:hint="default"/>
      </w:rPr>
    </w:lvl>
    <w:lvl w:ilvl="8" w:tplc="4FD2A1CC" w:tentative="1">
      <w:start w:val="1"/>
      <w:numFmt w:val="bullet"/>
      <w:lvlText w:val="•"/>
      <w:lvlJc w:val="left"/>
      <w:pPr>
        <w:tabs>
          <w:tab w:val="num" w:pos="6480"/>
        </w:tabs>
        <w:ind w:left="6480" w:hanging="360"/>
      </w:pPr>
      <w:rPr>
        <w:rFonts w:ascii="Times New Roman" w:hAnsi="Times New Roman" w:hint="default"/>
      </w:rPr>
    </w:lvl>
  </w:abstractNum>
  <w:abstractNum w:abstractNumId="29" w15:restartNumberingAfterBreak="0">
    <w:nsid w:val="3643680F"/>
    <w:multiLevelType w:val="hybridMultilevel"/>
    <w:tmpl w:val="CCE287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6F219F7"/>
    <w:multiLevelType w:val="hybridMultilevel"/>
    <w:tmpl w:val="81E6BC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7DA72AF"/>
    <w:multiLevelType w:val="hybridMultilevel"/>
    <w:tmpl w:val="58A894D4"/>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2" w15:restartNumberingAfterBreak="0">
    <w:nsid w:val="40E9718A"/>
    <w:multiLevelType w:val="multilevel"/>
    <w:tmpl w:val="5CBAC7D0"/>
    <w:lvl w:ilvl="0">
      <w:start w:val="1"/>
      <w:numFmt w:val="decimal"/>
      <w:lvlText w:val="%1."/>
      <w:lvlJc w:val="left"/>
      <w:pPr>
        <w:ind w:left="720" w:hanging="360"/>
      </w:pPr>
      <w:rPr>
        <w:rFonts w:hint="default"/>
      </w:rPr>
    </w:lvl>
    <w:lvl w:ilvl="1">
      <w:start w:val="9"/>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44955282"/>
    <w:multiLevelType w:val="hybridMultilevel"/>
    <w:tmpl w:val="2220A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69C0F11"/>
    <w:multiLevelType w:val="hybridMultilevel"/>
    <w:tmpl w:val="854666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037CE8"/>
    <w:multiLevelType w:val="hybridMultilevel"/>
    <w:tmpl w:val="72D02ADC"/>
    <w:lvl w:ilvl="0" w:tplc="28A0E290">
      <w:start w:val="1"/>
      <w:numFmt w:val="decimal"/>
      <w:lvlText w:val="%1)"/>
      <w:lvlJc w:val="left"/>
      <w:pPr>
        <w:ind w:left="720" w:hanging="360"/>
      </w:pPr>
      <w:rPr>
        <w:rFonts w:ascii="Verdana" w:hAnsi="Verdana" w:cs="Calibri" w:hint="default"/>
        <w:color w:val="00000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4CC56395"/>
    <w:multiLevelType w:val="hybridMultilevel"/>
    <w:tmpl w:val="0E8452C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4E55476B"/>
    <w:multiLevelType w:val="hybridMultilevel"/>
    <w:tmpl w:val="808ABCB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4F7874BD"/>
    <w:multiLevelType w:val="hybridMultilevel"/>
    <w:tmpl w:val="ED06932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511D10C0"/>
    <w:multiLevelType w:val="hybridMultilevel"/>
    <w:tmpl w:val="4BD6D03E"/>
    <w:lvl w:ilvl="0" w:tplc="D1424E68">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51C25921"/>
    <w:multiLevelType w:val="hybridMultilevel"/>
    <w:tmpl w:val="68668A4C"/>
    <w:lvl w:ilvl="0" w:tplc="D52207AA">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41" w15:restartNumberingAfterBreak="0">
    <w:nsid w:val="51E50665"/>
    <w:multiLevelType w:val="multilevel"/>
    <w:tmpl w:val="2536D8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56E255A7"/>
    <w:multiLevelType w:val="hybridMultilevel"/>
    <w:tmpl w:val="3970CC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ABC344D"/>
    <w:multiLevelType w:val="hybridMultilevel"/>
    <w:tmpl w:val="55EA5ACE"/>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4" w15:restartNumberingAfterBreak="0">
    <w:nsid w:val="5B075A6C"/>
    <w:multiLevelType w:val="multilevel"/>
    <w:tmpl w:val="BB123A66"/>
    <w:lvl w:ilvl="0">
      <w:start w:val="1"/>
      <w:numFmt w:val="decimal"/>
      <w:lvlText w:val="%1."/>
      <w:lvlJc w:val="left"/>
      <w:pPr>
        <w:ind w:left="720" w:hanging="360"/>
      </w:pPr>
      <w:rPr>
        <w:rFonts w:hint="default"/>
      </w:rPr>
    </w:lvl>
    <w:lvl w:ilvl="1">
      <w:start w:val="7"/>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5" w15:restartNumberingAfterBreak="0">
    <w:nsid w:val="68F24AB1"/>
    <w:multiLevelType w:val="hybridMultilevel"/>
    <w:tmpl w:val="623C176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AC84398"/>
    <w:multiLevelType w:val="hybridMultilevel"/>
    <w:tmpl w:val="55D2B682"/>
    <w:lvl w:ilvl="0" w:tplc="479EEF92">
      <w:start w:val="1"/>
      <w:numFmt w:val="bullet"/>
      <w:lvlText w:val="•"/>
      <w:lvlJc w:val="left"/>
      <w:pPr>
        <w:tabs>
          <w:tab w:val="num" w:pos="720"/>
        </w:tabs>
        <w:ind w:left="720" w:hanging="360"/>
      </w:pPr>
      <w:rPr>
        <w:rFonts w:ascii="Times New Roman" w:hAnsi="Times New Roman" w:hint="default"/>
      </w:rPr>
    </w:lvl>
    <w:lvl w:ilvl="1" w:tplc="66BCA98C">
      <w:numFmt w:val="none"/>
      <w:lvlText w:val=""/>
      <w:lvlJc w:val="left"/>
      <w:pPr>
        <w:tabs>
          <w:tab w:val="num" w:pos="360"/>
        </w:tabs>
      </w:pPr>
    </w:lvl>
    <w:lvl w:ilvl="2" w:tplc="0B400B26" w:tentative="1">
      <w:start w:val="1"/>
      <w:numFmt w:val="bullet"/>
      <w:lvlText w:val="•"/>
      <w:lvlJc w:val="left"/>
      <w:pPr>
        <w:tabs>
          <w:tab w:val="num" w:pos="2160"/>
        </w:tabs>
        <w:ind w:left="2160" w:hanging="360"/>
      </w:pPr>
      <w:rPr>
        <w:rFonts w:ascii="Times New Roman" w:hAnsi="Times New Roman" w:hint="default"/>
      </w:rPr>
    </w:lvl>
    <w:lvl w:ilvl="3" w:tplc="305CA228" w:tentative="1">
      <w:start w:val="1"/>
      <w:numFmt w:val="bullet"/>
      <w:lvlText w:val="•"/>
      <w:lvlJc w:val="left"/>
      <w:pPr>
        <w:tabs>
          <w:tab w:val="num" w:pos="2880"/>
        </w:tabs>
        <w:ind w:left="2880" w:hanging="360"/>
      </w:pPr>
      <w:rPr>
        <w:rFonts w:ascii="Times New Roman" w:hAnsi="Times New Roman" w:hint="default"/>
      </w:rPr>
    </w:lvl>
    <w:lvl w:ilvl="4" w:tplc="84D6778A" w:tentative="1">
      <w:start w:val="1"/>
      <w:numFmt w:val="bullet"/>
      <w:lvlText w:val="•"/>
      <w:lvlJc w:val="left"/>
      <w:pPr>
        <w:tabs>
          <w:tab w:val="num" w:pos="3600"/>
        </w:tabs>
        <w:ind w:left="3600" w:hanging="360"/>
      </w:pPr>
      <w:rPr>
        <w:rFonts w:ascii="Times New Roman" w:hAnsi="Times New Roman" w:hint="default"/>
      </w:rPr>
    </w:lvl>
    <w:lvl w:ilvl="5" w:tplc="4C2CB876" w:tentative="1">
      <w:start w:val="1"/>
      <w:numFmt w:val="bullet"/>
      <w:lvlText w:val="•"/>
      <w:lvlJc w:val="left"/>
      <w:pPr>
        <w:tabs>
          <w:tab w:val="num" w:pos="4320"/>
        </w:tabs>
        <w:ind w:left="4320" w:hanging="360"/>
      </w:pPr>
      <w:rPr>
        <w:rFonts w:ascii="Times New Roman" w:hAnsi="Times New Roman" w:hint="default"/>
      </w:rPr>
    </w:lvl>
    <w:lvl w:ilvl="6" w:tplc="20ACD120" w:tentative="1">
      <w:start w:val="1"/>
      <w:numFmt w:val="bullet"/>
      <w:lvlText w:val="•"/>
      <w:lvlJc w:val="left"/>
      <w:pPr>
        <w:tabs>
          <w:tab w:val="num" w:pos="5040"/>
        </w:tabs>
        <w:ind w:left="5040" w:hanging="360"/>
      </w:pPr>
      <w:rPr>
        <w:rFonts w:ascii="Times New Roman" w:hAnsi="Times New Roman" w:hint="default"/>
      </w:rPr>
    </w:lvl>
    <w:lvl w:ilvl="7" w:tplc="5A68D3F4" w:tentative="1">
      <w:start w:val="1"/>
      <w:numFmt w:val="bullet"/>
      <w:lvlText w:val="•"/>
      <w:lvlJc w:val="left"/>
      <w:pPr>
        <w:tabs>
          <w:tab w:val="num" w:pos="5760"/>
        </w:tabs>
        <w:ind w:left="5760" w:hanging="360"/>
      </w:pPr>
      <w:rPr>
        <w:rFonts w:ascii="Times New Roman" w:hAnsi="Times New Roman" w:hint="default"/>
      </w:rPr>
    </w:lvl>
    <w:lvl w:ilvl="8" w:tplc="C6960426" w:tentative="1">
      <w:start w:val="1"/>
      <w:numFmt w:val="bullet"/>
      <w:lvlText w:val="•"/>
      <w:lvlJc w:val="left"/>
      <w:pPr>
        <w:tabs>
          <w:tab w:val="num" w:pos="6480"/>
        </w:tabs>
        <w:ind w:left="6480" w:hanging="360"/>
      </w:pPr>
      <w:rPr>
        <w:rFonts w:ascii="Times New Roman" w:hAnsi="Times New Roman" w:hint="default"/>
      </w:rPr>
    </w:lvl>
  </w:abstractNum>
  <w:abstractNum w:abstractNumId="47" w15:restartNumberingAfterBreak="0">
    <w:nsid w:val="6DCC0781"/>
    <w:multiLevelType w:val="multilevel"/>
    <w:tmpl w:val="41640F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712573A5"/>
    <w:multiLevelType w:val="hybridMultilevel"/>
    <w:tmpl w:val="F84AF9D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1262A378">
      <w:start w:val="1"/>
      <w:numFmt w:val="lowerRoman"/>
      <w:lvlText w:val="%3)"/>
      <w:lvlJc w:val="left"/>
      <w:pPr>
        <w:ind w:left="2700" w:hanging="72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7D1A2CA9"/>
    <w:multiLevelType w:val="hybridMultilevel"/>
    <w:tmpl w:val="22DCDC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6"/>
  </w:num>
  <w:num w:numId="3">
    <w:abstractNumId w:val="49"/>
  </w:num>
  <w:num w:numId="4">
    <w:abstractNumId w:val="10"/>
  </w:num>
  <w:num w:numId="5">
    <w:abstractNumId w:val="17"/>
  </w:num>
  <w:num w:numId="6">
    <w:abstractNumId w:val="22"/>
  </w:num>
  <w:num w:numId="7">
    <w:abstractNumId w:val="33"/>
  </w:num>
  <w:num w:numId="8">
    <w:abstractNumId w:val="48"/>
  </w:num>
  <w:num w:numId="9">
    <w:abstractNumId w:val="32"/>
  </w:num>
  <w:num w:numId="10">
    <w:abstractNumId w:val="20"/>
  </w:num>
  <w:num w:numId="11">
    <w:abstractNumId w:val="26"/>
  </w:num>
  <w:num w:numId="12">
    <w:abstractNumId w:val="19"/>
  </w:num>
  <w:num w:numId="13">
    <w:abstractNumId w:val="11"/>
  </w:num>
  <w:num w:numId="14">
    <w:abstractNumId w:val="25"/>
  </w:num>
  <w:num w:numId="15">
    <w:abstractNumId w:val="34"/>
  </w:num>
  <w:num w:numId="16">
    <w:abstractNumId w:val="29"/>
  </w:num>
  <w:num w:numId="17">
    <w:abstractNumId w:val="42"/>
  </w:num>
  <w:num w:numId="18">
    <w:abstractNumId w:val="27"/>
  </w:num>
  <w:num w:numId="19">
    <w:abstractNumId w:val="45"/>
  </w:num>
  <w:num w:numId="20">
    <w:abstractNumId w:val="44"/>
  </w:num>
  <w:num w:numId="21">
    <w:abstractNumId w:val="40"/>
  </w:num>
  <w:num w:numId="22">
    <w:abstractNumId w:val="30"/>
  </w:num>
  <w:num w:numId="23">
    <w:abstractNumId w:val="13"/>
  </w:num>
  <w:num w:numId="24">
    <w:abstractNumId w:val="18"/>
  </w:num>
  <w:num w:numId="25">
    <w:abstractNumId w:val="39"/>
  </w:num>
  <w:num w:numId="26">
    <w:abstractNumId w:val="46"/>
  </w:num>
  <w:num w:numId="27">
    <w:abstractNumId w:val="28"/>
  </w:num>
  <w:num w:numId="28">
    <w:abstractNumId w:val="41"/>
  </w:num>
  <w:num w:numId="29">
    <w:abstractNumId w:val="47"/>
  </w:num>
  <w:num w:numId="30">
    <w:abstractNumId w:val="35"/>
  </w:num>
  <w:num w:numId="31">
    <w:abstractNumId w:val="23"/>
  </w:num>
  <w:num w:numId="32">
    <w:abstractNumId w:val="38"/>
  </w:num>
  <w:num w:numId="33">
    <w:abstractNumId w:val="21"/>
  </w:num>
  <w:num w:numId="34">
    <w:abstractNumId w:val="37"/>
  </w:num>
  <w:num w:numId="35">
    <w:abstractNumId w:val="36"/>
  </w:num>
  <w:num w:numId="36">
    <w:abstractNumId w:val="24"/>
  </w:num>
  <w:num w:numId="37">
    <w:abstractNumId w:val="15"/>
  </w:num>
  <w:num w:numId="38">
    <w:abstractNumId w:val="14"/>
  </w:num>
  <w:num w:numId="39">
    <w:abstractNumId w:val="43"/>
  </w:num>
  <w:num w:numId="40">
    <w:abstractNumId w:val="31"/>
  </w:num>
  <w:num w:numId="41">
    <w:abstractNumId w:val="9"/>
  </w:num>
  <w:num w:numId="42">
    <w:abstractNumId w:val="7"/>
  </w:num>
  <w:num w:numId="43">
    <w:abstractNumId w:val="6"/>
  </w:num>
  <w:num w:numId="44">
    <w:abstractNumId w:val="5"/>
  </w:num>
  <w:num w:numId="45">
    <w:abstractNumId w:val="4"/>
  </w:num>
  <w:num w:numId="46">
    <w:abstractNumId w:val="8"/>
  </w:num>
  <w:num w:numId="47">
    <w:abstractNumId w:val="3"/>
  </w:num>
  <w:num w:numId="48">
    <w:abstractNumId w:val="2"/>
  </w:num>
  <w:num w:numId="49">
    <w:abstractNumId w:val="1"/>
  </w:num>
  <w:num w:numId="50">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characterSpacingControl w:val="doNotCompress"/>
  <w:hdrShapeDefaults>
    <o:shapedefaults v:ext="edit" spidmax="819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1223"/>
    <w:rsid w:val="000004ED"/>
    <w:rsid w:val="00001B84"/>
    <w:rsid w:val="00001F2C"/>
    <w:rsid w:val="0000314F"/>
    <w:rsid w:val="000035E2"/>
    <w:rsid w:val="000036BE"/>
    <w:rsid w:val="0000481C"/>
    <w:rsid w:val="00004CCD"/>
    <w:rsid w:val="00005ED3"/>
    <w:rsid w:val="000069EC"/>
    <w:rsid w:val="00006C99"/>
    <w:rsid w:val="000077CA"/>
    <w:rsid w:val="0000796D"/>
    <w:rsid w:val="00007BE0"/>
    <w:rsid w:val="00007FF5"/>
    <w:rsid w:val="00010873"/>
    <w:rsid w:val="00011042"/>
    <w:rsid w:val="00011859"/>
    <w:rsid w:val="0001206C"/>
    <w:rsid w:val="000128AF"/>
    <w:rsid w:val="00014F9A"/>
    <w:rsid w:val="00020999"/>
    <w:rsid w:val="00021777"/>
    <w:rsid w:val="0002181A"/>
    <w:rsid w:val="00022033"/>
    <w:rsid w:val="00022F29"/>
    <w:rsid w:val="00022F53"/>
    <w:rsid w:val="00023EA9"/>
    <w:rsid w:val="00025A04"/>
    <w:rsid w:val="0002618A"/>
    <w:rsid w:val="00027066"/>
    <w:rsid w:val="00027D9C"/>
    <w:rsid w:val="00030708"/>
    <w:rsid w:val="00033B55"/>
    <w:rsid w:val="00034586"/>
    <w:rsid w:val="00035D64"/>
    <w:rsid w:val="000364F2"/>
    <w:rsid w:val="00036578"/>
    <w:rsid w:val="0004053C"/>
    <w:rsid w:val="00040B9C"/>
    <w:rsid w:val="00040F9A"/>
    <w:rsid w:val="0004229C"/>
    <w:rsid w:val="000429CF"/>
    <w:rsid w:val="00042B87"/>
    <w:rsid w:val="00043250"/>
    <w:rsid w:val="00043816"/>
    <w:rsid w:val="00044C01"/>
    <w:rsid w:val="00044EF7"/>
    <w:rsid w:val="00045E01"/>
    <w:rsid w:val="00046FDF"/>
    <w:rsid w:val="00050D31"/>
    <w:rsid w:val="00052C99"/>
    <w:rsid w:val="00053B9E"/>
    <w:rsid w:val="00054F32"/>
    <w:rsid w:val="00056769"/>
    <w:rsid w:val="00056C0F"/>
    <w:rsid w:val="00057058"/>
    <w:rsid w:val="00060564"/>
    <w:rsid w:val="00061537"/>
    <w:rsid w:val="00061AFA"/>
    <w:rsid w:val="00061EAB"/>
    <w:rsid w:val="000633E5"/>
    <w:rsid w:val="00064A40"/>
    <w:rsid w:val="000655F8"/>
    <w:rsid w:val="000708FC"/>
    <w:rsid w:val="00070B1E"/>
    <w:rsid w:val="00070D2C"/>
    <w:rsid w:val="00071934"/>
    <w:rsid w:val="00071F8C"/>
    <w:rsid w:val="000724C4"/>
    <w:rsid w:val="000729F9"/>
    <w:rsid w:val="00073C92"/>
    <w:rsid w:val="000748B4"/>
    <w:rsid w:val="0007552E"/>
    <w:rsid w:val="00076051"/>
    <w:rsid w:val="00076DA6"/>
    <w:rsid w:val="000775C0"/>
    <w:rsid w:val="00077621"/>
    <w:rsid w:val="00077AF1"/>
    <w:rsid w:val="00080EEE"/>
    <w:rsid w:val="00080F9B"/>
    <w:rsid w:val="00081025"/>
    <w:rsid w:val="00083C36"/>
    <w:rsid w:val="0008497D"/>
    <w:rsid w:val="00085761"/>
    <w:rsid w:val="00085832"/>
    <w:rsid w:val="00085E8D"/>
    <w:rsid w:val="000861F8"/>
    <w:rsid w:val="00087FA9"/>
    <w:rsid w:val="000912BC"/>
    <w:rsid w:val="00091C55"/>
    <w:rsid w:val="00092844"/>
    <w:rsid w:val="00092A7F"/>
    <w:rsid w:val="000933FA"/>
    <w:rsid w:val="00093E28"/>
    <w:rsid w:val="00093F85"/>
    <w:rsid w:val="000941BA"/>
    <w:rsid w:val="0009565F"/>
    <w:rsid w:val="00096A35"/>
    <w:rsid w:val="00096D38"/>
    <w:rsid w:val="000A098E"/>
    <w:rsid w:val="000A1174"/>
    <w:rsid w:val="000A1F90"/>
    <w:rsid w:val="000A2690"/>
    <w:rsid w:val="000A3B16"/>
    <w:rsid w:val="000A3C3C"/>
    <w:rsid w:val="000A4096"/>
    <w:rsid w:val="000A57A1"/>
    <w:rsid w:val="000A590C"/>
    <w:rsid w:val="000A5937"/>
    <w:rsid w:val="000A6957"/>
    <w:rsid w:val="000A7F4E"/>
    <w:rsid w:val="000B257C"/>
    <w:rsid w:val="000B2C7D"/>
    <w:rsid w:val="000B3754"/>
    <w:rsid w:val="000B43F2"/>
    <w:rsid w:val="000B5716"/>
    <w:rsid w:val="000B586C"/>
    <w:rsid w:val="000B65E7"/>
    <w:rsid w:val="000C071D"/>
    <w:rsid w:val="000C0867"/>
    <w:rsid w:val="000C0AB6"/>
    <w:rsid w:val="000C0C32"/>
    <w:rsid w:val="000C1479"/>
    <w:rsid w:val="000C16C7"/>
    <w:rsid w:val="000C29D9"/>
    <w:rsid w:val="000C2C31"/>
    <w:rsid w:val="000C3BBF"/>
    <w:rsid w:val="000C3D48"/>
    <w:rsid w:val="000C641C"/>
    <w:rsid w:val="000C64B7"/>
    <w:rsid w:val="000C661A"/>
    <w:rsid w:val="000C671B"/>
    <w:rsid w:val="000C76B7"/>
    <w:rsid w:val="000C7C97"/>
    <w:rsid w:val="000D026E"/>
    <w:rsid w:val="000D0B1D"/>
    <w:rsid w:val="000D0D3D"/>
    <w:rsid w:val="000D0D9D"/>
    <w:rsid w:val="000D1556"/>
    <w:rsid w:val="000D2D78"/>
    <w:rsid w:val="000D3959"/>
    <w:rsid w:val="000D3B3E"/>
    <w:rsid w:val="000D55F5"/>
    <w:rsid w:val="000D6FE2"/>
    <w:rsid w:val="000D70C1"/>
    <w:rsid w:val="000D7885"/>
    <w:rsid w:val="000D7DDA"/>
    <w:rsid w:val="000E0CAB"/>
    <w:rsid w:val="000E2288"/>
    <w:rsid w:val="000E251E"/>
    <w:rsid w:val="000E4F1A"/>
    <w:rsid w:val="000E525D"/>
    <w:rsid w:val="000E59E3"/>
    <w:rsid w:val="000E5D92"/>
    <w:rsid w:val="000E692E"/>
    <w:rsid w:val="000E6D00"/>
    <w:rsid w:val="000E7DDA"/>
    <w:rsid w:val="000F1E18"/>
    <w:rsid w:val="000F2D4A"/>
    <w:rsid w:val="000F2ED5"/>
    <w:rsid w:val="000F3B6B"/>
    <w:rsid w:val="000F5610"/>
    <w:rsid w:val="000F5B92"/>
    <w:rsid w:val="000F6245"/>
    <w:rsid w:val="000F6A25"/>
    <w:rsid w:val="00100999"/>
    <w:rsid w:val="00100F1D"/>
    <w:rsid w:val="00100F94"/>
    <w:rsid w:val="00101C11"/>
    <w:rsid w:val="0010252A"/>
    <w:rsid w:val="00102693"/>
    <w:rsid w:val="001026F5"/>
    <w:rsid w:val="00102DF7"/>
    <w:rsid w:val="0010352C"/>
    <w:rsid w:val="00103A5E"/>
    <w:rsid w:val="00104109"/>
    <w:rsid w:val="0010450B"/>
    <w:rsid w:val="00104B37"/>
    <w:rsid w:val="00105328"/>
    <w:rsid w:val="00105754"/>
    <w:rsid w:val="0010585F"/>
    <w:rsid w:val="00105D08"/>
    <w:rsid w:val="0010742C"/>
    <w:rsid w:val="00111DD4"/>
    <w:rsid w:val="0011208C"/>
    <w:rsid w:val="00112FCA"/>
    <w:rsid w:val="001135AE"/>
    <w:rsid w:val="0011417A"/>
    <w:rsid w:val="001148BD"/>
    <w:rsid w:val="0011554B"/>
    <w:rsid w:val="0011610D"/>
    <w:rsid w:val="0011728C"/>
    <w:rsid w:val="001203C2"/>
    <w:rsid w:val="0012053B"/>
    <w:rsid w:val="00121465"/>
    <w:rsid w:val="001232F4"/>
    <w:rsid w:val="001232FB"/>
    <w:rsid w:val="00125480"/>
    <w:rsid w:val="001254F8"/>
    <w:rsid w:val="001260B6"/>
    <w:rsid w:val="001262B7"/>
    <w:rsid w:val="00126FD3"/>
    <w:rsid w:val="0012733B"/>
    <w:rsid w:val="00127BCF"/>
    <w:rsid w:val="00127C64"/>
    <w:rsid w:val="001309F1"/>
    <w:rsid w:val="0013167F"/>
    <w:rsid w:val="001322EB"/>
    <w:rsid w:val="00133737"/>
    <w:rsid w:val="00135F7D"/>
    <w:rsid w:val="001367B2"/>
    <w:rsid w:val="00136813"/>
    <w:rsid w:val="00137EBD"/>
    <w:rsid w:val="0014073B"/>
    <w:rsid w:val="00140772"/>
    <w:rsid w:val="00140C21"/>
    <w:rsid w:val="00141C66"/>
    <w:rsid w:val="00144A95"/>
    <w:rsid w:val="00145326"/>
    <w:rsid w:val="00147830"/>
    <w:rsid w:val="001506D3"/>
    <w:rsid w:val="0015109C"/>
    <w:rsid w:val="0015234A"/>
    <w:rsid w:val="001524F1"/>
    <w:rsid w:val="00152AF4"/>
    <w:rsid w:val="001538A3"/>
    <w:rsid w:val="00153DE4"/>
    <w:rsid w:val="00154873"/>
    <w:rsid w:val="00154FF5"/>
    <w:rsid w:val="0015524C"/>
    <w:rsid w:val="00155C23"/>
    <w:rsid w:val="00156EB9"/>
    <w:rsid w:val="00160C48"/>
    <w:rsid w:val="00161457"/>
    <w:rsid w:val="0016192B"/>
    <w:rsid w:val="00161950"/>
    <w:rsid w:val="00161F4A"/>
    <w:rsid w:val="00162C6D"/>
    <w:rsid w:val="001641D5"/>
    <w:rsid w:val="00164CE8"/>
    <w:rsid w:val="00165029"/>
    <w:rsid w:val="0016522F"/>
    <w:rsid w:val="0016559A"/>
    <w:rsid w:val="00165DFC"/>
    <w:rsid w:val="001660C4"/>
    <w:rsid w:val="00170BEB"/>
    <w:rsid w:val="00171B15"/>
    <w:rsid w:val="00171D91"/>
    <w:rsid w:val="0017264A"/>
    <w:rsid w:val="00172696"/>
    <w:rsid w:val="00172745"/>
    <w:rsid w:val="00172A4D"/>
    <w:rsid w:val="00172F0A"/>
    <w:rsid w:val="00174D8C"/>
    <w:rsid w:val="00176D6A"/>
    <w:rsid w:val="001804F6"/>
    <w:rsid w:val="00182231"/>
    <w:rsid w:val="0018284B"/>
    <w:rsid w:val="00183569"/>
    <w:rsid w:val="00183FB5"/>
    <w:rsid w:val="00183FE4"/>
    <w:rsid w:val="00184303"/>
    <w:rsid w:val="00184997"/>
    <w:rsid w:val="00185384"/>
    <w:rsid w:val="00186189"/>
    <w:rsid w:val="00187387"/>
    <w:rsid w:val="00187592"/>
    <w:rsid w:val="00191698"/>
    <w:rsid w:val="001916E6"/>
    <w:rsid w:val="00192078"/>
    <w:rsid w:val="001927DB"/>
    <w:rsid w:val="001929C0"/>
    <w:rsid w:val="00193B79"/>
    <w:rsid w:val="00193EC1"/>
    <w:rsid w:val="001945DB"/>
    <w:rsid w:val="001954D1"/>
    <w:rsid w:val="0019577D"/>
    <w:rsid w:val="00195B64"/>
    <w:rsid w:val="00196DBF"/>
    <w:rsid w:val="001A0CE0"/>
    <w:rsid w:val="001A304B"/>
    <w:rsid w:val="001A3234"/>
    <w:rsid w:val="001A413B"/>
    <w:rsid w:val="001A5085"/>
    <w:rsid w:val="001A52B1"/>
    <w:rsid w:val="001A5864"/>
    <w:rsid w:val="001A61F1"/>
    <w:rsid w:val="001A75B2"/>
    <w:rsid w:val="001A7D6E"/>
    <w:rsid w:val="001B0524"/>
    <w:rsid w:val="001B05A1"/>
    <w:rsid w:val="001B0944"/>
    <w:rsid w:val="001B0EEB"/>
    <w:rsid w:val="001B157A"/>
    <w:rsid w:val="001B1D96"/>
    <w:rsid w:val="001B27B1"/>
    <w:rsid w:val="001B2EAA"/>
    <w:rsid w:val="001B4949"/>
    <w:rsid w:val="001B496F"/>
    <w:rsid w:val="001B5031"/>
    <w:rsid w:val="001B54EE"/>
    <w:rsid w:val="001B5683"/>
    <w:rsid w:val="001B5DCD"/>
    <w:rsid w:val="001B71D4"/>
    <w:rsid w:val="001B7CAF"/>
    <w:rsid w:val="001C210E"/>
    <w:rsid w:val="001C254F"/>
    <w:rsid w:val="001C302E"/>
    <w:rsid w:val="001C352D"/>
    <w:rsid w:val="001C43DB"/>
    <w:rsid w:val="001C469D"/>
    <w:rsid w:val="001C63C7"/>
    <w:rsid w:val="001C6B5E"/>
    <w:rsid w:val="001C7A4E"/>
    <w:rsid w:val="001C7C38"/>
    <w:rsid w:val="001D042A"/>
    <w:rsid w:val="001D15C6"/>
    <w:rsid w:val="001D16B9"/>
    <w:rsid w:val="001D2126"/>
    <w:rsid w:val="001D43BF"/>
    <w:rsid w:val="001D546E"/>
    <w:rsid w:val="001D5C54"/>
    <w:rsid w:val="001D7095"/>
    <w:rsid w:val="001D735F"/>
    <w:rsid w:val="001E12BE"/>
    <w:rsid w:val="001E1EC2"/>
    <w:rsid w:val="001E3627"/>
    <w:rsid w:val="001E585C"/>
    <w:rsid w:val="001E58D2"/>
    <w:rsid w:val="001E6717"/>
    <w:rsid w:val="001E713E"/>
    <w:rsid w:val="001F39A4"/>
    <w:rsid w:val="001F3CFD"/>
    <w:rsid w:val="001F4BA3"/>
    <w:rsid w:val="001F4C39"/>
    <w:rsid w:val="001F4D30"/>
    <w:rsid w:val="001F4F3D"/>
    <w:rsid w:val="001F4FB7"/>
    <w:rsid w:val="001F5176"/>
    <w:rsid w:val="001F5AAB"/>
    <w:rsid w:val="001F6B0B"/>
    <w:rsid w:val="001F76DC"/>
    <w:rsid w:val="00200D44"/>
    <w:rsid w:val="00201AB4"/>
    <w:rsid w:val="00201CE4"/>
    <w:rsid w:val="0020257C"/>
    <w:rsid w:val="002034E6"/>
    <w:rsid w:val="002036FE"/>
    <w:rsid w:val="00204B1D"/>
    <w:rsid w:val="00204C3E"/>
    <w:rsid w:val="00205D65"/>
    <w:rsid w:val="00206193"/>
    <w:rsid w:val="00210037"/>
    <w:rsid w:val="00211FF2"/>
    <w:rsid w:val="002123AA"/>
    <w:rsid w:val="00212689"/>
    <w:rsid w:val="0021286F"/>
    <w:rsid w:val="00212ACF"/>
    <w:rsid w:val="0021319C"/>
    <w:rsid w:val="002133D1"/>
    <w:rsid w:val="002137D7"/>
    <w:rsid w:val="0021454B"/>
    <w:rsid w:val="00215815"/>
    <w:rsid w:val="002167F2"/>
    <w:rsid w:val="002200BA"/>
    <w:rsid w:val="002210B1"/>
    <w:rsid w:val="00221D06"/>
    <w:rsid w:val="0022284F"/>
    <w:rsid w:val="00222D4E"/>
    <w:rsid w:val="00227FEB"/>
    <w:rsid w:val="00231817"/>
    <w:rsid w:val="0023198A"/>
    <w:rsid w:val="002320C7"/>
    <w:rsid w:val="002332DB"/>
    <w:rsid w:val="00233EAC"/>
    <w:rsid w:val="002343E4"/>
    <w:rsid w:val="0023683C"/>
    <w:rsid w:val="0023735D"/>
    <w:rsid w:val="00237688"/>
    <w:rsid w:val="002402A7"/>
    <w:rsid w:val="002414AC"/>
    <w:rsid w:val="00242D3B"/>
    <w:rsid w:val="0024475D"/>
    <w:rsid w:val="002447B2"/>
    <w:rsid w:val="0024660E"/>
    <w:rsid w:val="002466D1"/>
    <w:rsid w:val="00246787"/>
    <w:rsid w:val="002516F2"/>
    <w:rsid w:val="00251C79"/>
    <w:rsid w:val="0025274B"/>
    <w:rsid w:val="0025312D"/>
    <w:rsid w:val="002559F9"/>
    <w:rsid w:val="00255C8F"/>
    <w:rsid w:val="0025749B"/>
    <w:rsid w:val="00257745"/>
    <w:rsid w:val="00257D9B"/>
    <w:rsid w:val="002600B9"/>
    <w:rsid w:val="00260715"/>
    <w:rsid w:val="00260A81"/>
    <w:rsid w:val="00260C55"/>
    <w:rsid w:val="002612A5"/>
    <w:rsid w:val="00263532"/>
    <w:rsid w:val="00263984"/>
    <w:rsid w:val="00263E88"/>
    <w:rsid w:val="002642D9"/>
    <w:rsid w:val="00264331"/>
    <w:rsid w:val="0026451B"/>
    <w:rsid w:val="00264D21"/>
    <w:rsid w:val="00266185"/>
    <w:rsid w:val="00267ACB"/>
    <w:rsid w:val="00267D81"/>
    <w:rsid w:val="00267F6C"/>
    <w:rsid w:val="002702B1"/>
    <w:rsid w:val="002705E4"/>
    <w:rsid w:val="002705E9"/>
    <w:rsid w:val="00270927"/>
    <w:rsid w:val="002713E8"/>
    <w:rsid w:val="00271D11"/>
    <w:rsid w:val="002759FF"/>
    <w:rsid w:val="0027649D"/>
    <w:rsid w:val="00280932"/>
    <w:rsid w:val="00281625"/>
    <w:rsid w:val="0028180F"/>
    <w:rsid w:val="00281F0E"/>
    <w:rsid w:val="00282087"/>
    <w:rsid w:val="00283B71"/>
    <w:rsid w:val="00284A48"/>
    <w:rsid w:val="00284B27"/>
    <w:rsid w:val="00284F6C"/>
    <w:rsid w:val="00285B5B"/>
    <w:rsid w:val="002862A3"/>
    <w:rsid w:val="002919C3"/>
    <w:rsid w:val="00292008"/>
    <w:rsid w:val="00292481"/>
    <w:rsid w:val="00292F13"/>
    <w:rsid w:val="002939C7"/>
    <w:rsid w:val="002951E3"/>
    <w:rsid w:val="00295F80"/>
    <w:rsid w:val="002A04F5"/>
    <w:rsid w:val="002A0A31"/>
    <w:rsid w:val="002A1B9C"/>
    <w:rsid w:val="002A2B6A"/>
    <w:rsid w:val="002A3735"/>
    <w:rsid w:val="002A3A42"/>
    <w:rsid w:val="002A407E"/>
    <w:rsid w:val="002A4681"/>
    <w:rsid w:val="002A4CDC"/>
    <w:rsid w:val="002A5250"/>
    <w:rsid w:val="002A55E0"/>
    <w:rsid w:val="002A6C32"/>
    <w:rsid w:val="002A6E08"/>
    <w:rsid w:val="002B03CC"/>
    <w:rsid w:val="002B0F79"/>
    <w:rsid w:val="002B10FD"/>
    <w:rsid w:val="002B122F"/>
    <w:rsid w:val="002B1303"/>
    <w:rsid w:val="002B2CDF"/>
    <w:rsid w:val="002B2EB4"/>
    <w:rsid w:val="002B2F1D"/>
    <w:rsid w:val="002B2F1E"/>
    <w:rsid w:val="002B3ACF"/>
    <w:rsid w:val="002B4185"/>
    <w:rsid w:val="002B4D9D"/>
    <w:rsid w:val="002B622C"/>
    <w:rsid w:val="002B64BB"/>
    <w:rsid w:val="002B699E"/>
    <w:rsid w:val="002B71ED"/>
    <w:rsid w:val="002B7450"/>
    <w:rsid w:val="002B773B"/>
    <w:rsid w:val="002C0C36"/>
    <w:rsid w:val="002C1C18"/>
    <w:rsid w:val="002C4351"/>
    <w:rsid w:val="002C44C6"/>
    <w:rsid w:val="002C4D83"/>
    <w:rsid w:val="002C57AC"/>
    <w:rsid w:val="002C641B"/>
    <w:rsid w:val="002C6913"/>
    <w:rsid w:val="002C7C26"/>
    <w:rsid w:val="002D0DA9"/>
    <w:rsid w:val="002D1099"/>
    <w:rsid w:val="002D12EA"/>
    <w:rsid w:val="002D2330"/>
    <w:rsid w:val="002D2853"/>
    <w:rsid w:val="002D3093"/>
    <w:rsid w:val="002D31FF"/>
    <w:rsid w:val="002D337F"/>
    <w:rsid w:val="002D35A1"/>
    <w:rsid w:val="002D4FFC"/>
    <w:rsid w:val="002D5360"/>
    <w:rsid w:val="002D5568"/>
    <w:rsid w:val="002D66BA"/>
    <w:rsid w:val="002D6999"/>
    <w:rsid w:val="002E0538"/>
    <w:rsid w:val="002E2548"/>
    <w:rsid w:val="002E384B"/>
    <w:rsid w:val="002E39DB"/>
    <w:rsid w:val="002E65E5"/>
    <w:rsid w:val="002E755A"/>
    <w:rsid w:val="002E7D07"/>
    <w:rsid w:val="002F001F"/>
    <w:rsid w:val="002F00DC"/>
    <w:rsid w:val="002F1C3F"/>
    <w:rsid w:val="002F22D6"/>
    <w:rsid w:val="002F27E7"/>
    <w:rsid w:val="002F30FD"/>
    <w:rsid w:val="002F368B"/>
    <w:rsid w:val="002F38F5"/>
    <w:rsid w:val="002F60F5"/>
    <w:rsid w:val="002F6308"/>
    <w:rsid w:val="002F63C5"/>
    <w:rsid w:val="002F6B3F"/>
    <w:rsid w:val="002F6B75"/>
    <w:rsid w:val="002F6CC5"/>
    <w:rsid w:val="002F6E7B"/>
    <w:rsid w:val="002F71EA"/>
    <w:rsid w:val="002F7481"/>
    <w:rsid w:val="002F762A"/>
    <w:rsid w:val="002F7F35"/>
    <w:rsid w:val="003013A5"/>
    <w:rsid w:val="0030203D"/>
    <w:rsid w:val="00302DFD"/>
    <w:rsid w:val="00303851"/>
    <w:rsid w:val="0030426F"/>
    <w:rsid w:val="00304E43"/>
    <w:rsid w:val="00305416"/>
    <w:rsid w:val="003054AA"/>
    <w:rsid w:val="00305744"/>
    <w:rsid w:val="00305C84"/>
    <w:rsid w:val="003067B6"/>
    <w:rsid w:val="00306801"/>
    <w:rsid w:val="00306C2E"/>
    <w:rsid w:val="0030734E"/>
    <w:rsid w:val="0030738E"/>
    <w:rsid w:val="00311F7A"/>
    <w:rsid w:val="003124A5"/>
    <w:rsid w:val="00313954"/>
    <w:rsid w:val="00314893"/>
    <w:rsid w:val="00314B6D"/>
    <w:rsid w:val="00314E1C"/>
    <w:rsid w:val="00315478"/>
    <w:rsid w:val="003173B2"/>
    <w:rsid w:val="00317586"/>
    <w:rsid w:val="00317EF0"/>
    <w:rsid w:val="00320A82"/>
    <w:rsid w:val="00320BA6"/>
    <w:rsid w:val="00322B80"/>
    <w:rsid w:val="0032351B"/>
    <w:rsid w:val="003238BA"/>
    <w:rsid w:val="00324530"/>
    <w:rsid w:val="00325179"/>
    <w:rsid w:val="00325B0A"/>
    <w:rsid w:val="003262DF"/>
    <w:rsid w:val="00330A9A"/>
    <w:rsid w:val="00333455"/>
    <w:rsid w:val="00333D1B"/>
    <w:rsid w:val="00334285"/>
    <w:rsid w:val="00334B15"/>
    <w:rsid w:val="0033640C"/>
    <w:rsid w:val="00336694"/>
    <w:rsid w:val="00336FB7"/>
    <w:rsid w:val="003410FE"/>
    <w:rsid w:val="00344D65"/>
    <w:rsid w:val="003452C0"/>
    <w:rsid w:val="0034627A"/>
    <w:rsid w:val="00346A4D"/>
    <w:rsid w:val="00347284"/>
    <w:rsid w:val="003473C7"/>
    <w:rsid w:val="0035088B"/>
    <w:rsid w:val="00350FD6"/>
    <w:rsid w:val="00352C33"/>
    <w:rsid w:val="0035575B"/>
    <w:rsid w:val="00355D3C"/>
    <w:rsid w:val="00356115"/>
    <w:rsid w:val="00356546"/>
    <w:rsid w:val="003613E9"/>
    <w:rsid w:val="00361A85"/>
    <w:rsid w:val="00361CC6"/>
    <w:rsid w:val="00364DA7"/>
    <w:rsid w:val="00365540"/>
    <w:rsid w:val="00365715"/>
    <w:rsid w:val="00365947"/>
    <w:rsid w:val="00366446"/>
    <w:rsid w:val="003674E9"/>
    <w:rsid w:val="00367CBF"/>
    <w:rsid w:val="00367CCA"/>
    <w:rsid w:val="003704DD"/>
    <w:rsid w:val="0037062E"/>
    <w:rsid w:val="00370A5E"/>
    <w:rsid w:val="00370AC1"/>
    <w:rsid w:val="00371525"/>
    <w:rsid w:val="00372C3A"/>
    <w:rsid w:val="00373787"/>
    <w:rsid w:val="0037437C"/>
    <w:rsid w:val="00375475"/>
    <w:rsid w:val="00375EA0"/>
    <w:rsid w:val="00375EAC"/>
    <w:rsid w:val="00376B9A"/>
    <w:rsid w:val="0037703B"/>
    <w:rsid w:val="00377C1E"/>
    <w:rsid w:val="00380415"/>
    <w:rsid w:val="0038094F"/>
    <w:rsid w:val="00380AC8"/>
    <w:rsid w:val="00380B46"/>
    <w:rsid w:val="0038173B"/>
    <w:rsid w:val="00381D8E"/>
    <w:rsid w:val="003841AD"/>
    <w:rsid w:val="00384C41"/>
    <w:rsid w:val="00385AB6"/>
    <w:rsid w:val="00385ADB"/>
    <w:rsid w:val="0038662B"/>
    <w:rsid w:val="00386980"/>
    <w:rsid w:val="00386F5B"/>
    <w:rsid w:val="00390102"/>
    <w:rsid w:val="003908A7"/>
    <w:rsid w:val="0039233E"/>
    <w:rsid w:val="003927F3"/>
    <w:rsid w:val="0039466E"/>
    <w:rsid w:val="00395993"/>
    <w:rsid w:val="003960FB"/>
    <w:rsid w:val="0039655C"/>
    <w:rsid w:val="003969D2"/>
    <w:rsid w:val="003A21FD"/>
    <w:rsid w:val="003A2E93"/>
    <w:rsid w:val="003A3C7C"/>
    <w:rsid w:val="003A4D30"/>
    <w:rsid w:val="003A4F95"/>
    <w:rsid w:val="003A5030"/>
    <w:rsid w:val="003A60E9"/>
    <w:rsid w:val="003A6572"/>
    <w:rsid w:val="003A6F88"/>
    <w:rsid w:val="003B10D7"/>
    <w:rsid w:val="003B13E4"/>
    <w:rsid w:val="003B1ED5"/>
    <w:rsid w:val="003B2244"/>
    <w:rsid w:val="003B2EE3"/>
    <w:rsid w:val="003B359B"/>
    <w:rsid w:val="003B460F"/>
    <w:rsid w:val="003B46CA"/>
    <w:rsid w:val="003B5B9C"/>
    <w:rsid w:val="003B69F4"/>
    <w:rsid w:val="003B6F0E"/>
    <w:rsid w:val="003B70E9"/>
    <w:rsid w:val="003B77EE"/>
    <w:rsid w:val="003B7DA2"/>
    <w:rsid w:val="003B7DA7"/>
    <w:rsid w:val="003C07D9"/>
    <w:rsid w:val="003C1619"/>
    <w:rsid w:val="003C1ECE"/>
    <w:rsid w:val="003C3654"/>
    <w:rsid w:val="003C5B1F"/>
    <w:rsid w:val="003C5B7E"/>
    <w:rsid w:val="003C5E24"/>
    <w:rsid w:val="003C69CB"/>
    <w:rsid w:val="003C6AD1"/>
    <w:rsid w:val="003C6E6C"/>
    <w:rsid w:val="003C6EC4"/>
    <w:rsid w:val="003C7DDF"/>
    <w:rsid w:val="003D061F"/>
    <w:rsid w:val="003D07EE"/>
    <w:rsid w:val="003D251C"/>
    <w:rsid w:val="003D408C"/>
    <w:rsid w:val="003D50AB"/>
    <w:rsid w:val="003D53F0"/>
    <w:rsid w:val="003D570E"/>
    <w:rsid w:val="003D5821"/>
    <w:rsid w:val="003D6983"/>
    <w:rsid w:val="003D6F50"/>
    <w:rsid w:val="003D70D5"/>
    <w:rsid w:val="003D7EB0"/>
    <w:rsid w:val="003E1C4F"/>
    <w:rsid w:val="003E212A"/>
    <w:rsid w:val="003E2D83"/>
    <w:rsid w:val="003E3016"/>
    <w:rsid w:val="003E3C11"/>
    <w:rsid w:val="003E3F49"/>
    <w:rsid w:val="003E42A1"/>
    <w:rsid w:val="003E5CFC"/>
    <w:rsid w:val="003F02AF"/>
    <w:rsid w:val="003F0675"/>
    <w:rsid w:val="003F1843"/>
    <w:rsid w:val="003F1B4A"/>
    <w:rsid w:val="003F2195"/>
    <w:rsid w:val="003F23C0"/>
    <w:rsid w:val="003F3D75"/>
    <w:rsid w:val="003F409B"/>
    <w:rsid w:val="003F5394"/>
    <w:rsid w:val="003F587F"/>
    <w:rsid w:val="003F5E00"/>
    <w:rsid w:val="003F6226"/>
    <w:rsid w:val="003F63CC"/>
    <w:rsid w:val="003F6911"/>
    <w:rsid w:val="004005D2"/>
    <w:rsid w:val="00400D90"/>
    <w:rsid w:val="00403306"/>
    <w:rsid w:val="0040347B"/>
    <w:rsid w:val="004035D1"/>
    <w:rsid w:val="00403AC8"/>
    <w:rsid w:val="00403F7D"/>
    <w:rsid w:val="00404630"/>
    <w:rsid w:val="00404873"/>
    <w:rsid w:val="0040591D"/>
    <w:rsid w:val="00405CCB"/>
    <w:rsid w:val="00405D9D"/>
    <w:rsid w:val="00406250"/>
    <w:rsid w:val="00407BB3"/>
    <w:rsid w:val="00410878"/>
    <w:rsid w:val="00410DF6"/>
    <w:rsid w:val="00410F26"/>
    <w:rsid w:val="00411297"/>
    <w:rsid w:val="00412AF1"/>
    <w:rsid w:val="00414172"/>
    <w:rsid w:val="00415249"/>
    <w:rsid w:val="004165D2"/>
    <w:rsid w:val="00417879"/>
    <w:rsid w:val="00421CB4"/>
    <w:rsid w:val="0042282A"/>
    <w:rsid w:val="00422883"/>
    <w:rsid w:val="00423568"/>
    <w:rsid w:val="0042365E"/>
    <w:rsid w:val="00423D06"/>
    <w:rsid w:val="004240AA"/>
    <w:rsid w:val="00424C2D"/>
    <w:rsid w:val="00424F8B"/>
    <w:rsid w:val="004251B3"/>
    <w:rsid w:val="00425BB8"/>
    <w:rsid w:val="004262CE"/>
    <w:rsid w:val="00426B48"/>
    <w:rsid w:val="00426E5A"/>
    <w:rsid w:val="00427948"/>
    <w:rsid w:val="00427AE7"/>
    <w:rsid w:val="00427F88"/>
    <w:rsid w:val="0043025B"/>
    <w:rsid w:val="00430511"/>
    <w:rsid w:val="00430C40"/>
    <w:rsid w:val="004319F9"/>
    <w:rsid w:val="004328D8"/>
    <w:rsid w:val="00432B8D"/>
    <w:rsid w:val="00433FDD"/>
    <w:rsid w:val="0043449C"/>
    <w:rsid w:val="00434948"/>
    <w:rsid w:val="004349EA"/>
    <w:rsid w:val="00434D2D"/>
    <w:rsid w:val="00434D32"/>
    <w:rsid w:val="00436338"/>
    <w:rsid w:val="0043749F"/>
    <w:rsid w:val="00437760"/>
    <w:rsid w:val="00440721"/>
    <w:rsid w:val="00440DDE"/>
    <w:rsid w:val="00441DB8"/>
    <w:rsid w:val="00443363"/>
    <w:rsid w:val="00443726"/>
    <w:rsid w:val="004454E3"/>
    <w:rsid w:val="00445577"/>
    <w:rsid w:val="00445D02"/>
    <w:rsid w:val="00445F21"/>
    <w:rsid w:val="00446443"/>
    <w:rsid w:val="00446ADB"/>
    <w:rsid w:val="00447706"/>
    <w:rsid w:val="00450B75"/>
    <w:rsid w:val="00450F6A"/>
    <w:rsid w:val="004510CC"/>
    <w:rsid w:val="004513EB"/>
    <w:rsid w:val="00452533"/>
    <w:rsid w:val="004529F4"/>
    <w:rsid w:val="00453200"/>
    <w:rsid w:val="004542F4"/>
    <w:rsid w:val="00454F8A"/>
    <w:rsid w:val="0045578D"/>
    <w:rsid w:val="004563FC"/>
    <w:rsid w:val="00456743"/>
    <w:rsid w:val="00460A60"/>
    <w:rsid w:val="00461114"/>
    <w:rsid w:val="0046226F"/>
    <w:rsid w:val="004645DE"/>
    <w:rsid w:val="0046558E"/>
    <w:rsid w:val="00472186"/>
    <w:rsid w:val="004721E7"/>
    <w:rsid w:val="00472B4B"/>
    <w:rsid w:val="00472B4E"/>
    <w:rsid w:val="00472C3D"/>
    <w:rsid w:val="00473330"/>
    <w:rsid w:val="00473940"/>
    <w:rsid w:val="00473B25"/>
    <w:rsid w:val="00473D88"/>
    <w:rsid w:val="004772A4"/>
    <w:rsid w:val="004774D9"/>
    <w:rsid w:val="00477630"/>
    <w:rsid w:val="004805A9"/>
    <w:rsid w:val="004807EC"/>
    <w:rsid w:val="00480BC2"/>
    <w:rsid w:val="004817C3"/>
    <w:rsid w:val="00481DCA"/>
    <w:rsid w:val="004834CC"/>
    <w:rsid w:val="00483D78"/>
    <w:rsid w:val="0048550A"/>
    <w:rsid w:val="00486425"/>
    <w:rsid w:val="00486CF0"/>
    <w:rsid w:val="00487735"/>
    <w:rsid w:val="004878A2"/>
    <w:rsid w:val="00487A0F"/>
    <w:rsid w:val="00490C6F"/>
    <w:rsid w:val="004926DD"/>
    <w:rsid w:val="00493A0D"/>
    <w:rsid w:val="00493EAD"/>
    <w:rsid w:val="004942F9"/>
    <w:rsid w:val="00494D0F"/>
    <w:rsid w:val="00494F1D"/>
    <w:rsid w:val="00495734"/>
    <w:rsid w:val="00496F33"/>
    <w:rsid w:val="0049764A"/>
    <w:rsid w:val="00497E09"/>
    <w:rsid w:val="004A0120"/>
    <w:rsid w:val="004A0BBC"/>
    <w:rsid w:val="004A132F"/>
    <w:rsid w:val="004A19DC"/>
    <w:rsid w:val="004A2582"/>
    <w:rsid w:val="004A2980"/>
    <w:rsid w:val="004A2FDF"/>
    <w:rsid w:val="004A7419"/>
    <w:rsid w:val="004A75C6"/>
    <w:rsid w:val="004B0BEF"/>
    <w:rsid w:val="004B0DC1"/>
    <w:rsid w:val="004B14EF"/>
    <w:rsid w:val="004B40D7"/>
    <w:rsid w:val="004B4E41"/>
    <w:rsid w:val="004B4F9A"/>
    <w:rsid w:val="004B52CE"/>
    <w:rsid w:val="004B576F"/>
    <w:rsid w:val="004B581D"/>
    <w:rsid w:val="004B7BD6"/>
    <w:rsid w:val="004C1005"/>
    <w:rsid w:val="004C12C1"/>
    <w:rsid w:val="004C1F5F"/>
    <w:rsid w:val="004C3E7E"/>
    <w:rsid w:val="004C4074"/>
    <w:rsid w:val="004C53DA"/>
    <w:rsid w:val="004C57A5"/>
    <w:rsid w:val="004C723E"/>
    <w:rsid w:val="004C7321"/>
    <w:rsid w:val="004D1317"/>
    <w:rsid w:val="004D1ADE"/>
    <w:rsid w:val="004D1CEF"/>
    <w:rsid w:val="004D255E"/>
    <w:rsid w:val="004D3E27"/>
    <w:rsid w:val="004D4023"/>
    <w:rsid w:val="004D4BE4"/>
    <w:rsid w:val="004D720B"/>
    <w:rsid w:val="004D7D27"/>
    <w:rsid w:val="004E0576"/>
    <w:rsid w:val="004E1574"/>
    <w:rsid w:val="004E1579"/>
    <w:rsid w:val="004E2177"/>
    <w:rsid w:val="004E236B"/>
    <w:rsid w:val="004E503F"/>
    <w:rsid w:val="004E5DA0"/>
    <w:rsid w:val="004F026E"/>
    <w:rsid w:val="004F054A"/>
    <w:rsid w:val="004F0EC5"/>
    <w:rsid w:val="004F3880"/>
    <w:rsid w:val="004F403B"/>
    <w:rsid w:val="004F55BC"/>
    <w:rsid w:val="004F567D"/>
    <w:rsid w:val="004F5BB9"/>
    <w:rsid w:val="004F5EA3"/>
    <w:rsid w:val="004F6289"/>
    <w:rsid w:val="00500ABE"/>
    <w:rsid w:val="0050138F"/>
    <w:rsid w:val="0050242C"/>
    <w:rsid w:val="00505998"/>
    <w:rsid w:val="00505B1B"/>
    <w:rsid w:val="00505BB8"/>
    <w:rsid w:val="00505CF6"/>
    <w:rsid w:val="00507B05"/>
    <w:rsid w:val="00507B4A"/>
    <w:rsid w:val="005109DA"/>
    <w:rsid w:val="00513E36"/>
    <w:rsid w:val="005144E4"/>
    <w:rsid w:val="00514A8B"/>
    <w:rsid w:val="005152A6"/>
    <w:rsid w:val="00516967"/>
    <w:rsid w:val="00516994"/>
    <w:rsid w:val="00516ABE"/>
    <w:rsid w:val="00516D62"/>
    <w:rsid w:val="00517609"/>
    <w:rsid w:val="0052017A"/>
    <w:rsid w:val="00520597"/>
    <w:rsid w:val="00520831"/>
    <w:rsid w:val="0052151C"/>
    <w:rsid w:val="005219B7"/>
    <w:rsid w:val="00521CCA"/>
    <w:rsid w:val="00522D09"/>
    <w:rsid w:val="00523316"/>
    <w:rsid w:val="00523734"/>
    <w:rsid w:val="00523858"/>
    <w:rsid w:val="00524804"/>
    <w:rsid w:val="00525B15"/>
    <w:rsid w:val="00525B47"/>
    <w:rsid w:val="005263BD"/>
    <w:rsid w:val="00527F5D"/>
    <w:rsid w:val="00530317"/>
    <w:rsid w:val="00531864"/>
    <w:rsid w:val="0053263E"/>
    <w:rsid w:val="005328F6"/>
    <w:rsid w:val="005330A5"/>
    <w:rsid w:val="00533805"/>
    <w:rsid w:val="00533FA0"/>
    <w:rsid w:val="0053485E"/>
    <w:rsid w:val="005352D5"/>
    <w:rsid w:val="00535690"/>
    <w:rsid w:val="0053577B"/>
    <w:rsid w:val="005360EE"/>
    <w:rsid w:val="00536D30"/>
    <w:rsid w:val="00537426"/>
    <w:rsid w:val="00540D28"/>
    <w:rsid w:val="005415A9"/>
    <w:rsid w:val="00541BFB"/>
    <w:rsid w:val="0054218F"/>
    <w:rsid w:val="00542448"/>
    <w:rsid w:val="00542E81"/>
    <w:rsid w:val="0054314B"/>
    <w:rsid w:val="005432D3"/>
    <w:rsid w:val="00544B36"/>
    <w:rsid w:val="00544EF7"/>
    <w:rsid w:val="005450C5"/>
    <w:rsid w:val="00545F64"/>
    <w:rsid w:val="00546430"/>
    <w:rsid w:val="0054647D"/>
    <w:rsid w:val="00546E7D"/>
    <w:rsid w:val="00550455"/>
    <w:rsid w:val="0055046D"/>
    <w:rsid w:val="00552841"/>
    <w:rsid w:val="00552F16"/>
    <w:rsid w:val="00553379"/>
    <w:rsid w:val="005539D6"/>
    <w:rsid w:val="00553C7A"/>
    <w:rsid w:val="00554068"/>
    <w:rsid w:val="00554D2B"/>
    <w:rsid w:val="00555EE8"/>
    <w:rsid w:val="0055652F"/>
    <w:rsid w:val="00556577"/>
    <w:rsid w:val="00561643"/>
    <w:rsid w:val="00561B4A"/>
    <w:rsid w:val="005622EA"/>
    <w:rsid w:val="005632A5"/>
    <w:rsid w:val="005656C2"/>
    <w:rsid w:val="00565799"/>
    <w:rsid w:val="00570AF2"/>
    <w:rsid w:val="00572F64"/>
    <w:rsid w:val="00575D87"/>
    <w:rsid w:val="0057760E"/>
    <w:rsid w:val="00577BD3"/>
    <w:rsid w:val="00580DD5"/>
    <w:rsid w:val="00580FF1"/>
    <w:rsid w:val="00581EE5"/>
    <w:rsid w:val="00581F34"/>
    <w:rsid w:val="005825FC"/>
    <w:rsid w:val="005831F2"/>
    <w:rsid w:val="005835F2"/>
    <w:rsid w:val="00583836"/>
    <w:rsid w:val="00584957"/>
    <w:rsid w:val="005855BD"/>
    <w:rsid w:val="00585CD7"/>
    <w:rsid w:val="00586E76"/>
    <w:rsid w:val="00587457"/>
    <w:rsid w:val="00587E8B"/>
    <w:rsid w:val="005911A9"/>
    <w:rsid w:val="00591395"/>
    <w:rsid w:val="0059286F"/>
    <w:rsid w:val="00593D36"/>
    <w:rsid w:val="00594A8A"/>
    <w:rsid w:val="0059546F"/>
    <w:rsid w:val="00595850"/>
    <w:rsid w:val="00595F73"/>
    <w:rsid w:val="00596A8D"/>
    <w:rsid w:val="005977AC"/>
    <w:rsid w:val="005A0ADB"/>
    <w:rsid w:val="005A3B72"/>
    <w:rsid w:val="005A691F"/>
    <w:rsid w:val="005A6FEB"/>
    <w:rsid w:val="005B0739"/>
    <w:rsid w:val="005B1C38"/>
    <w:rsid w:val="005B2F5D"/>
    <w:rsid w:val="005B31A6"/>
    <w:rsid w:val="005B3480"/>
    <w:rsid w:val="005B38C8"/>
    <w:rsid w:val="005B39C6"/>
    <w:rsid w:val="005B3C1D"/>
    <w:rsid w:val="005B3D9E"/>
    <w:rsid w:val="005B3FF8"/>
    <w:rsid w:val="005B50C6"/>
    <w:rsid w:val="005B59BC"/>
    <w:rsid w:val="005B5FDF"/>
    <w:rsid w:val="005B6678"/>
    <w:rsid w:val="005B6D99"/>
    <w:rsid w:val="005B6EFB"/>
    <w:rsid w:val="005B7DC1"/>
    <w:rsid w:val="005C0D2E"/>
    <w:rsid w:val="005C3CCC"/>
    <w:rsid w:val="005C407E"/>
    <w:rsid w:val="005C5022"/>
    <w:rsid w:val="005C518A"/>
    <w:rsid w:val="005C69E5"/>
    <w:rsid w:val="005C6EBA"/>
    <w:rsid w:val="005C7D3D"/>
    <w:rsid w:val="005D0117"/>
    <w:rsid w:val="005D0440"/>
    <w:rsid w:val="005D0C2D"/>
    <w:rsid w:val="005D0FB9"/>
    <w:rsid w:val="005D165B"/>
    <w:rsid w:val="005D28E7"/>
    <w:rsid w:val="005D2C53"/>
    <w:rsid w:val="005D4E66"/>
    <w:rsid w:val="005D64A4"/>
    <w:rsid w:val="005D6972"/>
    <w:rsid w:val="005D75CB"/>
    <w:rsid w:val="005D779F"/>
    <w:rsid w:val="005E136C"/>
    <w:rsid w:val="005E2281"/>
    <w:rsid w:val="005E49DB"/>
    <w:rsid w:val="005E4D69"/>
    <w:rsid w:val="005E5F3B"/>
    <w:rsid w:val="005E61FD"/>
    <w:rsid w:val="005E63C0"/>
    <w:rsid w:val="005E6CE7"/>
    <w:rsid w:val="005E791F"/>
    <w:rsid w:val="005F0983"/>
    <w:rsid w:val="005F1B69"/>
    <w:rsid w:val="005F39FA"/>
    <w:rsid w:val="005F56B5"/>
    <w:rsid w:val="005F5814"/>
    <w:rsid w:val="005F5969"/>
    <w:rsid w:val="005F5A63"/>
    <w:rsid w:val="005F5E05"/>
    <w:rsid w:val="005F66EC"/>
    <w:rsid w:val="005F68F6"/>
    <w:rsid w:val="005F7133"/>
    <w:rsid w:val="005F71D9"/>
    <w:rsid w:val="005F7555"/>
    <w:rsid w:val="0060042C"/>
    <w:rsid w:val="00600E17"/>
    <w:rsid w:val="006012B9"/>
    <w:rsid w:val="00602A9D"/>
    <w:rsid w:val="00603B36"/>
    <w:rsid w:val="0060478B"/>
    <w:rsid w:val="00605F8A"/>
    <w:rsid w:val="00606DD6"/>
    <w:rsid w:val="0060766B"/>
    <w:rsid w:val="00607CF3"/>
    <w:rsid w:val="0061002B"/>
    <w:rsid w:val="00612EC7"/>
    <w:rsid w:val="006136A3"/>
    <w:rsid w:val="006144A7"/>
    <w:rsid w:val="00614A70"/>
    <w:rsid w:val="00616536"/>
    <w:rsid w:val="0061669B"/>
    <w:rsid w:val="006166A2"/>
    <w:rsid w:val="00616CE3"/>
    <w:rsid w:val="00616F87"/>
    <w:rsid w:val="006173C4"/>
    <w:rsid w:val="00617E14"/>
    <w:rsid w:val="00620906"/>
    <w:rsid w:val="00621F79"/>
    <w:rsid w:val="00622CDC"/>
    <w:rsid w:val="00623667"/>
    <w:rsid w:val="006240E7"/>
    <w:rsid w:val="00624C56"/>
    <w:rsid w:val="00625AC0"/>
    <w:rsid w:val="00626A2F"/>
    <w:rsid w:val="0063259F"/>
    <w:rsid w:val="006325F0"/>
    <w:rsid w:val="00633677"/>
    <w:rsid w:val="006336F8"/>
    <w:rsid w:val="00633DB6"/>
    <w:rsid w:val="00635C98"/>
    <w:rsid w:val="006362CB"/>
    <w:rsid w:val="006363E6"/>
    <w:rsid w:val="006368D4"/>
    <w:rsid w:val="00636D9B"/>
    <w:rsid w:val="00637040"/>
    <w:rsid w:val="0063744F"/>
    <w:rsid w:val="0063786D"/>
    <w:rsid w:val="00641CA4"/>
    <w:rsid w:val="0064307A"/>
    <w:rsid w:val="006447EE"/>
    <w:rsid w:val="00644C51"/>
    <w:rsid w:val="00644FE9"/>
    <w:rsid w:val="0064577B"/>
    <w:rsid w:val="00645C30"/>
    <w:rsid w:val="00645C83"/>
    <w:rsid w:val="00646964"/>
    <w:rsid w:val="006474C0"/>
    <w:rsid w:val="00651ABB"/>
    <w:rsid w:val="006521D9"/>
    <w:rsid w:val="00652690"/>
    <w:rsid w:val="00652D6A"/>
    <w:rsid w:val="006532F3"/>
    <w:rsid w:val="006533AE"/>
    <w:rsid w:val="00653827"/>
    <w:rsid w:val="00653EC3"/>
    <w:rsid w:val="00654C3E"/>
    <w:rsid w:val="0065523D"/>
    <w:rsid w:val="00655464"/>
    <w:rsid w:val="006571F2"/>
    <w:rsid w:val="00657E89"/>
    <w:rsid w:val="00657FF0"/>
    <w:rsid w:val="00660F24"/>
    <w:rsid w:val="0066131C"/>
    <w:rsid w:val="006613D1"/>
    <w:rsid w:val="00661446"/>
    <w:rsid w:val="006622D5"/>
    <w:rsid w:val="00662B66"/>
    <w:rsid w:val="00662F44"/>
    <w:rsid w:val="006636DE"/>
    <w:rsid w:val="0066394D"/>
    <w:rsid w:val="006645CB"/>
    <w:rsid w:val="00664CB7"/>
    <w:rsid w:val="00664D74"/>
    <w:rsid w:val="0066616C"/>
    <w:rsid w:val="00666443"/>
    <w:rsid w:val="0066699F"/>
    <w:rsid w:val="00666ED6"/>
    <w:rsid w:val="006677BB"/>
    <w:rsid w:val="00667D7D"/>
    <w:rsid w:val="00671AB5"/>
    <w:rsid w:val="00671C86"/>
    <w:rsid w:val="00673DF1"/>
    <w:rsid w:val="00674151"/>
    <w:rsid w:val="0067434A"/>
    <w:rsid w:val="00674CDD"/>
    <w:rsid w:val="00674D2A"/>
    <w:rsid w:val="00674E42"/>
    <w:rsid w:val="0067503E"/>
    <w:rsid w:val="00677ABD"/>
    <w:rsid w:val="006818F8"/>
    <w:rsid w:val="00683463"/>
    <w:rsid w:val="00683B7C"/>
    <w:rsid w:val="00684F27"/>
    <w:rsid w:val="006859BA"/>
    <w:rsid w:val="00686245"/>
    <w:rsid w:val="00686364"/>
    <w:rsid w:val="00687C44"/>
    <w:rsid w:val="00687C84"/>
    <w:rsid w:val="00691E3B"/>
    <w:rsid w:val="00691E57"/>
    <w:rsid w:val="00694347"/>
    <w:rsid w:val="006956E2"/>
    <w:rsid w:val="0069596D"/>
    <w:rsid w:val="00695E6D"/>
    <w:rsid w:val="006963A8"/>
    <w:rsid w:val="006964E8"/>
    <w:rsid w:val="00696BB2"/>
    <w:rsid w:val="00697A4A"/>
    <w:rsid w:val="006A05DB"/>
    <w:rsid w:val="006A0ADF"/>
    <w:rsid w:val="006A0DB8"/>
    <w:rsid w:val="006A2558"/>
    <w:rsid w:val="006A3324"/>
    <w:rsid w:val="006A3544"/>
    <w:rsid w:val="006A3783"/>
    <w:rsid w:val="006A3B85"/>
    <w:rsid w:val="006A3C21"/>
    <w:rsid w:val="006A58F8"/>
    <w:rsid w:val="006A6DE7"/>
    <w:rsid w:val="006A735A"/>
    <w:rsid w:val="006A7736"/>
    <w:rsid w:val="006A7857"/>
    <w:rsid w:val="006A79E8"/>
    <w:rsid w:val="006A7D68"/>
    <w:rsid w:val="006B0339"/>
    <w:rsid w:val="006B1A91"/>
    <w:rsid w:val="006B342B"/>
    <w:rsid w:val="006B3DD8"/>
    <w:rsid w:val="006B4EAC"/>
    <w:rsid w:val="006B6205"/>
    <w:rsid w:val="006B6480"/>
    <w:rsid w:val="006B6964"/>
    <w:rsid w:val="006B7CA5"/>
    <w:rsid w:val="006C0686"/>
    <w:rsid w:val="006C0C1A"/>
    <w:rsid w:val="006C44CC"/>
    <w:rsid w:val="006C46B0"/>
    <w:rsid w:val="006C4A15"/>
    <w:rsid w:val="006C4B5F"/>
    <w:rsid w:val="006C5235"/>
    <w:rsid w:val="006C5B70"/>
    <w:rsid w:val="006C7871"/>
    <w:rsid w:val="006D16FA"/>
    <w:rsid w:val="006D18C6"/>
    <w:rsid w:val="006D2C62"/>
    <w:rsid w:val="006D2D19"/>
    <w:rsid w:val="006D37E0"/>
    <w:rsid w:val="006D3B56"/>
    <w:rsid w:val="006D3F2A"/>
    <w:rsid w:val="006D5335"/>
    <w:rsid w:val="006D6ED2"/>
    <w:rsid w:val="006D723A"/>
    <w:rsid w:val="006D7B5D"/>
    <w:rsid w:val="006E05FA"/>
    <w:rsid w:val="006E1064"/>
    <w:rsid w:val="006E10F6"/>
    <w:rsid w:val="006E1564"/>
    <w:rsid w:val="006E1AC1"/>
    <w:rsid w:val="006E215D"/>
    <w:rsid w:val="006E24E9"/>
    <w:rsid w:val="006E2A72"/>
    <w:rsid w:val="006E2B0F"/>
    <w:rsid w:val="006E31B7"/>
    <w:rsid w:val="006E35D9"/>
    <w:rsid w:val="006E4377"/>
    <w:rsid w:val="006E4E36"/>
    <w:rsid w:val="006E62B3"/>
    <w:rsid w:val="006E69F2"/>
    <w:rsid w:val="006E6C64"/>
    <w:rsid w:val="006E7861"/>
    <w:rsid w:val="006E7961"/>
    <w:rsid w:val="006F0044"/>
    <w:rsid w:val="006F1DC7"/>
    <w:rsid w:val="006F213A"/>
    <w:rsid w:val="006F2D96"/>
    <w:rsid w:val="006F4655"/>
    <w:rsid w:val="006F7898"/>
    <w:rsid w:val="006F78D5"/>
    <w:rsid w:val="007002FE"/>
    <w:rsid w:val="007006FC"/>
    <w:rsid w:val="0070105C"/>
    <w:rsid w:val="00702ED5"/>
    <w:rsid w:val="007031A9"/>
    <w:rsid w:val="00703D02"/>
    <w:rsid w:val="00704C53"/>
    <w:rsid w:val="007063A0"/>
    <w:rsid w:val="0070687F"/>
    <w:rsid w:val="00707509"/>
    <w:rsid w:val="007126DB"/>
    <w:rsid w:val="00712A7C"/>
    <w:rsid w:val="00712C7F"/>
    <w:rsid w:val="00713081"/>
    <w:rsid w:val="007136A8"/>
    <w:rsid w:val="007139A4"/>
    <w:rsid w:val="00714301"/>
    <w:rsid w:val="007146C6"/>
    <w:rsid w:val="0071613A"/>
    <w:rsid w:val="007167F9"/>
    <w:rsid w:val="00717410"/>
    <w:rsid w:val="007215D5"/>
    <w:rsid w:val="00722DEB"/>
    <w:rsid w:val="007230D5"/>
    <w:rsid w:val="00723A1B"/>
    <w:rsid w:val="00724165"/>
    <w:rsid w:val="007246BB"/>
    <w:rsid w:val="00724E08"/>
    <w:rsid w:val="007254E4"/>
    <w:rsid w:val="007257E2"/>
    <w:rsid w:val="0072632A"/>
    <w:rsid w:val="0072788C"/>
    <w:rsid w:val="00727E72"/>
    <w:rsid w:val="007309D3"/>
    <w:rsid w:val="0073242C"/>
    <w:rsid w:val="00732BA7"/>
    <w:rsid w:val="00733AD7"/>
    <w:rsid w:val="00734BDF"/>
    <w:rsid w:val="007356CE"/>
    <w:rsid w:val="00735AE1"/>
    <w:rsid w:val="00735DDC"/>
    <w:rsid w:val="00736EF8"/>
    <w:rsid w:val="007403A0"/>
    <w:rsid w:val="0074048C"/>
    <w:rsid w:val="00740643"/>
    <w:rsid w:val="00740A53"/>
    <w:rsid w:val="0074256C"/>
    <w:rsid w:val="00742E92"/>
    <w:rsid w:val="00743174"/>
    <w:rsid w:val="007445EC"/>
    <w:rsid w:val="007446FF"/>
    <w:rsid w:val="007448E9"/>
    <w:rsid w:val="00745F84"/>
    <w:rsid w:val="00746422"/>
    <w:rsid w:val="007465DF"/>
    <w:rsid w:val="00746A76"/>
    <w:rsid w:val="00746D68"/>
    <w:rsid w:val="00747434"/>
    <w:rsid w:val="00747667"/>
    <w:rsid w:val="007476F8"/>
    <w:rsid w:val="00750465"/>
    <w:rsid w:val="00750819"/>
    <w:rsid w:val="00750B8C"/>
    <w:rsid w:val="00750D4A"/>
    <w:rsid w:val="007520CB"/>
    <w:rsid w:val="00752287"/>
    <w:rsid w:val="007531E9"/>
    <w:rsid w:val="00753F46"/>
    <w:rsid w:val="00754013"/>
    <w:rsid w:val="00754AB0"/>
    <w:rsid w:val="00754F89"/>
    <w:rsid w:val="0075578E"/>
    <w:rsid w:val="00756E66"/>
    <w:rsid w:val="00756FDE"/>
    <w:rsid w:val="0075769A"/>
    <w:rsid w:val="007608CB"/>
    <w:rsid w:val="00760D55"/>
    <w:rsid w:val="0076292E"/>
    <w:rsid w:val="007629E4"/>
    <w:rsid w:val="0076332A"/>
    <w:rsid w:val="007642EF"/>
    <w:rsid w:val="00766F75"/>
    <w:rsid w:val="00770CD0"/>
    <w:rsid w:val="007716A0"/>
    <w:rsid w:val="007721D5"/>
    <w:rsid w:val="00772BA3"/>
    <w:rsid w:val="00776E19"/>
    <w:rsid w:val="00777B72"/>
    <w:rsid w:val="00780414"/>
    <w:rsid w:val="00781357"/>
    <w:rsid w:val="007815E6"/>
    <w:rsid w:val="0078237F"/>
    <w:rsid w:val="0078279A"/>
    <w:rsid w:val="00783DAD"/>
    <w:rsid w:val="00784EE9"/>
    <w:rsid w:val="0078510D"/>
    <w:rsid w:val="007857FF"/>
    <w:rsid w:val="007858EC"/>
    <w:rsid w:val="00785CC0"/>
    <w:rsid w:val="00786000"/>
    <w:rsid w:val="007860A9"/>
    <w:rsid w:val="0078639D"/>
    <w:rsid w:val="007904FC"/>
    <w:rsid w:val="0079085A"/>
    <w:rsid w:val="007915A7"/>
    <w:rsid w:val="00791E91"/>
    <w:rsid w:val="00792AA4"/>
    <w:rsid w:val="0079386F"/>
    <w:rsid w:val="00794297"/>
    <w:rsid w:val="007945B7"/>
    <w:rsid w:val="00796C68"/>
    <w:rsid w:val="00797CBE"/>
    <w:rsid w:val="00797D49"/>
    <w:rsid w:val="007A2929"/>
    <w:rsid w:val="007A3BC4"/>
    <w:rsid w:val="007A4639"/>
    <w:rsid w:val="007A4C31"/>
    <w:rsid w:val="007A5B46"/>
    <w:rsid w:val="007A5F8F"/>
    <w:rsid w:val="007A60B2"/>
    <w:rsid w:val="007A690C"/>
    <w:rsid w:val="007A699D"/>
    <w:rsid w:val="007A7108"/>
    <w:rsid w:val="007B0749"/>
    <w:rsid w:val="007B1523"/>
    <w:rsid w:val="007B17D8"/>
    <w:rsid w:val="007B2783"/>
    <w:rsid w:val="007B34F3"/>
    <w:rsid w:val="007B3DA2"/>
    <w:rsid w:val="007B4358"/>
    <w:rsid w:val="007B4823"/>
    <w:rsid w:val="007B683C"/>
    <w:rsid w:val="007B6931"/>
    <w:rsid w:val="007B7322"/>
    <w:rsid w:val="007B7AC8"/>
    <w:rsid w:val="007C00C6"/>
    <w:rsid w:val="007C040E"/>
    <w:rsid w:val="007C1AB6"/>
    <w:rsid w:val="007C21EF"/>
    <w:rsid w:val="007C2749"/>
    <w:rsid w:val="007C3BC8"/>
    <w:rsid w:val="007C4B7E"/>
    <w:rsid w:val="007C70E3"/>
    <w:rsid w:val="007C7100"/>
    <w:rsid w:val="007C74BC"/>
    <w:rsid w:val="007C758F"/>
    <w:rsid w:val="007D0F74"/>
    <w:rsid w:val="007D1150"/>
    <w:rsid w:val="007D181F"/>
    <w:rsid w:val="007D208E"/>
    <w:rsid w:val="007D214B"/>
    <w:rsid w:val="007D21B4"/>
    <w:rsid w:val="007D2736"/>
    <w:rsid w:val="007D4898"/>
    <w:rsid w:val="007D4A28"/>
    <w:rsid w:val="007D4DDE"/>
    <w:rsid w:val="007D4EC3"/>
    <w:rsid w:val="007D5C8A"/>
    <w:rsid w:val="007D5E60"/>
    <w:rsid w:val="007D6631"/>
    <w:rsid w:val="007D67CB"/>
    <w:rsid w:val="007D6DFA"/>
    <w:rsid w:val="007D6E51"/>
    <w:rsid w:val="007D6F85"/>
    <w:rsid w:val="007D77AB"/>
    <w:rsid w:val="007D7D71"/>
    <w:rsid w:val="007E0252"/>
    <w:rsid w:val="007E1AD2"/>
    <w:rsid w:val="007E229E"/>
    <w:rsid w:val="007E27E4"/>
    <w:rsid w:val="007E367E"/>
    <w:rsid w:val="007E38EC"/>
    <w:rsid w:val="007E4941"/>
    <w:rsid w:val="007E4A41"/>
    <w:rsid w:val="007E5EBE"/>
    <w:rsid w:val="007E609E"/>
    <w:rsid w:val="007E7107"/>
    <w:rsid w:val="007F0301"/>
    <w:rsid w:val="007F24A5"/>
    <w:rsid w:val="007F34A2"/>
    <w:rsid w:val="007F42CD"/>
    <w:rsid w:val="007F47F4"/>
    <w:rsid w:val="007F4DFB"/>
    <w:rsid w:val="007F4F00"/>
    <w:rsid w:val="007F5398"/>
    <w:rsid w:val="007F5860"/>
    <w:rsid w:val="007F596B"/>
    <w:rsid w:val="007F5E97"/>
    <w:rsid w:val="007F7D1D"/>
    <w:rsid w:val="007F7E61"/>
    <w:rsid w:val="00800052"/>
    <w:rsid w:val="00800D5C"/>
    <w:rsid w:val="00802EDB"/>
    <w:rsid w:val="00803471"/>
    <w:rsid w:val="008034D9"/>
    <w:rsid w:val="00805503"/>
    <w:rsid w:val="0080575F"/>
    <w:rsid w:val="0080634F"/>
    <w:rsid w:val="0080715D"/>
    <w:rsid w:val="00807CFE"/>
    <w:rsid w:val="0081089A"/>
    <w:rsid w:val="00810B47"/>
    <w:rsid w:val="00812346"/>
    <w:rsid w:val="00812D99"/>
    <w:rsid w:val="00813807"/>
    <w:rsid w:val="00814AF1"/>
    <w:rsid w:val="00814D2A"/>
    <w:rsid w:val="00815973"/>
    <w:rsid w:val="008170DB"/>
    <w:rsid w:val="00817BBC"/>
    <w:rsid w:val="008207F1"/>
    <w:rsid w:val="008208F2"/>
    <w:rsid w:val="00820E82"/>
    <w:rsid w:val="00822332"/>
    <w:rsid w:val="008229E2"/>
    <w:rsid w:val="00823147"/>
    <w:rsid w:val="00824EEA"/>
    <w:rsid w:val="00825044"/>
    <w:rsid w:val="008250E6"/>
    <w:rsid w:val="00825342"/>
    <w:rsid w:val="00825734"/>
    <w:rsid w:val="00825AAA"/>
    <w:rsid w:val="008278B0"/>
    <w:rsid w:val="00830626"/>
    <w:rsid w:val="008308AD"/>
    <w:rsid w:val="00831E5F"/>
    <w:rsid w:val="008323C1"/>
    <w:rsid w:val="0083299A"/>
    <w:rsid w:val="008329B4"/>
    <w:rsid w:val="00832F09"/>
    <w:rsid w:val="00833E5C"/>
    <w:rsid w:val="00834B38"/>
    <w:rsid w:val="0083579C"/>
    <w:rsid w:val="00841D39"/>
    <w:rsid w:val="00841ECC"/>
    <w:rsid w:val="008434CC"/>
    <w:rsid w:val="00844AAD"/>
    <w:rsid w:val="00845EDB"/>
    <w:rsid w:val="008460F7"/>
    <w:rsid w:val="00846302"/>
    <w:rsid w:val="00847E96"/>
    <w:rsid w:val="00850321"/>
    <w:rsid w:val="00850776"/>
    <w:rsid w:val="0085259E"/>
    <w:rsid w:val="00853D39"/>
    <w:rsid w:val="00853FFE"/>
    <w:rsid w:val="00854CD8"/>
    <w:rsid w:val="00855A10"/>
    <w:rsid w:val="00855D2D"/>
    <w:rsid w:val="00856883"/>
    <w:rsid w:val="008571D5"/>
    <w:rsid w:val="008571EA"/>
    <w:rsid w:val="00860B72"/>
    <w:rsid w:val="00861A3B"/>
    <w:rsid w:val="008639B6"/>
    <w:rsid w:val="008647DB"/>
    <w:rsid w:val="00864D41"/>
    <w:rsid w:val="00864DBE"/>
    <w:rsid w:val="00865776"/>
    <w:rsid w:val="008657AB"/>
    <w:rsid w:val="0086631B"/>
    <w:rsid w:val="00866352"/>
    <w:rsid w:val="00867053"/>
    <w:rsid w:val="008675AD"/>
    <w:rsid w:val="00870E9D"/>
    <w:rsid w:val="008715D6"/>
    <w:rsid w:val="008722C8"/>
    <w:rsid w:val="00873E58"/>
    <w:rsid w:val="00874818"/>
    <w:rsid w:val="00874FFA"/>
    <w:rsid w:val="00875268"/>
    <w:rsid w:val="00876B38"/>
    <w:rsid w:val="0087717F"/>
    <w:rsid w:val="00877399"/>
    <w:rsid w:val="00877DA3"/>
    <w:rsid w:val="008811CD"/>
    <w:rsid w:val="008815D7"/>
    <w:rsid w:val="008817C6"/>
    <w:rsid w:val="00881809"/>
    <w:rsid w:val="0088282A"/>
    <w:rsid w:val="00882B0C"/>
    <w:rsid w:val="008839DD"/>
    <w:rsid w:val="008843BF"/>
    <w:rsid w:val="00884AE9"/>
    <w:rsid w:val="00884FFF"/>
    <w:rsid w:val="008853D1"/>
    <w:rsid w:val="00886FAA"/>
    <w:rsid w:val="008872CD"/>
    <w:rsid w:val="008874B3"/>
    <w:rsid w:val="00887A63"/>
    <w:rsid w:val="00887DD2"/>
    <w:rsid w:val="00890EBD"/>
    <w:rsid w:val="00891C32"/>
    <w:rsid w:val="00892B31"/>
    <w:rsid w:val="008932A8"/>
    <w:rsid w:val="00894115"/>
    <w:rsid w:val="008946FE"/>
    <w:rsid w:val="008953A1"/>
    <w:rsid w:val="0089592B"/>
    <w:rsid w:val="0089601D"/>
    <w:rsid w:val="0089688D"/>
    <w:rsid w:val="008968DE"/>
    <w:rsid w:val="00896EBB"/>
    <w:rsid w:val="0089712F"/>
    <w:rsid w:val="00897661"/>
    <w:rsid w:val="008977C0"/>
    <w:rsid w:val="008A0680"/>
    <w:rsid w:val="008A0B4A"/>
    <w:rsid w:val="008A1595"/>
    <w:rsid w:val="008A1E64"/>
    <w:rsid w:val="008A2A79"/>
    <w:rsid w:val="008A3464"/>
    <w:rsid w:val="008A3957"/>
    <w:rsid w:val="008A3963"/>
    <w:rsid w:val="008A3DF3"/>
    <w:rsid w:val="008A418C"/>
    <w:rsid w:val="008A4D39"/>
    <w:rsid w:val="008A5CC5"/>
    <w:rsid w:val="008A5D77"/>
    <w:rsid w:val="008A7598"/>
    <w:rsid w:val="008A7ABD"/>
    <w:rsid w:val="008B0009"/>
    <w:rsid w:val="008B05B8"/>
    <w:rsid w:val="008B2852"/>
    <w:rsid w:val="008B32C4"/>
    <w:rsid w:val="008B33AE"/>
    <w:rsid w:val="008B42F5"/>
    <w:rsid w:val="008B45A6"/>
    <w:rsid w:val="008B4A89"/>
    <w:rsid w:val="008B62D1"/>
    <w:rsid w:val="008B6563"/>
    <w:rsid w:val="008B6901"/>
    <w:rsid w:val="008C14CE"/>
    <w:rsid w:val="008C1CBF"/>
    <w:rsid w:val="008C2921"/>
    <w:rsid w:val="008C3766"/>
    <w:rsid w:val="008C3FEB"/>
    <w:rsid w:val="008C4607"/>
    <w:rsid w:val="008C477E"/>
    <w:rsid w:val="008C4832"/>
    <w:rsid w:val="008C5907"/>
    <w:rsid w:val="008C6830"/>
    <w:rsid w:val="008C6CD8"/>
    <w:rsid w:val="008C761F"/>
    <w:rsid w:val="008C7A34"/>
    <w:rsid w:val="008D0A5A"/>
    <w:rsid w:val="008D105F"/>
    <w:rsid w:val="008D15B4"/>
    <w:rsid w:val="008D4B16"/>
    <w:rsid w:val="008E0196"/>
    <w:rsid w:val="008E0534"/>
    <w:rsid w:val="008E1923"/>
    <w:rsid w:val="008E1C14"/>
    <w:rsid w:val="008E2923"/>
    <w:rsid w:val="008E431E"/>
    <w:rsid w:val="008E5ABA"/>
    <w:rsid w:val="008E5DBC"/>
    <w:rsid w:val="008E60C3"/>
    <w:rsid w:val="008E69B7"/>
    <w:rsid w:val="008E6AB7"/>
    <w:rsid w:val="008E6BB3"/>
    <w:rsid w:val="008E70A4"/>
    <w:rsid w:val="008F0462"/>
    <w:rsid w:val="008F04F4"/>
    <w:rsid w:val="008F11B3"/>
    <w:rsid w:val="008F1477"/>
    <w:rsid w:val="008F1519"/>
    <w:rsid w:val="008F1F37"/>
    <w:rsid w:val="008F2B30"/>
    <w:rsid w:val="008F3D4F"/>
    <w:rsid w:val="008F4F99"/>
    <w:rsid w:val="008F543E"/>
    <w:rsid w:val="008F6469"/>
    <w:rsid w:val="008F6585"/>
    <w:rsid w:val="008F6771"/>
    <w:rsid w:val="008F6FFA"/>
    <w:rsid w:val="008F756C"/>
    <w:rsid w:val="008F7571"/>
    <w:rsid w:val="009013B9"/>
    <w:rsid w:val="0090163D"/>
    <w:rsid w:val="00901CBF"/>
    <w:rsid w:val="00902725"/>
    <w:rsid w:val="00903C6A"/>
    <w:rsid w:val="00905239"/>
    <w:rsid w:val="00910F5C"/>
    <w:rsid w:val="00912635"/>
    <w:rsid w:val="0091432A"/>
    <w:rsid w:val="00914A09"/>
    <w:rsid w:val="00914A48"/>
    <w:rsid w:val="00914DA2"/>
    <w:rsid w:val="00915455"/>
    <w:rsid w:val="0091570D"/>
    <w:rsid w:val="00916A0C"/>
    <w:rsid w:val="00916CE6"/>
    <w:rsid w:val="00917F29"/>
    <w:rsid w:val="00920736"/>
    <w:rsid w:val="00920832"/>
    <w:rsid w:val="00920D9C"/>
    <w:rsid w:val="0092139A"/>
    <w:rsid w:val="00921BA1"/>
    <w:rsid w:val="0092238A"/>
    <w:rsid w:val="009224A0"/>
    <w:rsid w:val="00923676"/>
    <w:rsid w:val="00923D81"/>
    <w:rsid w:val="00924C3A"/>
    <w:rsid w:val="00924CE4"/>
    <w:rsid w:val="009255F9"/>
    <w:rsid w:val="00927BA0"/>
    <w:rsid w:val="00930E99"/>
    <w:rsid w:val="00930F70"/>
    <w:rsid w:val="00931948"/>
    <w:rsid w:val="0093233C"/>
    <w:rsid w:val="0093257F"/>
    <w:rsid w:val="00932BFD"/>
    <w:rsid w:val="009332AB"/>
    <w:rsid w:val="00933335"/>
    <w:rsid w:val="00933690"/>
    <w:rsid w:val="00934842"/>
    <w:rsid w:val="00936299"/>
    <w:rsid w:val="009366A2"/>
    <w:rsid w:val="009366FF"/>
    <w:rsid w:val="009368A8"/>
    <w:rsid w:val="00937888"/>
    <w:rsid w:val="00937E49"/>
    <w:rsid w:val="00940041"/>
    <w:rsid w:val="0094107D"/>
    <w:rsid w:val="00941C7D"/>
    <w:rsid w:val="00941D1C"/>
    <w:rsid w:val="0094221C"/>
    <w:rsid w:val="00942EB7"/>
    <w:rsid w:val="00942FE9"/>
    <w:rsid w:val="0094391A"/>
    <w:rsid w:val="00943FB5"/>
    <w:rsid w:val="00944C44"/>
    <w:rsid w:val="00945564"/>
    <w:rsid w:val="009459F3"/>
    <w:rsid w:val="00945DF4"/>
    <w:rsid w:val="00946210"/>
    <w:rsid w:val="009465E7"/>
    <w:rsid w:val="0094670C"/>
    <w:rsid w:val="00946DDD"/>
    <w:rsid w:val="009474CD"/>
    <w:rsid w:val="00947F0C"/>
    <w:rsid w:val="009504C6"/>
    <w:rsid w:val="009527DE"/>
    <w:rsid w:val="00952D78"/>
    <w:rsid w:val="009534EE"/>
    <w:rsid w:val="009537DC"/>
    <w:rsid w:val="00954528"/>
    <w:rsid w:val="00956392"/>
    <w:rsid w:val="00956DE6"/>
    <w:rsid w:val="00961285"/>
    <w:rsid w:val="00961AC1"/>
    <w:rsid w:val="009622BB"/>
    <w:rsid w:val="00962568"/>
    <w:rsid w:val="009634C3"/>
    <w:rsid w:val="00963CC0"/>
    <w:rsid w:val="009659E4"/>
    <w:rsid w:val="0096644A"/>
    <w:rsid w:val="0096684F"/>
    <w:rsid w:val="00967C45"/>
    <w:rsid w:val="00970950"/>
    <w:rsid w:val="00970E4D"/>
    <w:rsid w:val="00972976"/>
    <w:rsid w:val="00972AA3"/>
    <w:rsid w:val="00973F7C"/>
    <w:rsid w:val="009743F9"/>
    <w:rsid w:val="00976181"/>
    <w:rsid w:val="0097660D"/>
    <w:rsid w:val="00976621"/>
    <w:rsid w:val="00976B63"/>
    <w:rsid w:val="00976FB3"/>
    <w:rsid w:val="00977B66"/>
    <w:rsid w:val="00977BD7"/>
    <w:rsid w:val="00982BEE"/>
    <w:rsid w:val="0098351F"/>
    <w:rsid w:val="00983907"/>
    <w:rsid w:val="00983C3A"/>
    <w:rsid w:val="00983E5C"/>
    <w:rsid w:val="00984693"/>
    <w:rsid w:val="00986EDC"/>
    <w:rsid w:val="0099017A"/>
    <w:rsid w:val="00994203"/>
    <w:rsid w:val="0099438B"/>
    <w:rsid w:val="00996E7E"/>
    <w:rsid w:val="00996FE1"/>
    <w:rsid w:val="00997904"/>
    <w:rsid w:val="009A07EB"/>
    <w:rsid w:val="009A2401"/>
    <w:rsid w:val="009A277D"/>
    <w:rsid w:val="009A28F5"/>
    <w:rsid w:val="009A2F8F"/>
    <w:rsid w:val="009A3956"/>
    <w:rsid w:val="009A3FEF"/>
    <w:rsid w:val="009A487C"/>
    <w:rsid w:val="009A4D16"/>
    <w:rsid w:val="009A50E9"/>
    <w:rsid w:val="009A6051"/>
    <w:rsid w:val="009B055E"/>
    <w:rsid w:val="009B05BE"/>
    <w:rsid w:val="009B2A4C"/>
    <w:rsid w:val="009B382A"/>
    <w:rsid w:val="009B3C10"/>
    <w:rsid w:val="009B58D9"/>
    <w:rsid w:val="009B5A88"/>
    <w:rsid w:val="009B6DBB"/>
    <w:rsid w:val="009B6FE4"/>
    <w:rsid w:val="009B77A7"/>
    <w:rsid w:val="009B782E"/>
    <w:rsid w:val="009B7932"/>
    <w:rsid w:val="009C0BC3"/>
    <w:rsid w:val="009C34A1"/>
    <w:rsid w:val="009C3875"/>
    <w:rsid w:val="009C4347"/>
    <w:rsid w:val="009C5F2F"/>
    <w:rsid w:val="009C607F"/>
    <w:rsid w:val="009C6B41"/>
    <w:rsid w:val="009C7037"/>
    <w:rsid w:val="009C7221"/>
    <w:rsid w:val="009D01BB"/>
    <w:rsid w:val="009D1111"/>
    <w:rsid w:val="009D21F4"/>
    <w:rsid w:val="009D2591"/>
    <w:rsid w:val="009D36F1"/>
    <w:rsid w:val="009D3BC7"/>
    <w:rsid w:val="009D4536"/>
    <w:rsid w:val="009D5504"/>
    <w:rsid w:val="009D6765"/>
    <w:rsid w:val="009D70A5"/>
    <w:rsid w:val="009D78DA"/>
    <w:rsid w:val="009E08BA"/>
    <w:rsid w:val="009E1D04"/>
    <w:rsid w:val="009E2544"/>
    <w:rsid w:val="009E37FF"/>
    <w:rsid w:val="009E41F1"/>
    <w:rsid w:val="009E42E7"/>
    <w:rsid w:val="009E489A"/>
    <w:rsid w:val="009E69B7"/>
    <w:rsid w:val="009E707E"/>
    <w:rsid w:val="009E712F"/>
    <w:rsid w:val="009F00D6"/>
    <w:rsid w:val="009F0879"/>
    <w:rsid w:val="009F0973"/>
    <w:rsid w:val="009F161B"/>
    <w:rsid w:val="009F1C15"/>
    <w:rsid w:val="009F2F14"/>
    <w:rsid w:val="009F51FA"/>
    <w:rsid w:val="009F6B6A"/>
    <w:rsid w:val="009F778E"/>
    <w:rsid w:val="009F7FED"/>
    <w:rsid w:val="00A00537"/>
    <w:rsid w:val="00A00FFB"/>
    <w:rsid w:val="00A01281"/>
    <w:rsid w:val="00A02819"/>
    <w:rsid w:val="00A02886"/>
    <w:rsid w:val="00A028C4"/>
    <w:rsid w:val="00A02E82"/>
    <w:rsid w:val="00A03F3A"/>
    <w:rsid w:val="00A0477B"/>
    <w:rsid w:val="00A04D71"/>
    <w:rsid w:val="00A05A3F"/>
    <w:rsid w:val="00A05EED"/>
    <w:rsid w:val="00A05FFF"/>
    <w:rsid w:val="00A06870"/>
    <w:rsid w:val="00A06F9A"/>
    <w:rsid w:val="00A0727F"/>
    <w:rsid w:val="00A102EF"/>
    <w:rsid w:val="00A1120D"/>
    <w:rsid w:val="00A1144B"/>
    <w:rsid w:val="00A11959"/>
    <w:rsid w:val="00A12147"/>
    <w:rsid w:val="00A12D3A"/>
    <w:rsid w:val="00A14024"/>
    <w:rsid w:val="00A16211"/>
    <w:rsid w:val="00A163E3"/>
    <w:rsid w:val="00A17B8E"/>
    <w:rsid w:val="00A20822"/>
    <w:rsid w:val="00A211FA"/>
    <w:rsid w:val="00A22BF4"/>
    <w:rsid w:val="00A23787"/>
    <w:rsid w:val="00A23B94"/>
    <w:rsid w:val="00A24823"/>
    <w:rsid w:val="00A248A7"/>
    <w:rsid w:val="00A24D3E"/>
    <w:rsid w:val="00A24DC2"/>
    <w:rsid w:val="00A25956"/>
    <w:rsid w:val="00A25E26"/>
    <w:rsid w:val="00A266B6"/>
    <w:rsid w:val="00A26DBE"/>
    <w:rsid w:val="00A27048"/>
    <w:rsid w:val="00A30417"/>
    <w:rsid w:val="00A305AA"/>
    <w:rsid w:val="00A30923"/>
    <w:rsid w:val="00A32BD0"/>
    <w:rsid w:val="00A3315C"/>
    <w:rsid w:val="00A33785"/>
    <w:rsid w:val="00A33EE5"/>
    <w:rsid w:val="00A34D08"/>
    <w:rsid w:val="00A35C82"/>
    <w:rsid w:val="00A35D01"/>
    <w:rsid w:val="00A36A05"/>
    <w:rsid w:val="00A36DF1"/>
    <w:rsid w:val="00A37895"/>
    <w:rsid w:val="00A37F56"/>
    <w:rsid w:val="00A41578"/>
    <w:rsid w:val="00A42970"/>
    <w:rsid w:val="00A448C2"/>
    <w:rsid w:val="00A451AA"/>
    <w:rsid w:val="00A50597"/>
    <w:rsid w:val="00A506A7"/>
    <w:rsid w:val="00A51325"/>
    <w:rsid w:val="00A51B43"/>
    <w:rsid w:val="00A51D0B"/>
    <w:rsid w:val="00A51D31"/>
    <w:rsid w:val="00A51FF3"/>
    <w:rsid w:val="00A52EA8"/>
    <w:rsid w:val="00A53975"/>
    <w:rsid w:val="00A542C9"/>
    <w:rsid w:val="00A5537C"/>
    <w:rsid w:val="00A56C09"/>
    <w:rsid w:val="00A577A2"/>
    <w:rsid w:val="00A57950"/>
    <w:rsid w:val="00A57A8C"/>
    <w:rsid w:val="00A57CB1"/>
    <w:rsid w:val="00A57DE2"/>
    <w:rsid w:val="00A6042C"/>
    <w:rsid w:val="00A62855"/>
    <w:rsid w:val="00A63BA2"/>
    <w:rsid w:val="00A63BF0"/>
    <w:rsid w:val="00A63F0F"/>
    <w:rsid w:val="00A64E76"/>
    <w:rsid w:val="00A64EAD"/>
    <w:rsid w:val="00A65B63"/>
    <w:rsid w:val="00A66A85"/>
    <w:rsid w:val="00A66E64"/>
    <w:rsid w:val="00A66EDF"/>
    <w:rsid w:val="00A67F11"/>
    <w:rsid w:val="00A7114A"/>
    <w:rsid w:val="00A719A6"/>
    <w:rsid w:val="00A7398F"/>
    <w:rsid w:val="00A76B44"/>
    <w:rsid w:val="00A76E5E"/>
    <w:rsid w:val="00A771ED"/>
    <w:rsid w:val="00A77914"/>
    <w:rsid w:val="00A77AE0"/>
    <w:rsid w:val="00A803A5"/>
    <w:rsid w:val="00A803BD"/>
    <w:rsid w:val="00A805B1"/>
    <w:rsid w:val="00A811CD"/>
    <w:rsid w:val="00A821BB"/>
    <w:rsid w:val="00A8291D"/>
    <w:rsid w:val="00A829ED"/>
    <w:rsid w:val="00A83611"/>
    <w:rsid w:val="00A83EBC"/>
    <w:rsid w:val="00A84DE4"/>
    <w:rsid w:val="00A864E9"/>
    <w:rsid w:val="00A86D72"/>
    <w:rsid w:val="00A86FFA"/>
    <w:rsid w:val="00A91B18"/>
    <w:rsid w:val="00A91B73"/>
    <w:rsid w:val="00A91EE8"/>
    <w:rsid w:val="00A9453E"/>
    <w:rsid w:val="00A949B4"/>
    <w:rsid w:val="00A94B9E"/>
    <w:rsid w:val="00A95025"/>
    <w:rsid w:val="00A95C81"/>
    <w:rsid w:val="00A961C6"/>
    <w:rsid w:val="00A96BF7"/>
    <w:rsid w:val="00A971CC"/>
    <w:rsid w:val="00AA0238"/>
    <w:rsid w:val="00AA0D8E"/>
    <w:rsid w:val="00AA10B0"/>
    <w:rsid w:val="00AA10F8"/>
    <w:rsid w:val="00AA1EEF"/>
    <w:rsid w:val="00AA226F"/>
    <w:rsid w:val="00AA2842"/>
    <w:rsid w:val="00AA34CA"/>
    <w:rsid w:val="00AA41D5"/>
    <w:rsid w:val="00AA4F9C"/>
    <w:rsid w:val="00AA641F"/>
    <w:rsid w:val="00AA6ADD"/>
    <w:rsid w:val="00AA6CCD"/>
    <w:rsid w:val="00AA71EF"/>
    <w:rsid w:val="00AB044E"/>
    <w:rsid w:val="00AB0B92"/>
    <w:rsid w:val="00AB1BE3"/>
    <w:rsid w:val="00AB2EF6"/>
    <w:rsid w:val="00AB36D3"/>
    <w:rsid w:val="00AB3CF6"/>
    <w:rsid w:val="00AB43A3"/>
    <w:rsid w:val="00AB43EB"/>
    <w:rsid w:val="00AB4512"/>
    <w:rsid w:val="00AB54A1"/>
    <w:rsid w:val="00AB6933"/>
    <w:rsid w:val="00AC0870"/>
    <w:rsid w:val="00AC0A35"/>
    <w:rsid w:val="00AC0BA1"/>
    <w:rsid w:val="00AC0BC1"/>
    <w:rsid w:val="00AC0E83"/>
    <w:rsid w:val="00AC18F7"/>
    <w:rsid w:val="00AC24BF"/>
    <w:rsid w:val="00AC276B"/>
    <w:rsid w:val="00AC33D6"/>
    <w:rsid w:val="00AC3740"/>
    <w:rsid w:val="00AC4171"/>
    <w:rsid w:val="00AC4265"/>
    <w:rsid w:val="00AC4FDD"/>
    <w:rsid w:val="00AC5339"/>
    <w:rsid w:val="00AC682B"/>
    <w:rsid w:val="00AC7162"/>
    <w:rsid w:val="00AC75D2"/>
    <w:rsid w:val="00AC7653"/>
    <w:rsid w:val="00AC78F2"/>
    <w:rsid w:val="00AC7FAA"/>
    <w:rsid w:val="00AD03C8"/>
    <w:rsid w:val="00AD0624"/>
    <w:rsid w:val="00AD0A0A"/>
    <w:rsid w:val="00AD0C03"/>
    <w:rsid w:val="00AD172C"/>
    <w:rsid w:val="00AD2B23"/>
    <w:rsid w:val="00AD7164"/>
    <w:rsid w:val="00AD719A"/>
    <w:rsid w:val="00AE08C3"/>
    <w:rsid w:val="00AE0DA1"/>
    <w:rsid w:val="00AE1E30"/>
    <w:rsid w:val="00AE2462"/>
    <w:rsid w:val="00AE2B91"/>
    <w:rsid w:val="00AE33A9"/>
    <w:rsid w:val="00AE3FEC"/>
    <w:rsid w:val="00AE5934"/>
    <w:rsid w:val="00AE5AC6"/>
    <w:rsid w:val="00AE5E00"/>
    <w:rsid w:val="00AF32D6"/>
    <w:rsid w:val="00AF3F55"/>
    <w:rsid w:val="00AF4FC0"/>
    <w:rsid w:val="00AF502D"/>
    <w:rsid w:val="00AF510E"/>
    <w:rsid w:val="00AF63E3"/>
    <w:rsid w:val="00AF6F34"/>
    <w:rsid w:val="00AF7CCB"/>
    <w:rsid w:val="00AF7FC5"/>
    <w:rsid w:val="00B005D6"/>
    <w:rsid w:val="00B00F66"/>
    <w:rsid w:val="00B014BA"/>
    <w:rsid w:val="00B018A1"/>
    <w:rsid w:val="00B024FA"/>
    <w:rsid w:val="00B02A4D"/>
    <w:rsid w:val="00B02F11"/>
    <w:rsid w:val="00B041CE"/>
    <w:rsid w:val="00B06ABD"/>
    <w:rsid w:val="00B072F9"/>
    <w:rsid w:val="00B10135"/>
    <w:rsid w:val="00B10DEA"/>
    <w:rsid w:val="00B11E67"/>
    <w:rsid w:val="00B12AC8"/>
    <w:rsid w:val="00B13936"/>
    <w:rsid w:val="00B14B79"/>
    <w:rsid w:val="00B14E8F"/>
    <w:rsid w:val="00B16F2A"/>
    <w:rsid w:val="00B17585"/>
    <w:rsid w:val="00B2047B"/>
    <w:rsid w:val="00B2089D"/>
    <w:rsid w:val="00B208A1"/>
    <w:rsid w:val="00B21030"/>
    <w:rsid w:val="00B21B00"/>
    <w:rsid w:val="00B224E0"/>
    <w:rsid w:val="00B23F26"/>
    <w:rsid w:val="00B25C08"/>
    <w:rsid w:val="00B26042"/>
    <w:rsid w:val="00B26ABC"/>
    <w:rsid w:val="00B26E14"/>
    <w:rsid w:val="00B27119"/>
    <w:rsid w:val="00B27521"/>
    <w:rsid w:val="00B307DC"/>
    <w:rsid w:val="00B31270"/>
    <w:rsid w:val="00B31E2E"/>
    <w:rsid w:val="00B32563"/>
    <w:rsid w:val="00B33712"/>
    <w:rsid w:val="00B33CC2"/>
    <w:rsid w:val="00B33FA0"/>
    <w:rsid w:val="00B347E9"/>
    <w:rsid w:val="00B3483E"/>
    <w:rsid w:val="00B34C92"/>
    <w:rsid w:val="00B35ED3"/>
    <w:rsid w:val="00B3689D"/>
    <w:rsid w:val="00B36EBC"/>
    <w:rsid w:val="00B36FC4"/>
    <w:rsid w:val="00B37370"/>
    <w:rsid w:val="00B37BAD"/>
    <w:rsid w:val="00B406CF"/>
    <w:rsid w:val="00B40783"/>
    <w:rsid w:val="00B409DB"/>
    <w:rsid w:val="00B40B59"/>
    <w:rsid w:val="00B4165A"/>
    <w:rsid w:val="00B4191E"/>
    <w:rsid w:val="00B41BF3"/>
    <w:rsid w:val="00B4241F"/>
    <w:rsid w:val="00B42D44"/>
    <w:rsid w:val="00B43CE1"/>
    <w:rsid w:val="00B446E5"/>
    <w:rsid w:val="00B451D3"/>
    <w:rsid w:val="00B453F4"/>
    <w:rsid w:val="00B4663D"/>
    <w:rsid w:val="00B502F6"/>
    <w:rsid w:val="00B520FA"/>
    <w:rsid w:val="00B521A0"/>
    <w:rsid w:val="00B524C7"/>
    <w:rsid w:val="00B53FEF"/>
    <w:rsid w:val="00B54709"/>
    <w:rsid w:val="00B54C7E"/>
    <w:rsid w:val="00B55048"/>
    <w:rsid w:val="00B55442"/>
    <w:rsid w:val="00B55CCC"/>
    <w:rsid w:val="00B56A99"/>
    <w:rsid w:val="00B57534"/>
    <w:rsid w:val="00B57E44"/>
    <w:rsid w:val="00B614AA"/>
    <w:rsid w:val="00B62249"/>
    <w:rsid w:val="00B623DE"/>
    <w:rsid w:val="00B637C5"/>
    <w:rsid w:val="00B638AC"/>
    <w:rsid w:val="00B63943"/>
    <w:rsid w:val="00B65984"/>
    <w:rsid w:val="00B664D2"/>
    <w:rsid w:val="00B6662F"/>
    <w:rsid w:val="00B66C92"/>
    <w:rsid w:val="00B66FF7"/>
    <w:rsid w:val="00B6714E"/>
    <w:rsid w:val="00B67ED6"/>
    <w:rsid w:val="00B70DED"/>
    <w:rsid w:val="00B716A1"/>
    <w:rsid w:val="00B726C7"/>
    <w:rsid w:val="00B72A3B"/>
    <w:rsid w:val="00B73CF9"/>
    <w:rsid w:val="00B741FC"/>
    <w:rsid w:val="00B74501"/>
    <w:rsid w:val="00B74505"/>
    <w:rsid w:val="00B74686"/>
    <w:rsid w:val="00B7519D"/>
    <w:rsid w:val="00B75D75"/>
    <w:rsid w:val="00B76628"/>
    <w:rsid w:val="00B7670E"/>
    <w:rsid w:val="00B76C78"/>
    <w:rsid w:val="00B76F6D"/>
    <w:rsid w:val="00B77EDB"/>
    <w:rsid w:val="00B81084"/>
    <w:rsid w:val="00B81FAF"/>
    <w:rsid w:val="00B82F3F"/>
    <w:rsid w:val="00B83140"/>
    <w:rsid w:val="00B83169"/>
    <w:rsid w:val="00B831F5"/>
    <w:rsid w:val="00B84AE8"/>
    <w:rsid w:val="00B85064"/>
    <w:rsid w:val="00B85C8F"/>
    <w:rsid w:val="00B86049"/>
    <w:rsid w:val="00B9041C"/>
    <w:rsid w:val="00B90DA8"/>
    <w:rsid w:val="00B91192"/>
    <w:rsid w:val="00B91D38"/>
    <w:rsid w:val="00B9352D"/>
    <w:rsid w:val="00B93E14"/>
    <w:rsid w:val="00B93FD9"/>
    <w:rsid w:val="00B94674"/>
    <w:rsid w:val="00B950E7"/>
    <w:rsid w:val="00B95E95"/>
    <w:rsid w:val="00B96366"/>
    <w:rsid w:val="00B96399"/>
    <w:rsid w:val="00B974F0"/>
    <w:rsid w:val="00BA012A"/>
    <w:rsid w:val="00BA104B"/>
    <w:rsid w:val="00BA2C10"/>
    <w:rsid w:val="00BA445E"/>
    <w:rsid w:val="00BA5818"/>
    <w:rsid w:val="00BA596A"/>
    <w:rsid w:val="00BA5A7B"/>
    <w:rsid w:val="00BA7545"/>
    <w:rsid w:val="00BA772E"/>
    <w:rsid w:val="00BB0080"/>
    <w:rsid w:val="00BB13C7"/>
    <w:rsid w:val="00BB2B51"/>
    <w:rsid w:val="00BB47D2"/>
    <w:rsid w:val="00BB51E4"/>
    <w:rsid w:val="00BB5345"/>
    <w:rsid w:val="00BB5F8F"/>
    <w:rsid w:val="00BB5F95"/>
    <w:rsid w:val="00BB626C"/>
    <w:rsid w:val="00BB6872"/>
    <w:rsid w:val="00BB7548"/>
    <w:rsid w:val="00BB7714"/>
    <w:rsid w:val="00BB7B06"/>
    <w:rsid w:val="00BB7BD7"/>
    <w:rsid w:val="00BC072F"/>
    <w:rsid w:val="00BC1ADB"/>
    <w:rsid w:val="00BC1FAD"/>
    <w:rsid w:val="00BC31BF"/>
    <w:rsid w:val="00BC35EE"/>
    <w:rsid w:val="00BC36C0"/>
    <w:rsid w:val="00BC38F6"/>
    <w:rsid w:val="00BC39D9"/>
    <w:rsid w:val="00BC4827"/>
    <w:rsid w:val="00BC4ABD"/>
    <w:rsid w:val="00BC4F1D"/>
    <w:rsid w:val="00BC5468"/>
    <w:rsid w:val="00BC63E5"/>
    <w:rsid w:val="00BC6532"/>
    <w:rsid w:val="00BC7026"/>
    <w:rsid w:val="00BC70EC"/>
    <w:rsid w:val="00BC7B00"/>
    <w:rsid w:val="00BC7BD9"/>
    <w:rsid w:val="00BC7CC8"/>
    <w:rsid w:val="00BD068B"/>
    <w:rsid w:val="00BD07E5"/>
    <w:rsid w:val="00BD1AB6"/>
    <w:rsid w:val="00BD1BB6"/>
    <w:rsid w:val="00BD2B2D"/>
    <w:rsid w:val="00BD4311"/>
    <w:rsid w:val="00BD5555"/>
    <w:rsid w:val="00BD6772"/>
    <w:rsid w:val="00BD69AF"/>
    <w:rsid w:val="00BD6BF7"/>
    <w:rsid w:val="00BD78C0"/>
    <w:rsid w:val="00BE1BA3"/>
    <w:rsid w:val="00BE24E4"/>
    <w:rsid w:val="00BE59CA"/>
    <w:rsid w:val="00BE5B0C"/>
    <w:rsid w:val="00BE76F6"/>
    <w:rsid w:val="00BF0E03"/>
    <w:rsid w:val="00BF20BC"/>
    <w:rsid w:val="00BF2CCE"/>
    <w:rsid w:val="00BF2DBB"/>
    <w:rsid w:val="00BF2DD1"/>
    <w:rsid w:val="00BF4227"/>
    <w:rsid w:val="00BF4C37"/>
    <w:rsid w:val="00BF5EC4"/>
    <w:rsid w:val="00BF6521"/>
    <w:rsid w:val="00BF6F81"/>
    <w:rsid w:val="00BF7F51"/>
    <w:rsid w:val="00C00773"/>
    <w:rsid w:val="00C009A1"/>
    <w:rsid w:val="00C00B2E"/>
    <w:rsid w:val="00C01926"/>
    <w:rsid w:val="00C02EB2"/>
    <w:rsid w:val="00C03814"/>
    <w:rsid w:val="00C03822"/>
    <w:rsid w:val="00C0387E"/>
    <w:rsid w:val="00C04430"/>
    <w:rsid w:val="00C04C32"/>
    <w:rsid w:val="00C05B17"/>
    <w:rsid w:val="00C065BF"/>
    <w:rsid w:val="00C06718"/>
    <w:rsid w:val="00C07FBD"/>
    <w:rsid w:val="00C101BA"/>
    <w:rsid w:val="00C109B9"/>
    <w:rsid w:val="00C11EA8"/>
    <w:rsid w:val="00C12F88"/>
    <w:rsid w:val="00C13124"/>
    <w:rsid w:val="00C13C7D"/>
    <w:rsid w:val="00C13CCA"/>
    <w:rsid w:val="00C13F48"/>
    <w:rsid w:val="00C15A65"/>
    <w:rsid w:val="00C15E07"/>
    <w:rsid w:val="00C16AEA"/>
    <w:rsid w:val="00C16FFC"/>
    <w:rsid w:val="00C17493"/>
    <w:rsid w:val="00C174AA"/>
    <w:rsid w:val="00C17DDF"/>
    <w:rsid w:val="00C20A22"/>
    <w:rsid w:val="00C2194A"/>
    <w:rsid w:val="00C236EE"/>
    <w:rsid w:val="00C24637"/>
    <w:rsid w:val="00C24FDF"/>
    <w:rsid w:val="00C259C1"/>
    <w:rsid w:val="00C26632"/>
    <w:rsid w:val="00C26638"/>
    <w:rsid w:val="00C268D7"/>
    <w:rsid w:val="00C271EC"/>
    <w:rsid w:val="00C27C15"/>
    <w:rsid w:val="00C30490"/>
    <w:rsid w:val="00C307C6"/>
    <w:rsid w:val="00C30BDC"/>
    <w:rsid w:val="00C31340"/>
    <w:rsid w:val="00C33944"/>
    <w:rsid w:val="00C33FE3"/>
    <w:rsid w:val="00C3434D"/>
    <w:rsid w:val="00C3572E"/>
    <w:rsid w:val="00C35C75"/>
    <w:rsid w:val="00C361CE"/>
    <w:rsid w:val="00C36598"/>
    <w:rsid w:val="00C365B0"/>
    <w:rsid w:val="00C3749E"/>
    <w:rsid w:val="00C40E20"/>
    <w:rsid w:val="00C42EA7"/>
    <w:rsid w:val="00C43C21"/>
    <w:rsid w:val="00C44262"/>
    <w:rsid w:val="00C44AB0"/>
    <w:rsid w:val="00C4642D"/>
    <w:rsid w:val="00C466C9"/>
    <w:rsid w:val="00C46EBE"/>
    <w:rsid w:val="00C4726A"/>
    <w:rsid w:val="00C47E8B"/>
    <w:rsid w:val="00C5043F"/>
    <w:rsid w:val="00C51255"/>
    <w:rsid w:val="00C513F1"/>
    <w:rsid w:val="00C5183C"/>
    <w:rsid w:val="00C52889"/>
    <w:rsid w:val="00C53A44"/>
    <w:rsid w:val="00C53EF7"/>
    <w:rsid w:val="00C54F79"/>
    <w:rsid w:val="00C5556E"/>
    <w:rsid w:val="00C56AC2"/>
    <w:rsid w:val="00C57616"/>
    <w:rsid w:val="00C57CFF"/>
    <w:rsid w:val="00C60D78"/>
    <w:rsid w:val="00C60F4F"/>
    <w:rsid w:val="00C61F35"/>
    <w:rsid w:val="00C6207A"/>
    <w:rsid w:val="00C62BB7"/>
    <w:rsid w:val="00C63CE7"/>
    <w:rsid w:val="00C6405C"/>
    <w:rsid w:val="00C64DCB"/>
    <w:rsid w:val="00C652A7"/>
    <w:rsid w:val="00C6688A"/>
    <w:rsid w:val="00C678D2"/>
    <w:rsid w:val="00C67B34"/>
    <w:rsid w:val="00C702A6"/>
    <w:rsid w:val="00C70A79"/>
    <w:rsid w:val="00C715A8"/>
    <w:rsid w:val="00C71657"/>
    <w:rsid w:val="00C71EDF"/>
    <w:rsid w:val="00C7348E"/>
    <w:rsid w:val="00C73BAA"/>
    <w:rsid w:val="00C73F7D"/>
    <w:rsid w:val="00C75658"/>
    <w:rsid w:val="00C77D5E"/>
    <w:rsid w:val="00C77D98"/>
    <w:rsid w:val="00C80740"/>
    <w:rsid w:val="00C80880"/>
    <w:rsid w:val="00C8096C"/>
    <w:rsid w:val="00C819A1"/>
    <w:rsid w:val="00C820FF"/>
    <w:rsid w:val="00C82E62"/>
    <w:rsid w:val="00C841BE"/>
    <w:rsid w:val="00C8506A"/>
    <w:rsid w:val="00C864DC"/>
    <w:rsid w:val="00C86AB1"/>
    <w:rsid w:val="00C86F16"/>
    <w:rsid w:val="00C87463"/>
    <w:rsid w:val="00C87888"/>
    <w:rsid w:val="00C87DDA"/>
    <w:rsid w:val="00C912B8"/>
    <w:rsid w:val="00C91FA0"/>
    <w:rsid w:val="00C935D1"/>
    <w:rsid w:val="00C93A46"/>
    <w:rsid w:val="00C94464"/>
    <w:rsid w:val="00C94B5F"/>
    <w:rsid w:val="00C95532"/>
    <w:rsid w:val="00C95EF9"/>
    <w:rsid w:val="00C96D70"/>
    <w:rsid w:val="00CA011A"/>
    <w:rsid w:val="00CA0A08"/>
    <w:rsid w:val="00CA0DDB"/>
    <w:rsid w:val="00CA1057"/>
    <w:rsid w:val="00CA4159"/>
    <w:rsid w:val="00CA4731"/>
    <w:rsid w:val="00CA5366"/>
    <w:rsid w:val="00CA5B4C"/>
    <w:rsid w:val="00CA5DFA"/>
    <w:rsid w:val="00CA6E95"/>
    <w:rsid w:val="00CA7CB1"/>
    <w:rsid w:val="00CA7CE1"/>
    <w:rsid w:val="00CA7DBD"/>
    <w:rsid w:val="00CA7FA1"/>
    <w:rsid w:val="00CB25AF"/>
    <w:rsid w:val="00CB4092"/>
    <w:rsid w:val="00CB48DD"/>
    <w:rsid w:val="00CB5FB6"/>
    <w:rsid w:val="00CB607F"/>
    <w:rsid w:val="00CB6365"/>
    <w:rsid w:val="00CB6B98"/>
    <w:rsid w:val="00CC0583"/>
    <w:rsid w:val="00CC3CDD"/>
    <w:rsid w:val="00CC4100"/>
    <w:rsid w:val="00CC418A"/>
    <w:rsid w:val="00CC441F"/>
    <w:rsid w:val="00CC4BF8"/>
    <w:rsid w:val="00CC551D"/>
    <w:rsid w:val="00CC5563"/>
    <w:rsid w:val="00CC5A3C"/>
    <w:rsid w:val="00CC6A1C"/>
    <w:rsid w:val="00CC6FF8"/>
    <w:rsid w:val="00CC72C7"/>
    <w:rsid w:val="00CD01E4"/>
    <w:rsid w:val="00CD0654"/>
    <w:rsid w:val="00CD1689"/>
    <w:rsid w:val="00CD1DDD"/>
    <w:rsid w:val="00CD2F72"/>
    <w:rsid w:val="00CD3395"/>
    <w:rsid w:val="00CD44D1"/>
    <w:rsid w:val="00CD48E4"/>
    <w:rsid w:val="00CD54FF"/>
    <w:rsid w:val="00CD6C9D"/>
    <w:rsid w:val="00CD7FCE"/>
    <w:rsid w:val="00CE071B"/>
    <w:rsid w:val="00CE2017"/>
    <w:rsid w:val="00CE2280"/>
    <w:rsid w:val="00CE2D98"/>
    <w:rsid w:val="00CE2DCC"/>
    <w:rsid w:val="00CE2F0B"/>
    <w:rsid w:val="00CE3C43"/>
    <w:rsid w:val="00CE3E0E"/>
    <w:rsid w:val="00CE409F"/>
    <w:rsid w:val="00CE4134"/>
    <w:rsid w:val="00CE4143"/>
    <w:rsid w:val="00CE44EE"/>
    <w:rsid w:val="00CE66FF"/>
    <w:rsid w:val="00CE6EEE"/>
    <w:rsid w:val="00CF0760"/>
    <w:rsid w:val="00CF1079"/>
    <w:rsid w:val="00CF149A"/>
    <w:rsid w:val="00CF1D51"/>
    <w:rsid w:val="00CF2039"/>
    <w:rsid w:val="00CF2A50"/>
    <w:rsid w:val="00CF333B"/>
    <w:rsid w:val="00CF44D1"/>
    <w:rsid w:val="00CF4DBE"/>
    <w:rsid w:val="00CF4FC6"/>
    <w:rsid w:val="00CF6414"/>
    <w:rsid w:val="00CF6C84"/>
    <w:rsid w:val="00CF718E"/>
    <w:rsid w:val="00CF78C0"/>
    <w:rsid w:val="00CF791E"/>
    <w:rsid w:val="00CF7E4E"/>
    <w:rsid w:val="00D016AE"/>
    <w:rsid w:val="00D0306F"/>
    <w:rsid w:val="00D033CF"/>
    <w:rsid w:val="00D05576"/>
    <w:rsid w:val="00D05ED7"/>
    <w:rsid w:val="00D070D0"/>
    <w:rsid w:val="00D071FC"/>
    <w:rsid w:val="00D07553"/>
    <w:rsid w:val="00D1024C"/>
    <w:rsid w:val="00D1295A"/>
    <w:rsid w:val="00D12EBD"/>
    <w:rsid w:val="00D130FA"/>
    <w:rsid w:val="00D135D6"/>
    <w:rsid w:val="00D13B0F"/>
    <w:rsid w:val="00D1400D"/>
    <w:rsid w:val="00D1494B"/>
    <w:rsid w:val="00D14E7F"/>
    <w:rsid w:val="00D15E84"/>
    <w:rsid w:val="00D162EE"/>
    <w:rsid w:val="00D168F9"/>
    <w:rsid w:val="00D17547"/>
    <w:rsid w:val="00D177B2"/>
    <w:rsid w:val="00D17924"/>
    <w:rsid w:val="00D20045"/>
    <w:rsid w:val="00D20260"/>
    <w:rsid w:val="00D221AD"/>
    <w:rsid w:val="00D22625"/>
    <w:rsid w:val="00D22648"/>
    <w:rsid w:val="00D23712"/>
    <w:rsid w:val="00D238AD"/>
    <w:rsid w:val="00D24200"/>
    <w:rsid w:val="00D25EAA"/>
    <w:rsid w:val="00D27206"/>
    <w:rsid w:val="00D27CC8"/>
    <w:rsid w:val="00D27EFD"/>
    <w:rsid w:val="00D3045D"/>
    <w:rsid w:val="00D3081B"/>
    <w:rsid w:val="00D30D07"/>
    <w:rsid w:val="00D31223"/>
    <w:rsid w:val="00D31458"/>
    <w:rsid w:val="00D317E9"/>
    <w:rsid w:val="00D31B5A"/>
    <w:rsid w:val="00D33F15"/>
    <w:rsid w:val="00D34E77"/>
    <w:rsid w:val="00D359F6"/>
    <w:rsid w:val="00D400D3"/>
    <w:rsid w:val="00D40126"/>
    <w:rsid w:val="00D40786"/>
    <w:rsid w:val="00D410A6"/>
    <w:rsid w:val="00D419A6"/>
    <w:rsid w:val="00D428DC"/>
    <w:rsid w:val="00D44516"/>
    <w:rsid w:val="00D46D97"/>
    <w:rsid w:val="00D46EBE"/>
    <w:rsid w:val="00D47BAD"/>
    <w:rsid w:val="00D50081"/>
    <w:rsid w:val="00D51837"/>
    <w:rsid w:val="00D51E40"/>
    <w:rsid w:val="00D53B8D"/>
    <w:rsid w:val="00D53C8D"/>
    <w:rsid w:val="00D53EE4"/>
    <w:rsid w:val="00D55D65"/>
    <w:rsid w:val="00D57C95"/>
    <w:rsid w:val="00D60108"/>
    <w:rsid w:val="00D6020C"/>
    <w:rsid w:val="00D61429"/>
    <w:rsid w:val="00D61442"/>
    <w:rsid w:val="00D61915"/>
    <w:rsid w:val="00D62924"/>
    <w:rsid w:val="00D62D52"/>
    <w:rsid w:val="00D62D8C"/>
    <w:rsid w:val="00D635C5"/>
    <w:rsid w:val="00D63C82"/>
    <w:rsid w:val="00D648F8"/>
    <w:rsid w:val="00D651D9"/>
    <w:rsid w:val="00D6532F"/>
    <w:rsid w:val="00D6587C"/>
    <w:rsid w:val="00D668A3"/>
    <w:rsid w:val="00D66A5A"/>
    <w:rsid w:val="00D71A0D"/>
    <w:rsid w:val="00D72790"/>
    <w:rsid w:val="00D73075"/>
    <w:rsid w:val="00D73AB6"/>
    <w:rsid w:val="00D73B1D"/>
    <w:rsid w:val="00D73F9D"/>
    <w:rsid w:val="00D74D66"/>
    <w:rsid w:val="00D76118"/>
    <w:rsid w:val="00D76B7F"/>
    <w:rsid w:val="00D77BFD"/>
    <w:rsid w:val="00D77E57"/>
    <w:rsid w:val="00D77FB0"/>
    <w:rsid w:val="00D8086C"/>
    <w:rsid w:val="00D8092A"/>
    <w:rsid w:val="00D8129E"/>
    <w:rsid w:val="00D8197B"/>
    <w:rsid w:val="00D820E4"/>
    <w:rsid w:val="00D82828"/>
    <w:rsid w:val="00D82CC1"/>
    <w:rsid w:val="00D83535"/>
    <w:rsid w:val="00D83C63"/>
    <w:rsid w:val="00D847BF"/>
    <w:rsid w:val="00D85021"/>
    <w:rsid w:val="00D85125"/>
    <w:rsid w:val="00D85327"/>
    <w:rsid w:val="00D8604B"/>
    <w:rsid w:val="00D9057A"/>
    <w:rsid w:val="00D905C9"/>
    <w:rsid w:val="00D91A18"/>
    <w:rsid w:val="00D91B04"/>
    <w:rsid w:val="00D91F25"/>
    <w:rsid w:val="00D9383E"/>
    <w:rsid w:val="00D94706"/>
    <w:rsid w:val="00D94DC0"/>
    <w:rsid w:val="00D95072"/>
    <w:rsid w:val="00D95AC6"/>
    <w:rsid w:val="00D96C98"/>
    <w:rsid w:val="00DA088A"/>
    <w:rsid w:val="00DA10C0"/>
    <w:rsid w:val="00DA1A05"/>
    <w:rsid w:val="00DA2322"/>
    <w:rsid w:val="00DA2554"/>
    <w:rsid w:val="00DA29A8"/>
    <w:rsid w:val="00DA3395"/>
    <w:rsid w:val="00DA47F9"/>
    <w:rsid w:val="00DA4C68"/>
    <w:rsid w:val="00DA4F8E"/>
    <w:rsid w:val="00DA5F31"/>
    <w:rsid w:val="00DA7637"/>
    <w:rsid w:val="00DB0786"/>
    <w:rsid w:val="00DB1FA4"/>
    <w:rsid w:val="00DB2FFC"/>
    <w:rsid w:val="00DB37EA"/>
    <w:rsid w:val="00DB3AA5"/>
    <w:rsid w:val="00DB421B"/>
    <w:rsid w:val="00DB57B9"/>
    <w:rsid w:val="00DB5AC5"/>
    <w:rsid w:val="00DC05C7"/>
    <w:rsid w:val="00DC12E1"/>
    <w:rsid w:val="00DC145D"/>
    <w:rsid w:val="00DC2BD6"/>
    <w:rsid w:val="00DC2DE7"/>
    <w:rsid w:val="00DC3B0C"/>
    <w:rsid w:val="00DC401C"/>
    <w:rsid w:val="00DC4940"/>
    <w:rsid w:val="00DC5613"/>
    <w:rsid w:val="00DD007B"/>
    <w:rsid w:val="00DD1965"/>
    <w:rsid w:val="00DD31FC"/>
    <w:rsid w:val="00DD3823"/>
    <w:rsid w:val="00DD38EE"/>
    <w:rsid w:val="00DD3B83"/>
    <w:rsid w:val="00DD4208"/>
    <w:rsid w:val="00DD4366"/>
    <w:rsid w:val="00DD5E0C"/>
    <w:rsid w:val="00DD6FC9"/>
    <w:rsid w:val="00DD743C"/>
    <w:rsid w:val="00DD7958"/>
    <w:rsid w:val="00DE03D4"/>
    <w:rsid w:val="00DE06B1"/>
    <w:rsid w:val="00DE0C15"/>
    <w:rsid w:val="00DE0DFA"/>
    <w:rsid w:val="00DE0E80"/>
    <w:rsid w:val="00DE1F87"/>
    <w:rsid w:val="00DE20F7"/>
    <w:rsid w:val="00DE261A"/>
    <w:rsid w:val="00DE3A20"/>
    <w:rsid w:val="00DE3D64"/>
    <w:rsid w:val="00DE3E48"/>
    <w:rsid w:val="00DE49AF"/>
    <w:rsid w:val="00DE6034"/>
    <w:rsid w:val="00DE6E8A"/>
    <w:rsid w:val="00DE744C"/>
    <w:rsid w:val="00DE7B3C"/>
    <w:rsid w:val="00DE7F8F"/>
    <w:rsid w:val="00DF141F"/>
    <w:rsid w:val="00DF2B8D"/>
    <w:rsid w:val="00DF3069"/>
    <w:rsid w:val="00DF330B"/>
    <w:rsid w:val="00DF45B3"/>
    <w:rsid w:val="00DF4D34"/>
    <w:rsid w:val="00DF4D8F"/>
    <w:rsid w:val="00DF51F4"/>
    <w:rsid w:val="00DF57DF"/>
    <w:rsid w:val="00E0065E"/>
    <w:rsid w:val="00E027E3"/>
    <w:rsid w:val="00E027FB"/>
    <w:rsid w:val="00E02BDF"/>
    <w:rsid w:val="00E02CE3"/>
    <w:rsid w:val="00E0323C"/>
    <w:rsid w:val="00E05767"/>
    <w:rsid w:val="00E05DCF"/>
    <w:rsid w:val="00E05F8C"/>
    <w:rsid w:val="00E0696E"/>
    <w:rsid w:val="00E06C7E"/>
    <w:rsid w:val="00E07507"/>
    <w:rsid w:val="00E07C40"/>
    <w:rsid w:val="00E11A59"/>
    <w:rsid w:val="00E122FE"/>
    <w:rsid w:val="00E129E8"/>
    <w:rsid w:val="00E13720"/>
    <w:rsid w:val="00E164C2"/>
    <w:rsid w:val="00E20186"/>
    <w:rsid w:val="00E2176D"/>
    <w:rsid w:val="00E22517"/>
    <w:rsid w:val="00E2371E"/>
    <w:rsid w:val="00E24D9F"/>
    <w:rsid w:val="00E25DA0"/>
    <w:rsid w:val="00E25DB1"/>
    <w:rsid w:val="00E266E4"/>
    <w:rsid w:val="00E26940"/>
    <w:rsid w:val="00E27193"/>
    <w:rsid w:val="00E300BD"/>
    <w:rsid w:val="00E30299"/>
    <w:rsid w:val="00E311A2"/>
    <w:rsid w:val="00E31DE5"/>
    <w:rsid w:val="00E31EAC"/>
    <w:rsid w:val="00E322F2"/>
    <w:rsid w:val="00E32BF3"/>
    <w:rsid w:val="00E32EDC"/>
    <w:rsid w:val="00E3326C"/>
    <w:rsid w:val="00E34914"/>
    <w:rsid w:val="00E34F03"/>
    <w:rsid w:val="00E3515C"/>
    <w:rsid w:val="00E35466"/>
    <w:rsid w:val="00E35737"/>
    <w:rsid w:val="00E36184"/>
    <w:rsid w:val="00E36A8F"/>
    <w:rsid w:val="00E405BD"/>
    <w:rsid w:val="00E4189F"/>
    <w:rsid w:val="00E41FFE"/>
    <w:rsid w:val="00E438A8"/>
    <w:rsid w:val="00E45806"/>
    <w:rsid w:val="00E4582A"/>
    <w:rsid w:val="00E45B64"/>
    <w:rsid w:val="00E46805"/>
    <w:rsid w:val="00E50341"/>
    <w:rsid w:val="00E504C7"/>
    <w:rsid w:val="00E507EA"/>
    <w:rsid w:val="00E51766"/>
    <w:rsid w:val="00E527DB"/>
    <w:rsid w:val="00E53DF0"/>
    <w:rsid w:val="00E54CDB"/>
    <w:rsid w:val="00E57E27"/>
    <w:rsid w:val="00E60666"/>
    <w:rsid w:val="00E6081F"/>
    <w:rsid w:val="00E6466F"/>
    <w:rsid w:val="00E651D6"/>
    <w:rsid w:val="00E65697"/>
    <w:rsid w:val="00E65CD5"/>
    <w:rsid w:val="00E66DAC"/>
    <w:rsid w:val="00E66E56"/>
    <w:rsid w:val="00E66FEF"/>
    <w:rsid w:val="00E67036"/>
    <w:rsid w:val="00E7223E"/>
    <w:rsid w:val="00E72415"/>
    <w:rsid w:val="00E72EE8"/>
    <w:rsid w:val="00E760F8"/>
    <w:rsid w:val="00E761EF"/>
    <w:rsid w:val="00E77049"/>
    <w:rsid w:val="00E772FF"/>
    <w:rsid w:val="00E779E6"/>
    <w:rsid w:val="00E80780"/>
    <w:rsid w:val="00E80B5F"/>
    <w:rsid w:val="00E80F5D"/>
    <w:rsid w:val="00E814E5"/>
    <w:rsid w:val="00E82EA1"/>
    <w:rsid w:val="00E840D7"/>
    <w:rsid w:val="00E8417B"/>
    <w:rsid w:val="00E84265"/>
    <w:rsid w:val="00E8427F"/>
    <w:rsid w:val="00E87701"/>
    <w:rsid w:val="00E87F32"/>
    <w:rsid w:val="00E900CF"/>
    <w:rsid w:val="00E90F28"/>
    <w:rsid w:val="00E91655"/>
    <w:rsid w:val="00E9413B"/>
    <w:rsid w:val="00E9565E"/>
    <w:rsid w:val="00E96746"/>
    <w:rsid w:val="00E96C10"/>
    <w:rsid w:val="00E97373"/>
    <w:rsid w:val="00EA0143"/>
    <w:rsid w:val="00EA08A3"/>
    <w:rsid w:val="00EA0E34"/>
    <w:rsid w:val="00EA1EE5"/>
    <w:rsid w:val="00EA363F"/>
    <w:rsid w:val="00EA50B9"/>
    <w:rsid w:val="00EA7051"/>
    <w:rsid w:val="00EA7FC6"/>
    <w:rsid w:val="00EB0874"/>
    <w:rsid w:val="00EB0993"/>
    <w:rsid w:val="00EB19FD"/>
    <w:rsid w:val="00EB1A71"/>
    <w:rsid w:val="00EB2D44"/>
    <w:rsid w:val="00EB323C"/>
    <w:rsid w:val="00EB335A"/>
    <w:rsid w:val="00EB52FF"/>
    <w:rsid w:val="00EB5816"/>
    <w:rsid w:val="00EB610D"/>
    <w:rsid w:val="00EB6C4E"/>
    <w:rsid w:val="00EB71BD"/>
    <w:rsid w:val="00EB7F65"/>
    <w:rsid w:val="00EC4AA2"/>
    <w:rsid w:val="00EC5A4F"/>
    <w:rsid w:val="00EC5ACA"/>
    <w:rsid w:val="00EC6DFF"/>
    <w:rsid w:val="00EC7D0E"/>
    <w:rsid w:val="00ED021C"/>
    <w:rsid w:val="00ED25B7"/>
    <w:rsid w:val="00ED2602"/>
    <w:rsid w:val="00ED37EB"/>
    <w:rsid w:val="00ED3A04"/>
    <w:rsid w:val="00ED4CDA"/>
    <w:rsid w:val="00ED5451"/>
    <w:rsid w:val="00ED5B16"/>
    <w:rsid w:val="00ED78CE"/>
    <w:rsid w:val="00EE1584"/>
    <w:rsid w:val="00EE1B8D"/>
    <w:rsid w:val="00EE24CA"/>
    <w:rsid w:val="00EE26F3"/>
    <w:rsid w:val="00EE2A60"/>
    <w:rsid w:val="00EE2B15"/>
    <w:rsid w:val="00EE4BB6"/>
    <w:rsid w:val="00EE4E17"/>
    <w:rsid w:val="00EE584F"/>
    <w:rsid w:val="00EE6D30"/>
    <w:rsid w:val="00EE6F85"/>
    <w:rsid w:val="00EE7E67"/>
    <w:rsid w:val="00EF1050"/>
    <w:rsid w:val="00EF124A"/>
    <w:rsid w:val="00EF2B75"/>
    <w:rsid w:val="00EF31A2"/>
    <w:rsid w:val="00EF45E0"/>
    <w:rsid w:val="00EF4626"/>
    <w:rsid w:val="00EF52FC"/>
    <w:rsid w:val="00EF643C"/>
    <w:rsid w:val="00EF6ACB"/>
    <w:rsid w:val="00EF7071"/>
    <w:rsid w:val="00F004B1"/>
    <w:rsid w:val="00F01CCC"/>
    <w:rsid w:val="00F03A6B"/>
    <w:rsid w:val="00F03E62"/>
    <w:rsid w:val="00F04142"/>
    <w:rsid w:val="00F0471E"/>
    <w:rsid w:val="00F04CF2"/>
    <w:rsid w:val="00F04E2B"/>
    <w:rsid w:val="00F06748"/>
    <w:rsid w:val="00F07374"/>
    <w:rsid w:val="00F073BE"/>
    <w:rsid w:val="00F07730"/>
    <w:rsid w:val="00F07906"/>
    <w:rsid w:val="00F079D3"/>
    <w:rsid w:val="00F102A6"/>
    <w:rsid w:val="00F10979"/>
    <w:rsid w:val="00F110AC"/>
    <w:rsid w:val="00F128D2"/>
    <w:rsid w:val="00F129DA"/>
    <w:rsid w:val="00F131EB"/>
    <w:rsid w:val="00F14310"/>
    <w:rsid w:val="00F156DE"/>
    <w:rsid w:val="00F15D93"/>
    <w:rsid w:val="00F16030"/>
    <w:rsid w:val="00F16E3A"/>
    <w:rsid w:val="00F20615"/>
    <w:rsid w:val="00F20A2A"/>
    <w:rsid w:val="00F22830"/>
    <w:rsid w:val="00F22B40"/>
    <w:rsid w:val="00F22BB1"/>
    <w:rsid w:val="00F235A9"/>
    <w:rsid w:val="00F25262"/>
    <w:rsid w:val="00F26B06"/>
    <w:rsid w:val="00F27430"/>
    <w:rsid w:val="00F311BE"/>
    <w:rsid w:val="00F3166A"/>
    <w:rsid w:val="00F3222F"/>
    <w:rsid w:val="00F33B7B"/>
    <w:rsid w:val="00F3495B"/>
    <w:rsid w:val="00F354A5"/>
    <w:rsid w:val="00F35B1B"/>
    <w:rsid w:val="00F370A9"/>
    <w:rsid w:val="00F37DC0"/>
    <w:rsid w:val="00F40572"/>
    <w:rsid w:val="00F405B2"/>
    <w:rsid w:val="00F42072"/>
    <w:rsid w:val="00F420D8"/>
    <w:rsid w:val="00F420E8"/>
    <w:rsid w:val="00F437C2"/>
    <w:rsid w:val="00F44277"/>
    <w:rsid w:val="00F44393"/>
    <w:rsid w:val="00F45BE3"/>
    <w:rsid w:val="00F45D4A"/>
    <w:rsid w:val="00F464F5"/>
    <w:rsid w:val="00F47D18"/>
    <w:rsid w:val="00F504FA"/>
    <w:rsid w:val="00F50786"/>
    <w:rsid w:val="00F509FC"/>
    <w:rsid w:val="00F50DFE"/>
    <w:rsid w:val="00F51C6E"/>
    <w:rsid w:val="00F52461"/>
    <w:rsid w:val="00F52EFF"/>
    <w:rsid w:val="00F533D5"/>
    <w:rsid w:val="00F53846"/>
    <w:rsid w:val="00F55674"/>
    <w:rsid w:val="00F55C98"/>
    <w:rsid w:val="00F56A55"/>
    <w:rsid w:val="00F602CC"/>
    <w:rsid w:val="00F609F2"/>
    <w:rsid w:val="00F6169B"/>
    <w:rsid w:val="00F61E7A"/>
    <w:rsid w:val="00F63F6A"/>
    <w:rsid w:val="00F64324"/>
    <w:rsid w:val="00F652E8"/>
    <w:rsid w:val="00F660A9"/>
    <w:rsid w:val="00F70119"/>
    <w:rsid w:val="00F716D1"/>
    <w:rsid w:val="00F72B10"/>
    <w:rsid w:val="00F72D9C"/>
    <w:rsid w:val="00F72E7F"/>
    <w:rsid w:val="00F72FAC"/>
    <w:rsid w:val="00F74126"/>
    <w:rsid w:val="00F81448"/>
    <w:rsid w:val="00F816C7"/>
    <w:rsid w:val="00F81982"/>
    <w:rsid w:val="00F81D3E"/>
    <w:rsid w:val="00F82635"/>
    <w:rsid w:val="00F8286C"/>
    <w:rsid w:val="00F82A1F"/>
    <w:rsid w:val="00F843AD"/>
    <w:rsid w:val="00F85039"/>
    <w:rsid w:val="00F85888"/>
    <w:rsid w:val="00F86016"/>
    <w:rsid w:val="00F866FD"/>
    <w:rsid w:val="00F91448"/>
    <w:rsid w:val="00F91628"/>
    <w:rsid w:val="00F9232F"/>
    <w:rsid w:val="00F94D9E"/>
    <w:rsid w:val="00F95CDD"/>
    <w:rsid w:val="00F96F6B"/>
    <w:rsid w:val="00FA036C"/>
    <w:rsid w:val="00FA04DD"/>
    <w:rsid w:val="00FA0C6C"/>
    <w:rsid w:val="00FA2416"/>
    <w:rsid w:val="00FA2957"/>
    <w:rsid w:val="00FA2D10"/>
    <w:rsid w:val="00FA39E2"/>
    <w:rsid w:val="00FA3CD7"/>
    <w:rsid w:val="00FA4612"/>
    <w:rsid w:val="00FA4C9E"/>
    <w:rsid w:val="00FA4FF5"/>
    <w:rsid w:val="00FA5021"/>
    <w:rsid w:val="00FA595A"/>
    <w:rsid w:val="00FA5E87"/>
    <w:rsid w:val="00FA6811"/>
    <w:rsid w:val="00FA7B0C"/>
    <w:rsid w:val="00FB03D8"/>
    <w:rsid w:val="00FB03EE"/>
    <w:rsid w:val="00FB2EC9"/>
    <w:rsid w:val="00FB5275"/>
    <w:rsid w:val="00FB632F"/>
    <w:rsid w:val="00FC05DB"/>
    <w:rsid w:val="00FC065C"/>
    <w:rsid w:val="00FC0C9E"/>
    <w:rsid w:val="00FC1B15"/>
    <w:rsid w:val="00FC28CA"/>
    <w:rsid w:val="00FC3628"/>
    <w:rsid w:val="00FC3C24"/>
    <w:rsid w:val="00FC4378"/>
    <w:rsid w:val="00FC4863"/>
    <w:rsid w:val="00FC54AD"/>
    <w:rsid w:val="00FC5AFA"/>
    <w:rsid w:val="00FC6793"/>
    <w:rsid w:val="00FC679F"/>
    <w:rsid w:val="00FC73C9"/>
    <w:rsid w:val="00FD0C16"/>
    <w:rsid w:val="00FD126C"/>
    <w:rsid w:val="00FD1B26"/>
    <w:rsid w:val="00FD2497"/>
    <w:rsid w:val="00FD3FDE"/>
    <w:rsid w:val="00FD51EA"/>
    <w:rsid w:val="00FD612E"/>
    <w:rsid w:val="00FE17C7"/>
    <w:rsid w:val="00FE1945"/>
    <w:rsid w:val="00FE194B"/>
    <w:rsid w:val="00FE2FE6"/>
    <w:rsid w:val="00FE38D3"/>
    <w:rsid w:val="00FE4470"/>
    <w:rsid w:val="00FE4BD3"/>
    <w:rsid w:val="00FE4BFA"/>
    <w:rsid w:val="00FE5001"/>
    <w:rsid w:val="00FE571F"/>
    <w:rsid w:val="00FE5E45"/>
    <w:rsid w:val="00FF1D1B"/>
    <w:rsid w:val="00FF21EB"/>
    <w:rsid w:val="00FF250A"/>
    <w:rsid w:val="00FF3394"/>
    <w:rsid w:val="00FF47B9"/>
    <w:rsid w:val="00FF6909"/>
    <w:rsid w:val="00FF6AA0"/>
    <w:rsid w:val="00FF7FD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232B35D4"/>
  <w14:defaultImageDpi w14:val="330"/>
  <w15:docId w15:val="{F4EAE7EC-9E12-0D41-8046-647085D33B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0E82"/>
  </w:style>
  <w:style w:type="paragraph" w:styleId="Heading1">
    <w:name w:val="heading 1"/>
    <w:basedOn w:val="Normal"/>
    <w:next w:val="Normal"/>
    <w:link w:val="Heading1Char"/>
    <w:uiPriority w:val="9"/>
    <w:qFormat/>
    <w:rsid w:val="00052C99"/>
    <w:pPr>
      <w:keepNext/>
      <w:keepLines/>
      <w:spacing w:before="480"/>
      <w:outlineLvl w:val="0"/>
    </w:pPr>
    <w:rPr>
      <w:rFonts w:ascii="Arial" w:eastAsiaTheme="majorEastAsia" w:hAnsi="Arial" w:cstheme="majorBidi"/>
      <w:b/>
      <w:bCs/>
      <w:sz w:val="22"/>
      <w:szCs w:val="32"/>
    </w:rPr>
  </w:style>
  <w:style w:type="paragraph" w:styleId="Heading2">
    <w:name w:val="heading 2"/>
    <w:basedOn w:val="Normal"/>
    <w:next w:val="Normal"/>
    <w:link w:val="Heading2Char"/>
    <w:uiPriority w:val="9"/>
    <w:unhideWhenUsed/>
    <w:qFormat/>
    <w:rsid w:val="0042365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820E82"/>
    <w:pPr>
      <w:keepNext/>
      <w:keepLines/>
      <w:spacing w:before="200"/>
      <w:outlineLvl w:val="2"/>
    </w:pPr>
    <w:rPr>
      <w:rFonts w:ascii="Arial" w:eastAsiaTheme="majorEastAsia" w:hAnsi="Arial" w:cstheme="majorBidi"/>
      <w:b/>
      <w:bCs/>
      <w:sz w:val="22"/>
    </w:rPr>
  </w:style>
  <w:style w:type="paragraph" w:styleId="Heading4">
    <w:name w:val="heading 4"/>
    <w:basedOn w:val="Normal"/>
    <w:next w:val="Normal"/>
    <w:link w:val="Heading4Char"/>
    <w:uiPriority w:val="9"/>
    <w:unhideWhenUsed/>
    <w:qFormat/>
    <w:rsid w:val="00A11959"/>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E02CE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DD38EE"/>
    <w:pPr>
      <w:keepNext/>
      <w:keepLines/>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DD38EE"/>
    <w:pPr>
      <w:keepNext/>
      <w:keepLines/>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DD38EE"/>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DD38EE"/>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LightShading-Accent1">
    <w:name w:val="Light Shading Accent 1"/>
    <w:basedOn w:val="TableNormal"/>
    <w:uiPriority w:val="60"/>
    <w:rsid w:val="00D31223"/>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Hyperlink">
    <w:name w:val="Hyperlink"/>
    <w:basedOn w:val="DefaultParagraphFont"/>
    <w:uiPriority w:val="99"/>
    <w:unhideWhenUsed/>
    <w:rsid w:val="00D31223"/>
    <w:rPr>
      <w:color w:val="0000FF" w:themeColor="hyperlink"/>
      <w:u w:val="single"/>
    </w:rPr>
  </w:style>
  <w:style w:type="paragraph" w:styleId="BalloonText">
    <w:name w:val="Balloon Text"/>
    <w:basedOn w:val="Normal"/>
    <w:link w:val="BalloonTextChar"/>
    <w:uiPriority w:val="99"/>
    <w:semiHidden/>
    <w:unhideWhenUsed/>
    <w:rsid w:val="00D3122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31223"/>
    <w:rPr>
      <w:rFonts w:ascii="Lucida Grande" w:hAnsi="Lucida Grande" w:cs="Lucida Grande"/>
      <w:sz w:val="18"/>
      <w:szCs w:val="18"/>
    </w:rPr>
  </w:style>
  <w:style w:type="paragraph" w:styleId="NormalWeb">
    <w:name w:val="Normal (Web)"/>
    <w:basedOn w:val="Normal"/>
    <w:uiPriority w:val="99"/>
    <w:unhideWhenUsed/>
    <w:rsid w:val="00D31223"/>
    <w:pPr>
      <w:spacing w:before="100" w:beforeAutospacing="1" w:after="100" w:afterAutospacing="1"/>
    </w:pPr>
    <w:rPr>
      <w:rFonts w:ascii="Times" w:hAnsi="Times" w:cs="Times New Roman"/>
      <w:sz w:val="20"/>
      <w:szCs w:val="20"/>
    </w:rPr>
  </w:style>
  <w:style w:type="paragraph" w:styleId="ListParagraph">
    <w:name w:val="List Paragraph"/>
    <w:basedOn w:val="Normal"/>
    <w:uiPriority w:val="34"/>
    <w:qFormat/>
    <w:rsid w:val="00D31223"/>
    <w:pPr>
      <w:ind w:left="720"/>
      <w:contextualSpacing/>
    </w:pPr>
  </w:style>
  <w:style w:type="table" w:styleId="TableGrid">
    <w:name w:val="Table Grid"/>
    <w:basedOn w:val="TableNormal"/>
    <w:uiPriority w:val="39"/>
    <w:rsid w:val="00D312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1">
    <w:name w:val="Light List Accent 1"/>
    <w:basedOn w:val="TableNormal"/>
    <w:uiPriority w:val="61"/>
    <w:rsid w:val="00D31223"/>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Grid-Accent1">
    <w:name w:val="Light Grid Accent 1"/>
    <w:basedOn w:val="TableNormal"/>
    <w:uiPriority w:val="62"/>
    <w:rsid w:val="00D31223"/>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Footer">
    <w:name w:val="footer"/>
    <w:basedOn w:val="Normal"/>
    <w:link w:val="FooterChar"/>
    <w:uiPriority w:val="99"/>
    <w:unhideWhenUsed/>
    <w:rsid w:val="00D31223"/>
    <w:pPr>
      <w:tabs>
        <w:tab w:val="center" w:pos="4320"/>
        <w:tab w:val="right" w:pos="8640"/>
      </w:tabs>
    </w:pPr>
  </w:style>
  <w:style w:type="character" w:customStyle="1" w:styleId="FooterChar">
    <w:name w:val="Footer Char"/>
    <w:basedOn w:val="DefaultParagraphFont"/>
    <w:link w:val="Footer"/>
    <w:uiPriority w:val="99"/>
    <w:rsid w:val="00D31223"/>
  </w:style>
  <w:style w:type="character" w:styleId="PageNumber">
    <w:name w:val="page number"/>
    <w:basedOn w:val="DefaultParagraphFont"/>
    <w:uiPriority w:val="99"/>
    <w:semiHidden/>
    <w:unhideWhenUsed/>
    <w:rsid w:val="00D31223"/>
  </w:style>
  <w:style w:type="table" w:styleId="LightList">
    <w:name w:val="Light List"/>
    <w:basedOn w:val="TableNormal"/>
    <w:uiPriority w:val="61"/>
    <w:rsid w:val="00D31223"/>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Heading1Char">
    <w:name w:val="Heading 1 Char"/>
    <w:basedOn w:val="DefaultParagraphFont"/>
    <w:link w:val="Heading1"/>
    <w:uiPriority w:val="9"/>
    <w:rsid w:val="00052C99"/>
    <w:rPr>
      <w:rFonts w:ascii="Arial" w:eastAsiaTheme="majorEastAsia" w:hAnsi="Arial" w:cstheme="majorBidi"/>
      <w:b/>
      <w:bCs/>
      <w:sz w:val="22"/>
      <w:szCs w:val="32"/>
    </w:rPr>
  </w:style>
  <w:style w:type="paragraph" w:styleId="TOCHeading">
    <w:name w:val="TOC Heading"/>
    <w:basedOn w:val="Heading1"/>
    <w:next w:val="Normal"/>
    <w:uiPriority w:val="39"/>
    <w:unhideWhenUsed/>
    <w:qFormat/>
    <w:rsid w:val="00750D4A"/>
    <w:pPr>
      <w:spacing w:line="276" w:lineRule="auto"/>
      <w:outlineLvl w:val="9"/>
    </w:pPr>
    <w:rPr>
      <w:color w:val="365F91" w:themeColor="accent1" w:themeShade="BF"/>
      <w:sz w:val="28"/>
      <w:szCs w:val="28"/>
      <w:lang w:val="en-US"/>
    </w:rPr>
  </w:style>
  <w:style w:type="paragraph" w:styleId="TOC1">
    <w:name w:val="toc 1"/>
    <w:basedOn w:val="Normal"/>
    <w:next w:val="Normal"/>
    <w:autoRedefine/>
    <w:uiPriority w:val="39"/>
    <w:unhideWhenUsed/>
    <w:qFormat/>
    <w:rsid w:val="00AD0A0A"/>
    <w:pPr>
      <w:tabs>
        <w:tab w:val="right" w:leader="underscore" w:pos="9010"/>
      </w:tabs>
      <w:spacing w:before="120" w:after="120" w:line="360" w:lineRule="auto"/>
    </w:pPr>
    <w:rPr>
      <w:rFonts w:ascii="Arial" w:hAnsi="Arial"/>
      <w:b/>
      <w:sz w:val="22"/>
    </w:rPr>
  </w:style>
  <w:style w:type="paragraph" w:styleId="TOC2">
    <w:name w:val="toc 2"/>
    <w:basedOn w:val="Normal"/>
    <w:next w:val="Normal"/>
    <w:autoRedefine/>
    <w:uiPriority w:val="39"/>
    <w:unhideWhenUsed/>
    <w:rsid w:val="00347284"/>
    <w:pPr>
      <w:ind w:left="240"/>
    </w:pPr>
    <w:rPr>
      <w:rFonts w:ascii="Arial" w:hAnsi="Arial"/>
      <w:b/>
      <w:sz w:val="22"/>
      <w:szCs w:val="22"/>
    </w:rPr>
  </w:style>
  <w:style w:type="paragraph" w:styleId="TOC3">
    <w:name w:val="toc 3"/>
    <w:basedOn w:val="Normal"/>
    <w:next w:val="Normal"/>
    <w:autoRedefine/>
    <w:uiPriority w:val="39"/>
    <w:unhideWhenUsed/>
    <w:rsid w:val="00347284"/>
    <w:pPr>
      <w:ind w:left="480"/>
    </w:pPr>
    <w:rPr>
      <w:rFonts w:ascii="Arial" w:hAnsi="Arial"/>
      <w:sz w:val="22"/>
      <w:szCs w:val="22"/>
    </w:rPr>
  </w:style>
  <w:style w:type="paragraph" w:styleId="TOC4">
    <w:name w:val="toc 4"/>
    <w:basedOn w:val="Normal"/>
    <w:next w:val="Normal"/>
    <w:autoRedefine/>
    <w:uiPriority w:val="39"/>
    <w:unhideWhenUsed/>
    <w:rsid w:val="00347284"/>
    <w:pPr>
      <w:ind w:left="720"/>
    </w:pPr>
    <w:rPr>
      <w:rFonts w:ascii="Arial" w:hAnsi="Arial"/>
      <w:color w:val="7F7F7F" w:themeColor="text1" w:themeTint="80"/>
      <w:sz w:val="20"/>
      <w:szCs w:val="20"/>
    </w:rPr>
  </w:style>
  <w:style w:type="paragraph" w:styleId="TOC5">
    <w:name w:val="toc 5"/>
    <w:basedOn w:val="Normal"/>
    <w:next w:val="Normal"/>
    <w:autoRedefine/>
    <w:uiPriority w:val="39"/>
    <w:unhideWhenUsed/>
    <w:rsid w:val="00347284"/>
    <w:pPr>
      <w:ind w:left="960"/>
    </w:pPr>
    <w:rPr>
      <w:rFonts w:ascii="Arial" w:hAnsi="Arial"/>
      <w:sz w:val="20"/>
      <w:szCs w:val="20"/>
    </w:rPr>
  </w:style>
  <w:style w:type="paragraph" w:styleId="TOC6">
    <w:name w:val="toc 6"/>
    <w:basedOn w:val="Normal"/>
    <w:next w:val="Normal"/>
    <w:autoRedefine/>
    <w:uiPriority w:val="39"/>
    <w:unhideWhenUsed/>
    <w:rsid w:val="00750D4A"/>
    <w:pPr>
      <w:ind w:left="1200"/>
    </w:pPr>
    <w:rPr>
      <w:sz w:val="20"/>
      <w:szCs w:val="20"/>
    </w:rPr>
  </w:style>
  <w:style w:type="paragraph" w:styleId="TOC7">
    <w:name w:val="toc 7"/>
    <w:basedOn w:val="Normal"/>
    <w:next w:val="Normal"/>
    <w:autoRedefine/>
    <w:uiPriority w:val="39"/>
    <w:unhideWhenUsed/>
    <w:rsid w:val="00750D4A"/>
    <w:pPr>
      <w:ind w:left="1440"/>
    </w:pPr>
    <w:rPr>
      <w:sz w:val="20"/>
      <w:szCs w:val="20"/>
    </w:rPr>
  </w:style>
  <w:style w:type="paragraph" w:styleId="TOC8">
    <w:name w:val="toc 8"/>
    <w:basedOn w:val="Normal"/>
    <w:next w:val="Normal"/>
    <w:autoRedefine/>
    <w:uiPriority w:val="39"/>
    <w:unhideWhenUsed/>
    <w:rsid w:val="00750D4A"/>
    <w:pPr>
      <w:ind w:left="1680"/>
    </w:pPr>
    <w:rPr>
      <w:sz w:val="20"/>
      <w:szCs w:val="20"/>
    </w:rPr>
  </w:style>
  <w:style w:type="paragraph" w:styleId="TOC9">
    <w:name w:val="toc 9"/>
    <w:basedOn w:val="Normal"/>
    <w:next w:val="Normal"/>
    <w:autoRedefine/>
    <w:uiPriority w:val="39"/>
    <w:unhideWhenUsed/>
    <w:rsid w:val="00750D4A"/>
    <w:pPr>
      <w:ind w:left="1920"/>
    </w:pPr>
    <w:rPr>
      <w:sz w:val="20"/>
      <w:szCs w:val="20"/>
    </w:rPr>
  </w:style>
  <w:style w:type="character" w:customStyle="1" w:styleId="Heading2Char">
    <w:name w:val="Heading 2 Char"/>
    <w:basedOn w:val="DefaultParagraphFont"/>
    <w:link w:val="Heading2"/>
    <w:uiPriority w:val="9"/>
    <w:rsid w:val="0042365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820E82"/>
    <w:rPr>
      <w:rFonts w:ascii="Arial" w:eastAsiaTheme="majorEastAsia" w:hAnsi="Arial" w:cstheme="majorBidi"/>
      <w:b/>
      <w:bCs/>
      <w:sz w:val="22"/>
    </w:rPr>
  </w:style>
  <w:style w:type="paragraph" w:styleId="BodyText">
    <w:name w:val="Body Text"/>
    <w:basedOn w:val="Normal"/>
    <w:link w:val="BodyTextChar"/>
    <w:rsid w:val="009D01BB"/>
    <w:pPr>
      <w:spacing w:after="240" w:line="240" w:lineRule="atLeast"/>
      <w:ind w:firstLine="360"/>
      <w:jc w:val="both"/>
    </w:pPr>
    <w:rPr>
      <w:rFonts w:ascii="Garamond" w:eastAsia="Times New Roman" w:hAnsi="Garamond" w:cs="Times New Roman"/>
      <w:sz w:val="22"/>
      <w:lang w:val="en-US"/>
    </w:rPr>
  </w:style>
  <w:style w:type="character" w:customStyle="1" w:styleId="BodyTextChar">
    <w:name w:val="Body Text Char"/>
    <w:basedOn w:val="DefaultParagraphFont"/>
    <w:link w:val="BodyText"/>
    <w:rsid w:val="009D01BB"/>
    <w:rPr>
      <w:rFonts w:ascii="Garamond" w:eastAsia="Times New Roman" w:hAnsi="Garamond" w:cs="Times New Roman"/>
      <w:sz w:val="22"/>
      <w:lang w:val="en-US"/>
    </w:rPr>
  </w:style>
  <w:style w:type="character" w:customStyle="1" w:styleId="Heading4Char">
    <w:name w:val="Heading 4 Char"/>
    <w:basedOn w:val="DefaultParagraphFont"/>
    <w:link w:val="Heading4"/>
    <w:uiPriority w:val="9"/>
    <w:rsid w:val="00A11959"/>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E02CE3"/>
    <w:rPr>
      <w:rFonts w:asciiTheme="majorHAnsi" w:eastAsiaTheme="majorEastAsia" w:hAnsiTheme="majorHAnsi" w:cstheme="majorBidi"/>
      <w:color w:val="243F60" w:themeColor="accent1" w:themeShade="7F"/>
    </w:rPr>
  </w:style>
  <w:style w:type="paragraph" w:styleId="Header">
    <w:name w:val="header"/>
    <w:basedOn w:val="Normal"/>
    <w:link w:val="HeaderChar"/>
    <w:uiPriority w:val="99"/>
    <w:unhideWhenUsed/>
    <w:rsid w:val="00BC4827"/>
    <w:pPr>
      <w:tabs>
        <w:tab w:val="center" w:pos="4513"/>
        <w:tab w:val="right" w:pos="9026"/>
      </w:tabs>
    </w:pPr>
  </w:style>
  <w:style w:type="character" w:customStyle="1" w:styleId="HeaderChar">
    <w:name w:val="Header Char"/>
    <w:basedOn w:val="DefaultParagraphFont"/>
    <w:link w:val="Header"/>
    <w:uiPriority w:val="99"/>
    <w:rsid w:val="00BC4827"/>
  </w:style>
  <w:style w:type="character" w:customStyle="1" w:styleId="apple-converted-space">
    <w:name w:val="apple-converted-space"/>
    <w:basedOn w:val="DefaultParagraphFont"/>
    <w:rsid w:val="00BC4827"/>
  </w:style>
  <w:style w:type="character" w:styleId="Emphasis">
    <w:name w:val="Emphasis"/>
    <w:basedOn w:val="DefaultParagraphFont"/>
    <w:uiPriority w:val="20"/>
    <w:qFormat/>
    <w:rsid w:val="00BC4827"/>
    <w:rPr>
      <w:i/>
      <w:iCs/>
    </w:rPr>
  </w:style>
  <w:style w:type="character" w:styleId="CommentReference">
    <w:name w:val="annotation reference"/>
    <w:basedOn w:val="DefaultParagraphFont"/>
    <w:uiPriority w:val="99"/>
    <w:semiHidden/>
    <w:unhideWhenUsed/>
    <w:rsid w:val="00BC4827"/>
    <w:rPr>
      <w:sz w:val="16"/>
      <w:szCs w:val="16"/>
    </w:rPr>
  </w:style>
  <w:style w:type="paragraph" w:styleId="CommentText">
    <w:name w:val="annotation text"/>
    <w:basedOn w:val="Normal"/>
    <w:link w:val="CommentTextChar"/>
    <w:uiPriority w:val="99"/>
    <w:semiHidden/>
    <w:unhideWhenUsed/>
    <w:rsid w:val="00BC4827"/>
    <w:rPr>
      <w:sz w:val="20"/>
      <w:szCs w:val="20"/>
    </w:rPr>
  </w:style>
  <w:style w:type="character" w:customStyle="1" w:styleId="CommentTextChar">
    <w:name w:val="Comment Text Char"/>
    <w:basedOn w:val="DefaultParagraphFont"/>
    <w:link w:val="CommentText"/>
    <w:uiPriority w:val="99"/>
    <w:semiHidden/>
    <w:rsid w:val="00BC4827"/>
    <w:rPr>
      <w:sz w:val="20"/>
      <w:szCs w:val="20"/>
    </w:rPr>
  </w:style>
  <w:style w:type="paragraph" w:styleId="CommentSubject">
    <w:name w:val="annotation subject"/>
    <w:basedOn w:val="CommentText"/>
    <w:next w:val="CommentText"/>
    <w:link w:val="CommentSubjectChar"/>
    <w:uiPriority w:val="99"/>
    <w:semiHidden/>
    <w:unhideWhenUsed/>
    <w:rsid w:val="00BC4827"/>
    <w:rPr>
      <w:b/>
      <w:bCs/>
    </w:rPr>
  </w:style>
  <w:style w:type="character" w:customStyle="1" w:styleId="CommentSubjectChar">
    <w:name w:val="Comment Subject Char"/>
    <w:basedOn w:val="CommentTextChar"/>
    <w:link w:val="CommentSubject"/>
    <w:uiPriority w:val="99"/>
    <w:semiHidden/>
    <w:rsid w:val="00BC4827"/>
    <w:rPr>
      <w:b/>
      <w:bCs/>
      <w:sz w:val="20"/>
      <w:szCs w:val="20"/>
    </w:rPr>
  </w:style>
  <w:style w:type="character" w:styleId="UnresolvedMention">
    <w:name w:val="Unresolved Mention"/>
    <w:basedOn w:val="DefaultParagraphFont"/>
    <w:uiPriority w:val="99"/>
    <w:semiHidden/>
    <w:unhideWhenUsed/>
    <w:rsid w:val="007F596B"/>
    <w:rPr>
      <w:color w:val="605E5C"/>
      <w:shd w:val="clear" w:color="auto" w:fill="E1DFDD"/>
    </w:rPr>
  </w:style>
  <w:style w:type="character" w:styleId="PlaceholderText">
    <w:name w:val="Placeholder Text"/>
    <w:basedOn w:val="DefaultParagraphFont"/>
    <w:uiPriority w:val="99"/>
    <w:semiHidden/>
    <w:rsid w:val="007F596B"/>
    <w:rPr>
      <w:color w:val="808080"/>
    </w:rPr>
  </w:style>
  <w:style w:type="paragraph" w:styleId="Title">
    <w:name w:val="Title"/>
    <w:basedOn w:val="Normal"/>
    <w:next w:val="Normal"/>
    <w:link w:val="TitleChar"/>
    <w:uiPriority w:val="10"/>
    <w:qFormat/>
    <w:rsid w:val="007F596B"/>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F596B"/>
    <w:rPr>
      <w:rFonts w:asciiTheme="majorHAnsi" w:eastAsiaTheme="majorEastAsia" w:hAnsiTheme="majorHAnsi" w:cstheme="majorBidi"/>
      <w:spacing w:val="-10"/>
      <w:kern w:val="28"/>
      <w:sz w:val="56"/>
      <w:szCs w:val="56"/>
    </w:rPr>
  </w:style>
  <w:style w:type="paragraph" w:styleId="FootnoteText">
    <w:name w:val="footnote text"/>
    <w:basedOn w:val="Normal"/>
    <w:link w:val="FootnoteTextChar"/>
    <w:uiPriority w:val="99"/>
    <w:semiHidden/>
    <w:unhideWhenUsed/>
    <w:rsid w:val="007F596B"/>
    <w:rPr>
      <w:rFonts w:eastAsiaTheme="minorHAnsi"/>
      <w:sz w:val="20"/>
      <w:szCs w:val="20"/>
    </w:rPr>
  </w:style>
  <w:style w:type="character" w:customStyle="1" w:styleId="FootnoteTextChar">
    <w:name w:val="Footnote Text Char"/>
    <w:basedOn w:val="DefaultParagraphFont"/>
    <w:link w:val="FootnoteText"/>
    <w:uiPriority w:val="99"/>
    <w:semiHidden/>
    <w:rsid w:val="007F596B"/>
    <w:rPr>
      <w:rFonts w:eastAsiaTheme="minorHAnsi"/>
      <w:sz w:val="20"/>
      <w:szCs w:val="20"/>
    </w:rPr>
  </w:style>
  <w:style w:type="character" w:styleId="FootnoteReference">
    <w:name w:val="footnote reference"/>
    <w:basedOn w:val="DefaultParagraphFont"/>
    <w:uiPriority w:val="99"/>
    <w:semiHidden/>
    <w:unhideWhenUsed/>
    <w:rsid w:val="007F596B"/>
    <w:rPr>
      <w:vertAlign w:val="superscript"/>
    </w:rPr>
  </w:style>
  <w:style w:type="paragraph" w:customStyle="1" w:styleId="SOMHead">
    <w:name w:val="SOMHead"/>
    <w:basedOn w:val="Normal"/>
    <w:rsid w:val="007F596B"/>
    <w:pPr>
      <w:keepNext/>
      <w:spacing w:before="240"/>
      <w:outlineLvl w:val="0"/>
    </w:pPr>
    <w:rPr>
      <w:rFonts w:ascii="Times New Roman" w:eastAsia="Times New Roman" w:hAnsi="Times New Roman" w:cs="Times New Roman"/>
      <w:b/>
      <w:kern w:val="28"/>
      <w:lang w:val="en-US"/>
    </w:rPr>
  </w:style>
  <w:style w:type="table" w:styleId="ListTable5Dark">
    <w:name w:val="List Table 5 Dark"/>
    <w:basedOn w:val="TableNormal"/>
    <w:uiPriority w:val="50"/>
    <w:rsid w:val="00850321"/>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
    <w:name w:val="List Table 7 Colorful"/>
    <w:basedOn w:val="TableNormal"/>
    <w:uiPriority w:val="52"/>
    <w:rsid w:val="00850321"/>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
    <w:name w:val="Grid Table 1 Light"/>
    <w:basedOn w:val="TableNormal"/>
    <w:uiPriority w:val="99"/>
    <w:rsid w:val="0085032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850321"/>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PlainTable2">
    <w:name w:val="Plain Table 2"/>
    <w:basedOn w:val="TableNormal"/>
    <w:uiPriority w:val="99"/>
    <w:rsid w:val="0085032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FollowedHyperlink">
    <w:name w:val="FollowedHyperlink"/>
    <w:basedOn w:val="DefaultParagraphFont"/>
    <w:uiPriority w:val="99"/>
    <w:semiHidden/>
    <w:unhideWhenUsed/>
    <w:rsid w:val="0098351F"/>
    <w:rPr>
      <w:color w:val="800080" w:themeColor="followedHyperlink"/>
      <w:u w:val="single"/>
    </w:rPr>
  </w:style>
  <w:style w:type="character" w:styleId="HTMLCite">
    <w:name w:val="HTML Cite"/>
    <w:basedOn w:val="DefaultParagraphFont"/>
    <w:uiPriority w:val="99"/>
    <w:semiHidden/>
    <w:unhideWhenUsed/>
    <w:rsid w:val="00CC551D"/>
    <w:rPr>
      <w:i/>
      <w:iCs/>
    </w:rPr>
  </w:style>
  <w:style w:type="paragraph" w:customStyle="1" w:styleId="action-menu-item">
    <w:name w:val="action-menu-item"/>
    <w:basedOn w:val="Normal"/>
    <w:rsid w:val="00CC551D"/>
    <w:pPr>
      <w:spacing w:before="100" w:beforeAutospacing="1" w:after="100" w:afterAutospacing="1"/>
    </w:pPr>
    <w:rPr>
      <w:rFonts w:ascii="Times New Roman" w:eastAsia="Times New Roman" w:hAnsi="Times New Roman" w:cs="Times New Roman"/>
    </w:rPr>
  </w:style>
  <w:style w:type="character" w:customStyle="1" w:styleId="harvardtitle">
    <w:name w:val="harvard_title"/>
    <w:basedOn w:val="DefaultParagraphFont"/>
    <w:rsid w:val="00CC551D"/>
  </w:style>
  <w:style w:type="paragraph" w:customStyle="1" w:styleId="Style1">
    <w:name w:val="Style1"/>
    <w:basedOn w:val="Heading1"/>
    <w:qFormat/>
    <w:rsid w:val="00D168F9"/>
    <w:rPr>
      <w:rFonts w:cs="Arial"/>
      <w:color w:val="000000" w:themeColor="text1"/>
      <w:szCs w:val="22"/>
    </w:rPr>
  </w:style>
  <w:style w:type="paragraph" w:customStyle="1" w:styleId="Style2">
    <w:name w:val="Style2"/>
    <w:basedOn w:val="Heading1"/>
    <w:next w:val="Heading1"/>
    <w:qFormat/>
    <w:rsid w:val="00D168F9"/>
    <w:pPr>
      <w:spacing w:line="480" w:lineRule="auto"/>
      <w:jc w:val="center"/>
    </w:pPr>
    <w:rPr>
      <w:bCs w:val="0"/>
      <w:szCs w:val="22"/>
    </w:rPr>
  </w:style>
  <w:style w:type="paragraph" w:styleId="Caption">
    <w:name w:val="caption"/>
    <w:basedOn w:val="Normal"/>
    <w:next w:val="Normal"/>
    <w:link w:val="CaptionChar"/>
    <w:uiPriority w:val="35"/>
    <w:unhideWhenUsed/>
    <w:qFormat/>
    <w:rsid w:val="0061002B"/>
    <w:pPr>
      <w:spacing w:after="200"/>
    </w:pPr>
    <w:rPr>
      <w:rFonts w:ascii="Arial" w:hAnsi="Arial"/>
      <w:iCs/>
      <w:sz w:val="22"/>
      <w:szCs w:val="18"/>
    </w:rPr>
  </w:style>
  <w:style w:type="paragraph" w:styleId="TableofFigures">
    <w:name w:val="table of figures"/>
    <w:aliases w:val="Table of Tables"/>
    <w:basedOn w:val="Normal"/>
    <w:next w:val="Normal"/>
    <w:uiPriority w:val="99"/>
    <w:unhideWhenUsed/>
    <w:rsid w:val="00E3326C"/>
    <w:pPr>
      <w:spacing w:line="360" w:lineRule="auto"/>
      <w:ind w:left="482" w:hanging="482"/>
    </w:pPr>
    <w:rPr>
      <w:rFonts w:ascii="Arial" w:hAnsi="Arial"/>
      <w:sz w:val="22"/>
      <w:szCs w:val="20"/>
    </w:rPr>
  </w:style>
  <w:style w:type="paragraph" w:customStyle="1" w:styleId="Figures">
    <w:name w:val="Figures"/>
    <w:basedOn w:val="Caption"/>
    <w:link w:val="FiguresChar"/>
    <w:qFormat/>
    <w:rsid w:val="00255C8F"/>
    <w:rPr>
      <w:b/>
    </w:rPr>
  </w:style>
  <w:style w:type="paragraph" w:customStyle="1" w:styleId="Tables">
    <w:name w:val="Tables"/>
    <w:basedOn w:val="Caption"/>
    <w:link w:val="TablesChar"/>
    <w:qFormat/>
    <w:rsid w:val="00187387"/>
    <w:pPr>
      <w:keepNext/>
    </w:pPr>
    <w:rPr>
      <w:b/>
    </w:rPr>
  </w:style>
  <w:style w:type="character" w:customStyle="1" w:styleId="CaptionChar">
    <w:name w:val="Caption Char"/>
    <w:basedOn w:val="DefaultParagraphFont"/>
    <w:link w:val="Caption"/>
    <w:uiPriority w:val="35"/>
    <w:rsid w:val="00255C8F"/>
    <w:rPr>
      <w:rFonts w:ascii="Arial" w:hAnsi="Arial"/>
      <w:iCs/>
      <w:sz w:val="22"/>
      <w:szCs w:val="18"/>
    </w:rPr>
  </w:style>
  <w:style w:type="character" w:customStyle="1" w:styleId="FiguresChar">
    <w:name w:val="Figures Char"/>
    <w:basedOn w:val="CaptionChar"/>
    <w:link w:val="Figures"/>
    <w:rsid w:val="00255C8F"/>
    <w:rPr>
      <w:rFonts w:ascii="Arial" w:hAnsi="Arial"/>
      <w:b/>
      <w:iCs/>
      <w:sz w:val="22"/>
      <w:szCs w:val="18"/>
    </w:rPr>
  </w:style>
  <w:style w:type="paragraph" w:customStyle="1" w:styleId="Appendices">
    <w:name w:val="Appendices"/>
    <w:basedOn w:val="Caption"/>
    <w:link w:val="AppendicesChar"/>
    <w:qFormat/>
    <w:rsid w:val="00A00537"/>
    <w:pPr>
      <w:keepNext/>
    </w:pPr>
    <w:rPr>
      <w:b/>
    </w:rPr>
  </w:style>
  <w:style w:type="character" w:customStyle="1" w:styleId="TablesChar">
    <w:name w:val="Tables Char"/>
    <w:basedOn w:val="CaptionChar"/>
    <w:link w:val="Tables"/>
    <w:rsid w:val="00187387"/>
    <w:rPr>
      <w:rFonts w:ascii="Arial" w:hAnsi="Arial"/>
      <w:b/>
      <w:iCs/>
      <w:sz w:val="22"/>
      <w:szCs w:val="18"/>
    </w:rPr>
  </w:style>
  <w:style w:type="character" w:customStyle="1" w:styleId="AppendicesChar">
    <w:name w:val="Appendices Char"/>
    <w:basedOn w:val="CaptionChar"/>
    <w:link w:val="Appendices"/>
    <w:rsid w:val="00A00537"/>
    <w:rPr>
      <w:rFonts w:ascii="Arial" w:hAnsi="Arial"/>
      <w:b/>
      <w:iCs/>
      <w:sz w:val="22"/>
      <w:szCs w:val="18"/>
    </w:rPr>
  </w:style>
  <w:style w:type="paragraph" w:styleId="Revision">
    <w:name w:val="Revision"/>
    <w:hidden/>
    <w:uiPriority w:val="99"/>
    <w:semiHidden/>
    <w:rsid w:val="00034586"/>
  </w:style>
  <w:style w:type="numbering" w:customStyle="1" w:styleId="NoList1">
    <w:name w:val="No List1"/>
    <w:next w:val="NoList"/>
    <w:uiPriority w:val="99"/>
    <w:semiHidden/>
    <w:unhideWhenUsed/>
    <w:rsid w:val="00022F29"/>
  </w:style>
  <w:style w:type="character" w:customStyle="1" w:styleId="meta-citation">
    <w:name w:val="meta-citation"/>
    <w:basedOn w:val="DefaultParagraphFont"/>
    <w:rsid w:val="00B453F4"/>
  </w:style>
  <w:style w:type="paragraph" w:styleId="Bibliography">
    <w:name w:val="Bibliography"/>
    <w:basedOn w:val="Normal"/>
    <w:next w:val="Normal"/>
    <w:uiPriority w:val="37"/>
    <w:semiHidden/>
    <w:unhideWhenUsed/>
    <w:rsid w:val="00DD38EE"/>
  </w:style>
  <w:style w:type="paragraph" w:styleId="BlockText">
    <w:name w:val="Block Text"/>
    <w:basedOn w:val="Normal"/>
    <w:uiPriority w:val="99"/>
    <w:semiHidden/>
    <w:unhideWhenUsed/>
    <w:rsid w:val="00DD38EE"/>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i/>
      <w:iCs/>
      <w:color w:val="4F81BD" w:themeColor="accent1"/>
    </w:rPr>
  </w:style>
  <w:style w:type="paragraph" w:styleId="BodyText2">
    <w:name w:val="Body Text 2"/>
    <w:basedOn w:val="Normal"/>
    <w:link w:val="BodyText2Char"/>
    <w:uiPriority w:val="99"/>
    <w:semiHidden/>
    <w:unhideWhenUsed/>
    <w:rsid w:val="00DD38EE"/>
    <w:pPr>
      <w:spacing w:after="120" w:line="480" w:lineRule="auto"/>
    </w:pPr>
  </w:style>
  <w:style w:type="character" w:customStyle="1" w:styleId="BodyText2Char">
    <w:name w:val="Body Text 2 Char"/>
    <w:basedOn w:val="DefaultParagraphFont"/>
    <w:link w:val="BodyText2"/>
    <w:uiPriority w:val="99"/>
    <w:semiHidden/>
    <w:rsid w:val="00DD38EE"/>
  </w:style>
  <w:style w:type="paragraph" w:styleId="BodyText3">
    <w:name w:val="Body Text 3"/>
    <w:basedOn w:val="Normal"/>
    <w:link w:val="BodyText3Char"/>
    <w:uiPriority w:val="99"/>
    <w:semiHidden/>
    <w:unhideWhenUsed/>
    <w:rsid w:val="00DD38EE"/>
    <w:pPr>
      <w:spacing w:after="120"/>
    </w:pPr>
    <w:rPr>
      <w:sz w:val="16"/>
      <w:szCs w:val="16"/>
    </w:rPr>
  </w:style>
  <w:style w:type="character" w:customStyle="1" w:styleId="BodyText3Char">
    <w:name w:val="Body Text 3 Char"/>
    <w:basedOn w:val="DefaultParagraphFont"/>
    <w:link w:val="BodyText3"/>
    <w:uiPriority w:val="99"/>
    <w:semiHidden/>
    <w:rsid w:val="00DD38EE"/>
    <w:rPr>
      <w:sz w:val="16"/>
      <w:szCs w:val="16"/>
    </w:rPr>
  </w:style>
  <w:style w:type="paragraph" w:styleId="BodyTextFirstIndent">
    <w:name w:val="Body Text First Indent"/>
    <w:basedOn w:val="BodyText"/>
    <w:link w:val="BodyTextFirstIndentChar"/>
    <w:uiPriority w:val="99"/>
    <w:semiHidden/>
    <w:unhideWhenUsed/>
    <w:rsid w:val="00DD38EE"/>
    <w:pPr>
      <w:spacing w:after="0" w:line="240" w:lineRule="auto"/>
      <w:jc w:val="left"/>
    </w:pPr>
    <w:rPr>
      <w:rFonts w:asciiTheme="minorHAnsi" w:eastAsiaTheme="minorEastAsia" w:hAnsiTheme="minorHAnsi" w:cstheme="minorBidi"/>
      <w:sz w:val="24"/>
      <w:lang w:val="en-GB"/>
    </w:rPr>
  </w:style>
  <w:style w:type="character" w:customStyle="1" w:styleId="BodyTextFirstIndentChar">
    <w:name w:val="Body Text First Indent Char"/>
    <w:basedOn w:val="BodyTextChar"/>
    <w:link w:val="BodyTextFirstIndent"/>
    <w:uiPriority w:val="99"/>
    <w:semiHidden/>
    <w:rsid w:val="00DD38EE"/>
    <w:rPr>
      <w:rFonts w:ascii="Garamond" w:eastAsia="Times New Roman" w:hAnsi="Garamond" w:cs="Times New Roman"/>
      <w:sz w:val="22"/>
      <w:lang w:val="en-US"/>
    </w:rPr>
  </w:style>
  <w:style w:type="paragraph" w:styleId="BodyTextIndent">
    <w:name w:val="Body Text Indent"/>
    <w:basedOn w:val="Normal"/>
    <w:link w:val="BodyTextIndentChar"/>
    <w:uiPriority w:val="99"/>
    <w:semiHidden/>
    <w:unhideWhenUsed/>
    <w:rsid w:val="00DD38EE"/>
    <w:pPr>
      <w:spacing w:after="120"/>
      <w:ind w:left="283"/>
    </w:pPr>
  </w:style>
  <w:style w:type="character" w:customStyle="1" w:styleId="BodyTextIndentChar">
    <w:name w:val="Body Text Indent Char"/>
    <w:basedOn w:val="DefaultParagraphFont"/>
    <w:link w:val="BodyTextIndent"/>
    <w:uiPriority w:val="99"/>
    <w:semiHidden/>
    <w:rsid w:val="00DD38EE"/>
  </w:style>
  <w:style w:type="paragraph" w:styleId="BodyTextFirstIndent2">
    <w:name w:val="Body Text First Indent 2"/>
    <w:basedOn w:val="BodyTextIndent"/>
    <w:link w:val="BodyTextFirstIndent2Char"/>
    <w:uiPriority w:val="99"/>
    <w:semiHidden/>
    <w:unhideWhenUsed/>
    <w:rsid w:val="00DD38EE"/>
    <w:pPr>
      <w:spacing w:after="0"/>
      <w:ind w:left="360" w:firstLine="360"/>
    </w:pPr>
  </w:style>
  <w:style w:type="character" w:customStyle="1" w:styleId="BodyTextFirstIndent2Char">
    <w:name w:val="Body Text First Indent 2 Char"/>
    <w:basedOn w:val="BodyTextIndentChar"/>
    <w:link w:val="BodyTextFirstIndent2"/>
    <w:uiPriority w:val="99"/>
    <w:semiHidden/>
    <w:rsid w:val="00DD38EE"/>
  </w:style>
  <w:style w:type="paragraph" w:styleId="BodyTextIndent2">
    <w:name w:val="Body Text Indent 2"/>
    <w:basedOn w:val="Normal"/>
    <w:link w:val="BodyTextIndent2Char"/>
    <w:uiPriority w:val="99"/>
    <w:semiHidden/>
    <w:unhideWhenUsed/>
    <w:rsid w:val="00DD38EE"/>
    <w:pPr>
      <w:spacing w:after="120" w:line="480" w:lineRule="auto"/>
      <w:ind w:left="283"/>
    </w:pPr>
  </w:style>
  <w:style w:type="character" w:customStyle="1" w:styleId="BodyTextIndent2Char">
    <w:name w:val="Body Text Indent 2 Char"/>
    <w:basedOn w:val="DefaultParagraphFont"/>
    <w:link w:val="BodyTextIndent2"/>
    <w:uiPriority w:val="99"/>
    <w:semiHidden/>
    <w:rsid w:val="00DD38EE"/>
  </w:style>
  <w:style w:type="paragraph" w:styleId="BodyTextIndent3">
    <w:name w:val="Body Text Indent 3"/>
    <w:basedOn w:val="Normal"/>
    <w:link w:val="BodyTextIndent3Char"/>
    <w:uiPriority w:val="99"/>
    <w:semiHidden/>
    <w:unhideWhenUsed/>
    <w:rsid w:val="00DD38E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DD38EE"/>
    <w:rPr>
      <w:sz w:val="16"/>
      <w:szCs w:val="16"/>
    </w:rPr>
  </w:style>
  <w:style w:type="paragraph" w:styleId="Closing">
    <w:name w:val="Closing"/>
    <w:basedOn w:val="Normal"/>
    <w:link w:val="ClosingChar"/>
    <w:uiPriority w:val="99"/>
    <w:semiHidden/>
    <w:unhideWhenUsed/>
    <w:rsid w:val="00DD38EE"/>
    <w:pPr>
      <w:ind w:left="4252"/>
    </w:pPr>
  </w:style>
  <w:style w:type="character" w:customStyle="1" w:styleId="ClosingChar">
    <w:name w:val="Closing Char"/>
    <w:basedOn w:val="DefaultParagraphFont"/>
    <w:link w:val="Closing"/>
    <w:uiPriority w:val="99"/>
    <w:semiHidden/>
    <w:rsid w:val="00DD38EE"/>
  </w:style>
  <w:style w:type="paragraph" w:styleId="Date">
    <w:name w:val="Date"/>
    <w:basedOn w:val="Normal"/>
    <w:next w:val="Normal"/>
    <w:link w:val="DateChar"/>
    <w:uiPriority w:val="99"/>
    <w:semiHidden/>
    <w:unhideWhenUsed/>
    <w:rsid w:val="00DD38EE"/>
  </w:style>
  <w:style w:type="character" w:customStyle="1" w:styleId="DateChar">
    <w:name w:val="Date Char"/>
    <w:basedOn w:val="DefaultParagraphFont"/>
    <w:link w:val="Date"/>
    <w:uiPriority w:val="99"/>
    <w:semiHidden/>
    <w:rsid w:val="00DD38EE"/>
  </w:style>
  <w:style w:type="paragraph" w:styleId="DocumentMap">
    <w:name w:val="Document Map"/>
    <w:basedOn w:val="Normal"/>
    <w:link w:val="DocumentMapChar"/>
    <w:uiPriority w:val="99"/>
    <w:semiHidden/>
    <w:unhideWhenUsed/>
    <w:rsid w:val="00DD38EE"/>
    <w:rPr>
      <w:rFonts w:ascii="Segoe UI" w:hAnsi="Segoe UI" w:cs="Segoe UI"/>
      <w:sz w:val="16"/>
      <w:szCs w:val="16"/>
    </w:rPr>
  </w:style>
  <w:style w:type="character" w:customStyle="1" w:styleId="DocumentMapChar">
    <w:name w:val="Document Map Char"/>
    <w:basedOn w:val="DefaultParagraphFont"/>
    <w:link w:val="DocumentMap"/>
    <w:uiPriority w:val="99"/>
    <w:semiHidden/>
    <w:rsid w:val="00DD38EE"/>
    <w:rPr>
      <w:rFonts w:ascii="Segoe UI" w:hAnsi="Segoe UI" w:cs="Segoe UI"/>
      <w:sz w:val="16"/>
      <w:szCs w:val="16"/>
    </w:rPr>
  </w:style>
  <w:style w:type="paragraph" w:styleId="E-mailSignature">
    <w:name w:val="E-mail Signature"/>
    <w:basedOn w:val="Normal"/>
    <w:link w:val="E-mailSignatureChar"/>
    <w:uiPriority w:val="99"/>
    <w:semiHidden/>
    <w:unhideWhenUsed/>
    <w:rsid w:val="00DD38EE"/>
  </w:style>
  <w:style w:type="character" w:customStyle="1" w:styleId="E-mailSignatureChar">
    <w:name w:val="E-mail Signature Char"/>
    <w:basedOn w:val="DefaultParagraphFont"/>
    <w:link w:val="E-mailSignature"/>
    <w:uiPriority w:val="99"/>
    <w:semiHidden/>
    <w:rsid w:val="00DD38EE"/>
  </w:style>
  <w:style w:type="paragraph" w:styleId="EndnoteText">
    <w:name w:val="endnote text"/>
    <w:basedOn w:val="Normal"/>
    <w:link w:val="EndnoteTextChar"/>
    <w:uiPriority w:val="99"/>
    <w:semiHidden/>
    <w:unhideWhenUsed/>
    <w:rsid w:val="00DD38EE"/>
    <w:rPr>
      <w:sz w:val="20"/>
      <w:szCs w:val="20"/>
    </w:rPr>
  </w:style>
  <w:style w:type="character" w:customStyle="1" w:styleId="EndnoteTextChar">
    <w:name w:val="Endnote Text Char"/>
    <w:basedOn w:val="DefaultParagraphFont"/>
    <w:link w:val="EndnoteText"/>
    <w:uiPriority w:val="99"/>
    <w:semiHidden/>
    <w:rsid w:val="00DD38EE"/>
    <w:rPr>
      <w:sz w:val="20"/>
      <w:szCs w:val="20"/>
    </w:rPr>
  </w:style>
  <w:style w:type="paragraph" w:styleId="EnvelopeAddress">
    <w:name w:val="envelope address"/>
    <w:basedOn w:val="Normal"/>
    <w:uiPriority w:val="99"/>
    <w:semiHidden/>
    <w:unhideWhenUsed/>
    <w:rsid w:val="00DD38EE"/>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uiPriority w:val="99"/>
    <w:semiHidden/>
    <w:unhideWhenUsed/>
    <w:rsid w:val="00DD38EE"/>
    <w:rPr>
      <w:rFonts w:asciiTheme="majorHAnsi" w:eastAsiaTheme="majorEastAsia" w:hAnsiTheme="majorHAnsi" w:cstheme="majorBidi"/>
      <w:sz w:val="20"/>
      <w:szCs w:val="20"/>
    </w:rPr>
  </w:style>
  <w:style w:type="character" w:customStyle="1" w:styleId="Heading6Char">
    <w:name w:val="Heading 6 Char"/>
    <w:basedOn w:val="DefaultParagraphFont"/>
    <w:link w:val="Heading6"/>
    <w:uiPriority w:val="9"/>
    <w:semiHidden/>
    <w:rsid w:val="00DD38EE"/>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DD38EE"/>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DD38E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DD38EE"/>
    <w:rPr>
      <w:rFonts w:asciiTheme="majorHAnsi" w:eastAsiaTheme="majorEastAsia" w:hAnsiTheme="majorHAnsi" w:cstheme="majorBidi"/>
      <w:i/>
      <w:iCs/>
      <w:color w:val="272727" w:themeColor="text1" w:themeTint="D8"/>
      <w:sz w:val="21"/>
      <w:szCs w:val="21"/>
    </w:rPr>
  </w:style>
  <w:style w:type="paragraph" w:styleId="HTMLAddress">
    <w:name w:val="HTML Address"/>
    <w:basedOn w:val="Normal"/>
    <w:link w:val="HTMLAddressChar"/>
    <w:uiPriority w:val="99"/>
    <w:semiHidden/>
    <w:unhideWhenUsed/>
    <w:rsid w:val="00DD38EE"/>
    <w:rPr>
      <w:i/>
      <w:iCs/>
    </w:rPr>
  </w:style>
  <w:style w:type="character" w:customStyle="1" w:styleId="HTMLAddressChar">
    <w:name w:val="HTML Address Char"/>
    <w:basedOn w:val="DefaultParagraphFont"/>
    <w:link w:val="HTMLAddress"/>
    <w:uiPriority w:val="99"/>
    <w:semiHidden/>
    <w:rsid w:val="00DD38EE"/>
    <w:rPr>
      <w:i/>
      <w:iCs/>
    </w:rPr>
  </w:style>
  <w:style w:type="paragraph" w:styleId="HTMLPreformatted">
    <w:name w:val="HTML Preformatted"/>
    <w:basedOn w:val="Normal"/>
    <w:link w:val="HTMLPreformattedChar"/>
    <w:uiPriority w:val="99"/>
    <w:semiHidden/>
    <w:unhideWhenUsed/>
    <w:rsid w:val="00DD38EE"/>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DD38EE"/>
    <w:rPr>
      <w:rFonts w:ascii="Consolas" w:hAnsi="Consolas"/>
      <w:sz w:val="20"/>
      <w:szCs w:val="20"/>
    </w:rPr>
  </w:style>
  <w:style w:type="paragraph" w:styleId="Index1">
    <w:name w:val="index 1"/>
    <w:basedOn w:val="Normal"/>
    <w:next w:val="Normal"/>
    <w:autoRedefine/>
    <w:uiPriority w:val="99"/>
    <w:semiHidden/>
    <w:unhideWhenUsed/>
    <w:rsid w:val="00DD38EE"/>
    <w:pPr>
      <w:ind w:left="240" w:hanging="240"/>
    </w:pPr>
  </w:style>
  <w:style w:type="paragraph" w:styleId="Index2">
    <w:name w:val="index 2"/>
    <w:basedOn w:val="Normal"/>
    <w:next w:val="Normal"/>
    <w:autoRedefine/>
    <w:uiPriority w:val="99"/>
    <w:semiHidden/>
    <w:unhideWhenUsed/>
    <w:rsid w:val="00DD38EE"/>
    <w:pPr>
      <w:ind w:left="480" w:hanging="240"/>
    </w:pPr>
  </w:style>
  <w:style w:type="paragraph" w:styleId="Index3">
    <w:name w:val="index 3"/>
    <w:basedOn w:val="Normal"/>
    <w:next w:val="Normal"/>
    <w:autoRedefine/>
    <w:uiPriority w:val="99"/>
    <w:semiHidden/>
    <w:unhideWhenUsed/>
    <w:rsid w:val="00DD38EE"/>
    <w:pPr>
      <w:ind w:left="720" w:hanging="240"/>
    </w:pPr>
  </w:style>
  <w:style w:type="paragraph" w:styleId="Index4">
    <w:name w:val="index 4"/>
    <w:basedOn w:val="Normal"/>
    <w:next w:val="Normal"/>
    <w:autoRedefine/>
    <w:uiPriority w:val="99"/>
    <w:semiHidden/>
    <w:unhideWhenUsed/>
    <w:rsid w:val="00DD38EE"/>
    <w:pPr>
      <w:ind w:left="960" w:hanging="240"/>
    </w:pPr>
  </w:style>
  <w:style w:type="paragraph" w:styleId="Index5">
    <w:name w:val="index 5"/>
    <w:basedOn w:val="Normal"/>
    <w:next w:val="Normal"/>
    <w:autoRedefine/>
    <w:uiPriority w:val="99"/>
    <w:semiHidden/>
    <w:unhideWhenUsed/>
    <w:rsid w:val="00DD38EE"/>
    <w:pPr>
      <w:ind w:left="1200" w:hanging="240"/>
    </w:pPr>
  </w:style>
  <w:style w:type="paragraph" w:styleId="Index6">
    <w:name w:val="index 6"/>
    <w:basedOn w:val="Normal"/>
    <w:next w:val="Normal"/>
    <w:autoRedefine/>
    <w:uiPriority w:val="99"/>
    <w:semiHidden/>
    <w:unhideWhenUsed/>
    <w:rsid w:val="00DD38EE"/>
    <w:pPr>
      <w:ind w:left="1440" w:hanging="240"/>
    </w:pPr>
  </w:style>
  <w:style w:type="paragraph" w:styleId="Index7">
    <w:name w:val="index 7"/>
    <w:basedOn w:val="Normal"/>
    <w:next w:val="Normal"/>
    <w:autoRedefine/>
    <w:uiPriority w:val="99"/>
    <w:semiHidden/>
    <w:unhideWhenUsed/>
    <w:rsid w:val="00DD38EE"/>
    <w:pPr>
      <w:ind w:left="1680" w:hanging="240"/>
    </w:pPr>
  </w:style>
  <w:style w:type="paragraph" w:styleId="Index8">
    <w:name w:val="index 8"/>
    <w:basedOn w:val="Normal"/>
    <w:next w:val="Normal"/>
    <w:autoRedefine/>
    <w:uiPriority w:val="99"/>
    <w:semiHidden/>
    <w:unhideWhenUsed/>
    <w:rsid w:val="00DD38EE"/>
    <w:pPr>
      <w:ind w:left="1920" w:hanging="240"/>
    </w:pPr>
  </w:style>
  <w:style w:type="paragraph" w:styleId="Index9">
    <w:name w:val="index 9"/>
    <w:basedOn w:val="Normal"/>
    <w:next w:val="Normal"/>
    <w:autoRedefine/>
    <w:uiPriority w:val="99"/>
    <w:semiHidden/>
    <w:unhideWhenUsed/>
    <w:rsid w:val="00DD38EE"/>
    <w:pPr>
      <w:ind w:left="2160" w:hanging="240"/>
    </w:pPr>
  </w:style>
  <w:style w:type="paragraph" w:styleId="IndexHeading">
    <w:name w:val="index heading"/>
    <w:basedOn w:val="Normal"/>
    <w:next w:val="Index1"/>
    <w:uiPriority w:val="99"/>
    <w:semiHidden/>
    <w:unhideWhenUsed/>
    <w:rsid w:val="00DD38E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38EE"/>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DD38EE"/>
    <w:rPr>
      <w:i/>
      <w:iCs/>
      <w:color w:val="4F81BD" w:themeColor="accent1"/>
    </w:rPr>
  </w:style>
  <w:style w:type="paragraph" w:styleId="List">
    <w:name w:val="List"/>
    <w:basedOn w:val="Normal"/>
    <w:uiPriority w:val="99"/>
    <w:semiHidden/>
    <w:unhideWhenUsed/>
    <w:rsid w:val="00DD38EE"/>
    <w:pPr>
      <w:ind w:left="283" w:hanging="283"/>
      <w:contextualSpacing/>
    </w:pPr>
  </w:style>
  <w:style w:type="paragraph" w:styleId="List2">
    <w:name w:val="List 2"/>
    <w:basedOn w:val="Normal"/>
    <w:uiPriority w:val="99"/>
    <w:semiHidden/>
    <w:unhideWhenUsed/>
    <w:rsid w:val="00DD38EE"/>
    <w:pPr>
      <w:ind w:left="566" w:hanging="283"/>
      <w:contextualSpacing/>
    </w:pPr>
  </w:style>
  <w:style w:type="paragraph" w:styleId="List3">
    <w:name w:val="List 3"/>
    <w:basedOn w:val="Normal"/>
    <w:uiPriority w:val="99"/>
    <w:semiHidden/>
    <w:unhideWhenUsed/>
    <w:rsid w:val="00DD38EE"/>
    <w:pPr>
      <w:ind w:left="849" w:hanging="283"/>
      <w:contextualSpacing/>
    </w:pPr>
  </w:style>
  <w:style w:type="paragraph" w:styleId="List4">
    <w:name w:val="List 4"/>
    <w:basedOn w:val="Normal"/>
    <w:uiPriority w:val="99"/>
    <w:semiHidden/>
    <w:unhideWhenUsed/>
    <w:rsid w:val="00DD38EE"/>
    <w:pPr>
      <w:ind w:left="1132" w:hanging="283"/>
      <w:contextualSpacing/>
    </w:pPr>
  </w:style>
  <w:style w:type="paragraph" w:styleId="List5">
    <w:name w:val="List 5"/>
    <w:basedOn w:val="Normal"/>
    <w:uiPriority w:val="99"/>
    <w:semiHidden/>
    <w:unhideWhenUsed/>
    <w:rsid w:val="00DD38EE"/>
    <w:pPr>
      <w:ind w:left="1415" w:hanging="283"/>
      <w:contextualSpacing/>
    </w:pPr>
  </w:style>
  <w:style w:type="paragraph" w:styleId="ListBullet">
    <w:name w:val="List Bullet"/>
    <w:basedOn w:val="Normal"/>
    <w:uiPriority w:val="99"/>
    <w:semiHidden/>
    <w:unhideWhenUsed/>
    <w:rsid w:val="00DD38EE"/>
    <w:pPr>
      <w:numPr>
        <w:numId w:val="41"/>
      </w:numPr>
      <w:contextualSpacing/>
    </w:pPr>
  </w:style>
  <w:style w:type="paragraph" w:styleId="ListBullet2">
    <w:name w:val="List Bullet 2"/>
    <w:basedOn w:val="Normal"/>
    <w:uiPriority w:val="99"/>
    <w:semiHidden/>
    <w:unhideWhenUsed/>
    <w:rsid w:val="00DD38EE"/>
    <w:pPr>
      <w:numPr>
        <w:numId w:val="42"/>
      </w:numPr>
      <w:contextualSpacing/>
    </w:pPr>
  </w:style>
  <w:style w:type="paragraph" w:styleId="ListBullet3">
    <w:name w:val="List Bullet 3"/>
    <w:basedOn w:val="Normal"/>
    <w:uiPriority w:val="99"/>
    <w:semiHidden/>
    <w:unhideWhenUsed/>
    <w:rsid w:val="00DD38EE"/>
    <w:pPr>
      <w:numPr>
        <w:numId w:val="43"/>
      </w:numPr>
      <w:contextualSpacing/>
    </w:pPr>
  </w:style>
  <w:style w:type="paragraph" w:styleId="ListBullet4">
    <w:name w:val="List Bullet 4"/>
    <w:basedOn w:val="Normal"/>
    <w:uiPriority w:val="99"/>
    <w:semiHidden/>
    <w:unhideWhenUsed/>
    <w:rsid w:val="00DD38EE"/>
    <w:pPr>
      <w:numPr>
        <w:numId w:val="44"/>
      </w:numPr>
      <w:contextualSpacing/>
    </w:pPr>
  </w:style>
  <w:style w:type="paragraph" w:styleId="ListBullet5">
    <w:name w:val="List Bullet 5"/>
    <w:basedOn w:val="Normal"/>
    <w:uiPriority w:val="99"/>
    <w:semiHidden/>
    <w:unhideWhenUsed/>
    <w:rsid w:val="00DD38EE"/>
    <w:pPr>
      <w:numPr>
        <w:numId w:val="45"/>
      </w:numPr>
      <w:contextualSpacing/>
    </w:pPr>
  </w:style>
  <w:style w:type="paragraph" w:styleId="ListContinue">
    <w:name w:val="List Continue"/>
    <w:basedOn w:val="Normal"/>
    <w:uiPriority w:val="99"/>
    <w:semiHidden/>
    <w:unhideWhenUsed/>
    <w:rsid w:val="00DD38EE"/>
    <w:pPr>
      <w:spacing w:after="120"/>
      <w:ind w:left="283"/>
      <w:contextualSpacing/>
    </w:pPr>
  </w:style>
  <w:style w:type="paragraph" w:styleId="ListContinue2">
    <w:name w:val="List Continue 2"/>
    <w:basedOn w:val="Normal"/>
    <w:uiPriority w:val="99"/>
    <w:semiHidden/>
    <w:unhideWhenUsed/>
    <w:rsid w:val="00DD38EE"/>
    <w:pPr>
      <w:spacing w:after="120"/>
      <w:ind w:left="566"/>
      <w:contextualSpacing/>
    </w:pPr>
  </w:style>
  <w:style w:type="paragraph" w:styleId="ListContinue3">
    <w:name w:val="List Continue 3"/>
    <w:basedOn w:val="Normal"/>
    <w:uiPriority w:val="99"/>
    <w:semiHidden/>
    <w:unhideWhenUsed/>
    <w:rsid w:val="00DD38EE"/>
    <w:pPr>
      <w:spacing w:after="120"/>
      <w:ind w:left="849"/>
      <w:contextualSpacing/>
    </w:pPr>
  </w:style>
  <w:style w:type="paragraph" w:styleId="ListContinue4">
    <w:name w:val="List Continue 4"/>
    <w:basedOn w:val="Normal"/>
    <w:uiPriority w:val="99"/>
    <w:semiHidden/>
    <w:unhideWhenUsed/>
    <w:rsid w:val="00DD38EE"/>
    <w:pPr>
      <w:spacing w:after="120"/>
      <w:ind w:left="1132"/>
      <w:contextualSpacing/>
    </w:pPr>
  </w:style>
  <w:style w:type="paragraph" w:styleId="ListContinue5">
    <w:name w:val="List Continue 5"/>
    <w:basedOn w:val="Normal"/>
    <w:uiPriority w:val="99"/>
    <w:semiHidden/>
    <w:unhideWhenUsed/>
    <w:rsid w:val="00DD38EE"/>
    <w:pPr>
      <w:spacing w:after="120"/>
      <w:ind w:left="1415"/>
      <w:contextualSpacing/>
    </w:pPr>
  </w:style>
  <w:style w:type="paragraph" w:styleId="ListNumber">
    <w:name w:val="List Number"/>
    <w:basedOn w:val="Normal"/>
    <w:uiPriority w:val="99"/>
    <w:semiHidden/>
    <w:unhideWhenUsed/>
    <w:rsid w:val="00DD38EE"/>
    <w:pPr>
      <w:numPr>
        <w:numId w:val="46"/>
      </w:numPr>
      <w:contextualSpacing/>
    </w:pPr>
  </w:style>
  <w:style w:type="paragraph" w:styleId="ListNumber2">
    <w:name w:val="List Number 2"/>
    <w:basedOn w:val="Normal"/>
    <w:uiPriority w:val="99"/>
    <w:semiHidden/>
    <w:unhideWhenUsed/>
    <w:rsid w:val="00DD38EE"/>
    <w:pPr>
      <w:numPr>
        <w:numId w:val="47"/>
      </w:numPr>
      <w:contextualSpacing/>
    </w:pPr>
  </w:style>
  <w:style w:type="paragraph" w:styleId="ListNumber3">
    <w:name w:val="List Number 3"/>
    <w:basedOn w:val="Normal"/>
    <w:uiPriority w:val="99"/>
    <w:semiHidden/>
    <w:unhideWhenUsed/>
    <w:rsid w:val="00DD38EE"/>
    <w:pPr>
      <w:numPr>
        <w:numId w:val="48"/>
      </w:numPr>
      <w:contextualSpacing/>
    </w:pPr>
  </w:style>
  <w:style w:type="paragraph" w:styleId="ListNumber4">
    <w:name w:val="List Number 4"/>
    <w:basedOn w:val="Normal"/>
    <w:uiPriority w:val="99"/>
    <w:semiHidden/>
    <w:unhideWhenUsed/>
    <w:rsid w:val="00DD38EE"/>
    <w:pPr>
      <w:numPr>
        <w:numId w:val="49"/>
      </w:numPr>
      <w:contextualSpacing/>
    </w:pPr>
  </w:style>
  <w:style w:type="paragraph" w:styleId="ListNumber5">
    <w:name w:val="List Number 5"/>
    <w:basedOn w:val="Normal"/>
    <w:uiPriority w:val="99"/>
    <w:semiHidden/>
    <w:unhideWhenUsed/>
    <w:rsid w:val="00DD38EE"/>
    <w:pPr>
      <w:numPr>
        <w:numId w:val="50"/>
      </w:numPr>
      <w:contextualSpacing/>
    </w:pPr>
  </w:style>
  <w:style w:type="paragraph" w:styleId="MacroText">
    <w:name w:val="macro"/>
    <w:link w:val="MacroTextChar"/>
    <w:uiPriority w:val="99"/>
    <w:semiHidden/>
    <w:unhideWhenUsed/>
    <w:rsid w:val="00DD38EE"/>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rPr>
  </w:style>
  <w:style w:type="character" w:customStyle="1" w:styleId="MacroTextChar">
    <w:name w:val="Macro Text Char"/>
    <w:basedOn w:val="DefaultParagraphFont"/>
    <w:link w:val="MacroText"/>
    <w:uiPriority w:val="99"/>
    <w:semiHidden/>
    <w:rsid w:val="00DD38EE"/>
    <w:rPr>
      <w:rFonts w:ascii="Consolas" w:hAnsi="Consolas"/>
      <w:sz w:val="20"/>
      <w:szCs w:val="20"/>
    </w:rPr>
  </w:style>
  <w:style w:type="paragraph" w:styleId="MessageHeader">
    <w:name w:val="Message Header"/>
    <w:basedOn w:val="Normal"/>
    <w:link w:val="MessageHeaderChar"/>
    <w:uiPriority w:val="99"/>
    <w:semiHidden/>
    <w:unhideWhenUsed/>
    <w:rsid w:val="00DD38EE"/>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DD38EE"/>
    <w:rPr>
      <w:rFonts w:asciiTheme="majorHAnsi" w:eastAsiaTheme="majorEastAsia" w:hAnsiTheme="majorHAnsi" w:cstheme="majorBidi"/>
      <w:shd w:val="pct20" w:color="auto" w:fill="auto"/>
    </w:rPr>
  </w:style>
  <w:style w:type="paragraph" w:styleId="NoSpacing">
    <w:name w:val="No Spacing"/>
    <w:uiPriority w:val="1"/>
    <w:qFormat/>
    <w:rsid w:val="00DD38EE"/>
  </w:style>
  <w:style w:type="paragraph" w:styleId="NormalIndent">
    <w:name w:val="Normal Indent"/>
    <w:basedOn w:val="Normal"/>
    <w:uiPriority w:val="99"/>
    <w:semiHidden/>
    <w:unhideWhenUsed/>
    <w:rsid w:val="00DD38EE"/>
    <w:pPr>
      <w:ind w:left="720"/>
    </w:pPr>
  </w:style>
  <w:style w:type="paragraph" w:styleId="NoteHeading">
    <w:name w:val="Note Heading"/>
    <w:basedOn w:val="Normal"/>
    <w:next w:val="Normal"/>
    <w:link w:val="NoteHeadingChar"/>
    <w:uiPriority w:val="99"/>
    <w:semiHidden/>
    <w:unhideWhenUsed/>
    <w:rsid w:val="00DD38EE"/>
  </w:style>
  <w:style w:type="character" w:customStyle="1" w:styleId="NoteHeadingChar">
    <w:name w:val="Note Heading Char"/>
    <w:basedOn w:val="DefaultParagraphFont"/>
    <w:link w:val="NoteHeading"/>
    <w:uiPriority w:val="99"/>
    <w:semiHidden/>
    <w:rsid w:val="00DD38EE"/>
  </w:style>
  <w:style w:type="paragraph" w:styleId="PlainText">
    <w:name w:val="Plain Text"/>
    <w:basedOn w:val="Normal"/>
    <w:link w:val="PlainTextChar"/>
    <w:uiPriority w:val="99"/>
    <w:semiHidden/>
    <w:unhideWhenUsed/>
    <w:rsid w:val="00DD38EE"/>
    <w:rPr>
      <w:rFonts w:ascii="Consolas" w:hAnsi="Consolas"/>
      <w:sz w:val="21"/>
      <w:szCs w:val="21"/>
    </w:rPr>
  </w:style>
  <w:style w:type="character" w:customStyle="1" w:styleId="PlainTextChar">
    <w:name w:val="Plain Text Char"/>
    <w:basedOn w:val="DefaultParagraphFont"/>
    <w:link w:val="PlainText"/>
    <w:uiPriority w:val="99"/>
    <w:semiHidden/>
    <w:rsid w:val="00DD38EE"/>
    <w:rPr>
      <w:rFonts w:ascii="Consolas" w:hAnsi="Consolas"/>
      <w:sz w:val="21"/>
      <w:szCs w:val="21"/>
    </w:rPr>
  </w:style>
  <w:style w:type="paragraph" w:styleId="Quote">
    <w:name w:val="Quote"/>
    <w:basedOn w:val="Normal"/>
    <w:next w:val="Normal"/>
    <w:link w:val="QuoteChar"/>
    <w:uiPriority w:val="29"/>
    <w:qFormat/>
    <w:rsid w:val="00DD38E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38EE"/>
    <w:rPr>
      <w:i/>
      <w:iCs/>
      <w:color w:val="404040" w:themeColor="text1" w:themeTint="BF"/>
    </w:rPr>
  </w:style>
  <w:style w:type="paragraph" w:styleId="Salutation">
    <w:name w:val="Salutation"/>
    <w:basedOn w:val="Normal"/>
    <w:next w:val="Normal"/>
    <w:link w:val="SalutationChar"/>
    <w:uiPriority w:val="99"/>
    <w:semiHidden/>
    <w:unhideWhenUsed/>
    <w:rsid w:val="00DD38EE"/>
  </w:style>
  <w:style w:type="character" w:customStyle="1" w:styleId="SalutationChar">
    <w:name w:val="Salutation Char"/>
    <w:basedOn w:val="DefaultParagraphFont"/>
    <w:link w:val="Salutation"/>
    <w:uiPriority w:val="99"/>
    <w:semiHidden/>
    <w:rsid w:val="00DD38EE"/>
  </w:style>
  <w:style w:type="paragraph" w:styleId="Signature">
    <w:name w:val="Signature"/>
    <w:basedOn w:val="Normal"/>
    <w:link w:val="SignatureChar"/>
    <w:uiPriority w:val="99"/>
    <w:semiHidden/>
    <w:unhideWhenUsed/>
    <w:rsid w:val="00DD38EE"/>
    <w:pPr>
      <w:ind w:left="4252"/>
    </w:pPr>
  </w:style>
  <w:style w:type="character" w:customStyle="1" w:styleId="SignatureChar">
    <w:name w:val="Signature Char"/>
    <w:basedOn w:val="DefaultParagraphFont"/>
    <w:link w:val="Signature"/>
    <w:uiPriority w:val="99"/>
    <w:semiHidden/>
    <w:rsid w:val="00DD38EE"/>
  </w:style>
  <w:style w:type="paragraph" w:styleId="Subtitle">
    <w:name w:val="Subtitle"/>
    <w:basedOn w:val="Normal"/>
    <w:next w:val="Normal"/>
    <w:link w:val="SubtitleChar"/>
    <w:uiPriority w:val="11"/>
    <w:qFormat/>
    <w:rsid w:val="00DD38EE"/>
    <w:pPr>
      <w:numPr>
        <w:ilvl w:val="1"/>
      </w:numPr>
      <w:spacing w:after="160"/>
    </w:pPr>
    <w:rPr>
      <w:color w:val="5A5A5A" w:themeColor="text1" w:themeTint="A5"/>
      <w:spacing w:val="15"/>
      <w:sz w:val="22"/>
      <w:szCs w:val="22"/>
    </w:rPr>
  </w:style>
  <w:style w:type="character" w:customStyle="1" w:styleId="SubtitleChar">
    <w:name w:val="Subtitle Char"/>
    <w:basedOn w:val="DefaultParagraphFont"/>
    <w:link w:val="Subtitle"/>
    <w:uiPriority w:val="11"/>
    <w:rsid w:val="00DD38EE"/>
    <w:rPr>
      <w:color w:val="5A5A5A" w:themeColor="text1" w:themeTint="A5"/>
      <w:spacing w:val="15"/>
      <w:sz w:val="22"/>
      <w:szCs w:val="22"/>
    </w:rPr>
  </w:style>
  <w:style w:type="paragraph" w:styleId="TableofAuthorities">
    <w:name w:val="table of authorities"/>
    <w:basedOn w:val="Normal"/>
    <w:next w:val="Normal"/>
    <w:uiPriority w:val="99"/>
    <w:semiHidden/>
    <w:unhideWhenUsed/>
    <w:rsid w:val="00DD38EE"/>
    <w:pPr>
      <w:ind w:left="240" w:hanging="240"/>
    </w:pPr>
  </w:style>
  <w:style w:type="paragraph" w:styleId="TOAHeading">
    <w:name w:val="toa heading"/>
    <w:basedOn w:val="Normal"/>
    <w:next w:val="Normal"/>
    <w:uiPriority w:val="99"/>
    <w:semiHidden/>
    <w:unhideWhenUsed/>
    <w:rsid w:val="00DD38EE"/>
    <w:pPr>
      <w:spacing w:before="120"/>
    </w:pPr>
    <w:rPr>
      <w:rFonts w:asciiTheme="majorHAnsi" w:eastAsiaTheme="majorEastAsia" w:hAnsiTheme="majorHAnsi" w:cstheme="majorBidi"/>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5421149">
      <w:bodyDiv w:val="1"/>
      <w:marLeft w:val="0"/>
      <w:marRight w:val="0"/>
      <w:marTop w:val="0"/>
      <w:marBottom w:val="0"/>
      <w:divBdr>
        <w:top w:val="none" w:sz="0" w:space="0" w:color="auto"/>
        <w:left w:val="none" w:sz="0" w:space="0" w:color="auto"/>
        <w:bottom w:val="none" w:sz="0" w:space="0" w:color="auto"/>
        <w:right w:val="none" w:sz="0" w:space="0" w:color="auto"/>
      </w:divBdr>
    </w:div>
    <w:div w:id="424157825">
      <w:bodyDiv w:val="1"/>
      <w:marLeft w:val="0"/>
      <w:marRight w:val="0"/>
      <w:marTop w:val="0"/>
      <w:marBottom w:val="0"/>
      <w:divBdr>
        <w:top w:val="none" w:sz="0" w:space="0" w:color="auto"/>
        <w:left w:val="none" w:sz="0" w:space="0" w:color="auto"/>
        <w:bottom w:val="none" w:sz="0" w:space="0" w:color="auto"/>
        <w:right w:val="none" w:sz="0" w:space="0" w:color="auto"/>
      </w:divBdr>
      <w:divsChild>
        <w:div w:id="1446117531">
          <w:marLeft w:val="0"/>
          <w:marRight w:val="0"/>
          <w:marTop w:val="0"/>
          <w:marBottom w:val="0"/>
          <w:divBdr>
            <w:top w:val="none" w:sz="0" w:space="0" w:color="auto"/>
            <w:left w:val="none" w:sz="0" w:space="0" w:color="auto"/>
            <w:bottom w:val="none" w:sz="0" w:space="0" w:color="auto"/>
            <w:right w:val="none" w:sz="0" w:space="0" w:color="auto"/>
          </w:divBdr>
          <w:divsChild>
            <w:div w:id="151217634">
              <w:marLeft w:val="0"/>
              <w:marRight w:val="0"/>
              <w:marTop w:val="0"/>
              <w:marBottom w:val="0"/>
              <w:divBdr>
                <w:top w:val="none" w:sz="0" w:space="0" w:color="auto"/>
                <w:left w:val="none" w:sz="0" w:space="0" w:color="auto"/>
                <w:bottom w:val="none" w:sz="0" w:space="0" w:color="auto"/>
                <w:right w:val="none" w:sz="0" w:space="0" w:color="auto"/>
              </w:divBdr>
              <w:divsChild>
                <w:div w:id="1904608110">
                  <w:marLeft w:val="0"/>
                  <w:marRight w:val="0"/>
                  <w:marTop w:val="0"/>
                  <w:marBottom w:val="0"/>
                  <w:divBdr>
                    <w:top w:val="none" w:sz="0" w:space="0" w:color="auto"/>
                    <w:left w:val="none" w:sz="0" w:space="0" w:color="auto"/>
                    <w:bottom w:val="none" w:sz="0" w:space="0" w:color="auto"/>
                    <w:right w:val="none" w:sz="0" w:space="0" w:color="auto"/>
                  </w:divBdr>
                </w:div>
              </w:divsChild>
            </w:div>
            <w:div w:id="1961837272">
              <w:marLeft w:val="0"/>
              <w:marRight w:val="0"/>
              <w:marTop w:val="0"/>
              <w:marBottom w:val="0"/>
              <w:divBdr>
                <w:top w:val="none" w:sz="0" w:space="0" w:color="auto"/>
                <w:left w:val="none" w:sz="0" w:space="0" w:color="auto"/>
                <w:bottom w:val="none" w:sz="0" w:space="0" w:color="auto"/>
                <w:right w:val="none" w:sz="0" w:space="0" w:color="auto"/>
              </w:divBdr>
              <w:divsChild>
                <w:div w:id="641079114">
                  <w:marLeft w:val="0"/>
                  <w:marRight w:val="0"/>
                  <w:marTop w:val="0"/>
                  <w:marBottom w:val="0"/>
                  <w:divBdr>
                    <w:top w:val="none" w:sz="0" w:space="0" w:color="auto"/>
                    <w:left w:val="none" w:sz="0" w:space="0" w:color="auto"/>
                    <w:bottom w:val="none" w:sz="0" w:space="0" w:color="auto"/>
                    <w:right w:val="none" w:sz="0" w:space="0" w:color="auto"/>
                  </w:divBdr>
                </w:div>
              </w:divsChild>
            </w:div>
            <w:div w:id="1047681200">
              <w:marLeft w:val="0"/>
              <w:marRight w:val="0"/>
              <w:marTop w:val="0"/>
              <w:marBottom w:val="0"/>
              <w:divBdr>
                <w:top w:val="none" w:sz="0" w:space="0" w:color="auto"/>
                <w:left w:val="none" w:sz="0" w:space="0" w:color="auto"/>
                <w:bottom w:val="none" w:sz="0" w:space="0" w:color="auto"/>
                <w:right w:val="none" w:sz="0" w:space="0" w:color="auto"/>
              </w:divBdr>
              <w:divsChild>
                <w:div w:id="1831797181">
                  <w:marLeft w:val="0"/>
                  <w:marRight w:val="0"/>
                  <w:marTop w:val="0"/>
                  <w:marBottom w:val="0"/>
                  <w:divBdr>
                    <w:top w:val="none" w:sz="0" w:space="0" w:color="auto"/>
                    <w:left w:val="none" w:sz="0" w:space="0" w:color="auto"/>
                    <w:bottom w:val="none" w:sz="0" w:space="0" w:color="auto"/>
                    <w:right w:val="none" w:sz="0" w:space="0" w:color="auto"/>
                  </w:divBdr>
                </w:div>
              </w:divsChild>
            </w:div>
            <w:div w:id="325942385">
              <w:marLeft w:val="0"/>
              <w:marRight w:val="0"/>
              <w:marTop w:val="0"/>
              <w:marBottom w:val="0"/>
              <w:divBdr>
                <w:top w:val="none" w:sz="0" w:space="0" w:color="auto"/>
                <w:left w:val="none" w:sz="0" w:space="0" w:color="auto"/>
                <w:bottom w:val="none" w:sz="0" w:space="0" w:color="auto"/>
                <w:right w:val="none" w:sz="0" w:space="0" w:color="auto"/>
              </w:divBdr>
              <w:divsChild>
                <w:div w:id="1735083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8067635">
          <w:marLeft w:val="0"/>
          <w:marRight w:val="0"/>
          <w:marTop w:val="0"/>
          <w:marBottom w:val="0"/>
          <w:divBdr>
            <w:top w:val="none" w:sz="0" w:space="0" w:color="auto"/>
            <w:left w:val="none" w:sz="0" w:space="0" w:color="auto"/>
            <w:bottom w:val="none" w:sz="0" w:space="0" w:color="auto"/>
            <w:right w:val="none" w:sz="0" w:space="0" w:color="auto"/>
          </w:divBdr>
          <w:divsChild>
            <w:div w:id="439229611">
              <w:marLeft w:val="0"/>
              <w:marRight w:val="0"/>
              <w:marTop w:val="0"/>
              <w:marBottom w:val="0"/>
              <w:divBdr>
                <w:top w:val="none" w:sz="0" w:space="0" w:color="auto"/>
                <w:left w:val="none" w:sz="0" w:space="0" w:color="auto"/>
                <w:bottom w:val="none" w:sz="0" w:space="0" w:color="auto"/>
                <w:right w:val="none" w:sz="0" w:space="0" w:color="auto"/>
              </w:divBdr>
              <w:divsChild>
                <w:div w:id="985087139">
                  <w:marLeft w:val="0"/>
                  <w:marRight w:val="0"/>
                  <w:marTop w:val="0"/>
                  <w:marBottom w:val="0"/>
                  <w:divBdr>
                    <w:top w:val="none" w:sz="0" w:space="0" w:color="auto"/>
                    <w:left w:val="none" w:sz="0" w:space="0" w:color="auto"/>
                    <w:bottom w:val="none" w:sz="0" w:space="0" w:color="auto"/>
                    <w:right w:val="none" w:sz="0" w:space="0" w:color="auto"/>
                  </w:divBdr>
                </w:div>
                <w:div w:id="1685589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0690003">
          <w:marLeft w:val="0"/>
          <w:marRight w:val="0"/>
          <w:marTop w:val="0"/>
          <w:marBottom w:val="0"/>
          <w:divBdr>
            <w:top w:val="none" w:sz="0" w:space="0" w:color="auto"/>
            <w:left w:val="none" w:sz="0" w:space="0" w:color="auto"/>
            <w:bottom w:val="none" w:sz="0" w:space="0" w:color="auto"/>
            <w:right w:val="none" w:sz="0" w:space="0" w:color="auto"/>
          </w:divBdr>
          <w:divsChild>
            <w:div w:id="1232740928">
              <w:marLeft w:val="0"/>
              <w:marRight w:val="0"/>
              <w:marTop w:val="0"/>
              <w:marBottom w:val="0"/>
              <w:divBdr>
                <w:top w:val="none" w:sz="0" w:space="0" w:color="auto"/>
                <w:left w:val="none" w:sz="0" w:space="0" w:color="auto"/>
                <w:bottom w:val="none" w:sz="0" w:space="0" w:color="auto"/>
                <w:right w:val="none" w:sz="0" w:space="0" w:color="auto"/>
              </w:divBdr>
              <w:divsChild>
                <w:div w:id="1580670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7384596">
          <w:marLeft w:val="0"/>
          <w:marRight w:val="0"/>
          <w:marTop w:val="0"/>
          <w:marBottom w:val="0"/>
          <w:divBdr>
            <w:top w:val="none" w:sz="0" w:space="0" w:color="auto"/>
            <w:left w:val="none" w:sz="0" w:space="0" w:color="auto"/>
            <w:bottom w:val="none" w:sz="0" w:space="0" w:color="auto"/>
            <w:right w:val="none" w:sz="0" w:space="0" w:color="auto"/>
          </w:divBdr>
          <w:divsChild>
            <w:div w:id="730229794">
              <w:marLeft w:val="0"/>
              <w:marRight w:val="0"/>
              <w:marTop w:val="0"/>
              <w:marBottom w:val="0"/>
              <w:divBdr>
                <w:top w:val="none" w:sz="0" w:space="0" w:color="auto"/>
                <w:left w:val="none" w:sz="0" w:space="0" w:color="auto"/>
                <w:bottom w:val="none" w:sz="0" w:space="0" w:color="auto"/>
                <w:right w:val="none" w:sz="0" w:space="0" w:color="auto"/>
              </w:divBdr>
              <w:divsChild>
                <w:div w:id="332950330">
                  <w:marLeft w:val="0"/>
                  <w:marRight w:val="0"/>
                  <w:marTop w:val="0"/>
                  <w:marBottom w:val="0"/>
                  <w:divBdr>
                    <w:top w:val="none" w:sz="0" w:space="0" w:color="auto"/>
                    <w:left w:val="none" w:sz="0" w:space="0" w:color="auto"/>
                    <w:bottom w:val="none" w:sz="0" w:space="0" w:color="auto"/>
                    <w:right w:val="none" w:sz="0" w:space="0" w:color="auto"/>
                  </w:divBdr>
                </w:div>
              </w:divsChild>
            </w:div>
            <w:div w:id="492113299">
              <w:marLeft w:val="0"/>
              <w:marRight w:val="0"/>
              <w:marTop w:val="0"/>
              <w:marBottom w:val="0"/>
              <w:divBdr>
                <w:top w:val="none" w:sz="0" w:space="0" w:color="auto"/>
                <w:left w:val="none" w:sz="0" w:space="0" w:color="auto"/>
                <w:bottom w:val="none" w:sz="0" w:space="0" w:color="auto"/>
                <w:right w:val="none" w:sz="0" w:space="0" w:color="auto"/>
              </w:divBdr>
              <w:divsChild>
                <w:div w:id="212425945">
                  <w:marLeft w:val="0"/>
                  <w:marRight w:val="0"/>
                  <w:marTop w:val="0"/>
                  <w:marBottom w:val="0"/>
                  <w:divBdr>
                    <w:top w:val="none" w:sz="0" w:space="0" w:color="auto"/>
                    <w:left w:val="none" w:sz="0" w:space="0" w:color="auto"/>
                    <w:bottom w:val="none" w:sz="0" w:space="0" w:color="auto"/>
                    <w:right w:val="none" w:sz="0" w:space="0" w:color="auto"/>
                  </w:divBdr>
                </w:div>
              </w:divsChild>
            </w:div>
            <w:div w:id="952130566">
              <w:marLeft w:val="0"/>
              <w:marRight w:val="0"/>
              <w:marTop w:val="0"/>
              <w:marBottom w:val="0"/>
              <w:divBdr>
                <w:top w:val="none" w:sz="0" w:space="0" w:color="auto"/>
                <w:left w:val="none" w:sz="0" w:space="0" w:color="auto"/>
                <w:bottom w:val="none" w:sz="0" w:space="0" w:color="auto"/>
                <w:right w:val="none" w:sz="0" w:space="0" w:color="auto"/>
              </w:divBdr>
              <w:divsChild>
                <w:div w:id="1346515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746591">
          <w:marLeft w:val="0"/>
          <w:marRight w:val="0"/>
          <w:marTop w:val="0"/>
          <w:marBottom w:val="0"/>
          <w:divBdr>
            <w:top w:val="none" w:sz="0" w:space="0" w:color="auto"/>
            <w:left w:val="none" w:sz="0" w:space="0" w:color="auto"/>
            <w:bottom w:val="none" w:sz="0" w:space="0" w:color="auto"/>
            <w:right w:val="none" w:sz="0" w:space="0" w:color="auto"/>
          </w:divBdr>
          <w:divsChild>
            <w:div w:id="1217274450">
              <w:marLeft w:val="0"/>
              <w:marRight w:val="0"/>
              <w:marTop w:val="0"/>
              <w:marBottom w:val="0"/>
              <w:divBdr>
                <w:top w:val="none" w:sz="0" w:space="0" w:color="auto"/>
                <w:left w:val="none" w:sz="0" w:space="0" w:color="auto"/>
                <w:bottom w:val="none" w:sz="0" w:space="0" w:color="auto"/>
                <w:right w:val="none" w:sz="0" w:space="0" w:color="auto"/>
              </w:divBdr>
              <w:divsChild>
                <w:div w:id="653340605">
                  <w:marLeft w:val="0"/>
                  <w:marRight w:val="0"/>
                  <w:marTop w:val="0"/>
                  <w:marBottom w:val="0"/>
                  <w:divBdr>
                    <w:top w:val="none" w:sz="0" w:space="0" w:color="auto"/>
                    <w:left w:val="none" w:sz="0" w:space="0" w:color="auto"/>
                    <w:bottom w:val="none" w:sz="0" w:space="0" w:color="auto"/>
                    <w:right w:val="none" w:sz="0" w:space="0" w:color="auto"/>
                  </w:divBdr>
                </w:div>
                <w:div w:id="1956711824">
                  <w:marLeft w:val="0"/>
                  <w:marRight w:val="0"/>
                  <w:marTop w:val="0"/>
                  <w:marBottom w:val="0"/>
                  <w:divBdr>
                    <w:top w:val="none" w:sz="0" w:space="0" w:color="auto"/>
                    <w:left w:val="none" w:sz="0" w:space="0" w:color="auto"/>
                    <w:bottom w:val="none" w:sz="0" w:space="0" w:color="auto"/>
                    <w:right w:val="none" w:sz="0" w:space="0" w:color="auto"/>
                  </w:divBdr>
                </w:div>
              </w:divsChild>
            </w:div>
            <w:div w:id="1517497742">
              <w:marLeft w:val="0"/>
              <w:marRight w:val="0"/>
              <w:marTop w:val="0"/>
              <w:marBottom w:val="0"/>
              <w:divBdr>
                <w:top w:val="none" w:sz="0" w:space="0" w:color="auto"/>
                <w:left w:val="none" w:sz="0" w:space="0" w:color="auto"/>
                <w:bottom w:val="none" w:sz="0" w:space="0" w:color="auto"/>
                <w:right w:val="none" w:sz="0" w:space="0" w:color="auto"/>
              </w:divBdr>
              <w:divsChild>
                <w:div w:id="1103918614">
                  <w:marLeft w:val="0"/>
                  <w:marRight w:val="0"/>
                  <w:marTop w:val="0"/>
                  <w:marBottom w:val="0"/>
                  <w:divBdr>
                    <w:top w:val="none" w:sz="0" w:space="0" w:color="auto"/>
                    <w:left w:val="none" w:sz="0" w:space="0" w:color="auto"/>
                    <w:bottom w:val="none" w:sz="0" w:space="0" w:color="auto"/>
                    <w:right w:val="none" w:sz="0" w:space="0" w:color="auto"/>
                  </w:divBdr>
                </w:div>
              </w:divsChild>
            </w:div>
            <w:div w:id="1634290674">
              <w:marLeft w:val="0"/>
              <w:marRight w:val="0"/>
              <w:marTop w:val="0"/>
              <w:marBottom w:val="0"/>
              <w:divBdr>
                <w:top w:val="none" w:sz="0" w:space="0" w:color="auto"/>
                <w:left w:val="none" w:sz="0" w:space="0" w:color="auto"/>
                <w:bottom w:val="none" w:sz="0" w:space="0" w:color="auto"/>
                <w:right w:val="none" w:sz="0" w:space="0" w:color="auto"/>
              </w:divBdr>
              <w:divsChild>
                <w:div w:id="843786165">
                  <w:marLeft w:val="0"/>
                  <w:marRight w:val="0"/>
                  <w:marTop w:val="0"/>
                  <w:marBottom w:val="0"/>
                  <w:divBdr>
                    <w:top w:val="none" w:sz="0" w:space="0" w:color="auto"/>
                    <w:left w:val="none" w:sz="0" w:space="0" w:color="auto"/>
                    <w:bottom w:val="none" w:sz="0" w:space="0" w:color="auto"/>
                    <w:right w:val="none" w:sz="0" w:space="0" w:color="auto"/>
                  </w:divBdr>
                </w:div>
              </w:divsChild>
            </w:div>
            <w:div w:id="661280350">
              <w:marLeft w:val="0"/>
              <w:marRight w:val="0"/>
              <w:marTop w:val="0"/>
              <w:marBottom w:val="0"/>
              <w:divBdr>
                <w:top w:val="none" w:sz="0" w:space="0" w:color="auto"/>
                <w:left w:val="none" w:sz="0" w:space="0" w:color="auto"/>
                <w:bottom w:val="none" w:sz="0" w:space="0" w:color="auto"/>
                <w:right w:val="none" w:sz="0" w:space="0" w:color="auto"/>
              </w:divBdr>
              <w:divsChild>
                <w:div w:id="486242173">
                  <w:marLeft w:val="0"/>
                  <w:marRight w:val="0"/>
                  <w:marTop w:val="0"/>
                  <w:marBottom w:val="0"/>
                  <w:divBdr>
                    <w:top w:val="none" w:sz="0" w:space="0" w:color="auto"/>
                    <w:left w:val="none" w:sz="0" w:space="0" w:color="auto"/>
                    <w:bottom w:val="none" w:sz="0" w:space="0" w:color="auto"/>
                    <w:right w:val="none" w:sz="0" w:space="0" w:color="auto"/>
                  </w:divBdr>
                </w:div>
              </w:divsChild>
            </w:div>
            <w:div w:id="1807773529">
              <w:marLeft w:val="0"/>
              <w:marRight w:val="0"/>
              <w:marTop w:val="0"/>
              <w:marBottom w:val="0"/>
              <w:divBdr>
                <w:top w:val="none" w:sz="0" w:space="0" w:color="auto"/>
                <w:left w:val="none" w:sz="0" w:space="0" w:color="auto"/>
                <w:bottom w:val="none" w:sz="0" w:space="0" w:color="auto"/>
                <w:right w:val="none" w:sz="0" w:space="0" w:color="auto"/>
              </w:divBdr>
              <w:divsChild>
                <w:div w:id="1919512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613479">
          <w:marLeft w:val="0"/>
          <w:marRight w:val="0"/>
          <w:marTop w:val="0"/>
          <w:marBottom w:val="0"/>
          <w:divBdr>
            <w:top w:val="none" w:sz="0" w:space="0" w:color="auto"/>
            <w:left w:val="none" w:sz="0" w:space="0" w:color="auto"/>
            <w:bottom w:val="none" w:sz="0" w:space="0" w:color="auto"/>
            <w:right w:val="none" w:sz="0" w:space="0" w:color="auto"/>
          </w:divBdr>
          <w:divsChild>
            <w:div w:id="512452934">
              <w:marLeft w:val="0"/>
              <w:marRight w:val="0"/>
              <w:marTop w:val="0"/>
              <w:marBottom w:val="0"/>
              <w:divBdr>
                <w:top w:val="none" w:sz="0" w:space="0" w:color="auto"/>
                <w:left w:val="none" w:sz="0" w:space="0" w:color="auto"/>
                <w:bottom w:val="none" w:sz="0" w:space="0" w:color="auto"/>
                <w:right w:val="none" w:sz="0" w:space="0" w:color="auto"/>
              </w:divBdr>
              <w:divsChild>
                <w:div w:id="645165261">
                  <w:marLeft w:val="0"/>
                  <w:marRight w:val="0"/>
                  <w:marTop w:val="0"/>
                  <w:marBottom w:val="0"/>
                  <w:divBdr>
                    <w:top w:val="none" w:sz="0" w:space="0" w:color="auto"/>
                    <w:left w:val="none" w:sz="0" w:space="0" w:color="auto"/>
                    <w:bottom w:val="none" w:sz="0" w:space="0" w:color="auto"/>
                    <w:right w:val="none" w:sz="0" w:space="0" w:color="auto"/>
                  </w:divBdr>
                </w:div>
              </w:divsChild>
            </w:div>
            <w:div w:id="935017639">
              <w:marLeft w:val="0"/>
              <w:marRight w:val="0"/>
              <w:marTop w:val="0"/>
              <w:marBottom w:val="0"/>
              <w:divBdr>
                <w:top w:val="none" w:sz="0" w:space="0" w:color="auto"/>
                <w:left w:val="none" w:sz="0" w:space="0" w:color="auto"/>
                <w:bottom w:val="none" w:sz="0" w:space="0" w:color="auto"/>
                <w:right w:val="none" w:sz="0" w:space="0" w:color="auto"/>
              </w:divBdr>
              <w:divsChild>
                <w:div w:id="1444181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3406380">
          <w:marLeft w:val="0"/>
          <w:marRight w:val="0"/>
          <w:marTop w:val="0"/>
          <w:marBottom w:val="0"/>
          <w:divBdr>
            <w:top w:val="none" w:sz="0" w:space="0" w:color="auto"/>
            <w:left w:val="none" w:sz="0" w:space="0" w:color="auto"/>
            <w:bottom w:val="none" w:sz="0" w:space="0" w:color="auto"/>
            <w:right w:val="none" w:sz="0" w:space="0" w:color="auto"/>
          </w:divBdr>
          <w:divsChild>
            <w:div w:id="508105910">
              <w:marLeft w:val="0"/>
              <w:marRight w:val="0"/>
              <w:marTop w:val="0"/>
              <w:marBottom w:val="0"/>
              <w:divBdr>
                <w:top w:val="none" w:sz="0" w:space="0" w:color="auto"/>
                <w:left w:val="none" w:sz="0" w:space="0" w:color="auto"/>
                <w:bottom w:val="none" w:sz="0" w:space="0" w:color="auto"/>
                <w:right w:val="none" w:sz="0" w:space="0" w:color="auto"/>
              </w:divBdr>
              <w:divsChild>
                <w:div w:id="253172395">
                  <w:marLeft w:val="0"/>
                  <w:marRight w:val="0"/>
                  <w:marTop w:val="0"/>
                  <w:marBottom w:val="0"/>
                  <w:divBdr>
                    <w:top w:val="none" w:sz="0" w:space="0" w:color="auto"/>
                    <w:left w:val="none" w:sz="0" w:space="0" w:color="auto"/>
                    <w:bottom w:val="none" w:sz="0" w:space="0" w:color="auto"/>
                    <w:right w:val="none" w:sz="0" w:space="0" w:color="auto"/>
                  </w:divBdr>
                </w:div>
              </w:divsChild>
            </w:div>
            <w:div w:id="2081370608">
              <w:marLeft w:val="0"/>
              <w:marRight w:val="0"/>
              <w:marTop w:val="0"/>
              <w:marBottom w:val="0"/>
              <w:divBdr>
                <w:top w:val="none" w:sz="0" w:space="0" w:color="auto"/>
                <w:left w:val="none" w:sz="0" w:space="0" w:color="auto"/>
                <w:bottom w:val="none" w:sz="0" w:space="0" w:color="auto"/>
                <w:right w:val="none" w:sz="0" w:space="0" w:color="auto"/>
              </w:divBdr>
              <w:divsChild>
                <w:div w:id="575287279">
                  <w:marLeft w:val="0"/>
                  <w:marRight w:val="0"/>
                  <w:marTop w:val="0"/>
                  <w:marBottom w:val="0"/>
                  <w:divBdr>
                    <w:top w:val="none" w:sz="0" w:space="0" w:color="auto"/>
                    <w:left w:val="none" w:sz="0" w:space="0" w:color="auto"/>
                    <w:bottom w:val="none" w:sz="0" w:space="0" w:color="auto"/>
                    <w:right w:val="none" w:sz="0" w:space="0" w:color="auto"/>
                  </w:divBdr>
                </w:div>
              </w:divsChild>
            </w:div>
            <w:div w:id="1018507986">
              <w:marLeft w:val="0"/>
              <w:marRight w:val="0"/>
              <w:marTop w:val="0"/>
              <w:marBottom w:val="0"/>
              <w:divBdr>
                <w:top w:val="none" w:sz="0" w:space="0" w:color="auto"/>
                <w:left w:val="none" w:sz="0" w:space="0" w:color="auto"/>
                <w:bottom w:val="none" w:sz="0" w:space="0" w:color="auto"/>
                <w:right w:val="none" w:sz="0" w:space="0" w:color="auto"/>
              </w:divBdr>
              <w:divsChild>
                <w:div w:id="1782144839">
                  <w:marLeft w:val="0"/>
                  <w:marRight w:val="0"/>
                  <w:marTop w:val="0"/>
                  <w:marBottom w:val="0"/>
                  <w:divBdr>
                    <w:top w:val="none" w:sz="0" w:space="0" w:color="auto"/>
                    <w:left w:val="none" w:sz="0" w:space="0" w:color="auto"/>
                    <w:bottom w:val="none" w:sz="0" w:space="0" w:color="auto"/>
                    <w:right w:val="none" w:sz="0" w:space="0" w:color="auto"/>
                  </w:divBdr>
                </w:div>
              </w:divsChild>
            </w:div>
            <w:div w:id="142236714">
              <w:marLeft w:val="0"/>
              <w:marRight w:val="0"/>
              <w:marTop w:val="0"/>
              <w:marBottom w:val="0"/>
              <w:divBdr>
                <w:top w:val="none" w:sz="0" w:space="0" w:color="auto"/>
                <w:left w:val="none" w:sz="0" w:space="0" w:color="auto"/>
                <w:bottom w:val="none" w:sz="0" w:space="0" w:color="auto"/>
                <w:right w:val="none" w:sz="0" w:space="0" w:color="auto"/>
              </w:divBdr>
              <w:divsChild>
                <w:div w:id="1232695077">
                  <w:marLeft w:val="0"/>
                  <w:marRight w:val="0"/>
                  <w:marTop w:val="0"/>
                  <w:marBottom w:val="0"/>
                  <w:divBdr>
                    <w:top w:val="none" w:sz="0" w:space="0" w:color="auto"/>
                    <w:left w:val="none" w:sz="0" w:space="0" w:color="auto"/>
                    <w:bottom w:val="none" w:sz="0" w:space="0" w:color="auto"/>
                    <w:right w:val="none" w:sz="0" w:space="0" w:color="auto"/>
                  </w:divBdr>
                </w:div>
              </w:divsChild>
            </w:div>
            <w:div w:id="1771583236">
              <w:marLeft w:val="0"/>
              <w:marRight w:val="0"/>
              <w:marTop w:val="0"/>
              <w:marBottom w:val="0"/>
              <w:divBdr>
                <w:top w:val="none" w:sz="0" w:space="0" w:color="auto"/>
                <w:left w:val="none" w:sz="0" w:space="0" w:color="auto"/>
                <w:bottom w:val="none" w:sz="0" w:space="0" w:color="auto"/>
                <w:right w:val="none" w:sz="0" w:space="0" w:color="auto"/>
              </w:divBdr>
              <w:divsChild>
                <w:div w:id="1663771233">
                  <w:marLeft w:val="0"/>
                  <w:marRight w:val="0"/>
                  <w:marTop w:val="0"/>
                  <w:marBottom w:val="0"/>
                  <w:divBdr>
                    <w:top w:val="none" w:sz="0" w:space="0" w:color="auto"/>
                    <w:left w:val="none" w:sz="0" w:space="0" w:color="auto"/>
                    <w:bottom w:val="none" w:sz="0" w:space="0" w:color="auto"/>
                    <w:right w:val="none" w:sz="0" w:space="0" w:color="auto"/>
                  </w:divBdr>
                </w:div>
              </w:divsChild>
            </w:div>
            <w:div w:id="1042677975">
              <w:marLeft w:val="0"/>
              <w:marRight w:val="0"/>
              <w:marTop w:val="0"/>
              <w:marBottom w:val="0"/>
              <w:divBdr>
                <w:top w:val="none" w:sz="0" w:space="0" w:color="auto"/>
                <w:left w:val="none" w:sz="0" w:space="0" w:color="auto"/>
                <w:bottom w:val="none" w:sz="0" w:space="0" w:color="auto"/>
                <w:right w:val="none" w:sz="0" w:space="0" w:color="auto"/>
              </w:divBdr>
              <w:divsChild>
                <w:div w:id="901793745">
                  <w:marLeft w:val="0"/>
                  <w:marRight w:val="0"/>
                  <w:marTop w:val="0"/>
                  <w:marBottom w:val="0"/>
                  <w:divBdr>
                    <w:top w:val="none" w:sz="0" w:space="0" w:color="auto"/>
                    <w:left w:val="none" w:sz="0" w:space="0" w:color="auto"/>
                    <w:bottom w:val="none" w:sz="0" w:space="0" w:color="auto"/>
                    <w:right w:val="none" w:sz="0" w:space="0" w:color="auto"/>
                  </w:divBdr>
                </w:div>
              </w:divsChild>
            </w:div>
            <w:div w:id="1813912469">
              <w:marLeft w:val="0"/>
              <w:marRight w:val="0"/>
              <w:marTop w:val="0"/>
              <w:marBottom w:val="0"/>
              <w:divBdr>
                <w:top w:val="none" w:sz="0" w:space="0" w:color="auto"/>
                <w:left w:val="none" w:sz="0" w:space="0" w:color="auto"/>
                <w:bottom w:val="none" w:sz="0" w:space="0" w:color="auto"/>
                <w:right w:val="none" w:sz="0" w:space="0" w:color="auto"/>
              </w:divBdr>
              <w:divsChild>
                <w:div w:id="974456185">
                  <w:marLeft w:val="0"/>
                  <w:marRight w:val="0"/>
                  <w:marTop w:val="0"/>
                  <w:marBottom w:val="0"/>
                  <w:divBdr>
                    <w:top w:val="none" w:sz="0" w:space="0" w:color="auto"/>
                    <w:left w:val="none" w:sz="0" w:space="0" w:color="auto"/>
                    <w:bottom w:val="none" w:sz="0" w:space="0" w:color="auto"/>
                    <w:right w:val="none" w:sz="0" w:space="0" w:color="auto"/>
                  </w:divBdr>
                </w:div>
              </w:divsChild>
            </w:div>
            <w:div w:id="1353067763">
              <w:marLeft w:val="0"/>
              <w:marRight w:val="0"/>
              <w:marTop w:val="0"/>
              <w:marBottom w:val="0"/>
              <w:divBdr>
                <w:top w:val="none" w:sz="0" w:space="0" w:color="auto"/>
                <w:left w:val="none" w:sz="0" w:space="0" w:color="auto"/>
                <w:bottom w:val="none" w:sz="0" w:space="0" w:color="auto"/>
                <w:right w:val="none" w:sz="0" w:space="0" w:color="auto"/>
              </w:divBdr>
              <w:divsChild>
                <w:div w:id="699164137">
                  <w:marLeft w:val="0"/>
                  <w:marRight w:val="0"/>
                  <w:marTop w:val="0"/>
                  <w:marBottom w:val="0"/>
                  <w:divBdr>
                    <w:top w:val="none" w:sz="0" w:space="0" w:color="auto"/>
                    <w:left w:val="none" w:sz="0" w:space="0" w:color="auto"/>
                    <w:bottom w:val="none" w:sz="0" w:space="0" w:color="auto"/>
                    <w:right w:val="none" w:sz="0" w:space="0" w:color="auto"/>
                  </w:divBdr>
                </w:div>
              </w:divsChild>
            </w:div>
            <w:div w:id="390617297">
              <w:marLeft w:val="0"/>
              <w:marRight w:val="0"/>
              <w:marTop w:val="0"/>
              <w:marBottom w:val="0"/>
              <w:divBdr>
                <w:top w:val="none" w:sz="0" w:space="0" w:color="auto"/>
                <w:left w:val="none" w:sz="0" w:space="0" w:color="auto"/>
                <w:bottom w:val="none" w:sz="0" w:space="0" w:color="auto"/>
                <w:right w:val="none" w:sz="0" w:space="0" w:color="auto"/>
              </w:divBdr>
              <w:divsChild>
                <w:div w:id="240143996">
                  <w:marLeft w:val="0"/>
                  <w:marRight w:val="0"/>
                  <w:marTop w:val="0"/>
                  <w:marBottom w:val="0"/>
                  <w:divBdr>
                    <w:top w:val="none" w:sz="0" w:space="0" w:color="auto"/>
                    <w:left w:val="none" w:sz="0" w:space="0" w:color="auto"/>
                    <w:bottom w:val="none" w:sz="0" w:space="0" w:color="auto"/>
                    <w:right w:val="none" w:sz="0" w:space="0" w:color="auto"/>
                  </w:divBdr>
                </w:div>
              </w:divsChild>
            </w:div>
            <w:div w:id="145510025">
              <w:marLeft w:val="0"/>
              <w:marRight w:val="0"/>
              <w:marTop w:val="0"/>
              <w:marBottom w:val="0"/>
              <w:divBdr>
                <w:top w:val="none" w:sz="0" w:space="0" w:color="auto"/>
                <w:left w:val="none" w:sz="0" w:space="0" w:color="auto"/>
                <w:bottom w:val="none" w:sz="0" w:space="0" w:color="auto"/>
                <w:right w:val="none" w:sz="0" w:space="0" w:color="auto"/>
              </w:divBdr>
              <w:divsChild>
                <w:div w:id="1759866714">
                  <w:marLeft w:val="0"/>
                  <w:marRight w:val="0"/>
                  <w:marTop w:val="0"/>
                  <w:marBottom w:val="0"/>
                  <w:divBdr>
                    <w:top w:val="none" w:sz="0" w:space="0" w:color="auto"/>
                    <w:left w:val="none" w:sz="0" w:space="0" w:color="auto"/>
                    <w:bottom w:val="none" w:sz="0" w:space="0" w:color="auto"/>
                    <w:right w:val="none" w:sz="0" w:space="0" w:color="auto"/>
                  </w:divBdr>
                </w:div>
              </w:divsChild>
            </w:div>
            <w:div w:id="2073114985">
              <w:marLeft w:val="0"/>
              <w:marRight w:val="0"/>
              <w:marTop w:val="0"/>
              <w:marBottom w:val="0"/>
              <w:divBdr>
                <w:top w:val="none" w:sz="0" w:space="0" w:color="auto"/>
                <w:left w:val="none" w:sz="0" w:space="0" w:color="auto"/>
                <w:bottom w:val="none" w:sz="0" w:space="0" w:color="auto"/>
                <w:right w:val="none" w:sz="0" w:space="0" w:color="auto"/>
              </w:divBdr>
              <w:divsChild>
                <w:div w:id="64954517">
                  <w:marLeft w:val="0"/>
                  <w:marRight w:val="0"/>
                  <w:marTop w:val="0"/>
                  <w:marBottom w:val="0"/>
                  <w:divBdr>
                    <w:top w:val="none" w:sz="0" w:space="0" w:color="auto"/>
                    <w:left w:val="none" w:sz="0" w:space="0" w:color="auto"/>
                    <w:bottom w:val="none" w:sz="0" w:space="0" w:color="auto"/>
                    <w:right w:val="none" w:sz="0" w:space="0" w:color="auto"/>
                  </w:divBdr>
                </w:div>
              </w:divsChild>
            </w:div>
            <w:div w:id="2078356894">
              <w:marLeft w:val="0"/>
              <w:marRight w:val="0"/>
              <w:marTop w:val="0"/>
              <w:marBottom w:val="0"/>
              <w:divBdr>
                <w:top w:val="none" w:sz="0" w:space="0" w:color="auto"/>
                <w:left w:val="none" w:sz="0" w:space="0" w:color="auto"/>
                <w:bottom w:val="none" w:sz="0" w:space="0" w:color="auto"/>
                <w:right w:val="none" w:sz="0" w:space="0" w:color="auto"/>
              </w:divBdr>
              <w:divsChild>
                <w:div w:id="262539661">
                  <w:marLeft w:val="0"/>
                  <w:marRight w:val="0"/>
                  <w:marTop w:val="0"/>
                  <w:marBottom w:val="0"/>
                  <w:divBdr>
                    <w:top w:val="none" w:sz="0" w:space="0" w:color="auto"/>
                    <w:left w:val="none" w:sz="0" w:space="0" w:color="auto"/>
                    <w:bottom w:val="none" w:sz="0" w:space="0" w:color="auto"/>
                    <w:right w:val="none" w:sz="0" w:space="0" w:color="auto"/>
                  </w:divBdr>
                </w:div>
              </w:divsChild>
            </w:div>
            <w:div w:id="2031295833">
              <w:marLeft w:val="0"/>
              <w:marRight w:val="0"/>
              <w:marTop w:val="0"/>
              <w:marBottom w:val="0"/>
              <w:divBdr>
                <w:top w:val="none" w:sz="0" w:space="0" w:color="auto"/>
                <w:left w:val="none" w:sz="0" w:space="0" w:color="auto"/>
                <w:bottom w:val="none" w:sz="0" w:space="0" w:color="auto"/>
                <w:right w:val="none" w:sz="0" w:space="0" w:color="auto"/>
              </w:divBdr>
              <w:divsChild>
                <w:div w:id="81688501">
                  <w:marLeft w:val="0"/>
                  <w:marRight w:val="0"/>
                  <w:marTop w:val="0"/>
                  <w:marBottom w:val="0"/>
                  <w:divBdr>
                    <w:top w:val="none" w:sz="0" w:space="0" w:color="auto"/>
                    <w:left w:val="none" w:sz="0" w:space="0" w:color="auto"/>
                    <w:bottom w:val="none" w:sz="0" w:space="0" w:color="auto"/>
                    <w:right w:val="none" w:sz="0" w:space="0" w:color="auto"/>
                  </w:divBdr>
                </w:div>
              </w:divsChild>
            </w:div>
            <w:div w:id="1517766243">
              <w:marLeft w:val="0"/>
              <w:marRight w:val="0"/>
              <w:marTop w:val="0"/>
              <w:marBottom w:val="0"/>
              <w:divBdr>
                <w:top w:val="none" w:sz="0" w:space="0" w:color="auto"/>
                <w:left w:val="none" w:sz="0" w:space="0" w:color="auto"/>
                <w:bottom w:val="none" w:sz="0" w:space="0" w:color="auto"/>
                <w:right w:val="none" w:sz="0" w:space="0" w:color="auto"/>
              </w:divBdr>
              <w:divsChild>
                <w:div w:id="1955214382">
                  <w:marLeft w:val="0"/>
                  <w:marRight w:val="0"/>
                  <w:marTop w:val="0"/>
                  <w:marBottom w:val="0"/>
                  <w:divBdr>
                    <w:top w:val="none" w:sz="0" w:space="0" w:color="auto"/>
                    <w:left w:val="none" w:sz="0" w:space="0" w:color="auto"/>
                    <w:bottom w:val="none" w:sz="0" w:space="0" w:color="auto"/>
                    <w:right w:val="none" w:sz="0" w:space="0" w:color="auto"/>
                  </w:divBdr>
                </w:div>
              </w:divsChild>
            </w:div>
            <w:div w:id="1196769324">
              <w:marLeft w:val="0"/>
              <w:marRight w:val="0"/>
              <w:marTop w:val="0"/>
              <w:marBottom w:val="0"/>
              <w:divBdr>
                <w:top w:val="none" w:sz="0" w:space="0" w:color="auto"/>
                <w:left w:val="none" w:sz="0" w:space="0" w:color="auto"/>
                <w:bottom w:val="none" w:sz="0" w:space="0" w:color="auto"/>
                <w:right w:val="none" w:sz="0" w:space="0" w:color="auto"/>
              </w:divBdr>
              <w:divsChild>
                <w:div w:id="1502234814">
                  <w:marLeft w:val="0"/>
                  <w:marRight w:val="0"/>
                  <w:marTop w:val="0"/>
                  <w:marBottom w:val="0"/>
                  <w:divBdr>
                    <w:top w:val="none" w:sz="0" w:space="0" w:color="auto"/>
                    <w:left w:val="none" w:sz="0" w:space="0" w:color="auto"/>
                    <w:bottom w:val="none" w:sz="0" w:space="0" w:color="auto"/>
                    <w:right w:val="none" w:sz="0" w:space="0" w:color="auto"/>
                  </w:divBdr>
                </w:div>
              </w:divsChild>
            </w:div>
            <w:div w:id="1781678542">
              <w:marLeft w:val="0"/>
              <w:marRight w:val="0"/>
              <w:marTop w:val="0"/>
              <w:marBottom w:val="0"/>
              <w:divBdr>
                <w:top w:val="none" w:sz="0" w:space="0" w:color="auto"/>
                <w:left w:val="none" w:sz="0" w:space="0" w:color="auto"/>
                <w:bottom w:val="none" w:sz="0" w:space="0" w:color="auto"/>
                <w:right w:val="none" w:sz="0" w:space="0" w:color="auto"/>
              </w:divBdr>
              <w:divsChild>
                <w:div w:id="90585435">
                  <w:marLeft w:val="0"/>
                  <w:marRight w:val="0"/>
                  <w:marTop w:val="0"/>
                  <w:marBottom w:val="0"/>
                  <w:divBdr>
                    <w:top w:val="none" w:sz="0" w:space="0" w:color="auto"/>
                    <w:left w:val="none" w:sz="0" w:space="0" w:color="auto"/>
                    <w:bottom w:val="none" w:sz="0" w:space="0" w:color="auto"/>
                    <w:right w:val="none" w:sz="0" w:space="0" w:color="auto"/>
                  </w:divBdr>
                </w:div>
              </w:divsChild>
            </w:div>
            <w:div w:id="403529551">
              <w:marLeft w:val="0"/>
              <w:marRight w:val="0"/>
              <w:marTop w:val="0"/>
              <w:marBottom w:val="0"/>
              <w:divBdr>
                <w:top w:val="none" w:sz="0" w:space="0" w:color="auto"/>
                <w:left w:val="none" w:sz="0" w:space="0" w:color="auto"/>
                <w:bottom w:val="none" w:sz="0" w:space="0" w:color="auto"/>
                <w:right w:val="none" w:sz="0" w:space="0" w:color="auto"/>
              </w:divBdr>
              <w:divsChild>
                <w:div w:id="125246179">
                  <w:marLeft w:val="0"/>
                  <w:marRight w:val="0"/>
                  <w:marTop w:val="0"/>
                  <w:marBottom w:val="0"/>
                  <w:divBdr>
                    <w:top w:val="none" w:sz="0" w:space="0" w:color="auto"/>
                    <w:left w:val="none" w:sz="0" w:space="0" w:color="auto"/>
                    <w:bottom w:val="none" w:sz="0" w:space="0" w:color="auto"/>
                    <w:right w:val="none" w:sz="0" w:space="0" w:color="auto"/>
                  </w:divBdr>
                </w:div>
              </w:divsChild>
            </w:div>
            <w:div w:id="1474176184">
              <w:marLeft w:val="0"/>
              <w:marRight w:val="0"/>
              <w:marTop w:val="0"/>
              <w:marBottom w:val="0"/>
              <w:divBdr>
                <w:top w:val="none" w:sz="0" w:space="0" w:color="auto"/>
                <w:left w:val="none" w:sz="0" w:space="0" w:color="auto"/>
                <w:bottom w:val="none" w:sz="0" w:space="0" w:color="auto"/>
                <w:right w:val="none" w:sz="0" w:space="0" w:color="auto"/>
              </w:divBdr>
              <w:divsChild>
                <w:div w:id="51850862">
                  <w:marLeft w:val="0"/>
                  <w:marRight w:val="0"/>
                  <w:marTop w:val="0"/>
                  <w:marBottom w:val="0"/>
                  <w:divBdr>
                    <w:top w:val="none" w:sz="0" w:space="0" w:color="auto"/>
                    <w:left w:val="none" w:sz="0" w:space="0" w:color="auto"/>
                    <w:bottom w:val="none" w:sz="0" w:space="0" w:color="auto"/>
                    <w:right w:val="none" w:sz="0" w:space="0" w:color="auto"/>
                  </w:divBdr>
                </w:div>
              </w:divsChild>
            </w:div>
            <w:div w:id="694889485">
              <w:marLeft w:val="0"/>
              <w:marRight w:val="0"/>
              <w:marTop w:val="0"/>
              <w:marBottom w:val="0"/>
              <w:divBdr>
                <w:top w:val="none" w:sz="0" w:space="0" w:color="auto"/>
                <w:left w:val="none" w:sz="0" w:space="0" w:color="auto"/>
                <w:bottom w:val="none" w:sz="0" w:space="0" w:color="auto"/>
                <w:right w:val="none" w:sz="0" w:space="0" w:color="auto"/>
              </w:divBdr>
              <w:divsChild>
                <w:div w:id="1280064454">
                  <w:marLeft w:val="0"/>
                  <w:marRight w:val="0"/>
                  <w:marTop w:val="0"/>
                  <w:marBottom w:val="0"/>
                  <w:divBdr>
                    <w:top w:val="none" w:sz="0" w:space="0" w:color="auto"/>
                    <w:left w:val="none" w:sz="0" w:space="0" w:color="auto"/>
                    <w:bottom w:val="none" w:sz="0" w:space="0" w:color="auto"/>
                    <w:right w:val="none" w:sz="0" w:space="0" w:color="auto"/>
                  </w:divBdr>
                </w:div>
              </w:divsChild>
            </w:div>
            <w:div w:id="707022593">
              <w:marLeft w:val="0"/>
              <w:marRight w:val="0"/>
              <w:marTop w:val="0"/>
              <w:marBottom w:val="0"/>
              <w:divBdr>
                <w:top w:val="none" w:sz="0" w:space="0" w:color="auto"/>
                <w:left w:val="none" w:sz="0" w:space="0" w:color="auto"/>
                <w:bottom w:val="none" w:sz="0" w:space="0" w:color="auto"/>
                <w:right w:val="none" w:sz="0" w:space="0" w:color="auto"/>
              </w:divBdr>
              <w:divsChild>
                <w:div w:id="1962804702">
                  <w:marLeft w:val="0"/>
                  <w:marRight w:val="0"/>
                  <w:marTop w:val="0"/>
                  <w:marBottom w:val="0"/>
                  <w:divBdr>
                    <w:top w:val="none" w:sz="0" w:space="0" w:color="auto"/>
                    <w:left w:val="none" w:sz="0" w:space="0" w:color="auto"/>
                    <w:bottom w:val="none" w:sz="0" w:space="0" w:color="auto"/>
                    <w:right w:val="none" w:sz="0" w:space="0" w:color="auto"/>
                  </w:divBdr>
                </w:div>
              </w:divsChild>
            </w:div>
            <w:div w:id="1144352142">
              <w:marLeft w:val="0"/>
              <w:marRight w:val="0"/>
              <w:marTop w:val="0"/>
              <w:marBottom w:val="0"/>
              <w:divBdr>
                <w:top w:val="none" w:sz="0" w:space="0" w:color="auto"/>
                <w:left w:val="none" w:sz="0" w:space="0" w:color="auto"/>
                <w:bottom w:val="none" w:sz="0" w:space="0" w:color="auto"/>
                <w:right w:val="none" w:sz="0" w:space="0" w:color="auto"/>
              </w:divBdr>
              <w:divsChild>
                <w:div w:id="1940020816">
                  <w:marLeft w:val="0"/>
                  <w:marRight w:val="0"/>
                  <w:marTop w:val="0"/>
                  <w:marBottom w:val="0"/>
                  <w:divBdr>
                    <w:top w:val="none" w:sz="0" w:space="0" w:color="auto"/>
                    <w:left w:val="none" w:sz="0" w:space="0" w:color="auto"/>
                    <w:bottom w:val="none" w:sz="0" w:space="0" w:color="auto"/>
                    <w:right w:val="none" w:sz="0" w:space="0" w:color="auto"/>
                  </w:divBdr>
                </w:div>
              </w:divsChild>
            </w:div>
            <w:div w:id="416286921">
              <w:marLeft w:val="0"/>
              <w:marRight w:val="0"/>
              <w:marTop w:val="0"/>
              <w:marBottom w:val="0"/>
              <w:divBdr>
                <w:top w:val="none" w:sz="0" w:space="0" w:color="auto"/>
                <w:left w:val="none" w:sz="0" w:space="0" w:color="auto"/>
                <w:bottom w:val="none" w:sz="0" w:space="0" w:color="auto"/>
                <w:right w:val="none" w:sz="0" w:space="0" w:color="auto"/>
              </w:divBdr>
              <w:divsChild>
                <w:div w:id="264196119">
                  <w:marLeft w:val="0"/>
                  <w:marRight w:val="0"/>
                  <w:marTop w:val="0"/>
                  <w:marBottom w:val="0"/>
                  <w:divBdr>
                    <w:top w:val="none" w:sz="0" w:space="0" w:color="auto"/>
                    <w:left w:val="none" w:sz="0" w:space="0" w:color="auto"/>
                    <w:bottom w:val="none" w:sz="0" w:space="0" w:color="auto"/>
                    <w:right w:val="none" w:sz="0" w:space="0" w:color="auto"/>
                  </w:divBdr>
                </w:div>
              </w:divsChild>
            </w:div>
            <w:div w:id="1525554715">
              <w:marLeft w:val="0"/>
              <w:marRight w:val="0"/>
              <w:marTop w:val="0"/>
              <w:marBottom w:val="0"/>
              <w:divBdr>
                <w:top w:val="none" w:sz="0" w:space="0" w:color="auto"/>
                <w:left w:val="none" w:sz="0" w:space="0" w:color="auto"/>
                <w:bottom w:val="none" w:sz="0" w:space="0" w:color="auto"/>
                <w:right w:val="none" w:sz="0" w:space="0" w:color="auto"/>
              </w:divBdr>
              <w:divsChild>
                <w:div w:id="121583282">
                  <w:marLeft w:val="0"/>
                  <w:marRight w:val="0"/>
                  <w:marTop w:val="0"/>
                  <w:marBottom w:val="0"/>
                  <w:divBdr>
                    <w:top w:val="none" w:sz="0" w:space="0" w:color="auto"/>
                    <w:left w:val="none" w:sz="0" w:space="0" w:color="auto"/>
                    <w:bottom w:val="none" w:sz="0" w:space="0" w:color="auto"/>
                    <w:right w:val="none" w:sz="0" w:space="0" w:color="auto"/>
                  </w:divBdr>
                </w:div>
              </w:divsChild>
            </w:div>
            <w:div w:id="1561407167">
              <w:marLeft w:val="0"/>
              <w:marRight w:val="0"/>
              <w:marTop w:val="0"/>
              <w:marBottom w:val="0"/>
              <w:divBdr>
                <w:top w:val="none" w:sz="0" w:space="0" w:color="auto"/>
                <w:left w:val="none" w:sz="0" w:space="0" w:color="auto"/>
                <w:bottom w:val="none" w:sz="0" w:space="0" w:color="auto"/>
                <w:right w:val="none" w:sz="0" w:space="0" w:color="auto"/>
              </w:divBdr>
              <w:divsChild>
                <w:div w:id="360279303">
                  <w:marLeft w:val="0"/>
                  <w:marRight w:val="0"/>
                  <w:marTop w:val="0"/>
                  <w:marBottom w:val="0"/>
                  <w:divBdr>
                    <w:top w:val="none" w:sz="0" w:space="0" w:color="auto"/>
                    <w:left w:val="none" w:sz="0" w:space="0" w:color="auto"/>
                    <w:bottom w:val="none" w:sz="0" w:space="0" w:color="auto"/>
                    <w:right w:val="none" w:sz="0" w:space="0" w:color="auto"/>
                  </w:divBdr>
                </w:div>
              </w:divsChild>
            </w:div>
            <w:div w:id="962537741">
              <w:marLeft w:val="0"/>
              <w:marRight w:val="0"/>
              <w:marTop w:val="0"/>
              <w:marBottom w:val="0"/>
              <w:divBdr>
                <w:top w:val="none" w:sz="0" w:space="0" w:color="auto"/>
                <w:left w:val="none" w:sz="0" w:space="0" w:color="auto"/>
                <w:bottom w:val="none" w:sz="0" w:space="0" w:color="auto"/>
                <w:right w:val="none" w:sz="0" w:space="0" w:color="auto"/>
              </w:divBdr>
              <w:divsChild>
                <w:div w:id="1497115466">
                  <w:marLeft w:val="0"/>
                  <w:marRight w:val="0"/>
                  <w:marTop w:val="0"/>
                  <w:marBottom w:val="0"/>
                  <w:divBdr>
                    <w:top w:val="none" w:sz="0" w:space="0" w:color="auto"/>
                    <w:left w:val="none" w:sz="0" w:space="0" w:color="auto"/>
                    <w:bottom w:val="none" w:sz="0" w:space="0" w:color="auto"/>
                    <w:right w:val="none" w:sz="0" w:space="0" w:color="auto"/>
                  </w:divBdr>
                </w:div>
              </w:divsChild>
            </w:div>
            <w:div w:id="1165362870">
              <w:marLeft w:val="0"/>
              <w:marRight w:val="0"/>
              <w:marTop w:val="0"/>
              <w:marBottom w:val="0"/>
              <w:divBdr>
                <w:top w:val="none" w:sz="0" w:space="0" w:color="auto"/>
                <w:left w:val="none" w:sz="0" w:space="0" w:color="auto"/>
                <w:bottom w:val="none" w:sz="0" w:space="0" w:color="auto"/>
                <w:right w:val="none" w:sz="0" w:space="0" w:color="auto"/>
              </w:divBdr>
              <w:divsChild>
                <w:div w:id="1545824795">
                  <w:marLeft w:val="0"/>
                  <w:marRight w:val="0"/>
                  <w:marTop w:val="0"/>
                  <w:marBottom w:val="0"/>
                  <w:divBdr>
                    <w:top w:val="none" w:sz="0" w:space="0" w:color="auto"/>
                    <w:left w:val="none" w:sz="0" w:space="0" w:color="auto"/>
                    <w:bottom w:val="none" w:sz="0" w:space="0" w:color="auto"/>
                    <w:right w:val="none" w:sz="0" w:space="0" w:color="auto"/>
                  </w:divBdr>
                </w:div>
              </w:divsChild>
            </w:div>
            <w:div w:id="1122841563">
              <w:marLeft w:val="0"/>
              <w:marRight w:val="0"/>
              <w:marTop w:val="0"/>
              <w:marBottom w:val="0"/>
              <w:divBdr>
                <w:top w:val="none" w:sz="0" w:space="0" w:color="auto"/>
                <w:left w:val="none" w:sz="0" w:space="0" w:color="auto"/>
                <w:bottom w:val="none" w:sz="0" w:space="0" w:color="auto"/>
                <w:right w:val="none" w:sz="0" w:space="0" w:color="auto"/>
              </w:divBdr>
              <w:divsChild>
                <w:div w:id="1938515310">
                  <w:marLeft w:val="0"/>
                  <w:marRight w:val="0"/>
                  <w:marTop w:val="0"/>
                  <w:marBottom w:val="0"/>
                  <w:divBdr>
                    <w:top w:val="none" w:sz="0" w:space="0" w:color="auto"/>
                    <w:left w:val="none" w:sz="0" w:space="0" w:color="auto"/>
                    <w:bottom w:val="none" w:sz="0" w:space="0" w:color="auto"/>
                    <w:right w:val="none" w:sz="0" w:space="0" w:color="auto"/>
                  </w:divBdr>
                </w:div>
              </w:divsChild>
            </w:div>
            <w:div w:id="1941527642">
              <w:marLeft w:val="0"/>
              <w:marRight w:val="0"/>
              <w:marTop w:val="0"/>
              <w:marBottom w:val="0"/>
              <w:divBdr>
                <w:top w:val="none" w:sz="0" w:space="0" w:color="auto"/>
                <w:left w:val="none" w:sz="0" w:space="0" w:color="auto"/>
                <w:bottom w:val="none" w:sz="0" w:space="0" w:color="auto"/>
                <w:right w:val="none" w:sz="0" w:space="0" w:color="auto"/>
              </w:divBdr>
              <w:divsChild>
                <w:div w:id="1558053037">
                  <w:marLeft w:val="0"/>
                  <w:marRight w:val="0"/>
                  <w:marTop w:val="0"/>
                  <w:marBottom w:val="0"/>
                  <w:divBdr>
                    <w:top w:val="none" w:sz="0" w:space="0" w:color="auto"/>
                    <w:left w:val="none" w:sz="0" w:space="0" w:color="auto"/>
                    <w:bottom w:val="none" w:sz="0" w:space="0" w:color="auto"/>
                    <w:right w:val="none" w:sz="0" w:space="0" w:color="auto"/>
                  </w:divBdr>
                </w:div>
              </w:divsChild>
            </w:div>
            <w:div w:id="467742830">
              <w:marLeft w:val="0"/>
              <w:marRight w:val="0"/>
              <w:marTop w:val="0"/>
              <w:marBottom w:val="0"/>
              <w:divBdr>
                <w:top w:val="none" w:sz="0" w:space="0" w:color="auto"/>
                <w:left w:val="none" w:sz="0" w:space="0" w:color="auto"/>
                <w:bottom w:val="none" w:sz="0" w:space="0" w:color="auto"/>
                <w:right w:val="none" w:sz="0" w:space="0" w:color="auto"/>
              </w:divBdr>
              <w:divsChild>
                <w:div w:id="513375138">
                  <w:marLeft w:val="0"/>
                  <w:marRight w:val="0"/>
                  <w:marTop w:val="0"/>
                  <w:marBottom w:val="0"/>
                  <w:divBdr>
                    <w:top w:val="none" w:sz="0" w:space="0" w:color="auto"/>
                    <w:left w:val="none" w:sz="0" w:space="0" w:color="auto"/>
                    <w:bottom w:val="none" w:sz="0" w:space="0" w:color="auto"/>
                    <w:right w:val="none" w:sz="0" w:space="0" w:color="auto"/>
                  </w:divBdr>
                </w:div>
              </w:divsChild>
            </w:div>
            <w:div w:id="233054270">
              <w:marLeft w:val="0"/>
              <w:marRight w:val="0"/>
              <w:marTop w:val="0"/>
              <w:marBottom w:val="0"/>
              <w:divBdr>
                <w:top w:val="none" w:sz="0" w:space="0" w:color="auto"/>
                <w:left w:val="none" w:sz="0" w:space="0" w:color="auto"/>
                <w:bottom w:val="none" w:sz="0" w:space="0" w:color="auto"/>
                <w:right w:val="none" w:sz="0" w:space="0" w:color="auto"/>
              </w:divBdr>
              <w:divsChild>
                <w:div w:id="1883863329">
                  <w:marLeft w:val="0"/>
                  <w:marRight w:val="0"/>
                  <w:marTop w:val="0"/>
                  <w:marBottom w:val="0"/>
                  <w:divBdr>
                    <w:top w:val="none" w:sz="0" w:space="0" w:color="auto"/>
                    <w:left w:val="none" w:sz="0" w:space="0" w:color="auto"/>
                    <w:bottom w:val="none" w:sz="0" w:space="0" w:color="auto"/>
                    <w:right w:val="none" w:sz="0" w:space="0" w:color="auto"/>
                  </w:divBdr>
                </w:div>
              </w:divsChild>
            </w:div>
            <w:div w:id="456993959">
              <w:marLeft w:val="0"/>
              <w:marRight w:val="0"/>
              <w:marTop w:val="0"/>
              <w:marBottom w:val="0"/>
              <w:divBdr>
                <w:top w:val="none" w:sz="0" w:space="0" w:color="auto"/>
                <w:left w:val="none" w:sz="0" w:space="0" w:color="auto"/>
                <w:bottom w:val="none" w:sz="0" w:space="0" w:color="auto"/>
                <w:right w:val="none" w:sz="0" w:space="0" w:color="auto"/>
              </w:divBdr>
              <w:divsChild>
                <w:div w:id="2042970731">
                  <w:marLeft w:val="0"/>
                  <w:marRight w:val="0"/>
                  <w:marTop w:val="0"/>
                  <w:marBottom w:val="0"/>
                  <w:divBdr>
                    <w:top w:val="none" w:sz="0" w:space="0" w:color="auto"/>
                    <w:left w:val="none" w:sz="0" w:space="0" w:color="auto"/>
                    <w:bottom w:val="none" w:sz="0" w:space="0" w:color="auto"/>
                    <w:right w:val="none" w:sz="0" w:space="0" w:color="auto"/>
                  </w:divBdr>
                </w:div>
              </w:divsChild>
            </w:div>
            <w:div w:id="1810786224">
              <w:marLeft w:val="0"/>
              <w:marRight w:val="0"/>
              <w:marTop w:val="0"/>
              <w:marBottom w:val="0"/>
              <w:divBdr>
                <w:top w:val="none" w:sz="0" w:space="0" w:color="auto"/>
                <w:left w:val="none" w:sz="0" w:space="0" w:color="auto"/>
                <w:bottom w:val="none" w:sz="0" w:space="0" w:color="auto"/>
                <w:right w:val="none" w:sz="0" w:space="0" w:color="auto"/>
              </w:divBdr>
              <w:divsChild>
                <w:div w:id="499927902">
                  <w:marLeft w:val="0"/>
                  <w:marRight w:val="0"/>
                  <w:marTop w:val="0"/>
                  <w:marBottom w:val="0"/>
                  <w:divBdr>
                    <w:top w:val="none" w:sz="0" w:space="0" w:color="auto"/>
                    <w:left w:val="none" w:sz="0" w:space="0" w:color="auto"/>
                    <w:bottom w:val="none" w:sz="0" w:space="0" w:color="auto"/>
                    <w:right w:val="none" w:sz="0" w:space="0" w:color="auto"/>
                  </w:divBdr>
                </w:div>
              </w:divsChild>
            </w:div>
            <w:div w:id="1143930964">
              <w:marLeft w:val="0"/>
              <w:marRight w:val="0"/>
              <w:marTop w:val="0"/>
              <w:marBottom w:val="0"/>
              <w:divBdr>
                <w:top w:val="none" w:sz="0" w:space="0" w:color="auto"/>
                <w:left w:val="none" w:sz="0" w:space="0" w:color="auto"/>
                <w:bottom w:val="none" w:sz="0" w:space="0" w:color="auto"/>
                <w:right w:val="none" w:sz="0" w:space="0" w:color="auto"/>
              </w:divBdr>
              <w:divsChild>
                <w:div w:id="2099329380">
                  <w:marLeft w:val="0"/>
                  <w:marRight w:val="0"/>
                  <w:marTop w:val="0"/>
                  <w:marBottom w:val="0"/>
                  <w:divBdr>
                    <w:top w:val="none" w:sz="0" w:space="0" w:color="auto"/>
                    <w:left w:val="none" w:sz="0" w:space="0" w:color="auto"/>
                    <w:bottom w:val="none" w:sz="0" w:space="0" w:color="auto"/>
                    <w:right w:val="none" w:sz="0" w:space="0" w:color="auto"/>
                  </w:divBdr>
                </w:div>
              </w:divsChild>
            </w:div>
            <w:div w:id="1303541220">
              <w:marLeft w:val="0"/>
              <w:marRight w:val="0"/>
              <w:marTop w:val="0"/>
              <w:marBottom w:val="0"/>
              <w:divBdr>
                <w:top w:val="none" w:sz="0" w:space="0" w:color="auto"/>
                <w:left w:val="none" w:sz="0" w:space="0" w:color="auto"/>
                <w:bottom w:val="none" w:sz="0" w:space="0" w:color="auto"/>
                <w:right w:val="none" w:sz="0" w:space="0" w:color="auto"/>
              </w:divBdr>
              <w:divsChild>
                <w:div w:id="530605082">
                  <w:marLeft w:val="0"/>
                  <w:marRight w:val="0"/>
                  <w:marTop w:val="0"/>
                  <w:marBottom w:val="0"/>
                  <w:divBdr>
                    <w:top w:val="none" w:sz="0" w:space="0" w:color="auto"/>
                    <w:left w:val="none" w:sz="0" w:space="0" w:color="auto"/>
                    <w:bottom w:val="none" w:sz="0" w:space="0" w:color="auto"/>
                    <w:right w:val="none" w:sz="0" w:space="0" w:color="auto"/>
                  </w:divBdr>
                </w:div>
              </w:divsChild>
            </w:div>
            <w:div w:id="1601134712">
              <w:marLeft w:val="0"/>
              <w:marRight w:val="0"/>
              <w:marTop w:val="0"/>
              <w:marBottom w:val="0"/>
              <w:divBdr>
                <w:top w:val="none" w:sz="0" w:space="0" w:color="auto"/>
                <w:left w:val="none" w:sz="0" w:space="0" w:color="auto"/>
                <w:bottom w:val="none" w:sz="0" w:space="0" w:color="auto"/>
                <w:right w:val="none" w:sz="0" w:space="0" w:color="auto"/>
              </w:divBdr>
              <w:divsChild>
                <w:div w:id="1303848244">
                  <w:marLeft w:val="0"/>
                  <w:marRight w:val="0"/>
                  <w:marTop w:val="0"/>
                  <w:marBottom w:val="0"/>
                  <w:divBdr>
                    <w:top w:val="none" w:sz="0" w:space="0" w:color="auto"/>
                    <w:left w:val="none" w:sz="0" w:space="0" w:color="auto"/>
                    <w:bottom w:val="none" w:sz="0" w:space="0" w:color="auto"/>
                    <w:right w:val="none" w:sz="0" w:space="0" w:color="auto"/>
                  </w:divBdr>
                </w:div>
              </w:divsChild>
            </w:div>
            <w:div w:id="1443919786">
              <w:marLeft w:val="0"/>
              <w:marRight w:val="0"/>
              <w:marTop w:val="0"/>
              <w:marBottom w:val="0"/>
              <w:divBdr>
                <w:top w:val="none" w:sz="0" w:space="0" w:color="auto"/>
                <w:left w:val="none" w:sz="0" w:space="0" w:color="auto"/>
                <w:bottom w:val="none" w:sz="0" w:space="0" w:color="auto"/>
                <w:right w:val="none" w:sz="0" w:space="0" w:color="auto"/>
              </w:divBdr>
              <w:divsChild>
                <w:div w:id="312875886">
                  <w:marLeft w:val="0"/>
                  <w:marRight w:val="0"/>
                  <w:marTop w:val="0"/>
                  <w:marBottom w:val="0"/>
                  <w:divBdr>
                    <w:top w:val="none" w:sz="0" w:space="0" w:color="auto"/>
                    <w:left w:val="none" w:sz="0" w:space="0" w:color="auto"/>
                    <w:bottom w:val="none" w:sz="0" w:space="0" w:color="auto"/>
                    <w:right w:val="none" w:sz="0" w:space="0" w:color="auto"/>
                  </w:divBdr>
                </w:div>
              </w:divsChild>
            </w:div>
            <w:div w:id="1085877605">
              <w:marLeft w:val="0"/>
              <w:marRight w:val="0"/>
              <w:marTop w:val="0"/>
              <w:marBottom w:val="0"/>
              <w:divBdr>
                <w:top w:val="none" w:sz="0" w:space="0" w:color="auto"/>
                <w:left w:val="none" w:sz="0" w:space="0" w:color="auto"/>
                <w:bottom w:val="none" w:sz="0" w:space="0" w:color="auto"/>
                <w:right w:val="none" w:sz="0" w:space="0" w:color="auto"/>
              </w:divBdr>
              <w:divsChild>
                <w:div w:id="1770852732">
                  <w:marLeft w:val="0"/>
                  <w:marRight w:val="0"/>
                  <w:marTop w:val="0"/>
                  <w:marBottom w:val="0"/>
                  <w:divBdr>
                    <w:top w:val="none" w:sz="0" w:space="0" w:color="auto"/>
                    <w:left w:val="none" w:sz="0" w:space="0" w:color="auto"/>
                    <w:bottom w:val="none" w:sz="0" w:space="0" w:color="auto"/>
                    <w:right w:val="none" w:sz="0" w:space="0" w:color="auto"/>
                  </w:divBdr>
                </w:div>
              </w:divsChild>
            </w:div>
            <w:div w:id="55127408">
              <w:marLeft w:val="0"/>
              <w:marRight w:val="0"/>
              <w:marTop w:val="0"/>
              <w:marBottom w:val="0"/>
              <w:divBdr>
                <w:top w:val="none" w:sz="0" w:space="0" w:color="auto"/>
                <w:left w:val="none" w:sz="0" w:space="0" w:color="auto"/>
                <w:bottom w:val="none" w:sz="0" w:space="0" w:color="auto"/>
                <w:right w:val="none" w:sz="0" w:space="0" w:color="auto"/>
              </w:divBdr>
              <w:divsChild>
                <w:div w:id="212238115">
                  <w:marLeft w:val="0"/>
                  <w:marRight w:val="0"/>
                  <w:marTop w:val="0"/>
                  <w:marBottom w:val="0"/>
                  <w:divBdr>
                    <w:top w:val="none" w:sz="0" w:space="0" w:color="auto"/>
                    <w:left w:val="none" w:sz="0" w:space="0" w:color="auto"/>
                    <w:bottom w:val="none" w:sz="0" w:space="0" w:color="auto"/>
                    <w:right w:val="none" w:sz="0" w:space="0" w:color="auto"/>
                  </w:divBdr>
                </w:div>
              </w:divsChild>
            </w:div>
            <w:div w:id="64304532">
              <w:marLeft w:val="0"/>
              <w:marRight w:val="0"/>
              <w:marTop w:val="0"/>
              <w:marBottom w:val="0"/>
              <w:divBdr>
                <w:top w:val="none" w:sz="0" w:space="0" w:color="auto"/>
                <w:left w:val="none" w:sz="0" w:space="0" w:color="auto"/>
                <w:bottom w:val="none" w:sz="0" w:space="0" w:color="auto"/>
                <w:right w:val="none" w:sz="0" w:space="0" w:color="auto"/>
              </w:divBdr>
              <w:divsChild>
                <w:div w:id="738016460">
                  <w:marLeft w:val="0"/>
                  <w:marRight w:val="0"/>
                  <w:marTop w:val="0"/>
                  <w:marBottom w:val="0"/>
                  <w:divBdr>
                    <w:top w:val="none" w:sz="0" w:space="0" w:color="auto"/>
                    <w:left w:val="none" w:sz="0" w:space="0" w:color="auto"/>
                    <w:bottom w:val="none" w:sz="0" w:space="0" w:color="auto"/>
                    <w:right w:val="none" w:sz="0" w:space="0" w:color="auto"/>
                  </w:divBdr>
                </w:div>
              </w:divsChild>
            </w:div>
            <w:div w:id="528225120">
              <w:marLeft w:val="0"/>
              <w:marRight w:val="0"/>
              <w:marTop w:val="0"/>
              <w:marBottom w:val="0"/>
              <w:divBdr>
                <w:top w:val="none" w:sz="0" w:space="0" w:color="auto"/>
                <w:left w:val="none" w:sz="0" w:space="0" w:color="auto"/>
                <w:bottom w:val="none" w:sz="0" w:space="0" w:color="auto"/>
                <w:right w:val="none" w:sz="0" w:space="0" w:color="auto"/>
              </w:divBdr>
              <w:divsChild>
                <w:div w:id="2059353803">
                  <w:marLeft w:val="0"/>
                  <w:marRight w:val="0"/>
                  <w:marTop w:val="0"/>
                  <w:marBottom w:val="0"/>
                  <w:divBdr>
                    <w:top w:val="none" w:sz="0" w:space="0" w:color="auto"/>
                    <w:left w:val="none" w:sz="0" w:space="0" w:color="auto"/>
                    <w:bottom w:val="none" w:sz="0" w:space="0" w:color="auto"/>
                    <w:right w:val="none" w:sz="0" w:space="0" w:color="auto"/>
                  </w:divBdr>
                </w:div>
              </w:divsChild>
            </w:div>
            <w:div w:id="2030525204">
              <w:marLeft w:val="0"/>
              <w:marRight w:val="0"/>
              <w:marTop w:val="0"/>
              <w:marBottom w:val="0"/>
              <w:divBdr>
                <w:top w:val="none" w:sz="0" w:space="0" w:color="auto"/>
                <w:left w:val="none" w:sz="0" w:space="0" w:color="auto"/>
                <w:bottom w:val="none" w:sz="0" w:space="0" w:color="auto"/>
                <w:right w:val="none" w:sz="0" w:space="0" w:color="auto"/>
              </w:divBdr>
              <w:divsChild>
                <w:div w:id="1692608238">
                  <w:marLeft w:val="0"/>
                  <w:marRight w:val="0"/>
                  <w:marTop w:val="0"/>
                  <w:marBottom w:val="0"/>
                  <w:divBdr>
                    <w:top w:val="none" w:sz="0" w:space="0" w:color="auto"/>
                    <w:left w:val="none" w:sz="0" w:space="0" w:color="auto"/>
                    <w:bottom w:val="none" w:sz="0" w:space="0" w:color="auto"/>
                    <w:right w:val="none" w:sz="0" w:space="0" w:color="auto"/>
                  </w:divBdr>
                </w:div>
              </w:divsChild>
            </w:div>
            <w:div w:id="238564140">
              <w:marLeft w:val="0"/>
              <w:marRight w:val="0"/>
              <w:marTop w:val="0"/>
              <w:marBottom w:val="0"/>
              <w:divBdr>
                <w:top w:val="none" w:sz="0" w:space="0" w:color="auto"/>
                <w:left w:val="none" w:sz="0" w:space="0" w:color="auto"/>
                <w:bottom w:val="none" w:sz="0" w:space="0" w:color="auto"/>
                <w:right w:val="none" w:sz="0" w:space="0" w:color="auto"/>
              </w:divBdr>
              <w:divsChild>
                <w:div w:id="1047024719">
                  <w:marLeft w:val="0"/>
                  <w:marRight w:val="0"/>
                  <w:marTop w:val="0"/>
                  <w:marBottom w:val="0"/>
                  <w:divBdr>
                    <w:top w:val="none" w:sz="0" w:space="0" w:color="auto"/>
                    <w:left w:val="none" w:sz="0" w:space="0" w:color="auto"/>
                    <w:bottom w:val="none" w:sz="0" w:space="0" w:color="auto"/>
                    <w:right w:val="none" w:sz="0" w:space="0" w:color="auto"/>
                  </w:divBdr>
                </w:div>
              </w:divsChild>
            </w:div>
            <w:div w:id="1895849193">
              <w:marLeft w:val="0"/>
              <w:marRight w:val="0"/>
              <w:marTop w:val="0"/>
              <w:marBottom w:val="0"/>
              <w:divBdr>
                <w:top w:val="none" w:sz="0" w:space="0" w:color="auto"/>
                <w:left w:val="none" w:sz="0" w:space="0" w:color="auto"/>
                <w:bottom w:val="none" w:sz="0" w:space="0" w:color="auto"/>
                <w:right w:val="none" w:sz="0" w:space="0" w:color="auto"/>
              </w:divBdr>
              <w:divsChild>
                <w:div w:id="1223638106">
                  <w:marLeft w:val="0"/>
                  <w:marRight w:val="0"/>
                  <w:marTop w:val="0"/>
                  <w:marBottom w:val="0"/>
                  <w:divBdr>
                    <w:top w:val="none" w:sz="0" w:space="0" w:color="auto"/>
                    <w:left w:val="none" w:sz="0" w:space="0" w:color="auto"/>
                    <w:bottom w:val="none" w:sz="0" w:space="0" w:color="auto"/>
                    <w:right w:val="none" w:sz="0" w:space="0" w:color="auto"/>
                  </w:divBdr>
                </w:div>
              </w:divsChild>
            </w:div>
            <w:div w:id="1765303237">
              <w:marLeft w:val="0"/>
              <w:marRight w:val="0"/>
              <w:marTop w:val="0"/>
              <w:marBottom w:val="0"/>
              <w:divBdr>
                <w:top w:val="none" w:sz="0" w:space="0" w:color="auto"/>
                <w:left w:val="none" w:sz="0" w:space="0" w:color="auto"/>
                <w:bottom w:val="none" w:sz="0" w:space="0" w:color="auto"/>
                <w:right w:val="none" w:sz="0" w:space="0" w:color="auto"/>
              </w:divBdr>
              <w:divsChild>
                <w:div w:id="2024932925">
                  <w:marLeft w:val="0"/>
                  <w:marRight w:val="0"/>
                  <w:marTop w:val="0"/>
                  <w:marBottom w:val="0"/>
                  <w:divBdr>
                    <w:top w:val="none" w:sz="0" w:space="0" w:color="auto"/>
                    <w:left w:val="none" w:sz="0" w:space="0" w:color="auto"/>
                    <w:bottom w:val="none" w:sz="0" w:space="0" w:color="auto"/>
                    <w:right w:val="none" w:sz="0" w:space="0" w:color="auto"/>
                  </w:divBdr>
                </w:div>
              </w:divsChild>
            </w:div>
            <w:div w:id="807822922">
              <w:marLeft w:val="0"/>
              <w:marRight w:val="0"/>
              <w:marTop w:val="0"/>
              <w:marBottom w:val="0"/>
              <w:divBdr>
                <w:top w:val="none" w:sz="0" w:space="0" w:color="auto"/>
                <w:left w:val="none" w:sz="0" w:space="0" w:color="auto"/>
                <w:bottom w:val="none" w:sz="0" w:space="0" w:color="auto"/>
                <w:right w:val="none" w:sz="0" w:space="0" w:color="auto"/>
              </w:divBdr>
              <w:divsChild>
                <w:div w:id="543446497">
                  <w:marLeft w:val="0"/>
                  <w:marRight w:val="0"/>
                  <w:marTop w:val="0"/>
                  <w:marBottom w:val="0"/>
                  <w:divBdr>
                    <w:top w:val="none" w:sz="0" w:space="0" w:color="auto"/>
                    <w:left w:val="none" w:sz="0" w:space="0" w:color="auto"/>
                    <w:bottom w:val="none" w:sz="0" w:space="0" w:color="auto"/>
                    <w:right w:val="none" w:sz="0" w:space="0" w:color="auto"/>
                  </w:divBdr>
                </w:div>
              </w:divsChild>
            </w:div>
            <w:div w:id="1368412116">
              <w:marLeft w:val="0"/>
              <w:marRight w:val="0"/>
              <w:marTop w:val="0"/>
              <w:marBottom w:val="0"/>
              <w:divBdr>
                <w:top w:val="none" w:sz="0" w:space="0" w:color="auto"/>
                <w:left w:val="none" w:sz="0" w:space="0" w:color="auto"/>
                <w:bottom w:val="none" w:sz="0" w:space="0" w:color="auto"/>
                <w:right w:val="none" w:sz="0" w:space="0" w:color="auto"/>
              </w:divBdr>
              <w:divsChild>
                <w:div w:id="1314794464">
                  <w:marLeft w:val="0"/>
                  <w:marRight w:val="0"/>
                  <w:marTop w:val="0"/>
                  <w:marBottom w:val="0"/>
                  <w:divBdr>
                    <w:top w:val="none" w:sz="0" w:space="0" w:color="auto"/>
                    <w:left w:val="none" w:sz="0" w:space="0" w:color="auto"/>
                    <w:bottom w:val="none" w:sz="0" w:space="0" w:color="auto"/>
                    <w:right w:val="none" w:sz="0" w:space="0" w:color="auto"/>
                  </w:divBdr>
                </w:div>
              </w:divsChild>
            </w:div>
            <w:div w:id="259026768">
              <w:marLeft w:val="0"/>
              <w:marRight w:val="0"/>
              <w:marTop w:val="0"/>
              <w:marBottom w:val="0"/>
              <w:divBdr>
                <w:top w:val="none" w:sz="0" w:space="0" w:color="auto"/>
                <w:left w:val="none" w:sz="0" w:space="0" w:color="auto"/>
                <w:bottom w:val="none" w:sz="0" w:space="0" w:color="auto"/>
                <w:right w:val="none" w:sz="0" w:space="0" w:color="auto"/>
              </w:divBdr>
              <w:divsChild>
                <w:div w:id="486433522">
                  <w:marLeft w:val="0"/>
                  <w:marRight w:val="0"/>
                  <w:marTop w:val="0"/>
                  <w:marBottom w:val="0"/>
                  <w:divBdr>
                    <w:top w:val="none" w:sz="0" w:space="0" w:color="auto"/>
                    <w:left w:val="none" w:sz="0" w:space="0" w:color="auto"/>
                    <w:bottom w:val="none" w:sz="0" w:space="0" w:color="auto"/>
                    <w:right w:val="none" w:sz="0" w:space="0" w:color="auto"/>
                  </w:divBdr>
                </w:div>
              </w:divsChild>
            </w:div>
            <w:div w:id="1085497473">
              <w:marLeft w:val="0"/>
              <w:marRight w:val="0"/>
              <w:marTop w:val="0"/>
              <w:marBottom w:val="0"/>
              <w:divBdr>
                <w:top w:val="none" w:sz="0" w:space="0" w:color="auto"/>
                <w:left w:val="none" w:sz="0" w:space="0" w:color="auto"/>
                <w:bottom w:val="none" w:sz="0" w:space="0" w:color="auto"/>
                <w:right w:val="none" w:sz="0" w:space="0" w:color="auto"/>
              </w:divBdr>
              <w:divsChild>
                <w:div w:id="200556233">
                  <w:marLeft w:val="0"/>
                  <w:marRight w:val="0"/>
                  <w:marTop w:val="0"/>
                  <w:marBottom w:val="0"/>
                  <w:divBdr>
                    <w:top w:val="none" w:sz="0" w:space="0" w:color="auto"/>
                    <w:left w:val="none" w:sz="0" w:space="0" w:color="auto"/>
                    <w:bottom w:val="none" w:sz="0" w:space="0" w:color="auto"/>
                    <w:right w:val="none" w:sz="0" w:space="0" w:color="auto"/>
                  </w:divBdr>
                </w:div>
              </w:divsChild>
            </w:div>
            <w:div w:id="984242578">
              <w:marLeft w:val="0"/>
              <w:marRight w:val="0"/>
              <w:marTop w:val="0"/>
              <w:marBottom w:val="0"/>
              <w:divBdr>
                <w:top w:val="none" w:sz="0" w:space="0" w:color="auto"/>
                <w:left w:val="none" w:sz="0" w:space="0" w:color="auto"/>
                <w:bottom w:val="none" w:sz="0" w:space="0" w:color="auto"/>
                <w:right w:val="none" w:sz="0" w:space="0" w:color="auto"/>
              </w:divBdr>
              <w:divsChild>
                <w:div w:id="1555580547">
                  <w:marLeft w:val="0"/>
                  <w:marRight w:val="0"/>
                  <w:marTop w:val="0"/>
                  <w:marBottom w:val="0"/>
                  <w:divBdr>
                    <w:top w:val="none" w:sz="0" w:space="0" w:color="auto"/>
                    <w:left w:val="none" w:sz="0" w:space="0" w:color="auto"/>
                    <w:bottom w:val="none" w:sz="0" w:space="0" w:color="auto"/>
                    <w:right w:val="none" w:sz="0" w:space="0" w:color="auto"/>
                  </w:divBdr>
                </w:div>
              </w:divsChild>
            </w:div>
            <w:div w:id="2004890403">
              <w:marLeft w:val="0"/>
              <w:marRight w:val="0"/>
              <w:marTop w:val="0"/>
              <w:marBottom w:val="0"/>
              <w:divBdr>
                <w:top w:val="none" w:sz="0" w:space="0" w:color="auto"/>
                <w:left w:val="none" w:sz="0" w:space="0" w:color="auto"/>
                <w:bottom w:val="none" w:sz="0" w:space="0" w:color="auto"/>
                <w:right w:val="none" w:sz="0" w:space="0" w:color="auto"/>
              </w:divBdr>
              <w:divsChild>
                <w:div w:id="1792362381">
                  <w:marLeft w:val="0"/>
                  <w:marRight w:val="0"/>
                  <w:marTop w:val="0"/>
                  <w:marBottom w:val="0"/>
                  <w:divBdr>
                    <w:top w:val="none" w:sz="0" w:space="0" w:color="auto"/>
                    <w:left w:val="none" w:sz="0" w:space="0" w:color="auto"/>
                    <w:bottom w:val="none" w:sz="0" w:space="0" w:color="auto"/>
                    <w:right w:val="none" w:sz="0" w:space="0" w:color="auto"/>
                  </w:divBdr>
                </w:div>
              </w:divsChild>
            </w:div>
            <w:div w:id="348795877">
              <w:marLeft w:val="0"/>
              <w:marRight w:val="0"/>
              <w:marTop w:val="0"/>
              <w:marBottom w:val="0"/>
              <w:divBdr>
                <w:top w:val="none" w:sz="0" w:space="0" w:color="auto"/>
                <w:left w:val="none" w:sz="0" w:space="0" w:color="auto"/>
                <w:bottom w:val="none" w:sz="0" w:space="0" w:color="auto"/>
                <w:right w:val="none" w:sz="0" w:space="0" w:color="auto"/>
              </w:divBdr>
              <w:divsChild>
                <w:div w:id="1517885265">
                  <w:marLeft w:val="0"/>
                  <w:marRight w:val="0"/>
                  <w:marTop w:val="0"/>
                  <w:marBottom w:val="0"/>
                  <w:divBdr>
                    <w:top w:val="none" w:sz="0" w:space="0" w:color="auto"/>
                    <w:left w:val="none" w:sz="0" w:space="0" w:color="auto"/>
                    <w:bottom w:val="none" w:sz="0" w:space="0" w:color="auto"/>
                    <w:right w:val="none" w:sz="0" w:space="0" w:color="auto"/>
                  </w:divBdr>
                </w:div>
              </w:divsChild>
            </w:div>
            <w:div w:id="55903264">
              <w:marLeft w:val="0"/>
              <w:marRight w:val="0"/>
              <w:marTop w:val="0"/>
              <w:marBottom w:val="0"/>
              <w:divBdr>
                <w:top w:val="none" w:sz="0" w:space="0" w:color="auto"/>
                <w:left w:val="none" w:sz="0" w:space="0" w:color="auto"/>
                <w:bottom w:val="none" w:sz="0" w:space="0" w:color="auto"/>
                <w:right w:val="none" w:sz="0" w:space="0" w:color="auto"/>
              </w:divBdr>
              <w:divsChild>
                <w:div w:id="18702066">
                  <w:marLeft w:val="0"/>
                  <w:marRight w:val="0"/>
                  <w:marTop w:val="0"/>
                  <w:marBottom w:val="0"/>
                  <w:divBdr>
                    <w:top w:val="none" w:sz="0" w:space="0" w:color="auto"/>
                    <w:left w:val="none" w:sz="0" w:space="0" w:color="auto"/>
                    <w:bottom w:val="none" w:sz="0" w:space="0" w:color="auto"/>
                    <w:right w:val="none" w:sz="0" w:space="0" w:color="auto"/>
                  </w:divBdr>
                </w:div>
              </w:divsChild>
            </w:div>
            <w:div w:id="1807048049">
              <w:marLeft w:val="0"/>
              <w:marRight w:val="0"/>
              <w:marTop w:val="0"/>
              <w:marBottom w:val="0"/>
              <w:divBdr>
                <w:top w:val="none" w:sz="0" w:space="0" w:color="auto"/>
                <w:left w:val="none" w:sz="0" w:space="0" w:color="auto"/>
                <w:bottom w:val="none" w:sz="0" w:space="0" w:color="auto"/>
                <w:right w:val="none" w:sz="0" w:space="0" w:color="auto"/>
              </w:divBdr>
              <w:divsChild>
                <w:div w:id="1432702510">
                  <w:marLeft w:val="0"/>
                  <w:marRight w:val="0"/>
                  <w:marTop w:val="0"/>
                  <w:marBottom w:val="0"/>
                  <w:divBdr>
                    <w:top w:val="none" w:sz="0" w:space="0" w:color="auto"/>
                    <w:left w:val="none" w:sz="0" w:space="0" w:color="auto"/>
                    <w:bottom w:val="none" w:sz="0" w:space="0" w:color="auto"/>
                    <w:right w:val="none" w:sz="0" w:space="0" w:color="auto"/>
                  </w:divBdr>
                </w:div>
              </w:divsChild>
            </w:div>
            <w:div w:id="223608945">
              <w:marLeft w:val="0"/>
              <w:marRight w:val="0"/>
              <w:marTop w:val="0"/>
              <w:marBottom w:val="0"/>
              <w:divBdr>
                <w:top w:val="none" w:sz="0" w:space="0" w:color="auto"/>
                <w:left w:val="none" w:sz="0" w:space="0" w:color="auto"/>
                <w:bottom w:val="none" w:sz="0" w:space="0" w:color="auto"/>
                <w:right w:val="none" w:sz="0" w:space="0" w:color="auto"/>
              </w:divBdr>
              <w:divsChild>
                <w:div w:id="1830556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210543">
          <w:marLeft w:val="0"/>
          <w:marRight w:val="0"/>
          <w:marTop w:val="0"/>
          <w:marBottom w:val="0"/>
          <w:divBdr>
            <w:top w:val="none" w:sz="0" w:space="0" w:color="auto"/>
            <w:left w:val="none" w:sz="0" w:space="0" w:color="auto"/>
            <w:bottom w:val="none" w:sz="0" w:space="0" w:color="auto"/>
            <w:right w:val="none" w:sz="0" w:space="0" w:color="auto"/>
          </w:divBdr>
          <w:divsChild>
            <w:div w:id="1587500836">
              <w:marLeft w:val="0"/>
              <w:marRight w:val="0"/>
              <w:marTop w:val="0"/>
              <w:marBottom w:val="0"/>
              <w:divBdr>
                <w:top w:val="none" w:sz="0" w:space="0" w:color="auto"/>
                <w:left w:val="none" w:sz="0" w:space="0" w:color="auto"/>
                <w:bottom w:val="none" w:sz="0" w:space="0" w:color="auto"/>
                <w:right w:val="none" w:sz="0" w:space="0" w:color="auto"/>
              </w:divBdr>
              <w:divsChild>
                <w:div w:id="1269584627">
                  <w:marLeft w:val="0"/>
                  <w:marRight w:val="0"/>
                  <w:marTop w:val="0"/>
                  <w:marBottom w:val="0"/>
                  <w:divBdr>
                    <w:top w:val="none" w:sz="0" w:space="0" w:color="auto"/>
                    <w:left w:val="none" w:sz="0" w:space="0" w:color="auto"/>
                    <w:bottom w:val="none" w:sz="0" w:space="0" w:color="auto"/>
                    <w:right w:val="none" w:sz="0" w:space="0" w:color="auto"/>
                  </w:divBdr>
                </w:div>
              </w:divsChild>
            </w:div>
            <w:div w:id="1197618211">
              <w:marLeft w:val="0"/>
              <w:marRight w:val="0"/>
              <w:marTop w:val="0"/>
              <w:marBottom w:val="0"/>
              <w:divBdr>
                <w:top w:val="none" w:sz="0" w:space="0" w:color="auto"/>
                <w:left w:val="none" w:sz="0" w:space="0" w:color="auto"/>
                <w:bottom w:val="none" w:sz="0" w:space="0" w:color="auto"/>
                <w:right w:val="none" w:sz="0" w:space="0" w:color="auto"/>
              </w:divBdr>
              <w:divsChild>
                <w:div w:id="765344163">
                  <w:marLeft w:val="0"/>
                  <w:marRight w:val="0"/>
                  <w:marTop w:val="0"/>
                  <w:marBottom w:val="0"/>
                  <w:divBdr>
                    <w:top w:val="none" w:sz="0" w:space="0" w:color="auto"/>
                    <w:left w:val="none" w:sz="0" w:space="0" w:color="auto"/>
                    <w:bottom w:val="none" w:sz="0" w:space="0" w:color="auto"/>
                    <w:right w:val="none" w:sz="0" w:space="0" w:color="auto"/>
                  </w:divBdr>
                </w:div>
              </w:divsChild>
            </w:div>
            <w:div w:id="560334239">
              <w:marLeft w:val="0"/>
              <w:marRight w:val="0"/>
              <w:marTop w:val="0"/>
              <w:marBottom w:val="0"/>
              <w:divBdr>
                <w:top w:val="none" w:sz="0" w:space="0" w:color="auto"/>
                <w:left w:val="none" w:sz="0" w:space="0" w:color="auto"/>
                <w:bottom w:val="none" w:sz="0" w:space="0" w:color="auto"/>
                <w:right w:val="none" w:sz="0" w:space="0" w:color="auto"/>
              </w:divBdr>
              <w:divsChild>
                <w:div w:id="739250108">
                  <w:marLeft w:val="0"/>
                  <w:marRight w:val="0"/>
                  <w:marTop w:val="0"/>
                  <w:marBottom w:val="0"/>
                  <w:divBdr>
                    <w:top w:val="none" w:sz="0" w:space="0" w:color="auto"/>
                    <w:left w:val="none" w:sz="0" w:space="0" w:color="auto"/>
                    <w:bottom w:val="none" w:sz="0" w:space="0" w:color="auto"/>
                    <w:right w:val="none" w:sz="0" w:space="0" w:color="auto"/>
                  </w:divBdr>
                </w:div>
              </w:divsChild>
            </w:div>
            <w:div w:id="339046180">
              <w:marLeft w:val="0"/>
              <w:marRight w:val="0"/>
              <w:marTop w:val="0"/>
              <w:marBottom w:val="0"/>
              <w:divBdr>
                <w:top w:val="none" w:sz="0" w:space="0" w:color="auto"/>
                <w:left w:val="none" w:sz="0" w:space="0" w:color="auto"/>
                <w:bottom w:val="none" w:sz="0" w:space="0" w:color="auto"/>
                <w:right w:val="none" w:sz="0" w:space="0" w:color="auto"/>
              </w:divBdr>
              <w:divsChild>
                <w:div w:id="1087966816">
                  <w:marLeft w:val="0"/>
                  <w:marRight w:val="0"/>
                  <w:marTop w:val="0"/>
                  <w:marBottom w:val="0"/>
                  <w:divBdr>
                    <w:top w:val="none" w:sz="0" w:space="0" w:color="auto"/>
                    <w:left w:val="none" w:sz="0" w:space="0" w:color="auto"/>
                    <w:bottom w:val="none" w:sz="0" w:space="0" w:color="auto"/>
                    <w:right w:val="none" w:sz="0" w:space="0" w:color="auto"/>
                  </w:divBdr>
                </w:div>
              </w:divsChild>
            </w:div>
            <w:div w:id="162671654">
              <w:marLeft w:val="0"/>
              <w:marRight w:val="0"/>
              <w:marTop w:val="0"/>
              <w:marBottom w:val="0"/>
              <w:divBdr>
                <w:top w:val="none" w:sz="0" w:space="0" w:color="auto"/>
                <w:left w:val="none" w:sz="0" w:space="0" w:color="auto"/>
                <w:bottom w:val="none" w:sz="0" w:space="0" w:color="auto"/>
                <w:right w:val="none" w:sz="0" w:space="0" w:color="auto"/>
              </w:divBdr>
              <w:divsChild>
                <w:div w:id="1767115423">
                  <w:marLeft w:val="0"/>
                  <w:marRight w:val="0"/>
                  <w:marTop w:val="0"/>
                  <w:marBottom w:val="0"/>
                  <w:divBdr>
                    <w:top w:val="none" w:sz="0" w:space="0" w:color="auto"/>
                    <w:left w:val="none" w:sz="0" w:space="0" w:color="auto"/>
                    <w:bottom w:val="none" w:sz="0" w:space="0" w:color="auto"/>
                    <w:right w:val="none" w:sz="0" w:space="0" w:color="auto"/>
                  </w:divBdr>
                </w:div>
              </w:divsChild>
            </w:div>
            <w:div w:id="723215287">
              <w:marLeft w:val="0"/>
              <w:marRight w:val="0"/>
              <w:marTop w:val="0"/>
              <w:marBottom w:val="0"/>
              <w:divBdr>
                <w:top w:val="none" w:sz="0" w:space="0" w:color="auto"/>
                <w:left w:val="none" w:sz="0" w:space="0" w:color="auto"/>
                <w:bottom w:val="none" w:sz="0" w:space="0" w:color="auto"/>
                <w:right w:val="none" w:sz="0" w:space="0" w:color="auto"/>
              </w:divBdr>
              <w:divsChild>
                <w:div w:id="1278365009">
                  <w:marLeft w:val="0"/>
                  <w:marRight w:val="0"/>
                  <w:marTop w:val="0"/>
                  <w:marBottom w:val="0"/>
                  <w:divBdr>
                    <w:top w:val="none" w:sz="0" w:space="0" w:color="auto"/>
                    <w:left w:val="none" w:sz="0" w:space="0" w:color="auto"/>
                    <w:bottom w:val="none" w:sz="0" w:space="0" w:color="auto"/>
                    <w:right w:val="none" w:sz="0" w:space="0" w:color="auto"/>
                  </w:divBdr>
                </w:div>
              </w:divsChild>
            </w:div>
            <w:div w:id="1953592512">
              <w:marLeft w:val="0"/>
              <w:marRight w:val="0"/>
              <w:marTop w:val="0"/>
              <w:marBottom w:val="0"/>
              <w:divBdr>
                <w:top w:val="none" w:sz="0" w:space="0" w:color="auto"/>
                <w:left w:val="none" w:sz="0" w:space="0" w:color="auto"/>
                <w:bottom w:val="none" w:sz="0" w:space="0" w:color="auto"/>
                <w:right w:val="none" w:sz="0" w:space="0" w:color="auto"/>
              </w:divBdr>
              <w:divsChild>
                <w:div w:id="53742375">
                  <w:marLeft w:val="0"/>
                  <w:marRight w:val="0"/>
                  <w:marTop w:val="0"/>
                  <w:marBottom w:val="0"/>
                  <w:divBdr>
                    <w:top w:val="none" w:sz="0" w:space="0" w:color="auto"/>
                    <w:left w:val="none" w:sz="0" w:space="0" w:color="auto"/>
                    <w:bottom w:val="none" w:sz="0" w:space="0" w:color="auto"/>
                    <w:right w:val="none" w:sz="0" w:space="0" w:color="auto"/>
                  </w:divBdr>
                </w:div>
              </w:divsChild>
            </w:div>
            <w:div w:id="1386489372">
              <w:marLeft w:val="0"/>
              <w:marRight w:val="0"/>
              <w:marTop w:val="0"/>
              <w:marBottom w:val="0"/>
              <w:divBdr>
                <w:top w:val="none" w:sz="0" w:space="0" w:color="auto"/>
                <w:left w:val="none" w:sz="0" w:space="0" w:color="auto"/>
                <w:bottom w:val="none" w:sz="0" w:space="0" w:color="auto"/>
                <w:right w:val="none" w:sz="0" w:space="0" w:color="auto"/>
              </w:divBdr>
              <w:divsChild>
                <w:div w:id="439495291">
                  <w:marLeft w:val="0"/>
                  <w:marRight w:val="0"/>
                  <w:marTop w:val="0"/>
                  <w:marBottom w:val="0"/>
                  <w:divBdr>
                    <w:top w:val="none" w:sz="0" w:space="0" w:color="auto"/>
                    <w:left w:val="none" w:sz="0" w:space="0" w:color="auto"/>
                    <w:bottom w:val="none" w:sz="0" w:space="0" w:color="auto"/>
                    <w:right w:val="none" w:sz="0" w:space="0" w:color="auto"/>
                  </w:divBdr>
                </w:div>
              </w:divsChild>
            </w:div>
            <w:div w:id="1085419268">
              <w:marLeft w:val="0"/>
              <w:marRight w:val="0"/>
              <w:marTop w:val="0"/>
              <w:marBottom w:val="0"/>
              <w:divBdr>
                <w:top w:val="none" w:sz="0" w:space="0" w:color="auto"/>
                <w:left w:val="none" w:sz="0" w:space="0" w:color="auto"/>
                <w:bottom w:val="none" w:sz="0" w:space="0" w:color="auto"/>
                <w:right w:val="none" w:sz="0" w:space="0" w:color="auto"/>
              </w:divBdr>
              <w:divsChild>
                <w:div w:id="58984951">
                  <w:marLeft w:val="0"/>
                  <w:marRight w:val="0"/>
                  <w:marTop w:val="0"/>
                  <w:marBottom w:val="0"/>
                  <w:divBdr>
                    <w:top w:val="none" w:sz="0" w:space="0" w:color="auto"/>
                    <w:left w:val="none" w:sz="0" w:space="0" w:color="auto"/>
                    <w:bottom w:val="none" w:sz="0" w:space="0" w:color="auto"/>
                    <w:right w:val="none" w:sz="0" w:space="0" w:color="auto"/>
                  </w:divBdr>
                </w:div>
              </w:divsChild>
            </w:div>
            <w:div w:id="1167131786">
              <w:marLeft w:val="0"/>
              <w:marRight w:val="0"/>
              <w:marTop w:val="0"/>
              <w:marBottom w:val="0"/>
              <w:divBdr>
                <w:top w:val="none" w:sz="0" w:space="0" w:color="auto"/>
                <w:left w:val="none" w:sz="0" w:space="0" w:color="auto"/>
                <w:bottom w:val="none" w:sz="0" w:space="0" w:color="auto"/>
                <w:right w:val="none" w:sz="0" w:space="0" w:color="auto"/>
              </w:divBdr>
              <w:divsChild>
                <w:div w:id="948393545">
                  <w:marLeft w:val="0"/>
                  <w:marRight w:val="0"/>
                  <w:marTop w:val="0"/>
                  <w:marBottom w:val="0"/>
                  <w:divBdr>
                    <w:top w:val="none" w:sz="0" w:space="0" w:color="auto"/>
                    <w:left w:val="none" w:sz="0" w:space="0" w:color="auto"/>
                    <w:bottom w:val="none" w:sz="0" w:space="0" w:color="auto"/>
                    <w:right w:val="none" w:sz="0" w:space="0" w:color="auto"/>
                  </w:divBdr>
                </w:div>
              </w:divsChild>
            </w:div>
            <w:div w:id="1398822664">
              <w:marLeft w:val="0"/>
              <w:marRight w:val="0"/>
              <w:marTop w:val="0"/>
              <w:marBottom w:val="0"/>
              <w:divBdr>
                <w:top w:val="none" w:sz="0" w:space="0" w:color="auto"/>
                <w:left w:val="none" w:sz="0" w:space="0" w:color="auto"/>
                <w:bottom w:val="none" w:sz="0" w:space="0" w:color="auto"/>
                <w:right w:val="none" w:sz="0" w:space="0" w:color="auto"/>
              </w:divBdr>
              <w:divsChild>
                <w:div w:id="892498981">
                  <w:marLeft w:val="0"/>
                  <w:marRight w:val="0"/>
                  <w:marTop w:val="0"/>
                  <w:marBottom w:val="0"/>
                  <w:divBdr>
                    <w:top w:val="none" w:sz="0" w:space="0" w:color="auto"/>
                    <w:left w:val="none" w:sz="0" w:space="0" w:color="auto"/>
                    <w:bottom w:val="none" w:sz="0" w:space="0" w:color="auto"/>
                    <w:right w:val="none" w:sz="0" w:space="0" w:color="auto"/>
                  </w:divBdr>
                </w:div>
              </w:divsChild>
            </w:div>
            <w:div w:id="456989928">
              <w:marLeft w:val="0"/>
              <w:marRight w:val="0"/>
              <w:marTop w:val="0"/>
              <w:marBottom w:val="0"/>
              <w:divBdr>
                <w:top w:val="none" w:sz="0" w:space="0" w:color="auto"/>
                <w:left w:val="none" w:sz="0" w:space="0" w:color="auto"/>
                <w:bottom w:val="none" w:sz="0" w:space="0" w:color="auto"/>
                <w:right w:val="none" w:sz="0" w:space="0" w:color="auto"/>
              </w:divBdr>
              <w:divsChild>
                <w:div w:id="1966889924">
                  <w:marLeft w:val="0"/>
                  <w:marRight w:val="0"/>
                  <w:marTop w:val="0"/>
                  <w:marBottom w:val="0"/>
                  <w:divBdr>
                    <w:top w:val="none" w:sz="0" w:space="0" w:color="auto"/>
                    <w:left w:val="none" w:sz="0" w:space="0" w:color="auto"/>
                    <w:bottom w:val="none" w:sz="0" w:space="0" w:color="auto"/>
                    <w:right w:val="none" w:sz="0" w:space="0" w:color="auto"/>
                  </w:divBdr>
                </w:div>
              </w:divsChild>
            </w:div>
            <w:div w:id="2132942775">
              <w:marLeft w:val="0"/>
              <w:marRight w:val="0"/>
              <w:marTop w:val="0"/>
              <w:marBottom w:val="0"/>
              <w:divBdr>
                <w:top w:val="none" w:sz="0" w:space="0" w:color="auto"/>
                <w:left w:val="none" w:sz="0" w:space="0" w:color="auto"/>
                <w:bottom w:val="none" w:sz="0" w:space="0" w:color="auto"/>
                <w:right w:val="none" w:sz="0" w:space="0" w:color="auto"/>
              </w:divBdr>
              <w:divsChild>
                <w:div w:id="9456949">
                  <w:marLeft w:val="0"/>
                  <w:marRight w:val="0"/>
                  <w:marTop w:val="0"/>
                  <w:marBottom w:val="0"/>
                  <w:divBdr>
                    <w:top w:val="none" w:sz="0" w:space="0" w:color="auto"/>
                    <w:left w:val="none" w:sz="0" w:space="0" w:color="auto"/>
                    <w:bottom w:val="none" w:sz="0" w:space="0" w:color="auto"/>
                    <w:right w:val="none" w:sz="0" w:space="0" w:color="auto"/>
                  </w:divBdr>
                </w:div>
              </w:divsChild>
            </w:div>
            <w:div w:id="773983943">
              <w:marLeft w:val="0"/>
              <w:marRight w:val="0"/>
              <w:marTop w:val="0"/>
              <w:marBottom w:val="0"/>
              <w:divBdr>
                <w:top w:val="none" w:sz="0" w:space="0" w:color="auto"/>
                <w:left w:val="none" w:sz="0" w:space="0" w:color="auto"/>
                <w:bottom w:val="none" w:sz="0" w:space="0" w:color="auto"/>
                <w:right w:val="none" w:sz="0" w:space="0" w:color="auto"/>
              </w:divBdr>
              <w:divsChild>
                <w:div w:id="1367410159">
                  <w:marLeft w:val="0"/>
                  <w:marRight w:val="0"/>
                  <w:marTop w:val="0"/>
                  <w:marBottom w:val="0"/>
                  <w:divBdr>
                    <w:top w:val="none" w:sz="0" w:space="0" w:color="auto"/>
                    <w:left w:val="none" w:sz="0" w:space="0" w:color="auto"/>
                    <w:bottom w:val="none" w:sz="0" w:space="0" w:color="auto"/>
                    <w:right w:val="none" w:sz="0" w:space="0" w:color="auto"/>
                  </w:divBdr>
                </w:div>
              </w:divsChild>
            </w:div>
            <w:div w:id="1966695477">
              <w:marLeft w:val="0"/>
              <w:marRight w:val="0"/>
              <w:marTop w:val="0"/>
              <w:marBottom w:val="0"/>
              <w:divBdr>
                <w:top w:val="none" w:sz="0" w:space="0" w:color="auto"/>
                <w:left w:val="none" w:sz="0" w:space="0" w:color="auto"/>
                <w:bottom w:val="none" w:sz="0" w:space="0" w:color="auto"/>
                <w:right w:val="none" w:sz="0" w:space="0" w:color="auto"/>
              </w:divBdr>
              <w:divsChild>
                <w:div w:id="1777290402">
                  <w:marLeft w:val="0"/>
                  <w:marRight w:val="0"/>
                  <w:marTop w:val="0"/>
                  <w:marBottom w:val="0"/>
                  <w:divBdr>
                    <w:top w:val="none" w:sz="0" w:space="0" w:color="auto"/>
                    <w:left w:val="none" w:sz="0" w:space="0" w:color="auto"/>
                    <w:bottom w:val="none" w:sz="0" w:space="0" w:color="auto"/>
                    <w:right w:val="none" w:sz="0" w:space="0" w:color="auto"/>
                  </w:divBdr>
                </w:div>
              </w:divsChild>
            </w:div>
            <w:div w:id="1555121283">
              <w:marLeft w:val="0"/>
              <w:marRight w:val="0"/>
              <w:marTop w:val="0"/>
              <w:marBottom w:val="0"/>
              <w:divBdr>
                <w:top w:val="none" w:sz="0" w:space="0" w:color="auto"/>
                <w:left w:val="none" w:sz="0" w:space="0" w:color="auto"/>
                <w:bottom w:val="none" w:sz="0" w:space="0" w:color="auto"/>
                <w:right w:val="none" w:sz="0" w:space="0" w:color="auto"/>
              </w:divBdr>
              <w:divsChild>
                <w:div w:id="1621959902">
                  <w:marLeft w:val="0"/>
                  <w:marRight w:val="0"/>
                  <w:marTop w:val="0"/>
                  <w:marBottom w:val="0"/>
                  <w:divBdr>
                    <w:top w:val="none" w:sz="0" w:space="0" w:color="auto"/>
                    <w:left w:val="none" w:sz="0" w:space="0" w:color="auto"/>
                    <w:bottom w:val="none" w:sz="0" w:space="0" w:color="auto"/>
                    <w:right w:val="none" w:sz="0" w:space="0" w:color="auto"/>
                  </w:divBdr>
                </w:div>
              </w:divsChild>
            </w:div>
            <w:div w:id="398789458">
              <w:marLeft w:val="0"/>
              <w:marRight w:val="0"/>
              <w:marTop w:val="0"/>
              <w:marBottom w:val="0"/>
              <w:divBdr>
                <w:top w:val="none" w:sz="0" w:space="0" w:color="auto"/>
                <w:left w:val="none" w:sz="0" w:space="0" w:color="auto"/>
                <w:bottom w:val="none" w:sz="0" w:space="0" w:color="auto"/>
                <w:right w:val="none" w:sz="0" w:space="0" w:color="auto"/>
              </w:divBdr>
              <w:divsChild>
                <w:div w:id="59913200">
                  <w:marLeft w:val="0"/>
                  <w:marRight w:val="0"/>
                  <w:marTop w:val="0"/>
                  <w:marBottom w:val="0"/>
                  <w:divBdr>
                    <w:top w:val="none" w:sz="0" w:space="0" w:color="auto"/>
                    <w:left w:val="none" w:sz="0" w:space="0" w:color="auto"/>
                    <w:bottom w:val="none" w:sz="0" w:space="0" w:color="auto"/>
                    <w:right w:val="none" w:sz="0" w:space="0" w:color="auto"/>
                  </w:divBdr>
                </w:div>
              </w:divsChild>
            </w:div>
            <w:div w:id="1289622251">
              <w:marLeft w:val="0"/>
              <w:marRight w:val="0"/>
              <w:marTop w:val="0"/>
              <w:marBottom w:val="0"/>
              <w:divBdr>
                <w:top w:val="none" w:sz="0" w:space="0" w:color="auto"/>
                <w:left w:val="none" w:sz="0" w:space="0" w:color="auto"/>
                <w:bottom w:val="none" w:sz="0" w:space="0" w:color="auto"/>
                <w:right w:val="none" w:sz="0" w:space="0" w:color="auto"/>
              </w:divBdr>
              <w:divsChild>
                <w:div w:id="1437288268">
                  <w:marLeft w:val="0"/>
                  <w:marRight w:val="0"/>
                  <w:marTop w:val="0"/>
                  <w:marBottom w:val="0"/>
                  <w:divBdr>
                    <w:top w:val="none" w:sz="0" w:space="0" w:color="auto"/>
                    <w:left w:val="none" w:sz="0" w:space="0" w:color="auto"/>
                    <w:bottom w:val="none" w:sz="0" w:space="0" w:color="auto"/>
                    <w:right w:val="none" w:sz="0" w:space="0" w:color="auto"/>
                  </w:divBdr>
                </w:div>
              </w:divsChild>
            </w:div>
            <w:div w:id="1367365534">
              <w:marLeft w:val="0"/>
              <w:marRight w:val="0"/>
              <w:marTop w:val="0"/>
              <w:marBottom w:val="0"/>
              <w:divBdr>
                <w:top w:val="none" w:sz="0" w:space="0" w:color="auto"/>
                <w:left w:val="none" w:sz="0" w:space="0" w:color="auto"/>
                <w:bottom w:val="none" w:sz="0" w:space="0" w:color="auto"/>
                <w:right w:val="none" w:sz="0" w:space="0" w:color="auto"/>
              </w:divBdr>
              <w:divsChild>
                <w:div w:id="1406419671">
                  <w:marLeft w:val="0"/>
                  <w:marRight w:val="0"/>
                  <w:marTop w:val="0"/>
                  <w:marBottom w:val="0"/>
                  <w:divBdr>
                    <w:top w:val="none" w:sz="0" w:space="0" w:color="auto"/>
                    <w:left w:val="none" w:sz="0" w:space="0" w:color="auto"/>
                    <w:bottom w:val="none" w:sz="0" w:space="0" w:color="auto"/>
                    <w:right w:val="none" w:sz="0" w:space="0" w:color="auto"/>
                  </w:divBdr>
                </w:div>
              </w:divsChild>
            </w:div>
            <w:div w:id="1507866746">
              <w:marLeft w:val="0"/>
              <w:marRight w:val="0"/>
              <w:marTop w:val="0"/>
              <w:marBottom w:val="0"/>
              <w:divBdr>
                <w:top w:val="none" w:sz="0" w:space="0" w:color="auto"/>
                <w:left w:val="none" w:sz="0" w:space="0" w:color="auto"/>
                <w:bottom w:val="none" w:sz="0" w:space="0" w:color="auto"/>
                <w:right w:val="none" w:sz="0" w:space="0" w:color="auto"/>
              </w:divBdr>
              <w:divsChild>
                <w:div w:id="2034186450">
                  <w:marLeft w:val="0"/>
                  <w:marRight w:val="0"/>
                  <w:marTop w:val="0"/>
                  <w:marBottom w:val="0"/>
                  <w:divBdr>
                    <w:top w:val="none" w:sz="0" w:space="0" w:color="auto"/>
                    <w:left w:val="none" w:sz="0" w:space="0" w:color="auto"/>
                    <w:bottom w:val="none" w:sz="0" w:space="0" w:color="auto"/>
                    <w:right w:val="none" w:sz="0" w:space="0" w:color="auto"/>
                  </w:divBdr>
                </w:div>
              </w:divsChild>
            </w:div>
            <w:div w:id="876234456">
              <w:marLeft w:val="0"/>
              <w:marRight w:val="0"/>
              <w:marTop w:val="0"/>
              <w:marBottom w:val="0"/>
              <w:divBdr>
                <w:top w:val="none" w:sz="0" w:space="0" w:color="auto"/>
                <w:left w:val="none" w:sz="0" w:space="0" w:color="auto"/>
                <w:bottom w:val="none" w:sz="0" w:space="0" w:color="auto"/>
                <w:right w:val="none" w:sz="0" w:space="0" w:color="auto"/>
              </w:divBdr>
              <w:divsChild>
                <w:div w:id="1035422370">
                  <w:marLeft w:val="0"/>
                  <w:marRight w:val="0"/>
                  <w:marTop w:val="0"/>
                  <w:marBottom w:val="0"/>
                  <w:divBdr>
                    <w:top w:val="none" w:sz="0" w:space="0" w:color="auto"/>
                    <w:left w:val="none" w:sz="0" w:space="0" w:color="auto"/>
                    <w:bottom w:val="none" w:sz="0" w:space="0" w:color="auto"/>
                    <w:right w:val="none" w:sz="0" w:space="0" w:color="auto"/>
                  </w:divBdr>
                </w:div>
              </w:divsChild>
            </w:div>
            <w:div w:id="1630623702">
              <w:marLeft w:val="0"/>
              <w:marRight w:val="0"/>
              <w:marTop w:val="0"/>
              <w:marBottom w:val="0"/>
              <w:divBdr>
                <w:top w:val="none" w:sz="0" w:space="0" w:color="auto"/>
                <w:left w:val="none" w:sz="0" w:space="0" w:color="auto"/>
                <w:bottom w:val="none" w:sz="0" w:space="0" w:color="auto"/>
                <w:right w:val="none" w:sz="0" w:space="0" w:color="auto"/>
              </w:divBdr>
              <w:divsChild>
                <w:div w:id="2064718108">
                  <w:marLeft w:val="0"/>
                  <w:marRight w:val="0"/>
                  <w:marTop w:val="0"/>
                  <w:marBottom w:val="0"/>
                  <w:divBdr>
                    <w:top w:val="none" w:sz="0" w:space="0" w:color="auto"/>
                    <w:left w:val="none" w:sz="0" w:space="0" w:color="auto"/>
                    <w:bottom w:val="none" w:sz="0" w:space="0" w:color="auto"/>
                    <w:right w:val="none" w:sz="0" w:space="0" w:color="auto"/>
                  </w:divBdr>
                </w:div>
              </w:divsChild>
            </w:div>
            <w:div w:id="2096782489">
              <w:marLeft w:val="0"/>
              <w:marRight w:val="0"/>
              <w:marTop w:val="0"/>
              <w:marBottom w:val="0"/>
              <w:divBdr>
                <w:top w:val="none" w:sz="0" w:space="0" w:color="auto"/>
                <w:left w:val="none" w:sz="0" w:space="0" w:color="auto"/>
                <w:bottom w:val="none" w:sz="0" w:space="0" w:color="auto"/>
                <w:right w:val="none" w:sz="0" w:space="0" w:color="auto"/>
              </w:divBdr>
              <w:divsChild>
                <w:div w:id="1511215410">
                  <w:marLeft w:val="0"/>
                  <w:marRight w:val="0"/>
                  <w:marTop w:val="0"/>
                  <w:marBottom w:val="0"/>
                  <w:divBdr>
                    <w:top w:val="none" w:sz="0" w:space="0" w:color="auto"/>
                    <w:left w:val="none" w:sz="0" w:space="0" w:color="auto"/>
                    <w:bottom w:val="none" w:sz="0" w:space="0" w:color="auto"/>
                    <w:right w:val="none" w:sz="0" w:space="0" w:color="auto"/>
                  </w:divBdr>
                </w:div>
              </w:divsChild>
            </w:div>
            <w:div w:id="1095444261">
              <w:marLeft w:val="0"/>
              <w:marRight w:val="0"/>
              <w:marTop w:val="0"/>
              <w:marBottom w:val="0"/>
              <w:divBdr>
                <w:top w:val="none" w:sz="0" w:space="0" w:color="auto"/>
                <w:left w:val="none" w:sz="0" w:space="0" w:color="auto"/>
                <w:bottom w:val="none" w:sz="0" w:space="0" w:color="auto"/>
                <w:right w:val="none" w:sz="0" w:space="0" w:color="auto"/>
              </w:divBdr>
              <w:divsChild>
                <w:div w:id="2130272535">
                  <w:marLeft w:val="0"/>
                  <w:marRight w:val="0"/>
                  <w:marTop w:val="0"/>
                  <w:marBottom w:val="0"/>
                  <w:divBdr>
                    <w:top w:val="none" w:sz="0" w:space="0" w:color="auto"/>
                    <w:left w:val="none" w:sz="0" w:space="0" w:color="auto"/>
                    <w:bottom w:val="none" w:sz="0" w:space="0" w:color="auto"/>
                    <w:right w:val="none" w:sz="0" w:space="0" w:color="auto"/>
                  </w:divBdr>
                </w:div>
              </w:divsChild>
            </w:div>
            <w:div w:id="662198857">
              <w:marLeft w:val="0"/>
              <w:marRight w:val="0"/>
              <w:marTop w:val="0"/>
              <w:marBottom w:val="0"/>
              <w:divBdr>
                <w:top w:val="none" w:sz="0" w:space="0" w:color="auto"/>
                <w:left w:val="none" w:sz="0" w:space="0" w:color="auto"/>
                <w:bottom w:val="none" w:sz="0" w:space="0" w:color="auto"/>
                <w:right w:val="none" w:sz="0" w:space="0" w:color="auto"/>
              </w:divBdr>
              <w:divsChild>
                <w:div w:id="1199975331">
                  <w:marLeft w:val="0"/>
                  <w:marRight w:val="0"/>
                  <w:marTop w:val="0"/>
                  <w:marBottom w:val="0"/>
                  <w:divBdr>
                    <w:top w:val="none" w:sz="0" w:space="0" w:color="auto"/>
                    <w:left w:val="none" w:sz="0" w:space="0" w:color="auto"/>
                    <w:bottom w:val="none" w:sz="0" w:space="0" w:color="auto"/>
                    <w:right w:val="none" w:sz="0" w:space="0" w:color="auto"/>
                  </w:divBdr>
                </w:div>
              </w:divsChild>
            </w:div>
            <w:div w:id="1306155878">
              <w:marLeft w:val="0"/>
              <w:marRight w:val="0"/>
              <w:marTop w:val="0"/>
              <w:marBottom w:val="0"/>
              <w:divBdr>
                <w:top w:val="none" w:sz="0" w:space="0" w:color="auto"/>
                <w:left w:val="none" w:sz="0" w:space="0" w:color="auto"/>
                <w:bottom w:val="none" w:sz="0" w:space="0" w:color="auto"/>
                <w:right w:val="none" w:sz="0" w:space="0" w:color="auto"/>
              </w:divBdr>
              <w:divsChild>
                <w:div w:id="954167573">
                  <w:marLeft w:val="0"/>
                  <w:marRight w:val="0"/>
                  <w:marTop w:val="0"/>
                  <w:marBottom w:val="0"/>
                  <w:divBdr>
                    <w:top w:val="none" w:sz="0" w:space="0" w:color="auto"/>
                    <w:left w:val="none" w:sz="0" w:space="0" w:color="auto"/>
                    <w:bottom w:val="none" w:sz="0" w:space="0" w:color="auto"/>
                    <w:right w:val="none" w:sz="0" w:space="0" w:color="auto"/>
                  </w:divBdr>
                </w:div>
              </w:divsChild>
            </w:div>
            <w:div w:id="1051805551">
              <w:marLeft w:val="0"/>
              <w:marRight w:val="0"/>
              <w:marTop w:val="0"/>
              <w:marBottom w:val="0"/>
              <w:divBdr>
                <w:top w:val="none" w:sz="0" w:space="0" w:color="auto"/>
                <w:left w:val="none" w:sz="0" w:space="0" w:color="auto"/>
                <w:bottom w:val="none" w:sz="0" w:space="0" w:color="auto"/>
                <w:right w:val="none" w:sz="0" w:space="0" w:color="auto"/>
              </w:divBdr>
              <w:divsChild>
                <w:div w:id="1949123347">
                  <w:marLeft w:val="0"/>
                  <w:marRight w:val="0"/>
                  <w:marTop w:val="0"/>
                  <w:marBottom w:val="0"/>
                  <w:divBdr>
                    <w:top w:val="none" w:sz="0" w:space="0" w:color="auto"/>
                    <w:left w:val="none" w:sz="0" w:space="0" w:color="auto"/>
                    <w:bottom w:val="none" w:sz="0" w:space="0" w:color="auto"/>
                    <w:right w:val="none" w:sz="0" w:space="0" w:color="auto"/>
                  </w:divBdr>
                </w:div>
              </w:divsChild>
            </w:div>
            <w:div w:id="7610875">
              <w:marLeft w:val="0"/>
              <w:marRight w:val="0"/>
              <w:marTop w:val="0"/>
              <w:marBottom w:val="0"/>
              <w:divBdr>
                <w:top w:val="none" w:sz="0" w:space="0" w:color="auto"/>
                <w:left w:val="none" w:sz="0" w:space="0" w:color="auto"/>
                <w:bottom w:val="none" w:sz="0" w:space="0" w:color="auto"/>
                <w:right w:val="none" w:sz="0" w:space="0" w:color="auto"/>
              </w:divBdr>
              <w:divsChild>
                <w:div w:id="23872046">
                  <w:marLeft w:val="0"/>
                  <w:marRight w:val="0"/>
                  <w:marTop w:val="0"/>
                  <w:marBottom w:val="0"/>
                  <w:divBdr>
                    <w:top w:val="none" w:sz="0" w:space="0" w:color="auto"/>
                    <w:left w:val="none" w:sz="0" w:space="0" w:color="auto"/>
                    <w:bottom w:val="none" w:sz="0" w:space="0" w:color="auto"/>
                    <w:right w:val="none" w:sz="0" w:space="0" w:color="auto"/>
                  </w:divBdr>
                </w:div>
              </w:divsChild>
            </w:div>
            <w:div w:id="810246204">
              <w:marLeft w:val="0"/>
              <w:marRight w:val="0"/>
              <w:marTop w:val="0"/>
              <w:marBottom w:val="0"/>
              <w:divBdr>
                <w:top w:val="none" w:sz="0" w:space="0" w:color="auto"/>
                <w:left w:val="none" w:sz="0" w:space="0" w:color="auto"/>
                <w:bottom w:val="none" w:sz="0" w:space="0" w:color="auto"/>
                <w:right w:val="none" w:sz="0" w:space="0" w:color="auto"/>
              </w:divBdr>
              <w:divsChild>
                <w:div w:id="650210256">
                  <w:marLeft w:val="0"/>
                  <w:marRight w:val="0"/>
                  <w:marTop w:val="0"/>
                  <w:marBottom w:val="0"/>
                  <w:divBdr>
                    <w:top w:val="none" w:sz="0" w:space="0" w:color="auto"/>
                    <w:left w:val="none" w:sz="0" w:space="0" w:color="auto"/>
                    <w:bottom w:val="none" w:sz="0" w:space="0" w:color="auto"/>
                    <w:right w:val="none" w:sz="0" w:space="0" w:color="auto"/>
                  </w:divBdr>
                </w:div>
              </w:divsChild>
            </w:div>
            <w:div w:id="1212884020">
              <w:marLeft w:val="0"/>
              <w:marRight w:val="0"/>
              <w:marTop w:val="0"/>
              <w:marBottom w:val="0"/>
              <w:divBdr>
                <w:top w:val="none" w:sz="0" w:space="0" w:color="auto"/>
                <w:left w:val="none" w:sz="0" w:space="0" w:color="auto"/>
                <w:bottom w:val="none" w:sz="0" w:space="0" w:color="auto"/>
                <w:right w:val="none" w:sz="0" w:space="0" w:color="auto"/>
              </w:divBdr>
              <w:divsChild>
                <w:div w:id="1932427031">
                  <w:marLeft w:val="0"/>
                  <w:marRight w:val="0"/>
                  <w:marTop w:val="0"/>
                  <w:marBottom w:val="0"/>
                  <w:divBdr>
                    <w:top w:val="none" w:sz="0" w:space="0" w:color="auto"/>
                    <w:left w:val="none" w:sz="0" w:space="0" w:color="auto"/>
                    <w:bottom w:val="none" w:sz="0" w:space="0" w:color="auto"/>
                    <w:right w:val="none" w:sz="0" w:space="0" w:color="auto"/>
                  </w:divBdr>
                </w:div>
              </w:divsChild>
            </w:div>
            <w:div w:id="1112281417">
              <w:marLeft w:val="0"/>
              <w:marRight w:val="0"/>
              <w:marTop w:val="0"/>
              <w:marBottom w:val="0"/>
              <w:divBdr>
                <w:top w:val="none" w:sz="0" w:space="0" w:color="auto"/>
                <w:left w:val="none" w:sz="0" w:space="0" w:color="auto"/>
                <w:bottom w:val="none" w:sz="0" w:space="0" w:color="auto"/>
                <w:right w:val="none" w:sz="0" w:space="0" w:color="auto"/>
              </w:divBdr>
              <w:divsChild>
                <w:div w:id="1586567251">
                  <w:marLeft w:val="0"/>
                  <w:marRight w:val="0"/>
                  <w:marTop w:val="0"/>
                  <w:marBottom w:val="0"/>
                  <w:divBdr>
                    <w:top w:val="none" w:sz="0" w:space="0" w:color="auto"/>
                    <w:left w:val="none" w:sz="0" w:space="0" w:color="auto"/>
                    <w:bottom w:val="none" w:sz="0" w:space="0" w:color="auto"/>
                    <w:right w:val="none" w:sz="0" w:space="0" w:color="auto"/>
                  </w:divBdr>
                </w:div>
              </w:divsChild>
            </w:div>
            <w:div w:id="9570227">
              <w:marLeft w:val="0"/>
              <w:marRight w:val="0"/>
              <w:marTop w:val="0"/>
              <w:marBottom w:val="0"/>
              <w:divBdr>
                <w:top w:val="none" w:sz="0" w:space="0" w:color="auto"/>
                <w:left w:val="none" w:sz="0" w:space="0" w:color="auto"/>
                <w:bottom w:val="none" w:sz="0" w:space="0" w:color="auto"/>
                <w:right w:val="none" w:sz="0" w:space="0" w:color="auto"/>
              </w:divBdr>
              <w:divsChild>
                <w:div w:id="666515133">
                  <w:marLeft w:val="0"/>
                  <w:marRight w:val="0"/>
                  <w:marTop w:val="0"/>
                  <w:marBottom w:val="0"/>
                  <w:divBdr>
                    <w:top w:val="none" w:sz="0" w:space="0" w:color="auto"/>
                    <w:left w:val="none" w:sz="0" w:space="0" w:color="auto"/>
                    <w:bottom w:val="none" w:sz="0" w:space="0" w:color="auto"/>
                    <w:right w:val="none" w:sz="0" w:space="0" w:color="auto"/>
                  </w:divBdr>
                </w:div>
              </w:divsChild>
            </w:div>
            <w:div w:id="1041713956">
              <w:marLeft w:val="0"/>
              <w:marRight w:val="0"/>
              <w:marTop w:val="0"/>
              <w:marBottom w:val="0"/>
              <w:divBdr>
                <w:top w:val="none" w:sz="0" w:space="0" w:color="auto"/>
                <w:left w:val="none" w:sz="0" w:space="0" w:color="auto"/>
                <w:bottom w:val="none" w:sz="0" w:space="0" w:color="auto"/>
                <w:right w:val="none" w:sz="0" w:space="0" w:color="auto"/>
              </w:divBdr>
              <w:divsChild>
                <w:div w:id="1873110652">
                  <w:marLeft w:val="0"/>
                  <w:marRight w:val="0"/>
                  <w:marTop w:val="0"/>
                  <w:marBottom w:val="0"/>
                  <w:divBdr>
                    <w:top w:val="none" w:sz="0" w:space="0" w:color="auto"/>
                    <w:left w:val="none" w:sz="0" w:space="0" w:color="auto"/>
                    <w:bottom w:val="none" w:sz="0" w:space="0" w:color="auto"/>
                    <w:right w:val="none" w:sz="0" w:space="0" w:color="auto"/>
                  </w:divBdr>
                </w:div>
              </w:divsChild>
            </w:div>
            <w:div w:id="1781146166">
              <w:marLeft w:val="0"/>
              <w:marRight w:val="0"/>
              <w:marTop w:val="0"/>
              <w:marBottom w:val="0"/>
              <w:divBdr>
                <w:top w:val="none" w:sz="0" w:space="0" w:color="auto"/>
                <w:left w:val="none" w:sz="0" w:space="0" w:color="auto"/>
                <w:bottom w:val="none" w:sz="0" w:space="0" w:color="auto"/>
                <w:right w:val="none" w:sz="0" w:space="0" w:color="auto"/>
              </w:divBdr>
              <w:divsChild>
                <w:div w:id="1417744805">
                  <w:marLeft w:val="0"/>
                  <w:marRight w:val="0"/>
                  <w:marTop w:val="0"/>
                  <w:marBottom w:val="0"/>
                  <w:divBdr>
                    <w:top w:val="none" w:sz="0" w:space="0" w:color="auto"/>
                    <w:left w:val="none" w:sz="0" w:space="0" w:color="auto"/>
                    <w:bottom w:val="none" w:sz="0" w:space="0" w:color="auto"/>
                    <w:right w:val="none" w:sz="0" w:space="0" w:color="auto"/>
                  </w:divBdr>
                </w:div>
              </w:divsChild>
            </w:div>
            <w:div w:id="1253203559">
              <w:marLeft w:val="0"/>
              <w:marRight w:val="0"/>
              <w:marTop w:val="0"/>
              <w:marBottom w:val="0"/>
              <w:divBdr>
                <w:top w:val="none" w:sz="0" w:space="0" w:color="auto"/>
                <w:left w:val="none" w:sz="0" w:space="0" w:color="auto"/>
                <w:bottom w:val="none" w:sz="0" w:space="0" w:color="auto"/>
                <w:right w:val="none" w:sz="0" w:space="0" w:color="auto"/>
              </w:divBdr>
              <w:divsChild>
                <w:div w:id="263533677">
                  <w:marLeft w:val="0"/>
                  <w:marRight w:val="0"/>
                  <w:marTop w:val="0"/>
                  <w:marBottom w:val="0"/>
                  <w:divBdr>
                    <w:top w:val="none" w:sz="0" w:space="0" w:color="auto"/>
                    <w:left w:val="none" w:sz="0" w:space="0" w:color="auto"/>
                    <w:bottom w:val="none" w:sz="0" w:space="0" w:color="auto"/>
                    <w:right w:val="none" w:sz="0" w:space="0" w:color="auto"/>
                  </w:divBdr>
                </w:div>
              </w:divsChild>
            </w:div>
            <w:div w:id="1882857368">
              <w:marLeft w:val="0"/>
              <w:marRight w:val="0"/>
              <w:marTop w:val="0"/>
              <w:marBottom w:val="0"/>
              <w:divBdr>
                <w:top w:val="none" w:sz="0" w:space="0" w:color="auto"/>
                <w:left w:val="none" w:sz="0" w:space="0" w:color="auto"/>
                <w:bottom w:val="none" w:sz="0" w:space="0" w:color="auto"/>
                <w:right w:val="none" w:sz="0" w:space="0" w:color="auto"/>
              </w:divBdr>
              <w:divsChild>
                <w:div w:id="863636490">
                  <w:marLeft w:val="0"/>
                  <w:marRight w:val="0"/>
                  <w:marTop w:val="0"/>
                  <w:marBottom w:val="0"/>
                  <w:divBdr>
                    <w:top w:val="none" w:sz="0" w:space="0" w:color="auto"/>
                    <w:left w:val="none" w:sz="0" w:space="0" w:color="auto"/>
                    <w:bottom w:val="none" w:sz="0" w:space="0" w:color="auto"/>
                    <w:right w:val="none" w:sz="0" w:space="0" w:color="auto"/>
                  </w:divBdr>
                </w:div>
              </w:divsChild>
            </w:div>
            <w:div w:id="1133014745">
              <w:marLeft w:val="0"/>
              <w:marRight w:val="0"/>
              <w:marTop w:val="0"/>
              <w:marBottom w:val="0"/>
              <w:divBdr>
                <w:top w:val="none" w:sz="0" w:space="0" w:color="auto"/>
                <w:left w:val="none" w:sz="0" w:space="0" w:color="auto"/>
                <w:bottom w:val="none" w:sz="0" w:space="0" w:color="auto"/>
                <w:right w:val="none" w:sz="0" w:space="0" w:color="auto"/>
              </w:divBdr>
              <w:divsChild>
                <w:div w:id="359626942">
                  <w:marLeft w:val="0"/>
                  <w:marRight w:val="0"/>
                  <w:marTop w:val="0"/>
                  <w:marBottom w:val="0"/>
                  <w:divBdr>
                    <w:top w:val="none" w:sz="0" w:space="0" w:color="auto"/>
                    <w:left w:val="none" w:sz="0" w:space="0" w:color="auto"/>
                    <w:bottom w:val="none" w:sz="0" w:space="0" w:color="auto"/>
                    <w:right w:val="none" w:sz="0" w:space="0" w:color="auto"/>
                  </w:divBdr>
                </w:div>
              </w:divsChild>
            </w:div>
            <w:div w:id="458769650">
              <w:marLeft w:val="0"/>
              <w:marRight w:val="0"/>
              <w:marTop w:val="0"/>
              <w:marBottom w:val="0"/>
              <w:divBdr>
                <w:top w:val="none" w:sz="0" w:space="0" w:color="auto"/>
                <w:left w:val="none" w:sz="0" w:space="0" w:color="auto"/>
                <w:bottom w:val="none" w:sz="0" w:space="0" w:color="auto"/>
                <w:right w:val="none" w:sz="0" w:space="0" w:color="auto"/>
              </w:divBdr>
              <w:divsChild>
                <w:div w:id="707493741">
                  <w:marLeft w:val="0"/>
                  <w:marRight w:val="0"/>
                  <w:marTop w:val="0"/>
                  <w:marBottom w:val="0"/>
                  <w:divBdr>
                    <w:top w:val="none" w:sz="0" w:space="0" w:color="auto"/>
                    <w:left w:val="none" w:sz="0" w:space="0" w:color="auto"/>
                    <w:bottom w:val="none" w:sz="0" w:space="0" w:color="auto"/>
                    <w:right w:val="none" w:sz="0" w:space="0" w:color="auto"/>
                  </w:divBdr>
                </w:div>
              </w:divsChild>
            </w:div>
            <w:div w:id="106849445">
              <w:marLeft w:val="0"/>
              <w:marRight w:val="0"/>
              <w:marTop w:val="0"/>
              <w:marBottom w:val="0"/>
              <w:divBdr>
                <w:top w:val="none" w:sz="0" w:space="0" w:color="auto"/>
                <w:left w:val="none" w:sz="0" w:space="0" w:color="auto"/>
                <w:bottom w:val="none" w:sz="0" w:space="0" w:color="auto"/>
                <w:right w:val="none" w:sz="0" w:space="0" w:color="auto"/>
              </w:divBdr>
              <w:divsChild>
                <w:div w:id="380178994">
                  <w:marLeft w:val="0"/>
                  <w:marRight w:val="0"/>
                  <w:marTop w:val="0"/>
                  <w:marBottom w:val="0"/>
                  <w:divBdr>
                    <w:top w:val="none" w:sz="0" w:space="0" w:color="auto"/>
                    <w:left w:val="none" w:sz="0" w:space="0" w:color="auto"/>
                    <w:bottom w:val="none" w:sz="0" w:space="0" w:color="auto"/>
                    <w:right w:val="none" w:sz="0" w:space="0" w:color="auto"/>
                  </w:divBdr>
                </w:div>
              </w:divsChild>
            </w:div>
            <w:div w:id="254902081">
              <w:marLeft w:val="0"/>
              <w:marRight w:val="0"/>
              <w:marTop w:val="0"/>
              <w:marBottom w:val="0"/>
              <w:divBdr>
                <w:top w:val="none" w:sz="0" w:space="0" w:color="auto"/>
                <w:left w:val="none" w:sz="0" w:space="0" w:color="auto"/>
                <w:bottom w:val="none" w:sz="0" w:space="0" w:color="auto"/>
                <w:right w:val="none" w:sz="0" w:space="0" w:color="auto"/>
              </w:divBdr>
              <w:divsChild>
                <w:div w:id="1149907054">
                  <w:marLeft w:val="0"/>
                  <w:marRight w:val="0"/>
                  <w:marTop w:val="0"/>
                  <w:marBottom w:val="0"/>
                  <w:divBdr>
                    <w:top w:val="none" w:sz="0" w:space="0" w:color="auto"/>
                    <w:left w:val="none" w:sz="0" w:space="0" w:color="auto"/>
                    <w:bottom w:val="none" w:sz="0" w:space="0" w:color="auto"/>
                    <w:right w:val="none" w:sz="0" w:space="0" w:color="auto"/>
                  </w:divBdr>
                </w:div>
              </w:divsChild>
            </w:div>
            <w:div w:id="1947762594">
              <w:marLeft w:val="0"/>
              <w:marRight w:val="0"/>
              <w:marTop w:val="0"/>
              <w:marBottom w:val="0"/>
              <w:divBdr>
                <w:top w:val="none" w:sz="0" w:space="0" w:color="auto"/>
                <w:left w:val="none" w:sz="0" w:space="0" w:color="auto"/>
                <w:bottom w:val="none" w:sz="0" w:space="0" w:color="auto"/>
                <w:right w:val="none" w:sz="0" w:space="0" w:color="auto"/>
              </w:divBdr>
              <w:divsChild>
                <w:div w:id="320280414">
                  <w:marLeft w:val="0"/>
                  <w:marRight w:val="0"/>
                  <w:marTop w:val="0"/>
                  <w:marBottom w:val="0"/>
                  <w:divBdr>
                    <w:top w:val="none" w:sz="0" w:space="0" w:color="auto"/>
                    <w:left w:val="none" w:sz="0" w:space="0" w:color="auto"/>
                    <w:bottom w:val="none" w:sz="0" w:space="0" w:color="auto"/>
                    <w:right w:val="none" w:sz="0" w:space="0" w:color="auto"/>
                  </w:divBdr>
                </w:div>
              </w:divsChild>
            </w:div>
            <w:div w:id="19669322">
              <w:marLeft w:val="0"/>
              <w:marRight w:val="0"/>
              <w:marTop w:val="0"/>
              <w:marBottom w:val="0"/>
              <w:divBdr>
                <w:top w:val="none" w:sz="0" w:space="0" w:color="auto"/>
                <w:left w:val="none" w:sz="0" w:space="0" w:color="auto"/>
                <w:bottom w:val="none" w:sz="0" w:space="0" w:color="auto"/>
                <w:right w:val="none" w:sz="0" w:space="0" w:color="auto"/>
              </w:divBdr>
              <w:divsChild>
                <w:div w:id="443575607">
                  <w:marLeft w:val="0"/>
                  <w:marRight w:val="0"/>
                  <w:marTop w:val="0"/>
                  <w:marBottom w:val="0"/>
                  <w:divBdr>
                    <w:top w:val="none" w:sz="0" w:space="0" w:color="auto"/>
                    <w:left w:val="none" w:sz="0" w:space="0" w:color="auto"/>
                    <w:bottom w:val="none" w:sz="0" w:space="0" w:color="auto"/>
                    <w:right w:val="none" w:sz="0" w:space="0" w:color="auto"/>
                  </w:divBdr>
                </w:div>
              </w:divsChild>
            </w:div>
            <w:div w:id="1586452309">
              <w:marLeft w:val="0"/>
              <w:marRight w:val="0"/>
              <w:marTop w:val="0"/>
              <w:marBottom w:val="0"/>
              <w:divBdr>
                <w:top w:val="none" w:sz="0" w:space="0" w:color="auto"/>
                <w:left w:val="none" w:sz="0" w:space="0" w:color="auto"/>
                <w:bottom w:val="none" w:sz="0" w:space="0" w:color="auto"/>
                <w:right w:val="none" w:sz="0" w:space="0" w:color="auto"/>
              </w:divBdr>
              <w:divsChild>
                <w:div w:id="950669669">
                  <w:marLeft w:val="0"/>
                  <w:marRight w:val="0"/>
                  <w:marTop w:val="0"/>
                  <w:marBottom w:val="0"/>
                  <w:divBdr>
                    <w:top w:val="none" w:sz="0" w:space="0" w:color="auto"/>
                    <w:left w:val="none" w:sz="0" w:space="0" w:color="auto"/>
                    <w:bottom w:val="none" w:sz="0" w:space="0" w:color="auto"/>
                    <w:right w:val="none" w:sz="0" w:space="0" w:color="auto"/>
                  </w:divBdr>
                </w:div>
              </w:divsChild>
            </w:div>
            <w:div w:id="2117551457">
              <w:marLeft w:val="0"/>
              <w:marRight w:val="0"/>
              <w:marTop w:val="0"/>
              <w:marBottom w:val="0"/>
              <w:divBdr>
                <w:top w:val="none" w:sz="0" w:space="0" w:color="auto"/>
                <w:left w:val="none" w:sz="0" w:space="0" w:color="auto"/>
                <w:bottom w:val="none" w:sz="0" w:space="0" w:color="auto"/>
                <w:right w:val="none" w:sz="0" w:space="0" w:color="auto"/>
              </w:divBdr>
              <w:divsChild>
                <w:div w:id="136412906">
                  <w:marLeft w:val="0"/>
                  <w:marRight w:val="0"/>
                  <w:marTop w:val="0"/>
                  <w:marBottom w:val="0"/>
                  <w:divBdr>
                    <w:top w:val="none" w:sz="0" w:space="0" w:color="auto"/>
                    <w:left w:val="none" w:sz="0" w:space="0" w:color="auto"/>
                    <w:bottom w:val="none" w:sz="0" w:space="0" w:color="auto"/>
                    <w:right w:val="none" w:sz="0" w:space="0" w:color="auto"/>
                  </w:divBdr>
                </w:div>
              </w:divsChild>
            </w:div>
            <w:div w:id="23603448">
              <w:marLeft w:val="0"/>
              <w:marRight w:val="0"/>
              <w:marTop w:val="0"/>
              <w:marBottom w:val="0"/>
              <w:divBdr>
                <w:top w:val="none" w:sz="0" w:space="0" w:color="auto"/>
                <w:left w:val="none" w:sz="0" w:space="0" w:color="auto"/>
                <w:bottom w:val="none" w:sz="0" w:space="0" w:color="auto"/>
                <w:right w:val="none" w:sz="0" w:space="0" w:color="auto"/>
              </w:divBdr>
              <w:divsChild>
                <w:div w:id="1193374578">
                  <w:marLeft w:val="0"/>
                  <w:marRight w:val="0"/>
                  <w:marTop w:val="0"/>
                  <w:marBottom w:val="0"/>
                  <w:divBdr>
                    <w:top w:val="none" w:sz="0" w:space="0" w:color="auto"/>
                    <w:left w:val="none" w:sz="0" w:space="0" w:color="auto"/>
                    <w:bottom w:val="none" w:sz="0" w:space="0" w:color="auto"/>
                    <w:right w:val="none" w:sz="0" w:space="0" w:color="auto"/>
                  </w:divBdr>
                </w:div>
              </w:divsChild>
            </w:div>
            <w:div w:id="817068574">
              <w:marLeft w:val="0"/>
              <w:marRight w:val="0"/>
              <w:marTop w:val="0"/>
              <w:marBottom w:val="0"/>
              <w:divBdr>
                <w:top w:val="none" w:sz="0" w:space="0" w:color="auto"/>
                <w:left w:val="none" w:sz="0" w:space="0" w:color="auto"/>
                <w:bottom w:val="none" w:sz="0" w:space="0" w:color="auto"/>
                <w:right w:val="none" w:sz="0" w:space="0" w:color="auto"/>
              </w:divBdr>
              <w:divsChild>
                <w:div w:id="1284071775">
                  <w:marLeft w:val="0"/>
                  <w:marRight w:val="0"/>
                  <w:marTop w:val="0"/>
                  <w:marBottom w:val="0"/>
                  <w:divBdr>
                    <w:top w:val="none" w:sz="0" w:space="0" w:color="auto"/>
                    <w:left w:val="none" w:sz="0" w:space="0" w:color="auto"/>
                    <w:bottom w:val="none" w:sz="0" w:space="0" w:color="auto"/>
                    <w:right w:val="none" w:sz="0" w:space="0" w:color="auto"/>
                  </w:divBdr>
                </w:div>
              </w:divsChild>
            </w:div>
            <w:div w:id="1508323133">
              <w:marLeft w:val="0"/>
              <w:marRight w:val="0"/>
              <w:marTop w:val="0"/>
              <w:marBottom w:val="0"/>
              <w:divBdr>
                <w:top w:val="none" w:sz="0" w:space="0" w:color="auto"/>
                <w:left w:val="none" w:sz="0" w:space="0" w:color="auto"/>
                <w:bottom w:val="none" w:sz="0" w:space="0" w:color="auto"/>
                <w:right w:val="none" w:sz="0" w:space="0" w:color="auto"/>
              </w:divBdr>
              <w:divsChild>
                <w:div w:id="70389810">
                  <w:marLeft w:val="0"/>
                  <w:marRight w:val="0"/>
                  <w:marTop w:val="0"/>
                  <w:marBottom w:val="0"/>
                  <w:divBdr>
                    <w:top w:val="none" w:sz="0" w:space="0" w:color="auto"/>
                    <w:left w:val="none" w:sz="0" w:space="0" w:color="auto"/>
                    <w:bottom w:val="none" w:sz="0" w:space="0" w:color="auto"/>
                    <w:right w:val="none" w:sz="0" w:space="0" w:color="auto"/>
                  </w:divBdr>
                </w:div>
              </w:divsChild>
            </w:div>
            <w:div w:id="1235779457">
              <w:marLeft w:val="0"/>
              <w:marRight w:val="0"/>
              <w:marTop w:val="0"/>
              <w:marBottom w:val="0"/>
              <w:divBdr>
                <w:top w:val="none" w:sz="0" w:space="0" w:color="auto"/>
                <w:left w:val="none" w:sz="0" w:space="0" w:color="auto"/>
                <w:bottom w:val="none" w:sz="0" w:space="0" w:color="auto"/>
                <w:right w:val="none" w:sz="0" w:space="0" w:color="auto"/>
              </w:divBdr>
              <w:divsChild>
                <w:div w:id="1471052720">
                  <w:marLeft w:val="0"/>
                  <w:marRight w:val="0"/>
                  <w:marTop w:val="0"/>
                  <w:marBottom w:val="0"/>
                  <w:divBdr>
                    <w:top w:val="none" w:sz="0" w:space="0" w:color="auto"/>
                    <w:left w:val="none" w:sz="0" w:space="0" w:color="auto"/>
                    <w:bottom w:val="none" w:sz="0" w:space="0" w:color="auto"/>
                    <w:right w:val="none" w:sz="0" w:space="0" w:color="auto"/>
                  </w:divBdr>
                </w:div>
              </w:divsChild>
            </w:div>
            <w:div w:id="1057898783">
              <w:marLeft w:val="0"/>
              <w:marRight w:val="0"/>
              <w:marTop w:val="0"/>
              <w:marBottom w:val="0"/>
              <w:divBdr>
                <w:top w:val="none" w:sz="0" w:space="0" w:color="auto"/>
                <w:left w:val="none" w:sz="0" w:space="0" w:color="auto"/>
                <w:bottom w:val="none" w:sz="0" w:space="0" w:color="auto"/>
                <w:right w:val="none" w:sz="0" w:space="0" w:color="auto"/>
              </w:divBdr>
              <w:divsChild>
                <w:div w:id="527060996">
                  <w:marLeft w:val="0"/>
                  <w:marRight w:val="0"/>
                  <w:marTop w:val="0"/>
                  <w:marBottom w:val="0"/>
                  <w:divBdr>
                    <w:top w:val="none" w:sz="0" w:space="0" w:color="auto"/>
                    <w:left w:val="none" w:sz="0" w:space="0" w:color="auto"/>
                    <w:bottom w:val="none" w:sz="0" w:space="0" w:color="auto"/>
                    <w:right w:val="none" w:sz="0" w:space="0" w:color="auto"/>
                  </w:divBdr>
                </w:div>
              </w:divsChild>
            </w:div>
            <w:div w:id="327171879">
              <w:marLeft w:val="0"/>
              <w:marRight w:val="0"/>
              <w:marTop w:val="0"/>
              <w:marBottom w:val="0"/>
              <w:divBdr>
                <w:top w:val="none" w:sz="0" w:space="0" w:color="auto"/>
                <w:left w:val="none" w:sz="0" w:space="0" w:color="auto"/>
                <w:bottom w:val="none" w:sz="0" w:space="0" w:color="auto"/>
                <w:right w:val="none" w:sz="0" w:space="0" w:color="auto"/>
              </w:divBdr>
              <w:divsChild>
                <w:div w:id="1637832894">
                  <w:marLeft w:val="0"/>
                  <w:marRight w:val="0"/>
                  <w:marTop w:val="0"/>
                  <w:marBottom w:val="0"/>
                  <w:divBdr>
                    <w:top w:val="none" w:sz="0" w:space="0" w:color="auto"/>
                    <w:left w:val="none" w:sz="0" w:space="0" w:color="auto"/>
                    <w:bottom w:val="none" w:sz="0" w:space="0" w:color="auto"/>
                    <w:right w:val="none" w:sz="0" w:space="0" w:color="auto"/>
                  </w:divBdr>
                </w:div>
              </w:divsChild>
            </w:div>
            <w:div w:id="2134783525">
              <w:marLeft w:val="0"/>
              <w:marRight w:val="0"/>
              <w:marTop w:val="0"/>
              <w:marBottom w:val="0"/>
              <w:divBdr>
                <w:top w:val="none" w:sz="0" w:space="0" w:color="auto"/>
                <w:left w:val="none" w:sz="0" w:space="0" w:color="auto"/>
                <w:bottom w:val="none" w:sz="0" w:space="0" w:color="auto"/>
                <w:right w:val="none" w:sz="0" w:space="0" w:color="auto"/>
              </w:divBdr>
              <w:divsChild>
                <w:div w:id="1423183966">
                  <w:marLeft w:val="0"/>
                  <w:marRight w:val="0"/>
                  <w:marTop w:val="0"/>
                  <w:marBottom w:val="0"/>
                  <w:divBdr>
                    <w:top w:val="none" w:sz="0" w:space="0" w:color="auto"/>
                    <w:left w:val="none" w:sz="0" w:space="0" w:color="auto"/>
                    <w:bottom w:val="none" w:sz="0" w:space="0" w:color="auto"/>
                    <w:right w:val="none" w:sz="0" w:space="0" w:color="auto"/>
                  </w:divBdr>
                </w:div>
              </w:divsChild>
            </w:div>
            <w:div w:id="1021052113">
              <w:marLeft w:val="0"/>
              <w:marRight w:val="0"/>
              <w:marTop w:val="0"/>
              <w:marBottom w:val="0"/>
              <w:divBdr>
                <w:top w:val="none" w:sz="0" w:space="0" w:color="auto"/>
                <w:left w:val="none" w:sz="0" w:space="0" w:color="auto"/>
                <w:bottom w:val="none" w:sz="0" w:space="0" w:color="auto"/>
                <w:right w:val="none" w:sz="0" w:space="0" w:color="auto"/>
              </w:divBdr>
              <w:divsChild>
                <w:div w:id="1091972227">
                  <w:marLeft w:val="0"/>
                  <w:marRight w:val="0"/>
                  <w:marTop w:val="0"/>
                  <w:marBottom w:val="0"/>
                  <w:divBdr>
                    <w:top w:val="none" w:sz="0" w:space="0" w:color="auto"/>
                    <w:left w:val="none" w:sz="0" w:space="0" w:color="auto"/>
                    <w:bottom w:val="none" w:sz="0" w:space="0" w:color="auto"/>
                    <w:right w:val="none" w:sz="0" w:space="0" w:color="auto"/>
                  </w:divBdr>
                </w:div>
              </w:divsChild>
            </w:div>
            <w:div w:id="972491478">
              <w:marLeft w:val="0"/>
              <w:marRight w:val="0"/>
              <w:marTop w:val="0"/>
              <w:marBottom w:val="0"/>
              <w:divBdr>
                <w:top w:val="none" w:sz="0" w:space="0" w:color="auto"/>
                <w:left w:val="none" w:sz="0" w:space="0" w:color="auto"/>
                <w:bottom w:val="none" w:sz="0" w:space="0" w:color="auto"/>
                <w:right w:val="none" w:sz="0" w:space="0" w:color="auto"/>
              </w:divBdr>
              <w:divsChild>
                <w:div w:id="1520968574">
                  <w:marLeft w:val="0"/>
                  <w:marRight w:val="0"/>
                  <w:marTop w:val="0"/>
                  <w:marBottom w:val="0"/>
                  <w:divBdr>
                    <w:top w:val="none" w:sz="0" w:space="0" w:color="auto"/>
                    <w:left w:val="none" w:sz="0" w:space="0" w:color="auto"/>
                    <w:bottom w:val="none" w:sz="0" w:space="0" w:color="auto"/>
                    <w:right w:val="none" w:sz="0" w:space="0" w:color="auto"/>
                  </w:divBdr>
                </w:div>
              </w:divsChild>
            </w:div>
            <w:div w:id="268243488">
              <w:marLeft w:val="0"/>
              <w:marRight w:val="0"/>
              <w:marTop w:val="0"/>
              <w:marBottom w:val="0"/>
              <w:divBdr>
                <w:top w:val="none" w:sz="0" w:space="0" w:color="auto"/>
                <w:left w:val="none" w:sz="0" w:space="0" w:color="auto"/>
                <w:bottom w:val="none" w:sz="0" w:space="0" w:color="auto"/>
                <w:right w:val="none" w:sz="0" w:space="0" w:color="auto"/>
              </w:divBdr>
              <w:divsChild>
                <w:div w:id="917323427">
                  <w:marLeft w:val="0"/>
                  <w:marRight w:val="0"/>
                  <w:marTop w:val="0"/>
                  <w:marBottom w:val="0"/>
                  <w:divBdr>
                    <w:top w:val="none" w:sz="0" w:space="0" w:color="auto"/>
                    <w:left w:val="none" w:sz="0" w:space="0" w:color="auto"/>
                    <w:bottom w:val="none" w:sz="0" w:space="0" w:color="auto"/>
                    <w:right w:val="none" w:sz="0" w:space="0" w:color="auto"/>
                  </w:divBdr>
                </w:div>
              </w:divsChild>
            </w:div>
            <w:div w:id="76630969">
              <w:marLeft w:val="0"/>
              <w:marRight w:val="0"/>
              <w:marTop w:val="0"/>
              <w:marBottom w:val="0"/>
              <w:divBdr>
                <w:top w:val="none" w:sz="0" w:space="0" w:color="auto"/>
                <w:left w:val="none" w:sz="0" w:space="0" w:color="auto"/>
                <w:bottom w:val="none" w:sz="0" w:space="0" w:color="auto"/>
                <w:right w:val="none" w:sz="0" w:space="0" w:color="auto"/>
              </w:divBdr>
              <w:divsChild>
                <w:div w:id="1421751787">
                  <w:marLeft w:val="0"/>
                  <w:marRight w:val="0"/>
                  <w:marTop w:val="0"/>
                  <w:marBottom w:val="0"/>
                  <w:divBdr>
                    <w:top w:val="none" w:sz="0" w:space="0" w:color="auto"/>
                    <w:left w:val="none" w:sz="0" w:space="0" w:color="auto"/>
                    <w:bottom w:val="none" w:sz="0" w:space="0" w:color="auto"/>
                    <w:right w:val="none" w:sz="0" w:space="0" w:color="auto"/>
                  </w:divBdr>
                </w:div>
              </w:divsChild>
            </w:div>
            <w:div w:id="2056195683">
              <w:marLeft w:val="0"/>
              <w:marRight w:val="0"/>
              <w:marTop w:val="0"/>
              <w:marBottom w:val="0"/>
              <w:divBdr>
                <w:top w:val="none" w:sz="0" w:space="0" w:color="auto"/>
                <w:left w:val="none" w:sz="0" w:space="0" w:color="auto"/>
                <w:bottom w:val="none" w:sz="0" w:space="0" w:color="auto"/>
                <w:right w:val="none" w:sz="0" w:space="0" w:color="auto"/>
              </w:divBdr>
              <w:divsChild>
                <w:div w:id="312298017">
                  <w:marLeft w:val="0"/>
                  <w:marRight w:val="0"/>
                  <w:marTop w:val="0"/>
                  <w:marBottom w:val="0"/>
                  <w:divBdr>
                    <w:top w:val="none" w:sz="0" w:space="0" w:color="auto"/>
                    <w:left w:val="none" w:sz="0" w:space="0" w:color="auto"/>
                    <w:bottom w:val="none" w:sz="0" w:space="0" w:color="auto"/>
                    <w:right w:val="none" w:sz="0" w:space="0" w:color="auto"/>
                  </w:divBdr>
                </w:div>
              </w:divsChild>
            </w:div>
            <w:div w:id="1084571557">
              <w:marLeft w:val="0"/>
              <w:marRight w:val="0"/>
              <w:marTop w:val="0"/>
              <w:marBottom w:val="0"/>
              <w:divBdr>
                <w:top w:val="none" w:sz="0" w:space="0" w:color="auto"/>
                <w:left w:val="none" w:sz="0" w:space="0" w:color="auto"/>
                <w:bottom w:val="none" w:sz="0" w:space="0" w:color="auto"/>
                <w:right w:val="none" w:sz="0" w:space="0" w:color="auto"/>
              </w:divBdr>
              <w:divsChild>
                <w:div w:id="1840920178">
                  <w:marLeft w:val="0"/>
                  <w:marRight w:val="0"/>
                  <w:marTop w:val="0"/>
                  <w:marBottom w:val="0"/>
                  <w:divBdr>
                    <w:top w:val="none" w:sz="0" w:space="0" w:color="auto"/>
                    <w:left w:val="none" w:sz="0" w:space="0" w:color="auto"/>
                    <w:bottom w:val="none" w:sz="0" w:space="0" w:color="auto"/>
                    <w:right w:val="none" w:sz="0" w:space="0" w:color="auto"/>
                  </w:divBdr>
                </w:div>
              </w:divsChild>
            </w:div>
            <w:div w:id="944969537">
              <w:marLeft w:val="0"/>
              <w:marRight w:val="0"/>
              <w:marTop w:val="0"/>
              <w:marBottom w:val="0"/>
              <w:divBdr>
                <w:top w:val="none" w:sz="0" w:space="0" w:color="auto"/>
                <w:left w:val="none" w:sz="0" w:space="0" w:color="auto"/>
                <w:bottom w:val="none" w:sz="0" w:space="0" w:color="auto"/>
                <w:right w:val="none" w:sz="0" w:space="0" w:color="auto"/>
              </w:divBdr>
              <w:divsChild>
                <w:div w:id="1110122269">
                  <w:marLeft w:val="0"/>
                  <w:marRight w:val="0"/>
                  <w:marTop w:val="0"/>
                  <w:marBottom w:val="0"/>
                  <w:divBdr>
                    <w:top w:val="none" w:sz="0" w:space="0" w:color="auto"/>
                    <w:left w:val="none" w:sz="0" w:space="0" w:color="auto"/>
                    <w:bottom w:val="none" w:sz="0" w:space="0" w:color="auto"/>
                    <w:right w:val="none" w:sz="0" w:space="0" w:color="auto"/>
                  </w:divBdr>
                </w:div>
              </w:divsChild>
            </w:div>
            <w:div w:id="2021614537">
              <w:marLeft w:val="0"/>
              <w:marRight w:val="0"/>
              <w:marTop w:val="0"/>
              <w:marBottom w:val="0"/>
              <w:divBdr>
                <w:top w:val="none" w:sz="0" w:space="0" w:color="auto"/>
                <w:left w:val="none" w:sz="0" w:space="0" w:color="auto"/>
                <w:bottom w:val="none" w:sz="0" w:space="0" w:color="auto"/>
                <w:right w:val="none" w:sz="0" w:space="0" w:color="auto"/>
              </w:divBdr>
              <w:divsChild>
                <w:div w:id="675763392">
                  <w:marLeft w:val="0"/>
                  <w:marRight w:val="0"/>
                  <w:marTop w:val="0"/>
                  <w:marBottom w:val="0"/>
                  <w:divBdr>
                    <w:top w:val="none" w:sz="0" w:space="0" w:color="auto"/>
                    <w:left w:val="none" w:sz="0" w:space="0" w:color="auto"/>
                    <w:bottom w:val="none" w:sz="0" w:space="0" w:color="auto"/>
                    <w:right w:val="none" w:sz="0" w:space="0" w:color="auto"/>
                  </w:divBdr>
                </w:div>
              </w:divsChild>
            </w:div>
            <w:div w:id="1721709158">
              <w:marLeft w:val="0"/>
              <w:marRight w:val="0"/>
              <w:marTop w:val="0"/>
              <w:marBottom w:val="0"/>
              <w:divBdr>
                <w:top w:val="none" w:sz="0" w:space="0" w:color="auto"/>
                <w:left w:val="none" w:sz="0" w:space="0" w:color="auto"/>
                <w:bottom w:val="none" w:sz="0" w:space="0" w:color="auto"/>
                <w:right w:val="none" w:sz="0" w:space="0" w:color="auto"/>
              </w:divBdr>
              <w:divsChild>
                <w:div w:id="1027802338">
                  <w:marLeft w:val="0"/>
                  <w:marRight w:val="0"/>
                  <w:marTop w:val="0"/>
                  <w:marBottom w:val="0"/>
                  <w:divBdr>
                    <w:top w:val="none" w:sz="0" w:space="0" w:color="auto"/>
                    <w:left w:val="none" w:sz="0" w:space="0" w:color="auto"/>
                    <w:bottom w:val="none" w:sz="0" w:space="0" w:color="auto"/>
                    <w:right w:val="none" w:sz="0" w:space="0" w:color="auto"/>
                  </w:divBdr>
                </w:div>
              </w:divsChild>
            </w:div>
            <w:div w:id="1730952917">
              <w:marLeft w:val="0"/>
              <w:marRight w:val="0"/>
              <w:marTop w:val="0"/>
              <w:marBottom w:val="0"/>
              <w:divBdr>
                <w:top w:val="none" w:sz="0" w:space="0" w:color="auto"/>
                <w:left w:val="none" w:sz="0" w:space="0" w:color="auto"/>
                <w:bottom w:val="none" w:sz="0" w:space="0" w:color="auto"/>
                <w:right w:val="none" w:sz="0" w:space="0" w:color="auto"/>
              </w:divBdr>
              <w:divsChild>
                <w:div w:id="440074449">
                  <w:marLeft w:val="0"/>
                  <w:marRight w:val="0"/>
                  <w:marTop w:val="0"/>
                  <w:marBottom w:val="0"/>
                  <w:divBdr>
                    <w:top w:val="none" w:sz="0" w:space="0" w:color="auto"/>
                    <w:left w:val="none" w:sz="0" w:space="0" w:color="auto"/>
                    <w:bottom w:val="none" w:sz="0" w:space="0" w:color="auto"/>
                    <w:right w:val="none" w:sz="0" w:space="0" w:color="auto"/>
                  </w:divBdr>
                </w:div>
              </w:divsChild>
            </w:div>
            <w:div w:id="5331202">
              <w:marLeft w:val="0"/>
              <w:marRight w:val="0"/>
              <w:marTop w:val="0"/>
              <w:marBottom w:val="0"/>
              <w:divBdr>
                <w:top w:val="none" w:sz="0" w:space="0" w:color="auto"/>
                <w:left w:val="none" w:sz="0" w:space="0" w:color="auto"/>
                <w:bottom w:val="none" w:sz="0" w:space="0" w:color="auto"/>
                <w:right w:val="none" w:sz="0" w:space="0" w:color="auto"/>
              </w:divBdr>
              <w:divsChild>
                <w:div w:id="26024905">
                  <w:marLeft w:val="0"/>
                  <w:marRight w:val="0"/>
                  <w:marTop w:val="0"/>
                  <w:marBottom w:val="0"/>
                  <w:divBdr>
                    <w:top w:val="none" w:sz="0" w:space="0" w:color="auto"/>
                    <w:left w:val="none" w:sz="0" w:space="0" w:color="auto"/>
                    <w:bottom w:val="none" w:sz="0" w:space="0" w:color="auto"/>
                    <w:right w:val="none" w:sz="0" w:space="0" w:color="auto"/>
                  </w:divBdr>
                </w:div>
              </w:divsChild>
            </w:div>
            <w:div w:id="1585214126">
              <w:marLeft w:val="0"/>
              <w:marRight w:val="0"/>
              <w:marTop w:val="0"/>
              <w:marBottom w:val="0"/>
              <w:divBdr>
                <w:top w:val="none" w:sz="0" w:space="0" w:color="auto"/>
                <w:left w:val="none" w:sz="0" w:space="0" w:color="auto"/>
                <w:bottom w:val="none" w:sz="0" w:space="0" w:color="auto"/>
                <w:right w:val="none" w:sz="0" w:space="0" w:color="auto"/>
              </w:divBdr>
              <w:divsChild>
                <w:div w:id="1370108604">
                  <w:marLeft w:val="0"/>
                  <w:marRight w:val="0"/>
                  <w:marTop w:val="0"/>
                  <w:marBottom w:val="0"/>
                  <w:divBdr>
                    <w:top w:val="none" w:sz="0" w:space="0" w:color="auto"/>
                    <w:left w:val="none" w:sz="0" w:space="0" w:color="auto"/>
                    <w:bottom w:val="none" w:sz="0" w:space="0" w:color="auto"/>
                    <w:right w:val="none" w:sz="0" w:space="0" w:color="auto"/>
                  </w:divBdr>
                </w:div>
              </w:divsChild>
            </w:div>
            <w:div w:id="353115313">
              <w:marLeft w:val="0"/>
              <w:marRight w:val="0"/>
              <w:marTop w:val="0"/>
              <w:marBottom w:val="0"/>
              <w:divBdr>
                <w:top w:val="none" w:sz="0" w:space="0" w:color="auto"/>
                <w:left w:val="none" w:sz="0" w:space="0" w:color="auto"/>
                <w:bottom w:val="none" w:sz="0" w:space="0" w:color="auto"/>
                <w:right w:val="none" w:sz="0" w:space="0" w:color="auto"/>
              </w:divBdr>
              <w:divsChild>
                <w:div w:id="830676120">
                  <w:marLeft w:val="0"/>
                  <w:marRight w:val="0"/>
                  <w:marTop w:val="0"/>
                  <w:marBottom w:val="0"/>
                  <w:divBdr>
                    <w:top w:val="none" w:sz="0" w:space="0" w:color="auto"/>
                    <w:left w:val="none" w:sz="0" w:space="0" w:color="auto"/>
                    <w:bottom w:val="none" w:sz="0" w:space="0" w:color="auto"/>
                    <w:right w:val="none" w:sz="0" w:space="0" w:color="auto"/>
                  </w:divBdr>
                </w:div>
              </w:divsChild>
            </w:div>
            <w:div w:id="1504081235">
              <w:marLeft w:val="0"/>
              <w:marRight w:val="0"/>
              <w:marTop w:val="0"/>
              <w:marBottom w:val="0"/>
              <w:divBdr>
                <w:top w:val="none" w:sz="0" w:space="0" w:color="auto"/>
                <w:left w:val="none" w:sz="0" w:space="0" w:color="auto"/>
                <w:bottom w:val="none" w:sz="0" w:space="0" w:color="auto"/>
                <w:right w:val="none" w:sz="0" w:space="0" w:color="auto"/>
              </w:divBdr>
              <w:divsChild>
                <w:div w:id="958949289">
                  <w:marLeft w:val="0"/>
                  <w:marRight w:val="0"/>
                  <w:marTop w:val="0"/>
                  <w:marBottom w:val="0"/>
                  <w:divBdr>
                    <w:top w:val="none" w:sz="0" w:space="0" w:color="auto"/>
                    <w:left w:val="none" w:sz="0" w:space="0" w:color="auto"/>
                    <w:bottom w:val="none" w:sz="0" w:space="0" w:color="auto"/>
                    <w:right w:val="none" w:sz="0" w:space="0" w:color="auto"/>
                  </w:divBdr>
                </w:div>
              </w:divsChild>
            </w:div>
            <w:div w:id="883523338">
              <w:marLeft w:val="0"/>
              <w:marRight w:val="0"/>
              <w:marTop w:val="0"/>
              <w:marBottom w:val="0"/>
              <w:divBdr>
                <w:top w:val="none" w:sz="0" w:space="0" w:color="auto"/>
                <w:left w:val="none" w:sz="0" w:space="0" w:color="auto"/>
                <w:bottom w:val="none" w:sz="0" w:space="0" w:color="auto"/>
                <w:right w:val="none" w:sz="0" w:space="0" w:color="auto"/>
              </w:divBdr>
              <w:divsChild>
                <w:div w:id="1165901546">
                  <w:marLeft w:val="0"/>
                  <w:marRight w:val="0"/>
                  <w:marTop w:val="0"/>
                  <w:marBottom w:val="0"/>
                  <w:divBdr>
                    <w:top w:val="none" w:sz="0" w:space="0" w:color="auto"/>
                    <w:left w:val="none" w:sz="0" w:space="0" w:color="auto"/>
                    <w:bottom w:val="none" w:sz="0" w:space="0" w:color="auto"/>
                    <w:right w:val="none" w:sz="0" w:space="0" w:color="auto"/>
                  </w:divBdr>
                </w:div>
              </w:divsChild>
            </w:div>
            <w:div w:id="1369144519">
              <w:marLeft w:val="0"/>
              <w:marRight w:val="0"/>
              <w:marTop w:val="0"/>
              <w:marBottom w:val="0"/>
              <w:divBdr>
                <w:top w:val="none" w:sz="0" w:space="0" w:color="auto"/>
                <w:left w:val="none" w:sz="0" w:space="0" w:color="auto"/>
                <w:bottom w:val="none" w:sz="0" w:space="0" w:color="auto"/>
                <w:right w:val="none" w:sz="0" w:space="0" w:color="auto"/>
              </w:divBdr>
              <w:divsChild>
                <w:div w:id="1658219606">
                  <w:marLeft w:val="0"/>
                  <w:marRight w:val="0"/>
                  <w:marTop w:val="0"/>
                  <w:marBottom w:val="0"/>
                  <w:divBdr>
                    <w:top w:val="none" w:sz="0" w:space="0" w:color="auto"/>
                    <w:left w:val="none" w:sz="0" w:space="0" w:color="auto"/>
                    <w:bottom w:val="none" w:sz="0" w:space="0" w:color="auto"/>
                    <w:right w:val="none" w:sz="0" w:space="0" w:color="auto"/>
                  </w:divBdr>
                </w:div>
              </w:divsChild>
            </w:div>
            <w:div w:id="942155913">
              <w:marLeft w:val="0"/>
              <w:marRight w:val="0"/>
              <w:marTop w:val="0"/>
              <w:marBottom w:val="0"/>
              <w:divBdr>
                <w:top w:val="none" w:sz="0" w:space="0" w:color="auto"/>
                <w:left w:val="none" w:sz="0" w:space="0" w:color="auto"/>
                <w:bottom w:val="none" w:sz="0" w:space="0" w:color="auto"/>
                <w:right w:val="none" w:sz="0" w:space="0" w:color="auto"/>
              </w:divBdr>
              <w:divsChild>
                <w:div w:id="126513044">
                  <w:marLeft w:val="0"/>
                  <w:marRight w:val="0"/>
                  <w:marTop w:val="0"/>
                  <w:marBottom w:val="0"/>
                  <w:divBdr>
                    <w:top w:val="none" w:sz="0" w:space="0" w:color="auto"/>
                    <w:left w:val="none" w:sz="0" w:space="0" w:color="auto"/>
                    <w:bottom w:val="none" w:sz="0" w:space="0" w:color="auto"/>
                    <w:right w:val="none" w:sz="0" w:space="0" w:color="auto"/>
                  </w:divBdr>
                </w:div>
              </w:divsChild>
            </w:div>
            <w:div w:id="80414248">
              <w:marLeft w:val="0"/>
              <w:marRight w:val="0"/>
              <w:marTop w:val="0"/>
              <w:marBottom w:val="0"/>
              <w:divBdr>
                <w:top w:val="none" w:sz="0" w:space="0" w:color="auto"/>
                <w:left w:val="none" w:sz="0" w:space="0" w:color="auto"/>
                <w:bottom w:val="none" w:sz="0" w:space="0" w:color="auto"/>
                <w:right w:val="none" w:sz="0" w:space="0" w:color="auto"/>
              </w:divBdr>
              <w:divsChild>
                <w:div w:id="827791535">
                  <w:marLeft w:val="0"/>
                  <w:marRight w:val="0"/>
                  <w:marTop w:val="0"/>
                  <w:marBottom w:val="0"/>
                  <w:divBdr>
                    <w:top w:val="none" w:sz="0" w:space="0" w:color="auto"/>
                    <w:left w:val="none" w:sz="0" w:space="0" w:color="auto"/>
                    <w:bottom w:val="none" w:sz="0" w:space="0" w:color="auto"/>
                    <w:right w:val="none" w:sz="0" w:space="0" w:color="auto"/>
                  </w:divBdr>
                </w:div>
              </w:divsChild>
            </w:div>
            <w:div w:id="605506680">
              <w:marLeft w:val="0"/>
              <w:marRight w:val="0"/>
              <w:marTop w:val="0"/>
              <w:marBottom w:val="0"/>
              <w:divBdr>
                <w:top w:val="none" w:sz="0" w:space="0" w:color="auto"/>
                <w:left w:val="none" w:sz="0" w:space="0" w:color="auto"/>
                <w:bottom w:val="none" w:sz="0" w:space="0" w:color="auto"/>
                <w:right w:val="none" w:sz="0" w:space="0" w:color="auto"/>
              </w:divBdr>
              <w:divsChild>
                <w:div w:id="620109487">
                  <w:marLeft w:val="0"/>
                  <w:marRight w:val="0"/>
                  <w:marTop w:val="0"/>
                  <w:marBottom w:val="0"/>
                  <w:divBdr>
                    <w:top w:val="none" w:sz="0" w:space="0" w:color="auto"/>
                    <w:left w:val="none" w:sz="0" w:space="0" w:color="auto"/>
                    <w:bottom w:val="none" w:sz="0" w:space="0" w:color="auto"/>
                    <w:right w:val="none" w:sz="0" w:space="0" w:color="auto"/>
                  </w:divBdr>
                </w:div>
              </w:divsChild>
            </w:div>
            <w:div w:id="1378434513">
              <w:marLeft w:val="0"/>
              <w:marRight w:val="0"/>
              <w:marTop w:val="0"/>
              <w:marBottom w:val="0"/>
              <w:divBdr>
                <w:top w:val="none" w:sz="0" w:space="0" w:color="auto"/>
                <w:left w:val="none" w:sz="0" w:space="0" w:color="auto"/>
                <w:bottom w:val="none" w:sz="0" w:space="0" w:color="auto"/>
                <w:right w:val="none" w:sz="0" w:space="0" w:color="auto"/>
              </w:divBdr>
              <w:divsChild>
                <w:div w:id="732193521">
                  <w:marLeft w:val="0"/>
                  <w:marRight w:val="0"/>
                  <w:marTop w:val="0"/>
                  <w:marBottom w:val="0"/>
                  <w:divBdr>
                    <w:top w:val="none" w:sz="0" w:space="0" w:color="auto"/>
                    <w:left w:val="none" w:sz="0" w:space="0" w:color="auto"/>
                    <w:bottom w:val="none" w:sz="0" w:space="0" w:color="auto"/>
                    <w:right w:val="none" w:sz="0" w:space="0" w:color="auto"/>
                  </w:divBdr>
                </w:div>
              </w:divsChild>
            </w:div>
            <w:div w:id="1663972459">
              <w:marLeft w:val="0"/>
              <w:marRight w:val="0"/>
              <w:marTop w:val="0"/>
              <w:marBottom w:val="0"/>
              <w:divBdr>
                <w:top w:val="none" w:sz="0" w:space="0" w:color="auto"/>
                <w:left w:val="none" w:sz="0" w:space="0" w:color="auto"/>
                <w:bottom w:val="none" w:sz="0" w:space="0" w:color="auto"/>
                <w:right w:val="none" w:sz="0" w:space="0" w:color="auto"/>
              </w:divBdr>
              <w:divsChild>
                <w:div w:id="170292411">
                  <w:marLeft w:val="0"/>
                  <w:marRight w:val="0"/>
                  <w:marTop w:val="0"/>
                  <w:marBottom w:val="0"/>
                  <w:divBdr>
                    <w:top w:val="none" w:sz="0" w:space="0" w:color="auto"/>
                    <w:left w:val="none" w:sz="0" w:space="0" w:color="auto"/>
                    <w:bottom w:val="none" w:sz="0" w:space="0" w:color="auto"/>
                    <w:right w:val="none" w:sz="0" w:space="0" w:color="auto"/>
                  </w:divBdr>
                </w:div>
              </w:divsChild>
            </w:div>
            <w:div w:id="784350018">
              <w:marLeft w:val="0"/>
              <w:marRight w:val="0"/>
              <w:marTop w:val="0"/>
              <w:marBottom w:val="0"/>
              <w:divBdr>
                <w:top w:val="none" w:sz="0" w:space="0" w:color="auto"/>
                <w:left w:val="none" w:sz="0" w:space="0" w:color="auto"/>
                <w:bottom w:val="none" w:sz="0" w:space="0" w:color="auto"/>
                <w:right w:val="none" w:sz="0" w:space="0" w:color="auto"/>
              </w:divBdr>
              <w:divsChild>
                <w:div w:id="2132362753">
                  <w:marLeft w:val="0"/>
                  <w:marRight w:val="0"/>
                  <w:marTop w:val="0"/>
                  <w:marBottom w:val="0"/>
                  <w:divBdr>
                    <w:top w:val="none" w:sz="0" w:space="0" w:color="auto"/>
                    <w:left w:val="none" w:sz="0" w:space="0" w:color="auto"/>
                    <w:bottom w:val="none" w:sz="0" w:space="0" w:color="auto"/>
                    <w:right w:val="none" w:sz="0" w:space="0" w:color="auto"/>
                  </w:divBdr>
                </w:div>
              </w:divsChild>
            </w:div>
            <w:div w:id="2082366360">
              <w:marLeft w:val="0"/>
              <w:marRight w:val="0"/>
              <w:marTop w:val="0"/>
              <w:marBottom w:val="0"/>
              <w:divBdr>
                <w:top w:val="none" w:sz="0" w:space="0" w:color="auto"/>
                <w:left w:val="none" w:sz="0" w:space="0" w:color="auto"/>
                <w:bottom w:val="none" w:sz="0" w:space="0" w:color="auto"/>
                <w:right w:val="none" w:sz="0" w:space="0" w:color="auto"/>
              </w:divBdr>
              <w:divsChild>
                <w:div w:id="1615405302">
                  <w:marLeft w:val="0"/>
                  <w:marRight w:val="0"/>
                  <w:marTop w:val="0"/>
                  <w:marBottom w:val="0"/>
                  <w:divBdr>
                    <w:top w:val="none" w:sz="0" w:space="0" w:color="auto"/>
                    <w:left w:val="none" w:sz="0" w:space="0" w:color="auto"/>
                    <w:bottom w:val="none" w:sz="0" w:space="0" w:color="auto"/>
                    <w:right w:val="none" w:sz="0" w:space="0" w:color="auto"/>
                  </w:divBdr>
                </w:div>
              </w:divsChild>
            </w:div>
            <w:div w:id="1704863291">
              <w:marLeft w:val="0"/>
              <w:marRight w:val="0"/>
              <w:marTop w:val="0"/>
              <w:marBottom w:val="0"/>
              <w:divBdr>
                <w:top w:val="none" w:sz="0" w:space="0" w:color="auto"/>
                <w:left w:val="none" w:sz="0" w:space="0" w:color="auto"/>
                <w:bottom w:val="none" w:sz="0" w:space="0" w:color="auto"/>
                <w:right w:val="none" w:sz="0" w:space="0" w:color="auto"/>
              </w:divBdr>
              <w:divsChild>
                <w:div w:id="1771466045">
                  <w:marLeft w:val="0"/>
                  <w:marRight w:val="0"/>
                  <w:marTop w:val="0"/>
                  <w:marBottom w:val="0"/>
                  <w:divBdr>
                    <w:top w:val="none" w:sz="0" w:space="0" w:color="auto"/>
                    <w:left w:val="none" w:sz="0" w:space="0" w:color="auto"/>
                    <w:bottom w:val="none" w:sz="0" w:space="0" w:color="auto"/>
                    <w:right w:val="none" w:sz="0" w:space="0" w:color="auto"/>
                  </w:divBdr>
                </w:div>
              </w:divsChild>
            </w:div>
            <w:div w:id="1144155128">
              <w:marLeft w:val="0"/>
              <w:marRight w:val="0"/>
              <w:marTop w:val="0"/>
              <w:marBottom w:val="0"/>
              <w:divBdr>
                <w:top w:val="none" w:sz="0" w:space="0" w:color="auto"/>
                <w:left w:val="none" w:sz="0" w:space="0" w:color="auto"/>
                <w:bottom w:val="none" w:sz="0" w:space="0" w:color="auto"/>
                <w:right w:val="none" w:sz="0" w:space="0" w:color="auto"/>
              </w:divBdr>
              <w:divsChild>
                <w:div w:id="1231426887">
                  <w:marLeft w:val="0"/>
                  <w:marRight w:val="0"/>
                  <w:marTop w:val="0"/>
                  <w:marBottom w:val="0"/>
                  <w:divBdr>
                    <w:top w:val="none" w:sz="0" w:space="0" w:color="auto"/>
                    <w:left w:val="none" w:sz="0" w:space="0" w:color="auto"/>
                    <w:bottom w:val="none" w:sz="0" w:space="0" w:color="auto"/>
                    <w:right w:val="none" w:sz="0" w:space="0" w:color="auto"/>
                  </w:divBdr>
                </w:div>
              </w:divsChild>
            </w:div>
            <w:div w:id="1891532548">
              <w:marLeft w:val="0"/>
              <w:marRight w:val="0"/>
              <w:marTop w:val="0"/>
              <w:marBottom w:val="0"/>
              <w:divBdr>
                <w:top w:val="none" w:sz="0" w:space="0" w:color="auto"/>
                <w:left w:val="none" w:sz="0" w:space="0" w:color="auto"/>
                <w:bottom w:val="none" w:sz="0" w:space="0" w:color="auto"/>
                <w:right w:val="none" w:sz="0" w:space="0" w:color="auto"/>
              </w:divBdr>
              <w:divsChild>
                <w:div w:id="573592608">
                  <w:marLeft w:val="0"/>
                  <w:marRight w:val="0"/>
                  <w:marTop w:val="0"/>
                  <w:marBottom w:val="0"/>
                  <w:divBdr>
                    <w:top w:val="none" w:sz="0" w:space="0" w:color="auto"/>
                    <w:left w:val="none" w:sz="0" w:space="0" w:color="auto"/>
                    <w:bottom w:val="none" w:sz="0" w:space="0" w:color="auto"/>
                    <w:right w:val="none" w:sz="0" w:space="0" w:color="auto"/>
                  </w:divBdr>
                </w:div>
              </w:divsChild>
            </w:div>
            <w:div w:id="779033315">
              <w:marLeft w:val="0"/>
              <w:marRight w:val="0"/>
              <w:marTop w:val="0"/>
              <w:marBottom w:val="0"/>
              <w:divBdr>
                <w:top w:val="none" w:sz="0" w:space="0" w:color="auto"/>
                <w:left w:val="none" w:sz="0" w:space="0" w:color="auto"/>
                <w:bottom w:val="none" w:sz="0" w:space="0" w:color="auto"/>
                <w:right w:val="none" w:sz="0" w:space="0" w:color="auto"/>
              </w:divBdr>
              <w:divsChild>
                <w:div w:id="1542211063">
                  <w:marLeft w:val="0"/>
                  <w:marRight w:val="0"/>
                  <w:marTop w:val="0"/>
                  <w:marBottom w:val="0"/>
                  <w:divBdr>
                    <w:top w:val="none" w:sz="0" w:space="0" w:color="auto"/>
                    <w:left w:val="none" w:sz="0" w:space="0" w:color="auto"/>
                    <w:bottom w:val="none" w:sz="0" w:space="0" w:color="auto"/>
                    <w:right w:val="none" w:sz="0" w:space="0" w:color="auto"/>
                  </w:divBdr>
                </w:div>
              </w:divsChild>
            </w:div>
            <w:div w:id="1480683799">
              <w:marLeft w:val="0"/>
              <w:marRight w:val="0"/>
              <w:marTop w:val="0"/>
              <w:marBottom w:val="0"/>
              <w:divBdr>
                <w:top w:val="none" w:sz="0" w:space="0" w:color="auto"/>
                <w:left w:val="none" w:sz="0" w:space="0" w:color="auto"/>
                <w:bottom w:val="none" w:sz="0" w:space="0" w:color="auto"/>
                <w:right w:val="none" w:sz="0" w:space="0" w:color="auto"/>
              </w:divBdr>
              <w:divsChild>
                <w:div w:id="87041566">
                  <w:marLeft w:val="0"/>
                  <w:marRight w:val="0"/>
                  <w:marTop w:val="0"/>
                  <w:marBottom w:val="0"/>
                  <w:divBdr>
                    <w:top w:val="none" w:sz="0" w:space="0" w:color="auto"/>
                    <w:left w:val="none" w:sz="0" w:space="0" w:color="auto"/>
                    <w:bottom w:val="none" w:sz="0" w:space="0" w:color="auto"/>
                    <w:right w:val="none" w:sz="0" w:space="0" w:color="auto"/>
                  </w:divBdr>
                </w:div>
              </w:divsChild>
            </w:div>
            <w:div w:id="852917422">
              <w:marLeft w:val="0"/>
              <w:marRight w:val="0"/>
              <w:marTop w:val="0"/>
              <w:marBottom w:val="0"/>
              <w:divBdr>
                <w:top w:val="none" w:sz="0" w:space="0" w:color="auto"/>
                <w:left w:val="none" w:sz="0" w:space="0" w:color="auto"/>
                <w:bottom w:val="none" w:sz="0" w:space="0" w:color="auto"/>
                <w:right w:val="none" w:sz="0" w:space="0" w:color="auto"/>
              </w:divBdr>
              <w:divsChild>
                <w:div w:id="493304187">
                  <w:marLeft w:val="0"/>
                  <w:marRight w:val="0"/>
                  <w:marTop w:val="0"/>
                  <w:marBottom w:val="0"/>
                  <w:divBdr>
                    <w:top w:val="none" w:sz="0" w:space="0" w:color="auto"/>
                    <w:left w:val="none" w:sz="0" w:space="0" w:color="auto"/>
                    <w:bottom w:val="none" w:sz="0" w:space="0" w:color="auto"/>
                    <w:right w:val="none" w:sz="0" w:space="0" w:color="auto"/>
                  </w:divBdr>
                </w:div>
              </w:divsChild>
            </w:div>
            <w:div w:id="1405105707">
              <w:marLeft w:val="0"/>
              <w:marRight w:val="0"/>
              <w:marTop w:val="0"/>
              <w:marBottom w:val="0"/>
              <w:divBdr>
                <w:top w:val="none" w:sz="0" w:space="0" w:color="auto"/>
                <w:left w:val="none" w:sz="0" w:space="0" w:color="auto"/>
                <w:bottom w:val="none" w:sz="0" w:space="0" w:color="auto"/>
                <w:right w:val="none" w:sz="0" w:space="0" w:color="auto"/>
              </w:divBdr>
              <w:divsChild>
                <w:div w:id="1244560718">
                  <w:marLeft w:val="0"/>
                  <w:marRight w:val="0"/>
                  <w:marTop w:val="0"/>
                  <w:marBottom w:val="0"/>
                  <w:divBdr>
                    <w:top w:val="none" w:sz="0" w:space="0" w:color="auto"/>
                    <w:left w:val="none" w:sz="0" w:space="0" w:color="auto"/>
                    <w:bottom w:val="none" w:sz="0" w:space="0" w:color="auto"/>
                    <w:right w:val="none" w:sz="0" w:space="0" w:color="auto"/>
                  </w:divBdr>
                </w:div>
              </w:divsChild>
            </w:div>
            <w:div w:id="1750615841">
              <w:marLeft w:val="0"/>
              <w:marRight w:val="0"/>
              <w:marTop w:val="0"/>
              <w:marBottom w:val="0"/>
              <w:divBdr>
                <w:top w:val="none" w:sz="0" w:space="0" w:color="auto"/>
                <w:left w:val="none" w:sz="0" w:space="0" w:color="auto"/>
                <w:bottom w:val="none" w:sz="0" w:space="0" w:color="auto"/>
                <w:right w:val="none" w:sz="0" w:space="0" w:color="auto"/>
              </w:divBdr>
              <w:divsChild>
                <w:div w:id="803356302">
                  <w:marLeft w:val="0"/>
                  <w:marRight w:val="0"/>
                  <w:marTop w:val="0"/>
                  <w:marBottom w:val="0"/>
                  <w:divBdr>
                    <w:top w:val="none" w:sz="0" w:space="0" w:color="auto"/>
                    <w:left w:val="none" w:sz="0" w:space="0" w:color="auto"/>
                    <w:bottom w:val="none" w:sz="0" w:space="0" w:color="auto"/>
                    <w:right w:val="none" w:sz="0" w:space="0" w:color="auto"/>
                  </w:divBdr>
                </w:div>
              </w:divsChild>
            </w:div>
            <w:div w:id="398603577">
              <w:marLeft w:val="0"/>
              <w:marRight w:val="0"/>
              <w:marTop w:val="0"/>
              <w:marBottom w:val="0"/>
              <w:divBdr>
                <w:top w:val="none" w:sz="0" w:space="0" w:color="auto"/>
                <w:left w:val="none" w:sz="0" w:space="0" w:color="auto"/>
                <w:bottom w:val="none" w:sz="0" w:space="0" w:color="auto"/>
                <w:right w:val="none" w:sz="0" w:space="0" w:color="auto"/>
              </w:divBdr>
              <w:divsChild>
                <w:div w:id="1215124386">
                  <w:marLeft w:val="0"/>
                  <w:marRight w:val="0"/>
                  <w:marTop w:val="0"/>
                  <w:marBottom w:val="0"/>
                  <w:divBdr>
                    <w:top w:val="none" w:sz="0" w:space="0" w:color="auto"/>
                    <w:left w:val="none" w:sz="0" w:space="0" w:color="auto"/>
                    <w:bottom w:val="none" w:sz="0" w:space="0" w:color="auto"/>
                    <w:right w:val="none" w:sz="0" w:space="0" w:color="auto"/>
                  </w:divBdr>
                </w:div>
              </w:divsChild>
            </w:div>
            <w:div w:id="1397361437">
              <w:marLeft w:val="0"/>
              <w:marRight w:val="0"/>
              <w:marTop w:val="0"/>
              <w:marBottom w:val="0"/>
              <w:divBdr>
                <w:top w:val="none" w:sz="0" w:space="0" w:color="auto"/>
                <w:left w:val="none" w:sz="0" w:space="0" w:color="auto"/>
                <w:bottom w:val="none" w:sz="0" w:space="0" w:color="auto"/>
                <w:right w:val="none" w:sz="0" w:space="0" w:color="auto"/>
              </w:divBdr>
              <w:divsChild>
                <w:div w:id="1734770402">
                  <w:marLeft w:val="0"/>
                  <w:marRight w:val="0"/>
                  <w:marTop w:val="0"/>
                  <w:marBottom w:val="0"/>
                  <w:divBdr>
                    <w:top w:val="none" w:sz="0" w:space="0" w:color="auto"/>
                    <w:left w:val="none" w:sz="0" w:space="0" w:color="auto"/>
                    <w:bottom w:val="none" w:sz="0" w:space="0" w:color="auto"/>
                    <w:right w:val="none" w:sz="0" w:space="0" w:color="auto"/>
                  </w:divBdr>
                </w:div>
              </w:divsChild>
            </w:div>
            <w:div w:id="1203401514">
              <w:marLeft w:val="0"/>
              <w:marRight w:val="0"/>
              <w:marTop w:val="0"/>
              <w:marBottom w:val="0"/>
              <w:divBdr>
                <w:top w:val="none" w:sz="0" w:space="0" w:color="auto"/>
                <w:left w:val="none" w:sz="0" w:space="0" w:color="auto"/>
                <w:bottom w:val="none" w:sz="0" w:space="0" w:color="auto"/>
                <w:right w:val="none" w:sz="0" w:space="0" w:color="auto"/>
              </w:divBdr>
              <w:divsChild>
                <w:div w:id="1745058479">
                  <w:marLeft w:val="0"/>
                  <w:marRight w:val="0"/>
                  <w:marTop w:val="0"/>
                  <w:marBottom w:val="0"/>
                  <w:divBdr>
                    <w:top w:val="none" w:sz="0" w:space="0" w:color="auto"/>
                    <w:left w:val="none" w:sz="0" w:space="0" w:color="auto"/>
                    <w:bottom w:val="none" w:sz="0" w:space="0" w:color="auto"/>
                    <w:right w:val="none" w:sz="0" w:space="0" w:color="auto"/>
                  </w:divBdr>
                </w:div>
              </w:divsChild>
            </w:div>
            <w:div w:id="1157380892">
              <w:marLeft w:val="0"/>
              <w:marRight w:val="0"/>
              <w:marTop w:val="0"/>
              <w:marBottom w:val="0"/>
              <w:divBdr>
                <w:top w:val="none" w:sz="0" w:space="0" w:color="auto"/>
                <w:left w:val="none" w:sz="0" w:space="0" w:color="auto"/>
                <w:bottom w:val="none" w:sz="0" w:space="0" w:color="auto"/>
                <w:right w:val="none" w:sz="0" w:space="0" w:color="auto"/>
              </w:divBdr>
              <w:divsChild>
                <w:div w:id="1310017272">
                  <w:marLeft w:val="0"/>
                  <w:marRight w:val="0"/>
                  <w:marTop w:val="0"/>
                  <w:marBottom w:val="0"/>
                  <w:divBdr>
                    <w:top w:val="none" w:sz="0" w:space="0" w:color="auto"/>
                    <w:left w:val="none" w:sz="0" w:space="0" w:color="auto"/>
                    <w:bottom w:val="none" w:sz="0" w:space="0" w:color="auto"/>
                    <w:right w:val="none" w:sz="0" w:space="0" w:color="auto"/>
                  </w:divBdr>
                </w:div>
              </w:divsChild>
            </w:div>
            <w:div w:id="1619481859">
              <w:marLeft w:val="0"/>
              <w:marRight w:val="0"/>
              <w:marTop w:val="0"/>
              <w:marBottom w:val="0"/>
              <w:divBdr>
                <w:top w:val="none" w:sz="0" w:space="0" w:color="auto"/>
                <w:left w:val="none" w:sz="0" w:space="0" w:color="auto"/>
                <w:bottom w:val="none" w:sz="0" w:space="0" w:color="auto"/>
                <w:right w:val="none" w:sz="0" w:space="0" w:color="auto"/>
              </w:divBdr>
              <w:divsChild>
                <w:div w:id="878198561">
                  <w:marLeft w:val="0"/>
                  <w:marRight w:val="0"/>
                  <w:marTop w:val="0"/>
                  <w:marBottom w:val="0"/>
                  <w:divBdr>
                    <w:top w:val="none" w:sz="0" w:space="0" w:color="auto"/>
                    <w:left w:val="none" w:sz="0" w:space="0" w:color="auto"/>
                    <w:bottom w:val="none" w:sz="0" w:space="0" w:color="auto"/>
                    <w:right w:val="none" w:sz="0" w:space="0" w:color="auto"/>
                  </w:divBdr>
                </w:div>
              </w:divsChild>
            </w:div>
            <w:div w:id="1218202864">
              <w:marLeft w:val="0"/>
              <w:marRight w:val="0"/>
              <w:marTop w:val="0"/>
              <w:marBottom w:val="0"/>
              <w:divBdr>
                <w:top w:val="none" w:sz="0" w:space="0" w:color="auto"/>
                <w:left w:val="none" w:sz="0" w:space="0" w:color="auto"/>
                <w:bottom w:val="none" w:sz="0" w:space="0" w:color="auto"/>
                <w:right w:val="none" w:sz="0" w:space="0" w:color="auto"/>
              </w:divBdr>
              <w:divsChild>
                <w:div w:id="2041079984">
                  <w:marLeft w:val="0"/>
                  <w:marRight w:val="0"/>
                  <w:marTop w:val="0"/>
                  <w:marBottom w:val="0"/>
                  <w:divBdr>
                    <w:top w:val="none" w:sz="0" w:space="0" w:color="auto"/>
                    <w:left w:val="none" w:sz="0" w:space="0" w:color="auto"/>
                    <w:bottom w:val="none" w:sz="0" w:space="0" w:color="auto"/>
                    <w:right w:val="none" w:sz="0" w:space="0" w:color="auto"/>
                  </w:divBdr>
                </w:div>
              </w:divsChild>
            </w:div>
            <w:div w:id="116144838">
              <w:marLeft w:val="0"/>
              <w:marRight w:val="0"/>
              <w:marTop w:val="0"/>
              <w:marBottom w:val="0"/>
              <w:divBdr>
                <w:top w:val="none" w:sz="0" w:space="0" w:color="auto"/>
                <w:left w:val="none" w:sz="0" w:space="0" w:color="auto"/>
                <w:bottom w:val="none" w:sz="0" w:space="0" w:color="auto"/>
                <w:right w:val="none" w:sz="0" w:space="0" w:color="auto"/>
              </w:divBdr>
              <w:divsChild>
                <w:div w:id="1130512569">
                  <w:marLeft w:val="0"/>
                  <w:marRight w:val="0"/>
                  <w:marTop w:val="0"/>
                  <w:marBottom w:val="0"/>
                  <w:divBdr>
                    <w:top w:val="none" w:sz="0" w:space="0" w:color="auto"/>
                    <w:left w:val="none" w:sz="0" w:space="0" w:color="auto"/>
                    <w:bottom w:val="none" w:sz="0" w:space="0" w:color="auto"/>
                    <w:right w:val="none" w:sz="0" w:space="0" w:color="auto"/>
                  </w:divBdr>
                </w:div>
              </w:divsChild>
            </w:div>
            <w:div w:id="1588491220">
              <w:marLeft w:val="0"/>
              <w:marRight w:val="0"/>
              <w:marTop w:val="0"/>
              <w:marBottom w:val="0"/>
              <w:divBdr>
                <w:top w:val="none" w:sz="0" w:space="0" w:color="auto"/>
                <w:left w:val="none" w:sz="0" w:space="0" w:color="auto"/>
                <w:bottom w:val="none" w:sz="0" w:space="0" w:color="auto"/>
                <w:right w:val="none" w:sz="0" w:space="0" w:color="auto"/>
              </w:divBdr>
              <w:divsChild>
                <w:div w:id="1661150837">
                  <w:marLeft w:val="0"/>
                  <w:marRight w:val="0"/>
                  <w:marTop w:val="0"/>
                  <w:marBottom w:val="0"/>
                  <w:divBdr>
                    <w:top w:val="none" w:sz="0" w:space="0" w:color="auto"/>
                    <w:left w:val="none" w:sz="0" w:space="0" w:color="auto"/>
                    <w:bottom w:val="none" w:sz="0" w:space="0" w:color="auto"/>
                    <w:right w:val="none" w:sz="0" w:space="0" w:color="auto"/>
                  </w:divBdr>
                </w:div>
              </w:divsChild>
            </w:div>
            <w:div w:id="310453648">
              <w:marLeft w:val="0"/>
              <w:marRight w:val="0"/>
              <w:marTop w:val="0"/>
              <w:marBottom w:val="0"/>
              <w:divBdr>
                <w:top w:val="none" w:sz="0" w:space="0" w:color="auto"/>
                <w:left w:val="none" w:sz="0" w:space="0" w:color="auto"/>
                <w:bottom w:val="none" w:sz="0" w:space="0" w:color="auto"/>
                <w:right w:val="none" w:sz="0" w:space="0" w:color="auto"/>
              </w:divBdr>
              <w:divsChild>
                <w:div w:id="1107191145">
                  <w:marLeft w:val="0"/>
                  <w:marRight w:val="0"/>
                  <w:marTop w:val="0"/>
                  <w:marBottom w:val="0"/>
                  <w:divBdr>
                    <w:top w:val="none" w:sz="0" w:space="0" w:color="auto"/>
                    <w:left w:val="none" w:sz="0" w:space="0" w:color="auto"/>
                    <w:bottom w:val="none" w:sz="0" w:space="0" w:color="auto"/>
                    <w:right w:val="none" w:sz="0" w:space="0" w:color="auto"/>
                  </w:divBdr>
                </w:div>
              </w:divsChild>
            </w:div>
            <w:div w:id="200870670">
              <w:marLeft w:val="0"/>
              <w:marRight w:val="0"/>
              <w:marTop w:val="0"/>
              <w:marBottom w:val="0"/>
              <w:divBdr>
                <w:top w:val="none" w:sz="0" w:space="0" w:color="auto"/>
                <w:left w:val="none" w:sz="0" w:space="0" w:color="auto"/>
                <w:bottom w:val="none" w:sz="0" w:space="0" w:color="auto"/>
                <w:right w:val="none" w:sz="0" w:space="0" w:color="auto"/>
              </w:divBdr>
              <w:divsChild>
                <w:div w:id="621765546">
                  <w:marLeft w:val="0"/>
                  <w:marRight w:val="0"/>
                  <w:marTop w:val="0"/>
                  <w:marBottom w:val="0"/>
                  <w:divBdr>
                    <w:top w:val="none" w:sz="0" w:space="0" w:color="auto"/>
                    <w:left w:val="none" w:sz="0" w:space="0" w:color="auto"/>
                    <w:bottom w:val="none" w:sz="0" w:space="0" w:color="auto"/>
                    <w:right w:val="none" w:sz="0" w:space="0" w:color="auto"/>
                  </w:divBdr>
                </w:div>
              </w:divsChild>
            </w:div>
            <w:div w:id="1162359013">
              <w:marLeft w:val="0"/>
              <w:marRight w:val="0"/>
              <w:marTop w:val="0"/>
              <w:marBottom w:val="0"/>
              <w:divBdr>
                <w:top w:val="none" w:sz="0" w:space="0" w:color="auto"/>
                <w:left w:val="none" w:sz="0" w:space="0" w:color="auto"/>
                <w:bottom w:val="none" w:sz="0" w:space="0" w:color="auto"/>
                <w:right w:val="none" w:sz="0" w:space="0" w:color="auto"/>
              </w:divBdr>
              <w:divsChild>
                <w:div w:id="722288956">
                  <w:marLeft w:val="0"/>
                  <w:marRight w:val="0"/>
                  <w:marTop w:val="0"/>
                  <w:marBottom w:val="0"/>
                  <w:divBdr>
                    <w:top w:val="none" w:sz="0" w:space="0" w:color="auto"/>
                    <w:left w:val="none" w:sz="0" w:space="0" w:color="auto"/>
                    <w:bottom w:val="none" w:sz="0" w:space="0" w:color="auto"/>
                    <w:right w:val="none" w:sz="0" w:space="0" w:color="auto"/>
                  </w:divBdr>
                </w:div>
              </w:divsChild>
            </w:div>
            <w:div w:id="2098089425">
              <w:marLeft w:val="0"/>
              <w:marRight w:val="0"/>
              <w:marTop w:val="0"/>
              <w:marBottom w:val="0"/>
              <w:divBdr>
                <w:top w:val="none" w:sz="0" w:space="0" w:color="auto"/>
                <w:left w:val="none" w:sz="0" w:space="0" w:color="auto"/>
                <w:bottom w:val="none" w:sz="0" w:space="0" w:color="auto"/>
                <w:right w:val="none" w:sz="0" w:space="0" w:color="auto"/>
              </w:divBdr>
              <w:divsChild>
                <w:div w:id="1589344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0988962">
          <w:marLeft w:val="0"/>
          <w:marRight w:val="0"/>
          <w:marTop w:val="0"/>
          <w:marBottom w:val="0"/>
          <w:divBdr>
            <w:top w:val="none" w:sz="0" w:space="0" w:color="auto"/>
            <w:left w:val="none" w:sz="0" w:space="0" w:color="auto"/>
            <w:bottom w:val="none" w:sz="0" w:space="0" w:color="auto"/>
            <w:right w:val="none" w:sz="0" w:space="0" w:color="auto"/>
          </w:divBdr>
          <w:divsChild>
            <w:div w:id="1223716318">
              <w:marLeft w:val="0"/>
              <w:marRight w:val="0"/>
              <w:marTop w:val="0"/>
              <w:marBottom w:val="0"/>
              <w:divBdr>
                <w:top w:val="none" w:sz="0" w:space="0" w:color="auto"/>
                <w:left w:val="none" w:sz="0" w:space="0" w:color="auto"/>
                <w:bottom w:val="none" w:sz="0" w:space="0" w:color="auto"/>
                <w:right w:val="none" w:sz="0" w:space="0" w:color="auto"/>
              </w:divBdr>
              <w:divsChild>
                <w:div w:id="1596938628">
                  <w:marLeft w:val="0"/>
                  <w:marRight w:val="0"/>
                  <w:marTop w:val="0"/>
                  <w:marBottom w:val="0"/>
                  <w:divBdr>
                    <w:top w:val="none" w:sz="0" w:space="0" w:color="auto"/>
                    <w:left w:val="none" w:sz="0" w:space="0" w:color="auto"/>
                    <w:bottom w:val="none" w:sz="0" w:space="0" w:color="auto"/>
                    <w:right w:val="none" w:sz="0" w:space="0" w:color="auto"/>
                  </w:divBdr>
                </w:div>
              </w:divsChild>
            </w:div>
            <w:div w:id="1617518416">
              <w:marLeft w:val="0"/>
              <w:marRight w:val="0"/>
              <w:marTop w:val="0"/>
              <w:marBottom w:val="0"/>
              <w:divBdr>
                <w:top w:val="none" w:sz="0" w:space="0" w:color="auto"/>
                <w:left w:val="none" w:sz="0" w:space="0" w:color="auto"/>
                <w:bottom w:val="none" w:sz="0" w:space="0" w:color="auto"/>
                <w:right w:val="none" w:sz="0" w:space="0" w:color="auto"/>
              </w:divBdr>
              <w:divsChild>
                <w:div w:id="102963004">
                  <w:marLeft w:val="0"/>
                  <w:marRight w:val="0"/>
                  <w:marTop w:val="0"/>
                  <w:marBottom w:val="0"/>
                  <w:divBdr>
                    <w:top w:val="none" w:sz="0" w:space="0" w:color="auto"/>
                    <w:left w:val="none" w:sz="0" w:space="0" w:color="auto"/>
                    <w:bottom w:val="none" w:sz="0" w:space="0" w:color="auto"/>
                    <w:right w:val="none" w:sz="0" w:space="0" w:color="auto"/>
                  </w:divBdr>
                </w:div>
              </w:divsChild>
            </w:div>
            <w:div w:id="1481195818">
              <w:marLeft w:val="0"/>
              <w:marRight w:val="0"/>
              <w:marTop w:val="0"/>
              <w:marBottom w:val="0"/>
              <w:divBdr>
                <w:top w:val="none" w:sz="0" w:space="0" w:color="auto"/>
                <w:left w:val="none" w:sz="0" w:space="0" w:color="auto"/>
                <w:bottom w:val="none" w:sz="0" w:space="0" w:color="auto"/>
                <w:right w:val="none" w:sz="0" w:space="0" w:color="auto"/>
              </w:divBdr>
              <w:divsChild>
                <w:div w:id="767389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0951548">
          <w:marLeft w:val="0"/>
          <w:marRight w:val="0"/>
          <w:marTop w:val="0"/>
          <w:marBottom w:val="0"/>
          <w:divBdr>
            <w:top w:val="none" w:sz="0" w:space="0" w:color="auto"/>
            <w:left w:val="none" w:sz="0" w:space="0" w:color="auto"/>
            <w:bottom w:val="none" w:sz="0" w:space="0" w:color="auto"/>
            <w:right w:val="none" w:sz="0" w:space="0" w:color="auto"/>
          </w:divBdr>
          <w:divsChild>
            <w:div w:id="2088650866">
              <w:marLeft w:val="0"/>
              <w:marRight w:val="0"/>
              <w:marTop w:val="0"/>
              <w:marBottom w:val="0"/>
              <w:divBdr>
                <w:top w:val="none" w:sz="0" w:space="0" w:color="auto"/>
                <w:left w:val="none" w:sz="0" w:space="0" w:color="auto"/>
                <w:bottom w:val="none" w:sz="0" w:space="0" w:color="auto"/>
                <w:right w:val="none" w:sz="0" w:space="0" w:color="auto"/>
              </w:divBdr>
              <w:divsChild>
                <w:div w:id="2037582115">
                  <w:marLeft w:val="0"/>
                  <w:marRight w:val="0"/>
                  <w:marTop w:val="0"/>
                  <w:marBottom w:val="0"/>
                  <w:divBdr>
                    <w:top w:val="none" w:sz="0" w:space="0" w:color="auto"/>
                    <w:left w:val="none" w:sz="0" w:space="0" w:color="auto"/>
                    <w:bottom w:val="none" w:sz="0" w:space="0" w:color="auto"/>
                    <w:right w:val="none" w:sz="0" w:space="0" w:color="auto"/>
                  </w:divBdr>
                </w:div>
              </w:divsChild>
            </w:div>
            <w:div w:id="1312707578">
              <w:marLeft w:val="0"/>
              <w:marRight w:val="0"/>
              <w:marTop w:val="0"/>
              <w:marBottom w:val="0"/>
              <w:divBdr>
                <w:top w:val="none" w:sz="0" w:space="0" w:color="auto"/>
                <w:left w:val="none" w:sz="0" w:space="0" w:color="auto"/>
                <w:bottom w:val="none" w:sz="0" w:space="0" w:color="auto"/>
                <w:right w:val="none" w:sz="0" w:space="0" w:color="auto"/>
              </w:divBdr>
              <w:divsChild>
                <w:div w:id="1569996983">
                  <w:marLeft w:val="0"/>
                  <w:marRight w:val="0"/>
                  <w:marTop w:val="0"/>
                  <w:marBottom w:val="0"/>
                  <w:divBdr>
                    <w:top w:val="none" w:sz="0" w:space="0" w:color="auto"/>
                    <w:left w:val="none" w:sz="0" w:space="0" w:color="auto"/>
                    <w:bottom w:val="none" w:sz="0" w:space="0" w:color="auto"/>
                    <w:right w:val="none" w:sz="0" w:space="0" w:color="auto"/>
                  </w:divBdr>
                </w:div>
              </w:divsChild>
            </w:div>
            <w:div w:id="919487900">
              <w:marLeft w:val="0"/>
              <w:marRight w:val="0"/>
              <w:marTop w:val="0"/>
              <w:marBottom w:val="0"/>
              <w:divBdr>
                <w:top w:val="none" w:sz="0" w:space="0" w:color="auto"/>
                <w:left w:val="none" w:sz="0" w:space="0" w:color="auto"/>
                <w:bottom w:val="none" w:sz="0" w:space="0" w:color="auto"/>
                <w:right w:val="none" w:sz="0" w:space="0" w:color="auto"/>
              </w:divBdr>
              <w:divsChild>
                <w:div w:id="957370418">
                  <w:marLeft w:val="0"/>
                  <w:marRight w:val="0"/>
                  <w:marTop w:val="0"/>
                  <w:marBottom w:val="0"/>
                  <w:divBdr>
                    <w:top w:val="none" w:sz="0" w:space="0" w:color="auto"/>
                    <w:left w:val="none" w:sz="0" w:space="0" w:color="auto"/>
                    <w:bottom w:val="none" w:sz="0" w:space="0" w:color="auto"/>
                    <w:right w:val="none" w:sz="0" w:space="0" w:color="auto"/>
                  </w:divBdr>
                </w:div>
              </w:divsChild>
            </w:div>
            <w:div w:id="682824155">
              <w:marLeft w:val="0"/>
              <w:marRight w:val="0"/>
              <w:marTop w:val="0"/>
              <w:marBottom w:val="0"/>
              <w:divBdr>
                <w:top w:val="none" w:sz="0" w:space="0" w:color="auto"/>
                <w:left w:val="none" w:sz="0" w:space="0" w:color="auto"/>
                <w:bottom w:val="none" w:sz="0" w:space="0" w:color="auto"/>
                <w:right w:val="none" w:sz="0" w:space="0" w:color="auto"/>
              </w:divBdr>
              <w:divsChild>
                <w:div w:id="257253827">
                  <w:marLeft w:val="0"/>
                  <w:marRight w:val="0"/>
                  <w:marTop w:val="0"/>
                  <w:marBottom w:val="0"/>
                  <w:divBdr>
                    <w:top w:val="none" w:sz="0" w:space="0" w:color="auto"/>
                    <w:left w:val="none" w:sz="0" w:space="0" w:color="auto"/>
                    <w:bottom w:val="none" w:sz="0" w:space="0" w:color="auto"/>
                    <w:right w:val="none" w:sz="0" w:space="0" w:color="auto"/>
                  </w:divBdr>
                </w:div>
              </w:divsChild>
            </w:div>
            <w:div w:id="1833643130">
              <w:marLeft w:val="0"/>
              <w:marRight w:val="0"/>
              <w:marTop w:val="0"/>
              <w:marBottom w:val="0"/>
              <w:divBdr>
                <w:top w:val="none" w:sz="0" w:space="0" w:color="auto"/>
                <w:left w:val="none" w:sz="0" w:space="0" w:color="auto"/>
                <w:bottom w:val="none" w:sz="0" w:space="0" w:color="auto"/>
                <w:right w:val="none" w:sz="0" w:space="0" w:color="auto"/>
              </w:divBdr>
              <w:divsChild>
                <w:div w:id="2044019446">
                  <w:marLeft w:val="0"/>
                  <w:marRight w:val="0"/>
                  <w:marTop w:val="0"/>
                  <w:marBottom w:val="0"/>
                  <w:divBdr>
                    <w:top w:val="none" w:sz="0" w:space="0" w:color="auto"/>
                    <w:left w:val="none" w:sz="0" w:space="0" w:color="auto"/>
                    <w:bottom w:val="none" w:sz="0" w:space="0" w:color="auto"/>
                    <w:right w:val="none" w:sz="0" w:space="0" w:color="auto"/>
                  </w:divBdr>
                </w:div>
              </w:divsChild>
            </w:div>
            <w:div w:id="170485905">
              <w:marLeft w:val="0"/>
              <w:marRight w:val="0"/>
              <w:marTop w:val="0"/>
              <w:marBottom w:val="0"/>
              <w:divBdr>
                <w:top w:val="none" w:sz="0" w:space="0" w:color="auto"/>
                <w:left w:val="none" w:sz="0" w:space="0" w:color="auto"/>
                <w:bottom w:val="none" w:sz="0" w:space="0" w:color="auto"/>
                <w:right w:val="none" w:sz="0" w:space="0" w:color="auto"/>
              </w:divBdr>
              <w:divsChild>
                <w:div w:id="1250044924">
                  <w:marLeft w:val="0"/>
                  <w:marRight w:val="0"/>
                  <w:marTop w:val="0"/>
                  <w:marBottom w:val="0"/>
                  <w:divBdr>
                    <w:top w:val="none" w:sz="0" w:space="0" w:color="auto"/>
                    <w:left w:val="none" w:sz="0" w:space="0" w:color="auto"/>
                    <w:bottom w:val="none" w:sz="0" w:space="0" w:color="auto"/>
                    <w:right w:val="none" w:sz="0" w:space="0" w:color="auto"/>
                  </w:divBdr>
                </w:div>
              </w:divsChild>
            </w:div>
            <w:div w:id="1649745387">
              <w:marLeft w:val="0"/>
              <w:marRight w:val="0"/>
              <w:marTop w:val="0"/>
              <w:marBottom w:val="0"/>
              <w:divBdr>
                <w:top w:val="none" w:sz="0" w:space="0" w:color="auto"/>
                <w:left w:val="none" w:sz="0" w:space="0" w:color="auto"/>
                <w:bottom w:val="none" w:sz="0" w:space="0" w:color="auto"/>
                <w:right w:val="none" w:sz="0" w:space="0" w:color="auto"/>
              </w:divBdr>
              <w:divsChild>
                <w:div w:id="990401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354495">
          <w:marLeft w:val="0"/>
          <w:marRight w:val="0"/>
          <w:marTop w:val="0"/>
          <w:marBottom w:val="0"/>
          <w:divBdr>
            <w:top w:val="none" w:sz="0" w:space="0" w:color="auto"/>
            <w:left w:val="none" w:sz="0" w:space="0" w:color="auto"/>
            <w:bottom w:val="none" w:sz="0" w:space="0" w:color="auto"/>
            <w:right w:val="none" w:sz="0" w:space="0" w:color="auto"/>
          </w:divBdr>
          <w:divsChild>
            <w:div w:id="1848593468">
              <w:marLeft w:val="0"/>
              <w:marRight w:val="0"/>
              <w:marTop w:val="0"/>
              <w:marBottom w:val="0"/>
              <w:divBdr>
                <w:top w:val="none" w:sz="0" w:space="0" w:color="auto"/>
                <w:left w:val="none" w:sz="0" w:space="0" w:color="auto"/>
                <w:bottom w:val="none" w:sz="0" w:space="0" w:color="auto"/>
                <w:right w:val="none" w:sz="0" w:space="0" w:color="auto"/>
              </w:divBdr>
              <w:divsChild>
                <w:div w:id="108353535">
                  <w:marLeft w:val="0"/>
                  <w:marRight w:val="0"/>
                  <w:marTop w:val="0"/>
                  <w:marBottom w:val="0"/>
                  <w:divBdr>
                    <w:top w:val="none" w:sz="0" w:space="0" w:color="auto"/>
                    <w:left w:val="none" w:sz="0" w:space="0" w:color="auto"/>
                    <w:bottom w:val="none" w:sz="0" w:space="0" w:color="auto"/>
                    <w:right w:val="none" w:sz="0" w:space="0" w:color="auto"/>
                  </w:divBdr>
                </w:div>
              </w:divsChild>
            </w:div>
            <w:div w:id="1082024798">
              <w:marLeft w:val="0"/>
              <w:marRight w:val="0"/>
              <w:marTop w:val="0"/>
              <w:marBottom w:val="0"/>
              <w:divBdr>
                <w:top w:val="none" w:sz="0" w:space="0" w:color="auto"/>
                <w:left w:val="none" w:sz="0" w:space="0" w:color="auto"/>
                <w:bottom w:val="none" w:sz="0" w:space="0" w:color="auto"/>
                <w:right w:val="none" w:sz="0" w:space="0" w:color="auto"/>
              </w:divBdr>
              <w:divsChild>
                <w:div w:id="1138959534">
                  <w:marLeft w:val="0"/>
                  <w:marRight w:val="0"/>
                  <w:marTop w:val="0"/>
                  <w:marBottom w:val="0"/>
                  <w:divBdr>
                    <w:top w:val="none" w:sz="0" w:space="0" w:color="auto"/>
                    <w:left w:val="none" w:sz="0" w:space="0" w:color="auto"/>
                    <w:bottom w:val="none" w:sz="0" w:space="0" w:color="auto"/>
                    <w:right w:val="none" w:sz="0" w:space="0" w:color="auto"/>
                  </w:divBdr>
                </w:div>
              </w:divsChild>
            </w:div>
            <w:div w:id="1382482241">
              <w:marLeft w:val="0"/>
              <w:marRight w:val="0"/>
              <w:marTop w:val="0"/>
              <w:marBottom w:val="0"/>
              <w:divBdr>
                <w:top w:val="none" w:sz="0" w:space="0" w:color="auto"/>
                <w:left w:val="none" w:sz="0" w:space="0" w:color="auto"/>
                <w:bottom w:val="none" w:sz="0" w:space="0" w:color="auto"/>
                <w:right w:val="none" w:sz="0" w:space="0" w:color="auto"/>
              </w:divBdr>
              <w:divsChild>
                <w:div w:id="67739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480593">
          <w:marLeft w:val="0"/>
          <w:marRight w:val="0"/>
          <w:marTop w:val="0"/>
          <w:marBottom w:val="0"/>
          <w:divBdr>
            <w:top w:val="none" w:sz="0" w:space="0" w:color="auto"/>
            <w:left w:val="none" w:sz="0" w:space="0" w:color="auto"/>
            <w:bottom w:val="none" w:sz="0" w:space="0" w:color="auto"/>
            <w:right w:val="none" w:sz="0" w:space="0" w:color="auto"/>
          </w:divBdr>
          <w:divsChild>
            <w:div w:id="713845980">
              <w:marLeft w:val="0"/>
              <w:marRight w:val="0"/>
              <w:marTop w:val="0"/>
              <w:marBottom w:val="0"/>
              <w:divBdr>
                <w:top w:val="none" w:sz="0" w:space="0" w:color="auto"/>
                <w:left w:val="none" w:sz="0" w:space="0" w:color="auto"/>
                <w:bottom w:val="none" w:sz="0" w:space="0" w:color="auto"/>
                <w:right w:val="none" w:sz="0" w:space="0" w:color="auto"/>
              </w:divBdr>
              <w:divsChild>
                <w:div w:id="1178620881">
                  <w:marLeft w:val="0"/>
                  <w:marRight w:val="0"/>
                  <w:marTop w:val="0"/>
                  <w:marBottom w:val="0"/>
                  <w:divBdr>
                    <w:top w:val="none" w:sz="0" w:space="0" w:color="auto"/>
                    <w:left w:val="none" w:sz="0" w:space="0" w:color="auto"/>
                    <w:bottom w:val="none" w:sz="0" w:space="0" w:color="auto"/>
                    <w:right w:val="none" w:sz="0" w:space="0" w:color="auto"/>
                  </w:divBdr>
                </w:div>
              </w:divsChild>
            </w:div>
            <w:div w:id="826899711">
              <w:marLeft w:val="0"/>
              <w:marRight w:val="0"/>
              <w:marTop w:val="0"/>
              <w:marBottom w:val="0"/>
              <w:divBdr>
                <w:top w:val="none" w:sz="0" w:space="0" w:color="auto"/>
                <w:left w:val="none" w:sz="0" w:space="0" w:color="auto"/>
                <w:bottom w:val="none" w:sz="0" w:space="0" w:color="auto"/>
                <w:right w:val="none" w:sz="0" w:space="0" w:color="auto"/>
              </w:divBdr>
              <w:divsChild>
                <w:div w:id="1562599338">
                  <w:marLeft w:val="0"/>
                  <w:marRight w:val="0"/>
                  <w:marTop w:val="0"/>
                  <w:marBottom w:val="0"/>
                  <w:divBdr>
                    <w:top w:val="none" w:sz="0" w:space="0" w:color="auto"/>
                    <w:left w:val="none" w:sz="0" w:space="0" w:color="auto"/>
                    <w:bottom w:val="none" w:sz="0" w:space="0" w:color="auto"/>
                    <w:right w:val="none" w:sz="0" w:space="0" w:color="auto"/>
                  </w:divBdr>
                </w:div>
              </w:divsChild>
            </w:div>
            <w:div w:id="1038237091">
              <w:marLeft w:val="0"/>
              <w:marRight w:val="0"/>
              <w:marTop w:val="0"/>
              <w:marBottom w:val="0"/>
              <w:divBdr>
                <w:top w:val="none" w:sz="0" w:space="0" w:color="auto"/>
                <w:left w:val="none" w:sz="0" w:space="0" w:color="auto"/>
                <w:bottom w:val="none" w:sz="0" w:space="0" w:color="auto"/>
                <w:right w:val="none" w:sz="0" w:space="0" w:color="auto"/>
              </w:divBdr>
              <w:divsChild>
                <w:div w:id="1834029349">
                  <w:marLeft w:val="0"/>
                  <w:marRight w:val="0"/>
                  <w:marTop w:val="0"/>
                  <w:marBottom w:val="0"/>
                  <w:divBdr>
                    <w:top w:val="none" w:sz="0" w:space="0" w:color="auto"/>
                    <w:left w:val="none" w:sz="0" w:space="0" w:color="auto"/>
                    <w:bottom w:val="none" w:sz="0" w:space="0" w:color="auto"/>
                    <w:right w:val="none" w:sz="0" w:space="0" w:color="auto"/>
                  </w:divBdr>
                </w:div>
              </w:divsChild>
            </w:div>
            <w:div w:id="1958295641">
              <w:marLeft w:val="0"/>
              <w:marRight w:val="0"/>
              <w:marTop w:val="0"/>
              <w:marBottom w:val="0"/>
              <w:divBdr>
                <w:top w:val="none" w:sz="0" w:space="0" w:color="auto"/>
                <w:left w:val="none" w:sz="0" w:space="0" w:color="auto"/>
                <w:bottom w:val="none" w:sz="0" w:space="0" w:color="auto"/>
                <w:right w:val="none" w:sz="0" w:space="0" w:color="auto"/>
              </w:divBdr>
              <w:divsChild>
                <w:div w:id="879585163">
                  <w:marLeft w:val="0"/>
                  <w:marRight w:val="0"/>
                  <w:marTop w:val="0"/>
                  <w:marBottom w:val="0"/>
                  <w:divBdr>
                    <w:top w:val="none" w:sz="0" w:space="0" w:color="auto"/>
                    <w:left w:val="none" w:sz="0" w:space="0" w:color="auto"/>
                    <w:bottom w:val="none" w:sz="0" w:space="0" w:color="auto"/>
                    <w:right w:val="none" w:sz="0" w:space="0" w:color="auto"/>
                  </w:divBdr>
                </w:div>
              </w:divsChild>
            </w:div>
            <w:div w:id="293172759">
              <w:marLeft w:val="0"/>
              <w:marRight w:val="0"/>
              <w:marTop w:val="0"/>
              <w:marBottom w:val="0"/>
              <w:divBdr>
                <w:top w:val="none" w:sz="0" w:space="0" w:color="auto"/>
                <w:left w:val="none" w:sz="0" w:space="0" w:color="auto"/>
                <w:bottom w:val="none" w:sz="0" w:space="0" w:color="auto"/>
                <w:right w:val="none" w:sz="0" w:space="0" w:color="auto"/>
              </w:divBdr>
              <w:divsChild>
                <w:div w:id="1124811507">
                  <w:marLeft w:val="0"/>
                  <w:marRight w:val="0"/>
                  <w:marTop w:val="0"/>
                  <w:marBottom w:val="0"/>
                  <w:divBdr>
                    <w:top w:val="none" w:sz="0" w:space="0" w:color="auto"/>
                    <w:left w:val="none" w:sz="0" w:space="0" w:color="auto"/>
                    <w:bottom w:val="none" w:sz="0" w:space="0" w:color="auto"/>
                    <w:right w:val="none" w:sz="0" w:space="0" w:color="auto"/>
                  </w:divBdr>
                </w:div>
              </w:divsChild>
            </w:div>
            <w:div w:id="1916553485">
              <w:marLeft w:val="0"/>
              <w:marRight w:val="0"/>
              <w:marTop w:val="0"/>
              <w:marBottom w:val="0"/>
              <w:divBdr>
                <w:top w:val="none" w:sz="0" w:space="0" w:color="auto"/>
                <w:left w:val="none" w:sz="0" w:space="0" w:color="auto"/>
                <w:bottom w:val="none" w:sz="0" w:space="0" w:color="auto"/>
                <w:right w:val="none" w:sz="0" w:space="0" w:color="auto"/>
              </w:divBdr>
              <w:divsChild>
                <w:div w:id="1847665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17965">
          <w:marLeft w:val="0"/>
          <w:marRight w:val="0"/>
          <w:marTop w:val="0"/>
          <w:marBottom w:val="0"/>
          <w:divBdr>
            <w:top w:val="none" w:sz="0" w:space="0" w:color="auto"/>
            <w:left w:val="none" w:sz="0" w:space="0" w:color="auto"/>
            <w:bottom w:val="none" w:sz="0" w:space="0" w:color="auto"/>
            <w:right w:val="none" w:sz="0" w:space="0" w:color="auto"/>
          </w:divBdr>
          <w:divsChild>
            <w:div w:id="1923637517">
              <w:marLeft w:val="0"/>
              <w:marRight w:val="0"/>
              <w:marTop w:val="0"/>
              <w:marBottom w:val="0"/>
              <w:divBdr>
                <w:top w:val="none" w:sz="0" w:space="0" w:color="auto"/>
                <w:left w:val="none" w:sz="0" w:space="0" w:color="auto"/>
                <w:bottom w:val="none" w:sz="0" w:space="0" w:color="auto"/>
                <w:right w:val="none" w:sz="0" w:space="0" w:color="auto"/>
              </w:divBdr>
              <w:divsChild>
                <w:div w:id="956640929">
                  <w:marLeft w:val="0"/>
                  <w:marRight w:val="0"/>
                  <w:marTop w:val="0"/>
                  <w:marBottom w:val="0"/>
                  <w:divBdr>
                    <w:top w:val="none" w:sz="0" w:space="0" w:color="auto"/>
                    <w:left w:val="none" w:sz="0" w:space="0" w:color="auto"/>
                    <w:bottom w:val="none" w:sz="0" w:space="0" w:color="auto"/>
                    <w:right w:val="none" w:sz="0" w:space="0" w:color="auto"/>
                  </w:divBdr>
                </w:div>
              </w:divsChild>
            </w:div>
            <w:div w:id="552942">
              <w:marLeft w:val="0"/>
              <w:marRight w:val="0"/>
              <w:marTop w:val="0"/>
              <w:marBottom w:val="0"/>
              <w:divBdr>
                <w:top w:val="none" w:sz="0" w:space="0" w:color="auto"/>
                <w:left w:val="none" w:sz="0" w:space="0" w:color="auto"/>
                <w:bottom w:val="none" w:sz="0" w:space="0" w:color="auto"/>
                <w:right w:val="none" w:sz="0" w:space="0" w:color="auto"/>
              </w:divBdr>
              <w:divsChild>
                <w:div w:id="1167596956">
                  <w:marLeft w:val="0"/>
                  <w:marRight w:val="0"/>
                  <w:marTop w:val="0"/>
                  <w:marBottom w:val="0"/>
                  <w:divBdr>
                    <w:top w:val="none" w:sz="0" w:space="0" w:color="auto"/>
                    <w:left w:val="none" w:sz="0" w:space="0" w:color="auto"/>
                    <w:bottom w:val="none" w:sz="0" w:space="0" w:color="auto"/>
                    <w:right w:val="none" w:sz="0" w:space="0" w:color="auto"/>
                  </w:divBdr>
                </w:div>
              </w:divsChild>
            </w:div>
            <w:div w:id="637690762">
              <w:marLeft w:val="0"/>
              <w:marRight w:val="0"/>
              <w:marTop w:val="0"/>
              <w:marBottom w:val="0"/>
              <w:divBdr>
                <w:top w:val="none" w:sz="0" w:space="0" w:color="auto"/>
                <w:left w:val="none" w:sz="0" w:space="0" w:color="auto"/>
                <w:bottom w:val="none" w:sz="0" w:space="0" w:color="auto"/>
                <w:right w:val="none" w:sz="0" w:space="0" w:color="auto"/>
              </w:divBdr>
              <w:divsChild>
                <w:div w:id="575170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2384555">
          <w:marLeft w:val="0"/>
          <w:marRight w:val="0"/>
          <w:marTop w:val="0"/>
          <w:marBottom w:val="0"/>
          <w:divBdr>
            <w:top w:val="none" w:sz="0" w:space="0" w:color="auto"/>
            <w:left w:val="none" w:sz="0" w:space="0" w:color="auto"/>
            <w:bottom w:val="none" w:sz="0" w:space="0" w:color="auto"/>
            <w:right w:val="none" w:sz="0" w:space="0" w:color="auto"/>
          </w:divBdr>
          <w:divsChild>
            <w:div w:id="144586677">
              <w:marLeft w:val="0"/>
              <w:marRight w:val="0"/>
              <w:marTop w:val="0"/>
              <w:marBottom w:val="0"/>
              <w:divBdr>
                <w:top w:val="none" w:sz="0" w:space="0" w:color="auto"/>
                <w:left w:val="none" w:sz="0" w:space="0" w:color="auto"/>
                <w:bottom w:val="none" w:sz="0" w:space="0" w:color="auto"/>
                <w:right w:val="none" w:sz="0" w:space="0" w:color="auto"/>
              </w:divBdr>
              <w:divsChild>
                <w:div w:id="1978031097">
                  <w:marLeft w:val="0"/>
                  <w:marRight w:val="0"/>
                  <w:marTop w:val="0"/>
                  <w:marBottom w:val="0"/>
                  <w:divBdr>
                    <w:top w:val="none" w:sz="0" w:space="0" w:color="auto"/>
                    <w:left w:val="none" w:sz="0" w:space="0" w:color="auto"/>
                    <w:bottom w:val="none" w:sz="0" w:space="0" w:color="auto"/>
                    <w:right w:val="none" w:sz="0" w:space="0" w:color="auto"/>
                  </w:divBdr>
                </w:div>
              </w:divsChild>
            </w:div>
            <w:div w:id="1773817047">
              <w:marLeft w:val="0"/>
              <w:marRight w:val="0"/>
              <w:marTop w:val="0"/>
              <w:marBottom w:val="0"/>
              <w:divBdr>
                <w:top w:val="none" w:sz="0" w:space="0" w:color="auto"/>
                <w:left w:val="none" w:sz="0" w:space="0" w:color="auto"/>
                <w:bottom w:val="none" w:sz="0" w:space="0" w:color="auto"/>
                <w:right w:val="none" w:sz="0" w:space="0" w:color="auto"/>
              </w:divBdr>
              <w:divsChild>
                <w:div w:id="575285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6963606">
      <w:bodyDiv w:val="1"/>
      <w:marLeft w:val="0"/>
      <w:marRight w:val="0"/>
      <w:marTop w:val="0"/>
      <w:marBottom w:val="0"/>
      <w:divBdr>
        <w:top w:val="none" w:sz="0" w:space="0" w:color="auto"/>
        <w:left w:val="none" w:sz="0" w:space="0" w:color="auto"/>
        <w:bottom w:val="none" w:sz="0" w:space="0" w:color="auto"/>
        <w:right w:val="none" w:sz="0" w:space="0" w:color="auto"/>
      </w:divBdr>
      <w:divsChild>
        <w:div w:id="61218250">
          <w:marLeft w:val="547"/>
          <w:marRight w:val="0"/>
          <w:marTop w:val="0"/>
          <w:marBottom w:val="0"/>
          <w:divBdr>
            <w:top w:val="none" w:sz="0" w:space="0" w:color="auto"/>
            <w:left w:val="none" w:sz="0" w:space="0" w:color="auto"/>
            <w:bottom w:val="none" w:sz="0" w:space="0" w:color="auto"/>
            <w:right w:val="none" w:sz="0" w:space="0" w:color="auto"/>
          </w:divBdr>
        </w:div>
        <w:div w:id="89014909">
          <w:marLeft w:val="1166"/>
          <w:marRight w:val="0"/>
          <w:marTop w:val="0"/>
          <w:marBottom w:val="0"/>
          <w:divBdr>
            <w:top w:val="none" w:sz="0" w:space="0" w:color="auto"/>
            <w:left w:val="none" w:sz="0" w:space="0" w:color="auto"/>
            <w:bottom w:val="none" w:sz="0" w:space="0" w:color="auto"/>
            <w:right w:val="none" w:sz="0" w:space="0" w:color="auto"/>
          </w:divBdr>
        </w:div>
        <w:div w:id="129784067">
          <w:marLeft w:val="1166"/>
          <w:marRight w:val="0"/>
          <w:marTop w:val="0"/>
          <w:marBottom w:val="0"/>
          <w:divBdr>
            <w:top w:val="none" w:sz="0" w:space="0" w:color="auto"/>
            <w:left w:val="none" w:sz="0" w:space="0" w:color="auto"/>
            <w:bottom w:val="none" w:sz="0" w:space="0" w:color="auto"/>
            <w:right w:val="none" w:sz="0" w:space="0" w:color="auto"/>
          </w:divBdr>
        </w:div>
        <w:div w:id="233707532">
          <w:marLeft w:val="1166"/>
          <w:marRight w:val="0"/>
          <w:marTop w:val="0"/>
          <w:marBottom w:val="0"/>
          <w:divBdr>
            <w:top w:val="none" w:sz="0" w:space="0" w:color="auto"/>
            <w:left w:val="none" w:sz="0" w:space="0" w:color="auto"/>
            <w:bottom w:val="none" w:sz="0" w:space="0" w:color="auto"/>
            <w:right w:val="none" w:sz="0" w:space="0" w:color="auto"/>
          </w:divBdr>
        </w:div>
        <w:div w:id="239826072">
          <w:marLeft w:val="1166"/>
          <w:marRight w:val="0"/>
          <w:marTop w:val="0"/>
          <w:marBottom w:val="0"/>
          <w:divBdr>
            <w:top w:val="none" w:sz="0" w:space="0" w:color="auto"/>
            <w:left w:val="none" w:sz="0" w:space="0" w:color="auto"/>
            <w:bottom w:val="none" w:sz="0" w:space="0" w:color="auto"/>
            <w:right w:val="none" w:sz="0" w:space="0" w:color="auto"/>
          </w:divBdr>
        </w:div>
        <w:div w:id="369719554">
          <w:marLeft w:val="547"/>
          <w:marRight w:val="0"/>
          <w:marTop w:val="0"/>
          <w:marBottom w:val="0"/>
          <w:divBdr>
            <w:top w:val="none" w:sz="0" w:space="0" w:color="auto"/>
            <w:left w:val="none" w:sz="0" w:space="0" w:color="auto"/>
            <w:bottom w:val="none" w:sz="0" w:space="0" w:color="auto"/>
            <w:right w:val="none" w:sz="0" w:space="0" w:color="auto"/>
          </w:divBdr>
        </w:div>
        <w:div w:id="416752243">
          <w:marLeft w:val="1166"/>
          <w:marRight w:val="0"/>
          <w:marTop w:val="0"/>
          <w:marBottom w:val="0"/>
          <w:divBdr>
            <w:top w:val="none" w:sz="0" w:space="0" w:color="auto"/>
            <w:left w:val="none" w:sz="0" w:space="0" w:color="auto"/>
            <w:bottom w:val="none" w:sz="0" w:space="0" w:color="auto"/>
            <w:right w:val="none" w:sz="0" w:space="0" w:color="auto"/>
          </w:divBdr>
        </w:div>
        <w:div w:id="560214796">
          <w:marLeft w:val="547"/>
          <w:marRight w:val="0"/>
          <w:marTop w:val="0"/>
          <w:marBottom w:val="0"/>
          <w:divBdr>
            <w:top w:val="none" w:sz="0" w:space="0" w:color="auto"/>
            <w:left w:val="none" w:sz="0" w:space="0" w:color="auto"/>
            <w:bottom w:val="none" w:sz="0" w:space="0" w:color="auto"/>
            <w:right w:val="none" w:sz="0" w:space="0" w:color="auto"/>
          </w:divBdr>
        </w:div>
        <w:div w:id="597178961">
          <w:marLeft w:val="1166"/>
          <w:marRight w:val="0"/>
          <w:marTop w:val="0"/>
          <w:marBottom w:val="0"/>
          <w:divBdr>
            <w:top w:val="none" w:sz="0" w:space="0" w:color="auto"/>
            <w:left w:val="none" w:sz="0" w:space="0" w:color="auto"/>
            <w:bottom w:val="none" w:sz="0" w:space="0" w:color="auto"/>
            <w:right w:val="none" w:sz="0" w:space="0" w:color="auto"/>
          </w:divBdr>
        </w:div>
        <w:div w:id="755907773">
          <w:marLeft w:val="1166"/>
          <w:marRight w:val="0"/>
          <w:marTop w:val="0"/>
          <w:marBottom w:val="0"/>
          <w:divBdr>
            <w:top w:val="none" w:sz="0" w:space="0" w:color="auto"/>
            <w:left w:val="none" w:sz="0" w:space="0" w:color="auto"/>
            <w:bottom w:val="none" w:sz="0" w:space="0" w:color="auto"/>
            <w:right w:val="none" w:sz="0" w:space="0" w:color="auto"/>
          </w:divBdr>
        </w:div>
        <w:div w:id="781654280">
          <w:marLeft w:val="1166"/>
          <w:marRight w:val="0"/>
          <w:marTop w:val="0"/>
          <w:marBottom w:val="0"/>
          <w:divBdr>
            <w:top w:val="none" w:sz="0" w:space="0" w:color="auto"/>
            <w:left w:val="none" w:sz="0" w:space="0" w:color="auto"/>
            <w:bottom w:val="none" w:sz="0" w:space="0" w:color="auto"/>
            <w:right w:val="none" w:sz="0" w:space="0" w:color="auto"/>
          </w:divBdr>
        </w:div>
        <w:div w:id="1007320943">
          <w:marLeft w:val="547"/>
          <w:marRight w:val="0"/>
          <w:marTop w:val="0"/>
          <w:marBottom w:val="0"/>
          <w:divBdr>
            <w:top w:val="none" w:sz="0" w:space="0" w:color="auto"/>
            <w:left w:val="none" w:sz="0" w:space="0" w:color="auto"/>
            <w:bottom w:val="none" w:sz="0" w:space="0" w:color="auto"/>
            <w:right w:val="none" w:sz="0" w:space="0" w:color="auto"/>
          </w:divBdr>
        </w:div>
        <w:div w:id="1049233024">
          <w:marLeft w:val="1166"/>
          <w:marRight w:val="0"/>
          <w:marTop w:val="0"/>
          <w:marBottom w:val="0"/>
          <w:divBdr>
            <w:top w:val="none" w:sz="0" w:space="0" w:color="auto"/>
            <w:left w:val="none" w:sz="0" w:space="0" w:color="auto"/>
            <w:bottom w:val="none" w:sz="0" w:space="0" w:color="auto"/>
            <w:right w:val="none" w:sz="0" w:space="0" w:color="auto"/>
          </w:divBdr>
        </w:div>
        <w:div w:id="1092777121">
          <w:marLeft w:val="1166"/>
          <w:marRight w:val="0"/>
          <w:marTop w:val="0"/>
          <w:marBottom w:val="0"/>
          <w:divBdr>
            <w:top w:val="none" w:sz="0" w:space="0" w:color="auto"/>
            <w:left w:val="none" w:sz="0" w:space="0" w:color="auto"/>
            <w:bottom w:val="none" w:sz="0" w:space="0" w:color="auto"/>
            <w:right w:val="none" w:sz="0" w:space="0" w:color="auto"/>
          </w:divBdr>
        </w:div>
        <w:div w:id="1259827005">
          <w:marLeft w:val="1166"/>
          <w:marRight w:val="0"/>
          <w:marTop w:val="0"/>
          <w:marBottom w:val="0"/>
          <w:divBdr>
            <w:top w:val="none" w:sz="0" w:space="0" w:color="auto"/>
            <w:left w:val="none" w:sz="0" w:space="0" w:color="auto"/>
            <w:bottom w:val="none" w:sz="0" w:space="0" w:color="auto"/>
            <w:right w:val="none" w:sz="0" w:space="0" w:color="auto"/>
          </w:divBdr>
        </w:div>
        <w:div w:id="1474327993">
          <w:marLeft w:val="1166"/>
          <w:marRight w:val="0"/>
          <w:marTop w:val="0"/>
          <w:marBottom w:val="0"/>
          <w:divBdr>
            <w:top w:val="none" w:sz="0" w:space="0" w:color="auto"/>
            <w:left w:val="none" w:sz="0" w:space="0" w:color="auto"/>
            <w:bottom w:val="none" w:sz="0" w:space="0" w:color="auto"/>
            <w:right w:val="none" w:sz="0" w:space="0" w:color="auto"/>
          </w:divBdr>
        </w:div>
        <w:div w:id="1721124648">
          <w:marLeft w:val="1166"/>
          <w:marRight w:val="0"/>
          <w:marTop w:val="0"/>
          <w:marBottom w:val="0"/>
          <w:divBdr>
            <w:top w:val="none" w:sz="0" w:space="0" w:color="auto"/>
            <w:left w:val="none" w:sz="0" w:space="0" w:color="auto"/>
            <w:bottom w:val="none" w:sz="0" w:space="0" w:color="auto"/>
            <w:right w:val="none" w:sz="0" w:space="0" w:color="auto"/>
          </w:divBdr>
        </w:div>
        <w:div w:id="1726417282">
          <w:marLeft w:val="1166"/>
          <w:marRight w:val="0"/>
          <w:marTop w:val="0"/>
          <w:marBottom w:val="0"/>
          <w:divBdr>
            <w:top w:val="none" w:sz="0" w:space="0" w:color="auto"/>
            <w:left w:val="none" w:sz="0" w:space="0" w:color="auto"/>
            <w:bottom w:val="none" w:sz="0" w:space="0" w:color="auto"/>
            <w:right w:val="none" w:sz="0" w:space="0" w:color="auto"/>
          </w:divBdr>
        </w:div>
        <w:div w:id="1793280986">
          <w:marLeft w:val="1166"/>
          <w:marRight w:val="0"/>
          <w:marTop w:val="0"/>
          <w:marBottom w:val="0"/>
          <w:divBdr>
            <w:top w:val="none" w:sz="0" w:space="0" w:color="auto"/>
            <w:left w:val="none" w:sz="0" w:space="0" w:color="auto"/>
            <w:bottom w:val="none" w:sz="0" w:space="0" w:color="auto"/>
            <w:right w:val="none" w:sz="0" w:space="0" w:color="auto"/>
          </w:divBdr>
        </w:div>
        <w:div w:id="1825851184">
          <w:marLeft w:val="1166"/>
          <w:marRight w:val="0"/>
          <w:marTop w:val="0"/>
          <w:marBottom w:val="0"/>
          <w:divBdr>
            <w:top w:val="none" w:sz="0" w:space="0" w:color="auto"/>
            <w:left w:val="none" w:sz="0" w:space="0" w:color="auto"/>
            <w:bottom w:val="none" w:sz="0" w:space="0" w:color="auto"/>
            <w:right w:val="none" w:sz="0" w:space="0" w:color="auto"/>
          </w:divBdr>
        </w:div>
        <w:div w:id="1900169454">
          <w:marLeft w:val="1166"/>
          <w:marRight w:val="0"/>
          <w:marTop w:val="0"/>
          <w:marBottom w:val="0"/>
          <w:divBdr>
            <w:top w:val="none" w:sz="0" w:space="0" w:color="auto"/>
            <w:left w:val="none" w:sz="0" w:space="0" w:color="auto"/>
            <w:bottom w:val="none" w:sz="0" w:space="0" w:color="auto"/>
            <w:right w:val="none" w:sz="0" w:space="0" w:color="auto"/>
          </w:divBdr>
        </w:div>
        <w:div w:id="2023167967">
          <w:marLeft w:val="1166"/>
          <w:marRight w:val="0"/>
          <w:marTop w:val="0"/>
          <w:marBottom w:val="0"/>
          <w:divBdr>
            <w:top w:val="none" w:sz="0" w:space="0" w:color="auto"/>
            <w:left w:val="none" w:sz="0" w:space="0" w:color="auto"/>
            <w:bottom w:val="none" w:sz="0" w:space="0" w:color="auto"/>
            <w:right w:val="none" w:sz="0" w:space="0" w:color="auto"/>
          </w:divBdr>
        </w:div>
        <w:div w:id="2115175583">
          <w:marLeft w:val="547"/>
          <w:marRight w:val="0"/>
          <w:marTop w:val="0"/>
          <w:marBottom w:val="0"/>
          <w:divBdr>
            <w:top w:val="none" w:sz="0" w:space="0" w:color="auto"/>
            <w:left w:val="none" w:sz="0" w:space="0" w:color="auto"/>
            <w:bottom w:val="none" w:sz="0" w:space="0" w:color="auto"/>
            <w:right w:val="none" w:sz="0" w:space="0" w:color="auto"/>
          </w:divBdr>
        </w:div>
      </w:divsChild>
    </w:div>
    <w:div w:id="672224580">
      <w:bodyDiv w:val="1"/>
      <w:marLeft w:val="0"/>
      <w:marRight w:val="0"/>
      <w:marTop w:val="0"/>
      <w:marBottom w:val="0"/>
      <w:divBdr>
        <w:top w:val="none" w:sz="0" w:space="0" w:color="auto"/>
        <w:left w:val="none" w:sz="0" w:space="0" w:color="auto"/>
        <w:bottom w:val="none" w:sz="0" w:space="0" w:color="auto"/>
        <w:right w:val="none" w:sz="0" w:space="0" w:color="auto"/>
      </w:divBdr>
      <w:divsChild>
        <w:div w:id="83501287">
          <w:marLeft w:val="1166"/>
          <w:marRight w:val="0"/>
          <w:marTop w:val="0"/>
          <w:marBottom w:val="0"/>
          <w:divBdr>
            <w:top w:val="none" w:sz="0" w:space="0" w:color="auto"/>
            <w:left w:val="none" w:sz="0" w:space="0" w:color="auto"/>
            <w:bottom w:val="none" w:sz="0" w:space="0" w:color="auto"/>
            <w:right w:val="none" w:sz="0" w:space="0" w:color="auto"/>
          </w:divBdr>
        </w:div>
        <w:div w:id="255291236">
          <w:marLeft w:val="1166"/>
          <w:marRight w:val="0"/>
          <w:marTop w:val="0"/>
          <w:marBottom w:val="0"/>
          <w:divBdr>
            <w:top w:val="none" w:sz="0" w:space="0" w:color="auto"/>
            <w:left w:val="none" w:sz="0" w:space="0" w:color="auto"/>
            <w:bottom w:val="none" w:sz="0" w:space="0" w:color="auto"/>
            <w:right w:val="none" w:sz="0" w:space="0" w:color="auto"/>
          </w:divBdr>
        </w:div>
        <w:div w:id="353193323">
          <w:marLeft w:val="1166"/>
          <w:marRight w:val="0"/>
          <w:marTop w:val="0"/>
          <w:marBottom w:val="0"/>
          <w:divBdr>
            <w:top w:val="none" w:sz="0" w:space="0" w:color="auto"/>
            <w:left w:val="none" w:sz="0" w:space="0" w:color="auto"/>
            <w:bottom w:val="none" w:sz="0" w:space="0" w:color="auto"/>
            <w:right w:val="none" w:sz="0" w:space="0" w:color="auto"/>
          </w:divBdr>
        </w:div>
        <w:div w:id="469633229">
          <w:marLeft w:val="1166"/>
          <w:marRight w:val="0"/>
          <w:marTop w:val="0"/>
          <w:marBottom w:val="0"/>
          <w:divBdr>
            <w:top w:val="none" w:sz="0" w:space="0" w:color="auto"/>
            <w:left w:val="none" w:sz="0" w:space="0" w:color="auto"/>
            <w:bottom w:val="none" w:sz="0" w:space="0" w:color="auto"/>
            <w:right w:val="none" w:sz="0" w:space="0" w:color="auto"/>
          </w:divBdr>
        </w:div>
        <w:div w:id="561986097">
          <w:marLeft w:val="547"/>
          <w:marRight w:val="0"/>
          <w:marTop w:val="0"/>
          <w:marBottom w:val="0"/>
          <w:divBdr>
            <w:top w:val="none" w:sz="0" w:space="0" w:color="auto"/>
            <w:left w:val="none" w:sz="0" w:space="0" w:color="auto"/>
            <w:bottom w:val="none" w:sz="0" w:space="0" w:color="auto"/>
            <w:right w:val="none" w:sz="0" w:space="0" w:color="auto"/>
          </w:divBdr>
        </w:div>
        <w:div w:id="720909215">
          <w:marLeft w:val="1166"/>
          <w:marRight w:val="0"/>
          <w:marTop w:val="0"/>
          <w:marBottom w:val="0"/>
          <w:divBdr>
            <w:top w:val="none" w:sz="0" w:space="0" w:color="auto"/>
            <w:left w:val="none" w:sz="0" w:space="0" w:color="auto"/>
            <w:bottom w:val="none" w:sz="0" w:space="0" w:color="auto"/>
            <w:right w:val="none" w:sz="0" w:space="0" w:color="auto"/>
          </w:divBdr>
        </w:div>
        <w:div w:id="782649283">
          <w:marLeft w:val="1166"/>
          <w:marRight w:val="0"/>
          <w:marTop w:val="0"/>
          <w:marBottom w:val="0"/>
          <w:divBdr>
            <w:top w:val="none" w:sz="0" w:space="0" w:color="auto"/>
            <w:left w:val="none" w:sz="0" w:space="0" w:color="auto"/>
            <w:bottom w:val="none" w:sz="0" w:space="0" w:color="auto"/>
            <w:right w:val="none" w:sz="0" w:space="0" w:color="auto"/>
          </w:divBdr>
        </w:div>
        <w:div w:id="848638172">
          <w:marLeft w:val="547"/>
          <w:marRight w:val="0"/>
          <w:marTop w:val="0"/>
          <w:marBottom w:val="0"/>
          <w:divBdr>
            <w:top w:val="none" w:sz="0" w:space="0" w:color="auto"/>
            <w:left w:val="none" w:sz="0" w:space="0" w:color="auto"/>
            <w:bottom w:val="none" w:sz="0" w:space="0" w:color="auto"/>
            <w:right w:val="none" w:sz="0" w:space="0" w:color="auto"/>
          </w:divBdr>
        </w:div>
        <w:div w:id="851727747">
          <w:marLeft w:val="1166"/>
          <w:marRight w:val="0"/>
          <w:marTop w:val="0"/>
          <w:marBottom w:val="0"/>
          <w:divBdr>
            <w:top w:val="none" w:sz="0" w:space="0" w:color="auto"/>
            <w:left w:val="none" w:sz="0" w:space="0" w:color="auto"/>
            <w:bottom w:val="none" w:sz="0" w:space="0" w:color="auto"/>
            <w:right w:val="none" w:sz="0" w:space="0" w:color="auto"/>
          </w:divBdr>
        </w:div>
        <w:div w:id="892928816">
          <w:marLeft w:val="1166"/>
          <w:marRight w:val="0"/>
          <w:marTop w:val="0"/>
          <w:marBottom w:val="0"/>
          <w:divBdr>
            <w:top w:val="none" w:sz="0" w:space="0" w:color="auto"/>
            <w:left w:val="none" w:sz="0" w:space="0" w:color="auto"/>
            <w:bottom w:val="none" w:sz="0" w:space="0" w:color="auto"/>
            <w:right w:val="none" w:sz="0" w:space="0" w:color="auto"/>
          </w:divBdr>
        </w:div>
        <w:div w:id="1227106952">
          <w:marLeft w:val="547"/>
          <w:marRight w:val="0"/>
          <w:marTop w:val="0"/>
          <w:marBottom w:val="0"/>
          <w:divBdr>
            <w:top w:val="none" w:sz="0" w:space="0" w:color="auto"/>
            <w:left w:val="none" w:sz="0" w:space="0" w:color="auto"/>
            <w:bottom w:val="none" w:sz="0" w:space="0" w:color="auto"/>
            <w:right w:val="none" w:sz="0" w:space="0" w:color="auto"/>
          </w:divBdr>
        </w:div>
        <w:div w:id="1235511084">
          <w:marLeft w:val="1166"/>
          <w:marRight w:val="0"/>
          <w:marTop w:val="0"/>
          <w:marBottom w:val="0"/>
          <w:divBdr>
            <w:top w:val="none" w:sz="0" w:space="0" w:color="auto"/>
            <w:left w:val="none" w:sz="0" w:space="0" w:color="auto"/>
            <w:bottom w:val="none" w:sz="0" w:space="0" w:color="auto"/>
            <w:right w:val="none" w:sz="0" w:space="0" w:color="auto"/>
          </w:divBdr>
        </w:div>
        <w:div w:id="1354071733">
          <w:marLeft w:val="1166"/>
          <w:marRight w:val="0"/>
          <w:marTop w:val="0"/>
          <w:marBottom w:val="0"/>
          <w:divBdr>
            <w:top w:val="none" w:sz="0" w:space="0" w:color="auto"/>
            <w:left w:val="none" w:sz="0" w:space="0" w:color="auto"/>
            <w:bottom w:val="none" w:sz="0" w:space="0" w:color="auto"/>
            <w:right w:val="none" w:sz="0" w:space="0" w:color="auto"/>
          </w:divBdr>
        </w:div>
        <w:div w:id="1530754173">
          <w:marLeft w:val="1166"/>
          <w:marRight w:val="0"/>
          <w:marTop w:val="0"/>
          <w:marBottom w:val="0"/>
          <w:divBdr>
            <w:top w:val="none" w:sz="0" w:space="0" w:color="auto"/>
            <w:left w:val="none" w:sz="0" w:space="0" w:color="auto"/>
            <w:bottom w:val="none" w:sz="0" w:space="0" w:color="auto"/>
            <w:right w:val="none" w:sz="0" w:space="0" w:color="auto"/>
          </w:divBdr>
        </w:div>
        <w:div w:id="1608266524">
          <w:marLeft w:val="1166"/>
          <w:marRight w:val="0"/>
          <w:marTop w:val="0"/>
          <w:marBottom w:val="0"/>
          <w:divBdr>
            <w:top w:val="none" w:sz="0" w:space="0" w:color="auto"/>
            <w:left w:val="none" w:sz="0" w:space="0" w:color="auto"/>
            <w:bottom w:val="none" w:sz="0" w:space="0" w:color="auto"/>
            <w:right w:val="none" w:sz="0" w:space="0" w:color="auto"/>
          </w:divBdr>
        </w:div>
        <w:div w:id="1716004567">
          <w:marLeft w:val="1166"/>
          <w:marRight w:val="0"/>
          <w:marTop w:val="0"/>
          <w:marBottom w:val="0"/>
          <w:divBdr>
            <w:top w:val="none" w:sz="0" w:space="0" w:color="auto"/>
            <w:left w:val="none" w:sz="0" w:space="0" w:color="auto"/>
            <w:bottom w:val="none" w:sz="0" w:space="0" w:color="auto"/>
            <w:right w:val="none" w:sz="0" w:space="0" w:color="auto"/>
          </w:divBdr>
        </w:div>
        <w:div w:id="1742602554">
          <w:marLeft w:val="1166"/>
          <w:marRight w:val="0"/>
          <w:marTop w:val="0"/>
          <w:marBottom w:val="0"/>
          <w:divBdr>
            <w:top w:val="none" w:sz="0" w:space="0" w:color="auto"/>
            <w:left w:val="none" w:sz="0" w:space="0" w:color="auto"/>
            <w:bottom w:val="none" w:sz="0" w:space="0" w:color="auto"/>
            <w:right w:val="none" w:sz="0" w:space="0" w:color="auto"/>
          </w:divBdr>
        </w:div>
        <w:div w:id="1749114828">
          <w:marLeft w:val="547"/>
          <w:marRight w:val="0"/>
          <w:marTop w:val="0"/>
          <w:marBottom w:val="0"/>
          <w:divBdr>
            <w:top w:val="none" w:sz="0" w:space="0" w:color="auto"/>
            <w:left w:val="none" w:sz="0" w:space="0" w:color="auto"/>
            <w:bottom w:val="none" w:sz="0" w:space="0" w:color="auto"/>
            <w:right w:val="none" w:sz="0" w:space="0" w:color="auto"/>
          </w:divBdr>
        </w:div>
        <w:div w:id="1778982911">
          <w:marLeft w:val="547"/>
          <w:marRight w:val="0"/>
          <w:marTop w:val="0"/>
          <w:marBottom w:val="0"/>
          <w:divBdr>
            <w:top w:val="none" w:sz="0" w:space="0" w:color="auto"/>
            <w:left w:val="none" w:sz="0" w:space="0" w:color="auto"/>
            <w:bottom w:val="none" w:sz="0" w:space="0" w:color="auto"/>
            <w:right w:val="none" w:sz="0" w:space="0" w:color="auto"/>
          </w:divBdr>
        </w:div>
        <w:div w:id="1805077366">
          <w:marLeft w:val="1166"/>
          <w:marRight w:val="0"/>
          <w:marTop w:val="0"/>
          <w:marBottom w:val="0"/>
          <w:divBdr>
            <w:top w:val="none" w:sz="0" w:space="0" w:color="auto"/>
            <w:left w:val="none" w:sz="0" w:space="0" w:color="auto"/>
            <w:bottom w:val="none" w:sz="0" w:space="0" w:color="auto"/>
            <w:right w:val="none" w:sz="0" w:space="0" w:color="auto"/>
          </w:divBdr>
        </w:div>
        <w:div w:id="1817647545">
          <w:marLeft w:val="1166"/>
          <w:marRight w:val="0"/>
          <w:marTop w:val="0"/>
          <w:marBottom w:val="0"/>
          <w:divBdr>
            <w:top w:val="none" w:sz="0" w:space="0" w:color="auto"/>
            <w:left w:val="none" w:sz="0" w:space="0" w:color="auto"/>
            <w:bottom w:val="none" w:sz="0" w:space="0" w:color="auto"/>
            <w:right w:val="none" w:sz="0" w:space="0" w:color="auto"/>
          </w:divBdr>
        </w:div>
        <w:div w:id="1964996442">
          <w:marLeft w:val="1166"/>
          <w:marRight w:val="0"/>
          <w:marTop w:val="0"/>
          <w:marBottom w:val="0"/>
          <w:divBdr>
            <w:top w:val="none" w:sz="0" w:space="0" w:color="auto"/>
            <w:left w:val="none" w:sz="0" w:space="0" w:color="auto"/>
            <w:bottom w:val="none" w:sz="0" w:space="0" w:color="auto"/>
            <w:right w:val="none" w:sz="0" w:space="0" w:color="auto"/>
          </w:divBdr>
        </w:div>
        <w:div w:id="2016497746">
          <w:marLeft w:val="1166"/>
          <w:marRight w:val="0"/>
          <w:marTop w:val="0"/>
          <w:marBottom w:val="0"/>
          <w:divBdr>
            <w:top w:val="none" w:sz="0" w:space="0" w:color="auto"/>
            <w:left w:val="none" w:sz="0" w:space="0" w:color="auto"/>
            <w:bottom w:val="none" w:sz="0" w:space="0" w:color="auto"/>
            <w:right w:val="none" w:sz="0" w:space="0" w:color="auto"/>
          </w:divBdr>
        </w:div>
      </w:divsChild>
    </w:div>
    <w:div w:id="745565820">
      <w:bodyDiv w:val="1"/>
      <w:marLeft w:val="0"/>
      <w:marRight w:val="0"/>
      <w:marTop w:val="0"/>
      <w:marBottom w:val="0"/>
      <w:divBdr>
        <w:top w:val="none" w:sz="0" w:space="0" w:color="auto"/>
        <w:left w:val="none" w:sz="0" w:space="0" w:color="auto"/>
        <w:bottom w:val="none" w:sz="0" w:space="0" w:color="auto"/>
        <w:right w:val="none" w:sz="0" w:space="0" w:color="auto"/>
      </w:divBdr>
      <w:divsChild>
        <w:div w:id="1421829070">
          <w:marLeft w:val="0"/>
          <w:marRight w:val="0"/>
          <w:marTop w:val="0"/>
          <w:marBottom w:val="0"/>
          <w:divBdr>
            <w:top w:val="none" w:sz="0" w:space="0" w:color="auto"/>
            <w:left w:val="none" w:sz="0" w:space="0" w:color="auto"/>
            <w:bottom w:val="none" w:sz="0" w:space="0" w:color="auto"/>
            <w:right w:val="none" w:sz="0" w:space="0" w:color="auto"/>
          </w:divBdr>
          <w:divsChild>
            <w:div w:id="256865035">
              <w:marLeft w:val="0"/>
              <w:marRight w:val="0"/>
              <w:marTop w:val="0"/>
              <w:marBottom w:val="0"/>
              <w:divBdr>
                <w:top w:val="none" w:sz="0" w:space="0" w:color="auto"/>
                <w:left w:val="none" w:sz="0" w:space="0" w:color="auto"/>
                <w:bottom w:val="none" w:sz="0" w:space="0" w:color="auto"/>
                <w:right w:val="none" w:sz="0" w:space="0" w:color="auto"/>
              </w:divBdr>
              <w:divsChild>
                <w:div w:id="1093013605">
                  <w:marLeft w:val="0"/>
                  <w:marRight w:val="0"/>
                  <w:marTop w:val="0"/>
                  <w:marBottom w:val="0"/>
                  <w:divBdr>
                    <w:top w:val="none" w:sz="0" w:space="0" w:color="auto"/>
                    <w:left w:val="none" w:sz="0" w:space="0" w:color="auto"/>
                    <w:bottom w:val="none" w:sz="0" w:space="0" w:color="auto"/>
                    <w:right w:val="none" w:sz="0" w:space="0" w:color="auto"/>
                  </w:divBdr>
                </w:div>
              </w:divsChild>
            </w:div>
            <w:div w:id="2044356422">
              <w:marLeft w:val="0"/>
              <w:marRight w:val="0"/>
              <w:marTop w:val="0"/>
              <w:marBottom w:val="0"/>
              <w:divBdr>
                <w:top w:val="none" w:sz="0" w:space="0" w:color="auto"/>
                <w:left w:val="none" w:sz="0" w:space="0" w:color="auto"/>
                <w:bottom w:val="none" w:sz="0" w:space="0" w:color="auto"/>
                <w:right w:val="none" w:sz="0" w:space="0" w:color="auto"/>
              </w:divBdr>
              <w:divsChild>
                <w:div w:id="970282740">
                  <w:marLeft w:val="0"/>
                  <w:marRight w:val="0"/>
                  <w:marTop w:val="0"/>
                  <w:marBottom w:val="0"/>
                  <w:divBdr>
                    <w:top w:val="none" w:sz="0" w:space="0" w:color="auto"/>
                    <w:left w:val="none" w:sz="0" w:space="0" w:color="auto"/>
                    <w:bottom w:val="none" w:sz="0" w:space="0" w:color="auto"/>
                    <w:right w:val="none" w:sz="0" w:space="0" w:color="auto"/>
                  </w:divBdr>
                </w:div>
              </w:divsChild>
            </w:div>
            <w:div w:id="2037385191">
              <w:marLeft w:val="0"/>
              <w:marRight w:val="0"/>
              <w:marTop w:val="0"/>
              <w:marBottom w:val="0"/>
              <w:divBdr>
                <w:top w:val="none" w:sz="0" w:space="0" w:color="auto"/>
                <w:left w:val="none" w:sz="0" w:space="0" w:color="auto"/>
                <w:bottom w:val="none" w:sz="0" w:space="0" w:color="auto"/>
                <w:right w:val="none" w:sz="0" w:space="0" w:color="auto"/>
              </w:divBdr>
              <w:divsChild>
                <w:div w:id="19400166">
                  <w:marLeft w:val="0"/>
                  <w:marRight w:val="0"/>
                  <w:marTop w:val="0"/>
                  <w:marBottom w:val="0"/>
                  <w:divBdr>
                    <w:top w:val="none" w:sz="0" w:space="0" w:color="auto"/>
                    <w:left w:val="none" w:sz="0" w:space="0" w:color="auto"/>
                    <w:bottom w:val="none" w:sz="0" w:space="0" w:color="auto"/>
                    <w:right w:val="none" w:sz="0" w:space="0" w:color="auto"/>
                  </w:divBdr>
                </w:div>
                <w:div w:id="1279143455">
                  <w:marLeft w:val="0"/>
                  <w:marRight w:val="0"/>
                  <w:marTop w:val="0"/>
                  <w:marBottom w:val="0"/>
                  <w:divBdr>
                    <w:top w:val="none" w:sz="0" w:space="0" w:color="auto"/>
                    <w:left w:val="none" w:sz="0" w:space="0" w:color="auto"/>
                    <w:bottom w:val="none" w:sz="0" w:space="0" w:color="auto"/>
                    <w:right w:val="none" w:sz="0" w:space="0" w:color="auto"/>
                  </w:divBdr>
                </w:div>
              </w:divsChild>
            </w:div>
            <w:div w:id="1652169553">
              <w:marLeft w:val="0"/>
              <w:marRight w:val="0"/>
              <w:marTop w:val="0"/>
              <w:marBottom w:val="0"/>
              <w:divBdr>
                <w:top w:val="none" w:sz="0" w:space="0" w:color="auto"/>
                <w:left w:val="none" w:sz="0" w:space="0" w:color="auto"/>
                <w:bottom w:val="none" w:sz="0" w:space="0" w:color="auto"/>
                <w:right w:val="none" w:sz="0" w:space="0" w:color="auto"/>
              </w:divBdr>
              <w:divsChild>
                <w:div w:id="830876338">
                  <w:marLeft w:val="0"/>
                  <w:marRight w:val="0"/>
                  <w:marTop w:val="0"/>
                  <w:marBottom w:val="0"/>
                  <w:divBdr>
                    <w:top w:val="none" w:sz="0" w:space="0" w:color="auto"/>
                    <w:left w:val="none" w:sz="0" w:space="0" w:color="auto"/>
                    <w:bottom w:val="none" w:sz="0" w:space="0" w:color="auto"/>
                    <w:right w:val="none" w:sz="0" w:space="0" w:color="auto"/>
                  </w:divBdr>
                </w:div>
                <w:div w:id="1958946958">
                  <w:marLeft w:val="0"/>
                  <w:marRight w:val="0"/>
                  <w:marTop w:val="0"/>
                  <w:marBottom w:val="0"/>
                  <w:divBdr>
                    <w:top w:val="none" w:sz="0" w:space="0" w:color="auto"/>
                    <w:left w:val="none" w:sz="0" w:space="0" w:color="auto"/>
                    <w:bottom w:val="none" w:sz="0" w:space="0" w:color="auto"/>
                    <w:right w:val="none" w:sz="0" w:space="0" w:color="auto"/>
                  </w:divBdr>
                </w:div>
              </w:divsChild>
            </w:div>
            <w:div w:id="754398260">
              <w:marLeft w:val="0"/>
              <w:marRight w:val="0"/>
              <w:marTop w:val="0"/>
              <w:marBottom w:val="0"/>
              <w:divBdr>
                <w:top w:val="none" w:sz="0" w:space="0" w:color="auto"/>
                <w:left w:val="none" w:sz="0" w:space="0" w:color="auto"/>
                <w:bottom w:val="none" w:sz="0" w:space="0" w:color="auto"/>
                <w:right w:val="none" w:sz="0" w:space="0" w:color="auto"/>
              </w:divBdr>
              <w:divsChild>
                <w:div w:id="2128885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2593498">
          <w:marLeft w:val="0"/>
          <w:marRight w:val="0"/>
          <w:marTop w:val="0"/>
          <w:marBottom w:val="0"/>
          <w:divBdr>
            <w:top w:val="none" w:sz="0" w:space="0" w:color="auto"/>
            <w:left w:val="none" w:sz="0" w:space="0" w:color="auto"/>
            <w:bottom w:val="none" w:sz="0" w:space="0" w:color="auto"/>
            <w:right w:val="none" w:sz="0" w:space="0" w:color="auto"/>
          </w:divBdr>
          <w:divsChild>
            <w:div w:id="992101832">
              <w:marLeft w:val="0"/>
              <w:marRight w:val="0"/>
              <w:marTop w:val="0"/>
              <w:marBottom w:val="0"/>
              <w:divBdr>
                <w:top w:val="none" w:sz="0" w:space="0" w:color="auto"/>
                <w:left w:val="none" w:sz="0" w:space="0" w:color="auto"/>
                <w:bottom w:val="none" w:sz="0" w:space="0" w:color="auto"/>
                <w:right w:val="none" w:sz="0" w:space="0" w:color="auto"/>
              </w:divBdr>
              <w:divsChild>
                <w:div w:id="118837302">
                  <w:marLeft w:val="0"/>
                  <w:marRight w:val="0"/>
                  <w:marTop w:val="0"/>
                  <w:marBottom w:val="0"/>
                  <w:divBdr>
                    <w:top w:val="none" w:sz="0" w:space="0" w:color="auto"/>
                    <w:left w:val="none" w:sz="0" w:space="0" w:color="auto"/>
                    <w:bottom w:val="none" w:sz="0" w:space="0" w:color="auto"/>
                    <w:right w:val="none" w:sz="0" w:space="0" w:color="auto"/>
                  </w:divBdr>
                </w:div>
              </w:divsChild>
            </w:div>
            <w:div w:id="739013443">
              <w:marLeft w:val="0"/>
              <w:marRight w:val="0"/>
              <w:marTop w:val="0"/>
              <w:marBottom w:val="0"/>
              <w:divBdr>
                <w:top w:val="none" w:sz="0" w:space="0" w:color="auto"/>
                <w:left w:val="none" w:sz="0" w:space="0" w:color="auto"/>
                <w:bottom w:val="none" w:sz="0" w:space="0" w:color="auto"/>
                <w:right w:val="none" w:sz="0" w:space="0" w:color="auto"/>
              </w:divBdr>
              <w:divsChild>
                <w:div w:id="433134198">
                  <w:marLeft w:val="0"/>
                  <w:marRight w:val="0"/>
                  <w:marTop w:val="0"/>
                  <w:marBottom w:val="0"/>
                  <w:divBdr>
                    <w:top w:val="none" w:sz="0" w:space="0" w:color="auto"/>
                    <w:left w:val="none" w:sz="0" w:space="0" w:color="auto"/>
                    <w:bottom w:val="none" w:sz="0" w:space="0" w:color="auto"/>
                    <w:right w:val="none" w:sz="0" w:space="0" w:color="auto"/>
                  </w:divBdr>
                </w:div>
              </w:divsChild>
            </w:div>
            <w:div w:id="1970554791">
              <w:marLeft w:val="0"/>
              <w:marRight w:val="0"/>
              <w:marTop w:val="0"/>
              <w:marBottom w:val="0"/>
              <w:divBdr>
                <w:top w:val="none" w:sz="0" w:space="0" w:color="auto"/>
                <w:left w:val="none" w:sz="0" w:space="0" w:color="auto"/>
                <w:bottom w:val="none" w:sz="0" w:space="0" w:color="auto"/>
                <w:right w:val="none" w:sz="0" w:space="0" w:color="auto"/>
              </w:divBdr>
              <w:divsChild>
                <w:div w:id="2055690376">
                  <w:marLeft w:val="0"/>
                  <w:marRight w:val="0"/>
                  <w:marTop w:val="0"/>
                  <w:marBottom w:val="0"/>
                  <w:divBdr>
                    <w:top w:val="none" w:sz="0" w:space="0" w:color="auto"/>
                    <w:left w:val="none" w:sz="0" w:space="0" w:color="auto"/>
                    <w:bottom w:val="none" w:sz="0" w:space="0" w:color="auto"/>
                    <w:right w:val="none" w:sz="0" w:space="0" w:color="auto"/>
                  </w:divBdr>
                </w:div>
                <w:div w:id="164707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040518">
          <w:marLeft w:val="0"/>
          <w:marRight w:val="0"/>
          <w:marTop w:val="0"/>
          <w:marBottom w:val="0"/>
          <w:divBdr>
            <w:top w:val="none" w:sz="0" w:space="0" w:color="auto"/>
            <w:left w:val="none" w:sz="0" w:space="0" w:color="auto"/>
            <w:bottom w:val="none" w:sz="0" w:space="0" w:color="auto"/>
            <w:right w:val="none" w:sz="0" w:space="0" w:color="auto"/>
          </w:divBdr>
          <w:divsChild>
            <w:div w:id="1249268156">
              <w:marLeft w:val="0"/>
              <w:marRight w:val="0"/>
              <w:marTop w:val="0"/>
              <w:marBottom w:val="0"/>
              <w:divBdr>
                <w:top w:val="none" w:sz="0" w:space="0" w:color="auto"/>
                <w:left w:val="none" w:sz="0" w:space="0" w:color="auto"/>
                <w:bottom w:val="none" w:sz="0" w:space="0" w:color="auto"/>
                <w:right w:val="none" w:sz="0" w:space="0" w:color="auto"/>
              </w:divBdr>
              <w:divsChild>
                <w:div w:id="1500779079">
                  <w:marLeft w:val="0"/>
                  <w:marRight w:val="0"/>
                  <w:marTop w:val="0"/>
                  <w:marBottom w:val="0"/>
                  <w:divBdr>
                    <w:top w:val="none" w:sz="0" w:space="0" w:color="auto"/>
                    <w:left w:val="none" w:sz="0" w:space="0" w:color="auto"/>
                    <w:bottom w:val="none" w:sz="0" w:space="0" w:color="auto"/>
                    <w:right w:val="none" w:sz="0" w:space="0" w:color="auto"/>
                  </w:divBdr>
                </w:div>
              </w:divsChild>
            </w:div>
            <w:div w:id="1972439336">
              <w:marLeft w:val="0"/>
              <w:marRight w:val="0"/>
              <w:marTop w:val="0"/>
              <w:marBottom w:val="0"/>
              <w:divBdr>
                <w:top w:val="none" w:sz="0" w:space="0" w:color="auto"/>
                <w:left w:val="none" w:sz="0" w:space="0" w:color="auto"/>
                <w:bottom w:val="none" w:sz="0" w:space="0" w:color="auto"/>
                <w:right w:val="none" w:sz="0" w:space="0" w:color="auto"/>
              </w:divBdr>
              <w:divsChild>
                <w:div w:id="1298535459">
                  <w:marLeft w:val="0"/>
                  <w:marRight w:val="0"/>
                  <w:marTop w:val="0"/>
                  <w:marBottom w:val="0"/>
                  <w:divBdr>
                    <w:top w:val="none" w:sz="0" w:space="0" w:color="auto"/>
                    <w:left w:val="none" w:sz="0" w:space="0" w:color="auto"/>
                    <w:bottom w:val="none" w:sz="0" w:space="0" w:color="auto"/>
                    <w:right w:val="none" w:sz="0" w:space="0" w:color="auto"/>
                  </w:divBdr>
                  <w:divsChild>
                    <w:div w:id="1263953719">
                      <w:marLeft w:val="0"/>
                      <w:marRight w:val="0"/>
                      <w:marTop w:val="0"/>
                      <w:marBottom w:val="0"/>
                      <w:divBdr>
                        <w:top w:val="none" w:sz="0" w:space="0" w:color="auto"/>
                        <w:left w:val="none" w:sz="0" w:space="0" w:color="auto"/>
                        <w:bottom w:val="none" w:sz="0" w:space="0" w:color="auto"/>
                        <w:right w:val="none" w:sz="0" w:space="0" w:color="auto"/>
                      </w:divBdr>
                    </w:div>
                  </w:divsChild>
                </w:div>
                <w:div w:id="2000159428">
                  <w:marLeft w:val="0"/>
                  <w:marRight w:val="0"/>
                  <w:marTop w:val="0"/>
                  <w:marBottom w:val="0"/>
                  <w:divBdr>
                    <w:top w:val="none" w:sz="0" w:space="0" w:color="auto"/>
                    <w:left w:val="none" w:sz="0" w:space="0" w:color="auto"/>
                    <w:bottom w:val="none" w:sz="0" w:space="0" w:color="auto"/>
                    <w:right w:val="none" w:sz="0" w:space="0" w:color="auto"/>
                  </w:divBdr>
                  <w:divsChild>
                    <w:div w:id="467354949">
                      <w:marLeft w:val="0"/>
                      <w:marRight w:val="0"/>
                      <w:marTop w:val="0"/>
                      <w:marBottom w:val="0"/>
                      <w:divBdr>
                        <w:top w:val="none" w:sz="0" w:space="0" w:color="auto"/>
                        <w:left w:val="none" w:sz="0" w:space="0" w:color="auto"/>
                        <w:bottom w:val="none" w:sz="0" w:space="0" w:color="auto"/>
                        <w:right w:val="none" w:sz="0" w:space="0" w:color="auto"/>
                      </w:divBdr>
                    </w:div>
                  </w:divsChild>
                </w:div>
                <w:div w:id="423232277">
                  <w:marLeft w:val="0"/>
                  <w:marRight w:val="0"/>
                  <w:marTop w:val="0"/>
                  <w:marBottom w:val="0"/>
                  <w:divBdr>
                    <w:top w:val="none" w:sz="0" w:space="0" w:color="auto"/>
                    <w:left w:val="none" w:sz="0" w:space="0" w:color="auto"/>
                    <w:bottom w:val="none" w:sz="0" w:space="0" w:color="auto"/>
                    <w:right w:val="none" w:sz="0" w:space="0" w:color="auto"/>
                  </w:divBdr>
                  <w:divsChild>
                    <w:div w:id="869299119">
                      <w:marLeft w:val="0"/>
                      <w:marRight w:val="0"/>
                      <w:marTop w:val="0"/>
                      <w:marBottom w:val="0"/>
                      <w:divBdr>
                        <w:top w:val="none" w:sz="0" w:space="0" w:color="auto"/>
                        <w:left w:val="none" w:sz="0" w:space="0" w:color="auto"/>
                        <w:bottom w:val="none" w:sz="0" w:space="0" w:color="auto"/>
                        <w:right w:val="none" w:sz="0" w:space="0" w:color="auto"/>
                      </w:divBdr>
                    </w:div>
                  </w:divsChild>
                </w:div>
                <w:div w:id="1219317127">
                  <w:marLeft w:val="0"/>
                  <w:marRight w:val="0"/>
                  <w:marTop w:val="0"/>
                  <w:marBottom w:val="0"/>
                  <w:divBdr>
                    <w:top w:val="none" w:sz="0" w:space="0" w:color="auto"/>
                    <w:left w:val="none" w:sz="0" w:space="0" w:color="auto"/>
                    <w:bottom w:val="none" w:sz="0" w:space="0" w:color="auto"/>
                    <w:right w:val="none" w:sz="0" w:space="0" w:color="auto"/>
                  </w:divBdr>
                  <w:divsChild>
                    <w:div w:id="969744795">
                      <w:marLeft w:val="0"/>
                      <w:marRight w:val="0"/>
                      <w:marTop w:val="0"/>
                      <w:marBottom w:val="0"/>
                      <w:divBdr>
                        <w:top w:val="none" w:sz="0" w:space="0" w:color="auto"/>
                        <w:left w:val="none" w:sz="0" w:space="0" w:color="auto"/>
                        <w:bottom w:val="none" w:sz="0" w:space="0" w:color="auto"/>
                        <w:right w:val="none" w:sz="0" w:space="0" w:color="auto"/>
                      </w:divBdr>
                    </w:div>
                  </w:divsChild>
                </w:div>
                <w:div w:id="2101948242">
                  <w:marLeft w:val="0"/>
                  <w:marRight w:val="0"/>
                  <w:marTop w:val="0"/>
                  <w:marBottom w:val="0"/>
                  <w:divBdr>
                    <w:top w:val="none" w:sz="0" w:space="0" w:color="auto"/>
                    <w:left w:val="none" w:sz="0" w:space="0" w:color="auto"/>
                    <w:bottom w:val="none" w:sz="0" w:space="0" w:color="auto"/>
                    <w:right w:val="none" w:sz="0" w:space="0" w:color="auto"/>
                  </w:divBdr>
                  <w:divsChild>
                    <w:div w:id="1663001573">
                      <w:marLeft w:val="0"/>
                      <w:marRight w:val="0"/>
                      <w:marTop w:val="0"/>
                      <w:marBottom w:val="0"/>
                      <w:divBdr>
                        <w:top w:val="none" w:sz="0" w:space="0" w:color="auto"/>
                        <w:left w:val="none" w:sz="0" w:space="0" w:color="auto"/>
                        <w:bottom w:val="none" w:sz="0" w:space="0" w:color="auto"/>
                        <w:right w:val="none" w:sz="0" w:space="0" w:color="auto"/>
                      </w:divBdr>
                    </w:div>
                  </w:divsChild>
                </w:div>
                <w:div w:id="1165703699">
                  <w:marLeft w:val="0"/>
                  <w:marRight w:val="0"/>
                  <w:marTop w:val="0"/>
                  <w:marBottom w:val="0"/>
                  <w:divBdr>
                    <w:top w:val="none" w:sz="0" w:space="0" w:color="auto"/>
                    <w:left w:val="none" w:sz="0" w:space="0" w:color="auto"/>
                    <w:bottom w:val="none" w:sz="0" w:space="0" w:color="auto"/>
                    <w:right w:val="none" w:sz="0" w:space="0" w:color="auto"/>
                  </w:divBdr>
                  <w:divsChild>
                    <w:div w:id="1855343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26051">
              <w:marLeft w:val="0"/>
              <w:marRight w:val="0"/>
              <w:marTop w:val="0"/>
              <w:marBottom w:val="0"/>
              <w:divBdr>
                <w:top w:val="none" w:sz="0" w:space="0" w:color="auto"/>
                <w:left w:val="none" w:sz="0" w:space="0" w:color="auto"/>
                <w:bottom w:val="none" w:sz="0" w:space="0" w:color="auto"/>
                <w:right w:val="none" w:sz="0" w:space="0" w:color="auto"/>
              </w:divBdr>
              <w:divsChild>
                <w:div w:id="1630555061">
                  <w:marLeft w:val="0"/>
                  <w:marRight w:val="0"/>
                  <w:marTop w:val="0"/>
                  <w:marBottom w:val="0"/>
                  <w:divBdr>
                    <w:top w:val="none" w:sz="0" w:space="0" w:color="auto"/>
                    <w:left w:val="none" w:sz="0" w:space="0" w:color="auto"/>
                    <w:bottom w:val="none" w:sz="0" w:space="0" w:color="auto"/>
                    <w:right w:val="none" w:sz="0" w:space="0" w:color="auto"/>
                  </w:divBdr>
                  <w:divsChild>
                    <w:div w:id="1357924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003242">
              <w:marLeft w:val="0"/>
              <w:marRight w:val="0"/>
              <w:marTop w:val="0"/>
              <w:marBottom w:val="0"/>
              <w:divBdr>
                <w:top w:val="none" w:sz="0" w:space="0" w:color="auto"/>
                <w:left w:val="none" w:sz="0" w:space="0" w:color="auto"/>
                <w:bottom w:val="none" w:sz="0" w:space="0" w:color="auto"/>
                <w:right w:val="none" w:sz="0" w:space="0" w:color="auto"/>
              </w:divBdr>
              <w:divsChild>
                <w:div w:id="521555082">
                  <w:marLeft w:val="0"/>
                  <w:marRight w:val="0"/>
                  <w:marTop w:val="0"/>
                  <w:marBottom w:val="0"/>
                  <w:divBdr>
                    <w:top w:val="none" w:sz="0" w:space="0" w:color="auto"/>
                    <w:left w:val="none" w:sz="0" w:space="0" w:color="auto"/>
                    <w:bottom w:val="none" w:sz="0" w:space="0" w:color="auto"/>
                    <w:right w:val="none" w:sz="0" w:space="0" w:color="auto"/>
                  </w:divBdr>
                </w:div>
              </w:divsChild>
            </w:div>
            <w:div w:id="370692540">
              <w:marLeft w:val="0"/>
              <w:marRight w:val="0"/>
              <w:marTop w:val="0"/>
              <w:marBottom w:val="0"/>
              <w:divBdr>
                <w:top w:val="none" w:sz="0" w:space="0" w:color="auto"/>
                <w:left w:val="none" w:sz="0" w:space="0" w:color="auto"/>
                <w:bottom w:val="none" w:sz="0" w:space="0" w:color="auto"/>
                <w:right w:val="none" w:sz="0" w:space="0" w:color="auto"/>
              </w:divBdr>
              <w:divsChild>
                <w:div w:id="1114786425">
                  <w:marLeft w:val="0"/>
                  <w:marRight w:val="0"/>
                  <w:marTop w:val="0"/>
                  <w:marBottom w:val="0"/>
                  <w:divBdr>
                    <w:top w:val="none" w:sz="0" w:space="0" w:color="auto"/>
                    <w:left w:val="none" w:sz="0" w:space="0" w:color="auto"/>
                    <w:bottom w:val="none" w:sz="0" w:space="0" w:color="auto"/>
                    <w:right w:val="none" w:sz="0" w:space="0" w:color="auto"/>
                  </w:divBdr>
                </w:div>
              </w:divsChild>
            </w:div>
            <w:div w:id="1567260533">
              <w:marLeft w:val="0"/>
              <w:marRight w:val="0"/>
              <w:marTop w:val="0"/>
              <w:marBottom w:val="0"/>
              <w:divBdr>
                <w:top w:val="none" w:sz="0" w:space="0" w:color="auto"/>
                <w:left w:val="none" w:sz="0" w:space="0" w:color="auto"/>
                <w:bottom w:val="none" w:sz="0" w:space="0" w:color="auto"/>
                <w:right w:val="none" w:sz="0" w:space="0" w:color="auto"/>
              </w:divBdr>
              <w:divsChild>
                <w:div w:id="841093008">
                  <w:marLeft w:val="0"/>
                  <w:marRight w:val="0"/>
                  <w:marTop w:val="0"/>
                  <w:marBottom w:val="0"/>
                  <w:divBdr>
                    <w:top w:val="none" w:sz="0" w:space="0" w:color="auto"/>
                    <w:left w:val="none" w:sz="0" w:space="0" w:color="auto"/>
                    <w:bottom w:val="none" w:sz="0" w:space="0" w:color="auto"/>
                    <w:right w:val="none" w:sz="0" w:space="0" w:color="auto"/>
                  </w:divBdr>
                </w:div>
                <w:div w:id="45761580">
                  <w:marLeft w:val="0"/>
                  <w:marRight w:val="0"/>
                  <w:marTop w:val="0"/>
                  <w:marBottom w:val="0"/>
                  <w:divBdr>
                    <w:top w:val="none" w:sz="0" w:space="0" w:color="auto"/>
                    <w:left w:val="none" w:sz="0" w:space="0" w:color="auto"/>
                    <w:bottom w:val="none" w:sz="0" w:space="0" w:color="auto"/>
                    <w:right w:val="none" w:sz="0" w:space="0" w:color="auto"/>
                  </w:divBdr>
                </w:div>
              </w:divsChild>
            </w:div>
            <w:div w:id="1957593027">
              <w:marLeft w:val="0"/>
              <w:marRight w:val="0"/>
              <w:marTop w:val="0"/>
              <w:marBottom w:val="0"/>
              <w:divBdr>
                <w:top w:val="none" w:sz="0" w:space="0" w:color="auto"/>
                <w:left w:val="none" w:sz="0" w:space="0" w:color="auto"/>
                <w:bottom w:val="none" w:sz="0" w:space="0" w:color="auto"/>
                <w:right w:val="none" w:sz="0" w:space="0" w:color="auto"/>
              </w:divBdr>
              <w:divsChild>
                <w:div w:id="1385525886">
                  <w:marLeft w:val="0"/>
                  <w:marRight w:val="0"/>
                  <w:marTop w:val="0"/>
                  <w:marBottom w:val="0"/>
                  <w:divBdr>
                    <w:top w:val="none" w:sz="0" w:space="0" w:color="auto"/>
                    <w:left w:val="none" w:sz="0" w:space="0" w:color="auto"/>
                    <w:bottom w:val="none" w:sz="0" w:space="0" w:color="auto"/>
                    <w:right w:val="none" w:sz="0" w:space="0" w:color="auto"/>
                  </w:divBdr>
                </w:div>
              </w:divsChild>
            </w:div>
            <w:div w:id="276762599">
              <w:marLeft w:val="0"/>
              <w:marRight w:val="0"/>
              <w:marTop w:val="0"/>
              <w:marBottom w:val="0"/>
              <w:divBdr>
                <w:top w:val="none" w:sz="0" w:space="0" w:color="auto"/>
                <w:left w:val="none" w:sz="0" w:space="0" w:color="auto"/>
                <w:bottom w:val="none" w:sz="0" w:space="0" w:color="auto"/>
                <w:right w:val="none" w:sz="0" w:space="0" w:color="auto"/>
              </w:divBdr>
              <w:divsChild>
                <w:div w:id="2049913960">
                  <w:marLeft w:val="0"/>
                  <w:marRight w:val="0"/>
                  <w:marTop w:val="0"/>
                  <w:marBottom w:val="0"/>
                  <w:divBdr>
                    <w:top w:val="none" w:sz="0" w:space="0" w:color="auto"/>
                    <w:left w:val="none" w:sz="0" w:space="0" w:color="auto"/>
                    <w:bottom w:val="none" w:sz="0" w:space="0" w:color="auto"/>
                    <w:right w:val="none" w:sz="0" w:space="0" w:color="auto"/>
                  </w:divBdr>
                </w:div>
              </w:divsChild>
            </w:div>
            <w:div w:id="1900167628">
              <w:marLeft w:val="0"/>
              <w:marRight w:val="0"/>
              <w:marTop w:val="0"/>
              <w:marBottom w:val="0"/>
              <w:divBdr>
                <w:top w:val="none" w:sz="0" w:space="0" w:color="auto"/>
                <w:left w:val="none" w:sz="0" w:space="0" w:color="auto"/>
                <w:bottom w:val="none" w:sz="0" w:space="0" w:color="auto"/>
                <w:right w:val="none" w:sz="0" w:space="0" w:color="auto"/>
              </w:divBdr>
              <w:divsChild>
                <w:div w:id="207230226">
                  <w:marLeft w:val="0"/>
                  <w:marRight w:val="0"/>
                  <w:marTop w:val="0"/>
                  <w:marBottom w:val="0"/>
                  <w:divBdr>
                    <w:top w:val="none" w:sz="0" w:space="0" w:color="auto"/>
                    <w:left w:val="none" w:sz="0" w:space="0" w:color="auto"/>
                    <w:bottom w:val="none" w:sz="0" w:space="0" w:color="auto"/>
                    <w:right w:val="none" w:sz="0" w:space="0" w:color="auto"/>
                  </w:divBdr>
                </w:div>
              </w:divsChild>
            </w:div>
            <w:div w:id="1352224878">
              <w:marLeft w:val="0"/>
              <w:marRight w:val="0"/>
              <w:marTop w:val="0"/>
              <w:marBottom w:val="0"/>
              <w:divBdr>
                <w:top w:val="none" w:sz="0" w:space="0" w:color="auto"/>
                <w:left w:val="none" w:sz="0" w:space="0" w:color="auto"/>
                <w:bottom w:val="none" w:sz="0" w:space="0" w:color="auto"/>
                <w:right w:val="none" w:sz="0" w:space="0" w:color="auto"/>
              </w:divBdr>
              <w:divsChild>
                <w:div w:id="1140533693">
                  <w:marLeft w:val="0"/>
                  <w:marRight w:val="0"/>
                  <w:marTop w:val="0"/>
                  <w:marBottom w:val="0"/>
                  <w:divBdr>
                    <w:top w:val="none" w:sz="0" w:space="0" w:color="auto"/>
                    <w:left w:val="none" w:sz="0" w:space="0" w:color="auto"/>
                    <w:bottom w:val="none" w:sz="0" w:space="0" w:color="auto"/>
                    <w:right w:val="none" w:sz="0" w:space="0" w:color="auto"/>
                  </w:divBdr>
                </w:div>
              </w:divsChild>
            </w:div>
            <w:div w:id="1141312956">
              <w:marLeft w:val="0"/>
              <w:marRight w:val="0"/>
              <w:marTop w:val="0"/>
              <w:marBottom w:val="0"/>
              <w:divBdr>
                <w:top w:val="none" w:sz="0" w:space="0" w:color="auto"/>
                <w:left w:val="none" w:sz="0" w:space="0" w:color="auto"/>
                <w:bottom w:val="none" w:sz="0" w:space="0" w:color="auto"/>
                <w:right w:val="none" w:sz="0" w:space="0" w:color="auto"/>
              </w:divBdr>
              <w:divsChild>
                <w:div w:id="722869342">
                  <w:marLeft w:val="0"/>
                  <w:marRight w:val="0"/>
                  <w:marTop w:val="0"/>
                  <w:marBottom w:val="0"/>
                  <w:divBdr>
                    <w:top w:val="none" w:sz="0" w:space="0" w:color="auto"/>
                    <w:left w:val="none" w:sz="0" w:space="0" w:color="auto"/>
                    <w:bottom w:val="none" w:sz="0" w:space="0" w:color="auto"/>
                    <w:right w:val="none" w:sz="0" w:space="0" w:color="auto"/>
                  </w:divBdr>
                </w:div>
              </w:divsChild>
            </w:div>
            <w:div w:id="1443767956">
              <w:marLeft w:val="0"/>
              <w:marRight w:val="0"/>
              <w:marTop w:val="0"/>
              <w:marBottom w:val="0"/>
              <w:divBdr>
                <w:top w:val="none" w:sz="0" w:space="0" w:color="auto"/>
                <w:left w:val="none" w:sz="0" w:space="0" w:color="auto"/>
                <w:bottom w:val="none" w:sz="0" w:space="0" w:color="auto"/>
                <w:right w:val="none" w:sz="0" w:space="0" w:color="auto"/>
              </w:divBdr>
              <w:divsChild>
                <w:div w:id="1780562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203108">
          <w:marLeft w:val="0"/>
          <w:marRight w:val="0"/>
          <w:marTop w:val="0"/>
          <w:marBottom w:val="0"/>
          <w:divBdr>
            <w:top w:val="none" w:sz="0" w:space="0" w:color="auto"/>
            <w:left w:val="none" w:sz="0" w:space="0" w:color="auto"/>
            <w:bottom w:val="none" w:sz="0" w:space="0" w:color="auto"/>
            <w:right w:val="none" w:sz="0" w:space="0" w:color="auto"/>
          </w:divBdr>
          <w:divsChild>
            <w:div w:id="1482500680">
              <w:marLeft w:val="0"/>
              <w:marRight w:val="0"/>
              <w:marTop w:val="0"/>
              <w:marBottom w:val="0"/>
              <w:divBdr>
                <w:top w:val="none" w:sz="0" w:space="0" w:color="auto"/>
                <w:left w:val="none" w:sz="0" w:space="0" w:color="auto"/>
                <w:bottom w:val="none" w:sz="0" w:space="0" w:color="auto"/>
                <w:right w:val="none" w:sz="0" w:space="0" w:color="auto"/>
              </w:divBdr>
              <w:divsChild>
                <w:div w:id="1464038484">
                  <w:marLeft w:val="0"/>
                  <w:marRight w:val="0"/>
                  <w:marTop w:val="0"/>
                  <w:marBottom w:val="0"/>
                  <w:divBdr>
                    <w:top w:val="none" w:sz="0" w:space="0" w:color="auto"/>
                    <w:left w:val="none" w:sz="0" w:space="0" w:color="auto"/>
                    <w:bottom w:val="none" w:sz="0" w:space="0" w:color="auto"/>
                    <w:right w:val="none" w:sz="0" w:space="0" w:color="auto"/>
                  </w:divBdr>
                </w:div>
              </w:divsChild>
            </w:div>
            <w:div w:id="1137256893">
              <w:marLeft w:val="0"/>
              <w:marRight w:val="0"/>
              <w:marTop w:val="0"/>
              <w:marBottom w:val="0"/>
              <w:divBdr>
                <w:top w:val="none" w:sz="0" w:space="0" w:color="auto"/>
                <w:left w:val="none" w:sz="0" w:space="0" w:color="auto"/>
                <w:bottom w:val="none" w:sz="0" w:space="0" w:color="auto"/>
                <w:right w:val="none" w:sz="0" w:space="0" w:color="auto"/>
              </w:divBdr>
              <w:divsChild>
                <w:div w:id="352651403">
                  <w:marLeft w:val="0"/>
                  <w:marRight w:val="0"/>
                  <w:marTop w:val="0"/>
                  <w:marBottom w:val="0"/>
                  <w:divBdr>
                    <w:top w:val="none" w:sz="0" w:space="0" w:color="auto"/>
                    <w:left w:val="none" w:sz="0" w:space="0" w:color="auto"/>
                    <w:bottom w:val="none" w:sz="0" w:space="0" w:color="auto"/>
                    <w:right w:val="none" w:sz="0" w:space="0" w:color="auto"/>
                  </w:divBdr>
                </w:div>
                <w:div w:id="1405562455">
                  <w:marLeft w:val="0"/>
                  <w:marRight w:val="0"/>
                  <w:marTop w:val="0"/>
                  <w:marBottom w:val="0"/>
                  <w:divBdr>
                    <w:top w:val="none" w:sz="0" w:space="0" w:color="auto"/>
                    <w:left w:val="none" w:sz="0" w:space="0" w:color="auto"/>
                    <w:bottom w:val="none" w:sz="0" w:space="0" w:color="auto"/>
                    <w:right w:val="none" w:sz="0" w:space="0" w:color="auto"/>
                  </w:divBdr>
                </w:div>
              </w:divsChild>
            </w:div>
            <w:div w:id="259484375">
              <w:marLeft w:val="0"/>
              <w:marRight w:val="0"/>
              <w:marTop w:val="0"/>
              <w:marBottom w:val="0"/>
              <w:divBdr>
                <w:top w:val="none" w:sz="0" w:space="0" w:color="auto"/>
                <w:left w:val="none" w:sz="0" w:space="0" w:color="auto"/>
                <w:bottom w:val="none" w:sz="0" w:space="0" w:color="auto"/>
                <w:right w:val="none" w:sz="0" w:space="0" w:color="auto"/>
              </w:divBdr>
              <w:divsChild>
                <w:div w:id="956839690">
                  <w:marLeft w:val="0"/>
                  <w:marRight w:val="0"/>
                  <w:marTop w:val="0"/>
                  <w:marBottom w:val="0"/>
                  <w:divBdr>
                    <w:top w:val="none" w:sz="0" w:space="0" w:color="auto"/>
                    <w:left w:val="none" w:sz="0" w:space="0" w:color="auto"/>
                    <w:bottom w:val="none" w:sz="0" w:space="0" w:color="auto"/>
                    <w:right w:val="none" w:sz="0" w:space="0" w:color="auto"/>
                  </w:divBdr>
                </w:div>
              </w:divsChild>
            </w:div>
            <w:div w:id="85419657">
              <w:marLeft w:val="0"/>
              <w:marRight w:val="0"/>
              <w:marTop w:val="0"/>
              <w:marBottom w:val="0"/>
              <w:divBdr>
                <w:top w:val="none" w:sz="0" w:space="0" w:color="auto"/>
                <w:left w:val="none" w:sz="0" w:space="0" w:color="auto"/>
                <w:bottom w:val="none" w:sz="0" w:space="0" w:color="auto"/>
                <w:right w:val="none" w:sz="0" w:space="0" w:color="auto"/>
              </w:divBdr>
              <w:divsChild>
                <w:div w:id="1867715409">
                  <w:marLeft w:val="0"/>
                  <w:marRight w:val="0"/>
                  <w:marTop w:val="0"/>
                  <w:marBottom w:val="0"/>
                  <w:divBdr>
                    <w:top w:val="none" w:sz="0" w:space="0" w:color="auto"/>
                    <w:left w:val="none" w:sz="0" w:space="0" w:color="auto"/>
                    <w:bottom w:val="none" w:sz="0" w:space="0" w:color="auto"/>
                    <w:right w:val="none" w:sz="0" w:space="0" w:color="auto"/>
                  </w:divBdr>
                </w:div>
              </w:divsChild>
            </w:div>
            <w:div w:id="1552230534">
              <w:marLeft w:val="0"/>
              <w:marRight w:val="0"/>
              <w:marTop w:val="0"/>
              <w:marBottom w:val="0"/>
              <w:divBdr>
                <w:top w:val="none" w:sz="0" w:space="0" w:color="auto"/>
                <w:left w:val="none" w:sz="0" w:space="0" w:color="auto"/>
                <w:bottom w:val="none" w:sz="0" w:space="0" w:color="auto"/>
                <w:right w:val="none" w:sz="0" w:space="0" w:color="auto"/>
              </w:divBdr>
              <w:divsChild>
                <w:div w:id="1124302091">
                  <w:marLeft w:val="0"/>
                  <w:marRight w:val="0"/>
                  <w:marTop w:val="0"/>
                  <w:marBottom w:val="0"/>
                  <w:divBdr>
                    <w:top w:val="none" w:sz="0" w:space="0" w:color="auto"/>
                    <w:left w:val="none" w:sz="0" w:space="0" w:color="auto"/>
                    <w:bottom w:val="none" w:sz="0" w:space="0" w:color="auto"/>
                    <w:right w:val="none" w:sz="0" w:space="0" w:color="auto"/>
                  </w:divBdr>
                </w:div>
                <w:div w:id="916016950">
                  <w:marLeft w:val="0"/>
                  <w:marRight w:val="0"/>
                  <w:marTop w:val="0"/>
                  <w:marBottom w:val="0"/>
                  <w:divBdr>
                    <w:top w:val="none" w:sz="0" w:space="0" w:color="auto"/>
                    <w:left w:val="none" w:sz="0" w:space="0" w:color="auto"/>
                    <w:bottom w:val="none" w:sz="0" w:space="0" w:color="auto"/>
                    <w:right w:val="none" w:sz="0" w:space="0" w:color="auto"/>
                  </w:divBdr>
                </w:div>
                <w:div w:id="1489789110">
                  <w:marLeft w:val="0"/>
                  <w:marRight w:val="0"/>
                  <w:marTop w:val="0"/>
                  <w:marBottom w:val="0"/>
                  <w:divBdr>
                    <w:top w:val="none" w:sz="0" w:space="0" w:color="auto"/>
                    <w:left w:val="none" w:sz="0" w:space="0" w:color="auto"/>
                    <w:bottom w:val="none" w:sz="0" w:space="0" w:color="auto"/>
                    <w:right w:val="none" w:sz="0" w:space="0" w:color="auto"/>
                  </w:divBdr>
                </w:div>
              </w:divsChild>
            </w:div>
            <w:div w:id="1993831159">
              <w:marLeft w:val="0"/>
              <w:marRight w:val="0"/>
              <w:marTop w:val="0"/>
              <w:marBottom w:val="0"/>
              <w:divBdr>
                <w:top w:val="none" w:sz="0" w:space="0" w:color="auto"/>
                <w:left w:val="none" w:sz="0" w:space="0" w:color="auto"/>
                <w:bottom w:val="none" w:sz="0" w:space="0" w:color="auto"/>
                <w:right w:val="none" w:sz="0" w:space="0" w:color="auto"/>
              </w:divBdr>
              <w:divsChild>
                <w:div w:id="1106849673">
                  <w:marLeft w:val="0"/>
                  <w:marRight w:val="0"/>
                  <w:marTop w:val="0"/>
                  <w:marBottom w:val="0"/>
                  <w:divBdr>
                    <w:top w:val="none" w:sz="0" w:space="0" w:color="auto"/>
                    <w:left w:val="none" w:sz="0" w:space="0" w:color="auto"/>
                    <w:bottom w:val="none" w:sz="0" w:space="0" w:color="auto"/>
                    <w:right w:val="none" w:sz="0" w:space="0" w:color="auto"/>
                  </w:divBdr>
                </w:div>
                <w:div w:id="531186265">
                  <w:marLeft w:val="0"/>
                  <w:marRight w:val="0"/>
                  <w:marTop w:val="0"/>
                  <w:marBottom w:val="0"/>
                  <w:divBdr>
                    <w:top w:val="none" w:sz="0" w:space="0" w:color="auto"/>
                    <w:left w:val="none" w:sz="0" w:space="0" w:color="auto"/>
                    <w:bottom w:val="none" w:sz="0" w:space="0" w:color="auto"/>
                    <w:right w:val="none" w:sz="0" w:space="0" w:color="auto"/>
                  </w:divBdr>
                </w:div>
              </w:divsChild>
            </w:div>
            <w:div w:id="497890452">
              <w:marLeft w:val="0"/>
              <w:marRight w:val="0"/>
              <w:marTop w:val="0"/>
              <w:marBottom w:val="0"/>
              <w:divBdr>
                <w:top w:val="none" w:sz="0" w:space="0" w:color="auto"/>
                <w:left w:val="none" w:sz="0" w:space="0" w:color="auto"/>
                <w:bottom w:val="none" w:sz="0" w:space="0" w:color="auto"/>
                <w:right w:val="none" w:sz="0" w:space="0" w:color="auto"/>
              </w:divBdr>
              <w:divsChild>
                <w:div w:id="104082519">
                  <w:marLeft w:val="0"/>
                  <w:marRight w:val="0"/>
                  <w:marTop w:val="0"/>
                  <w:marBottom w:val="0"/>
                  <w:divBdr>
                    <w:top w:val="none" w:sz="0" w:space="0" w:color="auto"/>
                    <w:left w:val="none" w:sz="0" w:space="0" w:color="auto"/>
                    <w:bottom w:val="none" w:sz="0" w:space="0" w:color="auto"/>
                    <w:right w:val="none" w:sz="0" w:space="0" w:color="auto"/>
                  </w:divBdr>
                </w:div>
              </w:divsChild>
            </w:div>
            <w:div w:id="1220703773">
              <w:marLeft w:val="0"/>
              <w:marRight w:val="0"/>
              <w:marTop w:val="0"/>
              <w:marBottom w:val="0"/>
              <w:divBdr>
                <w:top w:val="none" w:sz="0" w:space="0" w:color="auto"/>
                <w:left w:val="none" w:sz="0" w:space="0" w:color="auto"/>
                <w:bottom w:val="none" w:sz="0" w:space="0" w:color="auto"/>
                <w:right w:val="none" w:sz="0" w:space="0" w:color="auto"/>
              </w:divBdr>
              <w:divsChild>
                <w:div w:id="955872850">
                  <w:marLeft w:val="0"/>
                  <w:marRight w:val="0"/>
                  <w:marTop w:val="0"/>
                  <w:marBottom w:val="0"/>
                  <w:divBdr>
                    <w:top w:val="none" w:sz="0" w:space="0" w:color="auto"/>
                    <w:left w:val="none" w:sz="0" w:space="0" w:color="auto"/>
                    <w:bottom w:val="none" w:sz="0" w:space="0" w:color="auto"/>
                    <w:right w:val="none" w:sz="0" w:space="0" w:color="auto"/>
                  </w:divBdr>
                </w:div>
              </w:divsChild>
            </w:div>
            <w:div w:id="27534934">
              <w:marLeft w:val="0"/>
              <w:marRight w:val="0"/>
              <w:marTop w:val="0"/>
              <w:marBottom w:val="0"/>
              <w:divBdr>
                <w:top w:val="none" w:sz="0" w:space="0" w:color="auto"/>
                <w:left w:val="none" w:sz="0" w:space="0" w:color="auto"/>
                <w:bottom w:val="none" w:sz="0" w:space="0" w:color="auto"/>
                <w:right w:val="none" w:sz="0" w:space="0" w:color="auto"/>
              </w:divBdr>
              <w:divsChild>
                <w:div w:id="2114277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652111">
          <w:marLeft w:val="0"/>
          <w:marRight w:val="0"/>
          <w:marTop w:val="0"/>
          <w:marBottom w:val="0"/>
          <w:divBdr>
            <w:top w:val="none" w:sz="0" w:space="0" w:color="auto"/>
            <w:left w:val="none" w:sz="0" w:space="0" w:color="auto"/>
            <w:bottom w:val="none" w:sz="0" w:space="0" w:color="auto"/>
            <w:right w:val="none" w:sz="0" w:space="0" w:color="auto"/>
          </w:divBdr>
          <w:divsChild>
            <w:div w:id="1970818268">
              <w:marLeft w:val="0"/>
              <w:marRight w:val="0"/>
              <w:marTop w:val="0"/>
              <w:marBottom w:val="0"/>
              <w:divBdr>
                <w:top w:val="none" w:sz="0" w:space="0" w:color="auto"/>
                <w:left w:val="none" w:sz="0" w:space="0" w:color="auto"/>
                <w:bottom w:val="none" w:sz="0" w:space="0" w:color="auto"/>
                <w:right w:val="none" w:sz="0" w:space="0" w:color="auto"/>
              </w:divBdr>
              <w:divsChild>
                <w:div w:id="373046796">
                  <w:marLeft w:val="0"/>
                  <w:marRight w:val="0"/>
                  <w:marTop w:val="0"/>
                  <w:marBottom w:val="0"/>
                  <w:divBdr>
                    <w:top w:val="none" w:sz="0" w:space="0" w:color="auto"/>
                    <w:left w:val="none" w:sz="0" w:space="0" w:color="auto"/>
                    <w:bottom w:val="none" w:sz="0" w:space="0" w:color="auto"/>
                    <w:right w:val="none" w:sz="0" w:space="0" w:color="auto"/>
                  </w:divBdr>
                </w:div>
              </w:divsChild>
            </w:div>
            <w:div w:id="1425146787">
              <w:marLeft w:val="0"/>
              <w:marRight w:val="0"/>
              <w:marTop w:val="0"/>
              <w:marBottom w:val="0"/>
              <w:divBdr>
                <w:top w:val="none" w:sz="0" w:space="0" w:color="auto"/>
                <w:left w:val="none" w:sz="0" w:space="0" w:color="auto"/>
                <w:bottom w:val="none" w:sz="0" w:space="0" w:color="auto"/>
                <w:right w:val="none" w:sz="0" w:space="0" w:color="auto"/>
              </w:divBdr>
              <w:divsChild>
                <w:div w:id="540551840">
                  <w:marLeft w:val="0"/>
                  <w:marRight w:val="0"/>
                  <w:marTop w:val="0"/>
                  <w:marBottom w:val="0"/>
                  <w:divBdr>
                    <w:top w:val="none" w:sz="0" w:space="0" w:color="auto"/>
                    <w:left w:val="none" w:sz="0" w:space="0" w:color="auto"/>
                    <w:bottom w:val="none" w:sz="0" w:space="0" w:color="auto"/>
                    <w:right w:val="none" w:sz="0" w:space="0" w:color="auto"/>
                  </w:divBdr>
                </w:div>
              </w:divsChild>
            </w:div>
            <w:div w:id="60178359">
              <w:marLeft w:val="0"/>
              <w:marRight w:val="0"/>
              <w:marTop w:val="0"/>
              <w:marBottom w:val="0"/>
              <w:divBdr>
                <w:top w:val="none" w:sz="0" w:space="0" w:color="auto"/>
                <w:left w:val="none" w:sz="0" w:space="0" w:color="auto"/>
                <w:bottom w:val="none" w:sz="0" w:space="0" w:color="auto"/>
                <w:right w:val="none" w:sz="0" w:space="0" w:color="auto"/>
              </w:divBdr>
              <w:divsChild>
                <w:div w:id="864503">
                  <w:marLeft w:val="0"/>
                  <w:marRight w:val="0"/>
                  <w:marTop w:val="0"/>
                  <w:marBottom w:val="0"/>
                  <w:divBdr>
                    <w:top w:val="none" w:sz="0" w:space="0" w:color="auto"/>
                    <w:left w:val="none" w:sz="0" w:space="0" w:color="auto"/>
                    <w:bottom w:val="none" w:sz="0" w:space="0" w:color="auto"/>
                    <w:right w:val="none" w:sz="0" w:space="0" w:color="auto"/>
                  </w:divBdr>
                </w:div>
              </w:divsChild>
            </w:div>
            <w:div w:id="1899969366">
              <w:marLeft w:val="0"/>
              <w:marRight w:val="0"/>
              <w:marTop w:val="0"/>
              <w:marBottom w:val="0"/>
              <w:divBdr>
                <w:top w:val="none" w:sz="0" w:space="0" w:color="auto"/>
                <w:left w:val="none" w:sz="0" w:space="0" w:color="auto"/>
                <w:bottom w:val="none" w:sz="0" w:space="0" w:color="auto"/>
                <w:right w:val="none" w:sz="0" w:space="0" w:color="auto"/>
              </w:divBdr>
              <w:divsChild>
                <w:div w:id="1469471962">
                  <w:marLeft w:val="0"/>
                  <w:marRight w:val="0"/>
                  <w:marTop w:val="0"/>
                  <w:marBottom w:val="0"/>
                  <w:divBdr>
                    <w:top w:val="none" w:sz="0" w:space="0" w:color="auto"/>
                    <w:left w:val="none" w:sz="0" w:space="0" w:color="auto"/>
                    <w:bottom w:val="none" w:sz="0" w:space="0" w:color="auto"/>
                    <w:right w:val="none" w:sz="0" w:space="0" w:color="auto"/>
                  </w:divBdr>
                </w:div>
                <w:div w:id="1291281371">
                  <w:marLeft w:val="0"/>
                  <w:marRight w:val="0"/>
                  <w:marTop w:val="0"/>
                  <w:marBottom w:val="0"/>
                  <w:divBdr>
                    <w:top w:val="none" w:sz="0" w:space="0" w:color="auto"/>
                    <w:left w:val="none" w:sz="0" w:space="0" w:color="auto"/>
                    <w:bottom w:val="none" w:sz="0" w:space="0" w:color="auto"/>
                    <w:right w:val="none" w:sz="0" w:space="0" w:color="auto"/>
                  </w:divBdr>
                </w:div>
                <w:div w:id="2126003667">
                  <w:marLeft w:val="0"/>
                  <w:marRight w:val="0"/>
                  <w:marTop w:val="0"/>
                  <w:marBottom w:val="0"/>
                  <w:divBdr>
                    <w:top w:val="none" w:sz="0" w:space="0" w:color="auto"/>
                    <w:left w:val="none" w:sz="0" w:space="0" w:color="auto"/>
                    <w:bottom w:val="none" w:sz="0" w:space="0" w:color="auto"/>
                    <w:right w:val="none" w:sz="0" w:space="0" w:color="auto"/>
                  </w:divBdr>
                </w:div>
              </w:divsChild>
            </w:div>
            <w:div w:id="710501179">
              <w:marLeft w:val="0"/>
              <w:marRight w:val="0"/>
              <w:marTop w:val="0"/>
              <w:marBottom w:val="0"/>
              <w:divBdr>
                <w:top w:val="none" w:sz="0" w:space="0" w:color="auto"/>
                <w:left w:val="none" w:sz="0" w:space="0" w:color="auto"/>
                <w:bottom w:val="none" w:sz="0" w:space="0" w:color="auto"/>
                <w:right w:val="none" w:sz="0" w:space="0" w:color="auto"/>
              </w:divBdr>
              <w:divsChild>
                <w:div w:id="1952399566">
                  <w:marLeft w:val="0"/>
                  <w:marRight w:val="0"/>
                  <w:marTop w:val="0"/>
                  <w:marBottom w:val="0"/>
                  <w:divBdr>
                    <w:top w:val="none" w:sz="0" w:space="0" w:color="auto"/>
                    <w:left w:val="none" w:sz="0" w:space="0" w:color="auto"/>
                    <w:bottom w:val="none" w:sz="0" w:space="0" w:color="auto"/>
                    <w:right w:val="none" w:sz="0" w:space="0" w:color="auto"/>
                  </w:divBdr>
                </w:div>
                <w:div w:id="1289120523">
                  <w:marLeft w:val="0"/>
                  <w:marRight w:val="0"/>
                  <w:marTop w:val="0"/>
                  <w:marBottom w:val="0"/>
                  <w:divBdr>
                    <w:top w:val="none" w:sz="0" w:space="0" w:color="auto"/>
                    <w:left w:val="none" w:sz="0" w:space="0" w:color="auto"/>
                    <w:bottom w:val="none" w:sz="0" w:space="0" w:color="auto"/>
                    <w:right w:val="none" w:sz="0" w:space="0" w:color="auto"/>
                  </w:divBdr>
                </w:div>
              </w:divsChild>
            </w:div>
            <w:div w:id="36049511">
              <w:marLeft w:val="0"/>
              <w:marRight w:val="0"/>
              <w:marTop w:val="0"/>
              <w:marBottom w:val="0"/>
              <w:divBdr>
                <w:top w:val="none" w:sz="0" w:space="0" w:color="auto"/>
                <w:left w:val="none" w:sz="0" w:space="0" w:color="auto"/>
                <w:bottom w:val="none" w:sz="0" w:space="0" w:color="auto"/>
                <w:right w:val="none" w:sz="0" w:space="0" w:color="auto"/>
              </w:divBdr>
              <w:divsChild>
                <w:div w:id="111829703">
                  <w:marLeft w:val="0"/>
                  <w:marRight w:val="0"/>
                  <w:marTop w:val="0"/>
                  <w:marBottom w:val="0"/>
                  <w:divBdr>
                    <w:top w:val="none" w:sz="0" w:space="0" w:color="auto"/>
                    <w:left w:val="none" w:sz="0" w:space="0" w:color="auto"/>
                    <w:bottom w:val="none" w:sz="0" w:space="0" w:color="auto"/>
                    <w:right w:val="none" w:sz="0" w:space="0" w:color="auto"/>
                  </w:divBdr>
                </w:div>
              </w:divsChild>
            </w:div>
            <w:div w:id="2069843725">
              <w:marLeft w:val="0"/>
              <w:marRight w:val="0"/>
              <w:marTop w:val="0"/>
              <w:marBottom w:val="0"/>
              <w:divBdr>
                <w:top w:val="none" w:sz="0" w:space="0" w:color="auto"/>
                <w:left w:val="none" w:sz="0" w:space="0" w:color="auto"/>
                <w:bottom w:val="none" w:sz="0" w:space="0" w:color="auto"/>
                <w:right w:val="none" w:sz="0" w:space="0" w:color="auto"/>
              </w:divBdr>
              <w:divsChild>
                <w:div w:id="2035304519">
                  <w:marLeft w:val="0"/>
                  <w:marRight w:val="0"/>
                  <w:marTop w:val="0"/>
                  <w:marBottom w:val="0"/>
                  <w:divBdr>
                    <w:top w:val="none" w:sz="0" w:space="0" w:color="auto"/>
                    <w:left w:val="none" w:sz="0" w:space="0" w:color="auto"/>
                    <w:bottom w:val="none" w:sz="0" w:space="0" w:color="auto"/>
                    <w:right w:val="none" w:sz="0" w:space="0" w:color="auto"/>
                  </w:divBdr>
                </w:div>
              </w:divsChild>
            </w:div>
            <w:div w:id="1044596165">
              <w:marLeft w:val="0"/>
              <w:marRight w:val="0"/>
              <w:marTop w:val="0"/>
              <w:marBottom w:val="0"/>
              <w:divBdr>
                <w:top w:val="none" w:sz="0" w:space="0" w:color="auto"/>
                <w:left w:val="none" w:sz="0" w:space="0" w:color="auto"/>
                <w:bottom w:val="none" w:sz="0" w:space="0" w:color="auto"/>
                <w:right w:val="none" w:sz="0" w:space="0" w:color="auto"/>
              </w:divBdr>
              <w:divsChild>
                <w:div w:id="2141339546">
                  <w:marLeft w:val="0"/>
                  <w:marRight w:val="0"/>
                  <w:marTop w:val="0"/>
                  <w:marBottom w:val="0"/>
                  <w:divBdr>
                    <w:top w:val="none" w:sz="0" w:space="0" w:color="auto"/>
                    <w:left w:val="none" w:sz="0" w:space="0" w:color="auto"/>
                    <w:bottom w:val="none" w:sz="0" w:space="0" w:color="auto"/>
                    <w:right w:val="none" w:sz="0" w:space="0" w:color="auto"/>
                  </w:divBdr>
                </w:div>
                <w:div w:id="277837464">
                  <w:marLeft w:val="0"/>
                  <w:marRight w:val="0"/>
                  <w:marTop w:val="0"/>
                  <w:marBottom w:val="0"/>
                  <w:divBdr>
                    <w:top w:val="none" w:sz="0" w:space="0" w:color="auto"/>
                    <w:left w:val="none" w:sz="0" w:space="0" w:color="auto"/>
                    <w:bottom w:val="none" w:sz="0" w:space="0" w:color="auto"/>
                    <w:right w:val="none" w:sz="0" w:space="0" w:color="auto"/>
                  </w:divBdr>
                </w:div>
              </w:divsChild>
            </w:div>
            <w:div w:id="1272971979">
              <w:marLeft w:val="0"/>
              <w:marRight w:val="0"/>
              <w:marTop w:val="0"/>
              <w:marBottom w:val="0"/>
              <w:divBdr>
                <w:top w:val="none" w:sz="0" w:space="0" w:color="auto"/>
                <w:left w:val="none" w:sz="0" w:space="0" w:color="auto"/>
                <w:bottom w:val="none" w:sz="0" w:space="0" w:color="auto"/>
                <w:right w:val="none" w:sz="0" w:space="0" w:color="auto"/>
              </w:divBdr>
              <w:divsChild>
                <w:div w:id="72811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3913175">
          <w:marLeft w:val="0"/>
          <w:marRight w:val="0"/>
          <w:marTop w:val="0"/>
          <w:marBottom w:val="0"/>
          <w:divBdr>
            <w:top w:val="none" w:sz="0" w:space="0" w:color="auto"/>
            <w:left w:val="none" w:sz="0" w:space="0" w:color="auto"/>
            <w:bottom w:val="none" w:sz="0" w:space="0" w:color="auto"/>
            <w:right w:val="none" w:sz="0" w:space="0" w:color="auto"/>
          </w:divBdr>
          <w:divsChild>
            <w:div w:id="1035010268">
              <w:marLeft w:val="0"/>
              <w:marRight w:val="0"/>
              <w:marTop w:val="0"/>
              <w:marBottom w:val="0"/>
              <w:divBdr>
                <w:top w:val="none" w:sz="0" w:space="0" w:color="auto"/>
                <w:left w:val="none" w:sz="0" w:space="0" w:color="auto"/>
                <w:bottom w:val="none" w:sz="0" w:space="0" w:color="auto"/>
                <w:right w:val="none" w:sz="0" w:space="0" w:color="auto"/>
              </w:divBdr>
              <w:divsChild>
                <w:div w:id="1986161913">
                  <w:marLeft w:val="0"/>
                  <w:marRight w:val="0"/>
                  <w:marTop w:val="0"/>
                  <w:marBottom w:val="0"/>
                  <w:divBdr>
                    <w:top w:val="none" w:sz="0" w:space="0" w:color="auto"/>
                    <w:left w:val="none" w:sz="0" w:space="0" w:color="auto"/>
                    <w:bottom w:val="none" w:sz="0" w:space="0" w:color="auto"/>
                    <w:right w:val="none" w:sz="0" w:space="0" w:color="auto"/>
                  </w:divBdr>
                  <w:divsChild>
                    <w:div w:id="1247575542">
                      <w:marLeft w:val="0"/>
                      <w:marRight w:val="0"/>
                      <w:marTop w:val="0"/>
                      <w:marBottom w:val="0"/>
                      <w:divBdr>
                        <w:top w:val="none" w:sz="0" w:space="0" w:color="auto"/>
                        <w:left w:val="none" w:sz="0" w:space="0" w:color="auto"/>
                        <w:bottom w:val="none" w:sz="0" w:space="0" w:color="auto"/>
                        <w:right w:val="none" w:sz="0" w:space="0" w:color="auto"/>
                      </w:divBdr>
                    </w:div>
                  </w:divsChild>
                </w:div>
                <w:div w:id="1204947242">
                  <w:marLeft w:val="0"/>
                  <w:marRight w:val="0"/>
                  <w:marTop w:val="0"/>
                  <w:marBottom w:val="0"/>
                  <w:divBdr>
                    <w:top w:val="none" w:sz="0" w:space="0" w:color="auto"/>
                    <w:left w:val="none" w:sz="0" w:space="0" w:color="auto"/>
                    <w:bottom w:val="none" w:sz="0" w:space="0" w:color="auto"/>
                    <w:right w:val="none" w:sz="0" w:space="0" w:color="auto"/>
                  </w:divBdr>
                  <w:divsChild>
                    <w:div w:id="741609895">
                      <w:marLeft w:val="0"/>
                      <w:marRight w:val="0"/>
                      <w:marTop w:val="0"/>
                      <w:marBottom w:val="0"/>
                      <w:divBdr>
                        <w:top w:val="none" w:sz="0" w:space="0" w:color="auto"/>
                        <w:left w:val="none" w:sz="0" w:space="0" w:color="auto"/>
                        <w:bottom w:val="none" w:sz="0" w:space="0" w:color="auto"/>
                        <w:right w:val="none" w:sz="0" w:space="0" w:color="auto"/>
                      </w:divBdr>
                    </w:div>
                  </w:divsChild>
                </w:div>
                <w:div w:id="748385516">
                  <w:marLeft w:val="0"/>
                  <w:marRight w:val="0"/>
                  <w:marTop w:val="0"/>
                  <w:marBottom w:val="0"/>
                  <w:divBdr>
                    <w:top w:val="none" w:sz="0" w:space="0" w:color="auto"/>
                    <w:left w:val="none" w:sz="0" w:space="0" w:color="auto"/>
                    <w:bottom w:val="none" w:sz="0" w:space="0" w:color="auto"/>
                    <w:right w:val="none" w:sz="0" w:space="0" w:color="auto"/>
                  </w:divBdr>
                  <w:divsChild>
                    <w:div w:id="674382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736567">
              <w:marLeft w:val="0"/>
              <w:marRight w:val="0"/>
              <w:marTop w:val="0"/>
              <w:marBottom w:val="0"/>
              <w:divBdr>
                <w:top w:val="none" w:sz="0" w:space="0" w:color="auto"/>
                <w:left w:val="none" w:sz="0" w:space="0" w:color="auto"/>
                <w:bottom w:val="none" w:sz="0" w:space="0" w:color="auto"/>
                <w:right w:val="none" w:sz="0" w:space="0" w:color="auto"/>
              </w:divBdr>
              <w:divsChild>
                <w:div w:id="1319767943">
                  <w:marLeft w:val="0"/>
                  <w:marRight w:val="0"/>
                  <w:marTop w:val="0"/>
                  <w:marBottom w:val="0"/>
                  <w:divBdr>
                    <w:top w:val="none" w:sz="0" w:space="0" w:color="auto"/>
                    <w:left w:val="none" w:sz="0" w:space="0" w:color="auto"/>
                    <w:bottom w:val="none" w:sz="0" w:space="0" w:color="auto"/>
                    <w:right w:val="none" w:sz="0" w:space="0" w:color="auto"/>
                  </w:divBdr>
                  <w:divsChild>
                    <w:div w:id="158011248">
                      <w:marLeft w:val="0"/>
                      <w:marRight w:val="0"/>
                      <w:marTop w:val="0"/>
                      <w:marBottom w:val="0"/>
                      <w:divBdr>
                        <w:top w:val="none" w:sz="0" w:space="0" w:color="auto"/>
                        <w:left w:val="none" w:sz="0" w:space="0" w:color="auto"/>
                        <w:bottom w:val="none" w:sz="0" w:space="0" w:color="auto"/>
                        <w:right w:val="none" w:sz="0" w:space="0" w:color="auto"/>
                      </w:divBdr>
                    </w:div>
                  </w:divsChild>
                </w:div>
                <w:div w:id="1071393433">
                  <w:marLeft w:val="0"/>
                  <w:marRight w:val="0"/>
                  <w:marTop w:val="0"/>
                  <w:marBottom w:val="0"/>
                  <w:divBdr>
                    <w:top w:val="none" w:sz="0" w:space="0" w:color="auto"/>
                    <w:left w:val="none" w:sz="0" w:space="0" w:color="auto"/>
                    <w:bottom w:val="none" w:sz="0" w:space="0" w:color="auto"/>
                    <w:right w:val="none" w:sz="0" w:space="0" w:color="auto"/>
                  </w:divBdr>
                  <w:divsChild>
                    <w:div w:id="1085147403">
                      <w:marLeft w:val="0"/>
                      <w:marRight w:val="0"/>
                      <w:marTop w:val="0"/>
                      <w:marBottom w:val="0"/>
                      <w:divBdr>
                        <w:top w:val="none" w:sz="0" w:space="0" w:color="auto"/>
                        <w:left w:val="none" w:sz="0" w:space="0" w:color="auto"/>
                        <w:bottom w:val="none" w:sz="0" w:space="0" w:color="auto"/>
                        <w:right w:val="none" w:sz="0" w:space="0" w:color="auto"/>
                      </w:divBdr>
                    </w:div>
                    <w:div w:id="1654865988">
                      <w:marLeft w:val="0"/>
                      <w:marRight w:val="0"/>
                      <w:marTop w:val="0"/>
                      <w:marBottom w:val="0"/>
                      <w:divBdr>
                        <w:top w:val="none" w:sz="0" w:space="0" w:color="auto"/>
                        <w:left w:val="none" w:sz="0" w:space="0" w:color="auto"/>
                        <w:bottom w:val="none" w:sz="0" w:space="0" w:color="auto"/>
                        <w:right w:val="none" w:sz="0" w:space="0" w:color="auto"/>
                      </w:divBdr>
                    </w:div>
                    <w:div w:id="220140167">
                      <w:marLeft w:val="0"/>
                      <w:marRight w:val="0"/>
                      <w:marTop w:val="0"/>
                      <w:marBottom w:val="0"/>
                      <w:divBdr>
                        <w:top w:val="none" w:sz="0" w:space="0" w:color="auto"/>
                        <w:left w:val="none" w:sz="0" w:space="0" w:color="auto"/>
                        <w:bottom w:val="none" w:sz="0" w:space="0" w:color="auto"/>
                        <w:right w:val="none" w:sz="0" w:space="0" w:color="auto"/>
                      </w:divBdr>
                    </w:div>
                    <w:div w:id="1454519583">
                      <w:marLeft w:val="0"/>
                      <w:marRight w:val="0"/>
                      <w:marTop w:val="0"/>
                      <w:marBottom w:val="0"/>
                      <w:divBdr>
                        <w:top w:val="none" w:sz="0" w:space="0" w:color="auto"/>
                        <w:left w:val="none" w:sz="0" w:space="0" w:color="auto"/>
                        <w:bottom w:val="none" w:sz="0" w:space="0" w:color="auto"/>
                        <w:right w:val="none" w:sz="0" w:space="0" w:color="auto"/>
                      </w:divBdr>
                    </w:div>
                    <w:div w:id="247080673">
                      <w:marLeft w:val="0"/>
                      <w:marRight w:val="0"/>
                      <w:marTop w:val="0"/>
                      <w:marBottom w:val="0"/>
                      <w:divBdr>
                        <w:top w:val="none" w:sz="0" w:space="0" w:color="auto"/>
                        <w:left w:val="none" w:sz="0" w:space="0" w:color="auto"/>
                        <w:bottom w:val="none" w:sz="0" w:space="0" w:color="auto"/>
                        <w:right w:val="none" w:sz="0" w:space="0" w:color="auto"/>
                      </w:divBdr>
                    </w:div>
                    <w:div w:id="175928430">
                      <w:marLeft w:val="0"/>
                      <w:marRight w:val="0"/>
                      <w:marTop w:val="0"/>
                      <w:marBottom w:val="0"/>
                      <w:divBdr>
                        <w:top w:val="none" w:sz="0" w:space="0" w:color="auto"/>
                        <w:left w:val="none" w:sz="0" w:space="0" w:color="auto"/>
                        <w:bottom w:val="none" w:sz="0" w:space="0" w:color="auto"/>
                        <w:right w:val="none" w:sz="0" w:space="0" w:color="auto"/>
                      </w:divBdr>
                    </w:div>
                  </w:divsChild>
                </w:div>
                <w:div w:id="1389382780">
                  <w:marLeft w:val="0"/>
                  <w:marRight w:val="0"/>
                  <w:marTop w:val="0"/>
                  <w:marBottom w:val="0"/>
                  <w:divBdr>
                    <w:top w:val="none" w:sz="0" w:space="0" w:color="auto"/>
                    <w:left w:val="none" w:sz="0" w:space="0" w:color="auto"/>
                    <w:bottom w:val="none" w:sz="0" w:space="0" w:color="auto"/>
                    <w:right w:val="none" w:sz="0" w:space="0" w:color="auto"/>
                  </w:divBdr>
                  <w:divsChild>
                    <w:div w:id="1033309887">
                      <w:marLeft w:val="0"/>
                      <w:marRight w:val="0"/>
                      <w:marTop w:val="0"/>
                      <w:marBottom w:val="0"/>
                      <w:divBdr>
                        <w:top w:val="none" w:sz="0" w:space="0" w:color="auto"/>
                        <w:left w:val="none" w:sz="0" w:space="0" w:color="auto"/>
                        <w:bottom w:val="none" w:sz="0" w:space="0" w:color="auto"/>
                        <w:right w:val="none" w:sz="0" w:space="0" w:color="auto"/>
                      </w:divBdr>
                    </w:div>
                    <w:div w:id="1319766466">
                      <w:marLeft w:val="0"/>
                      <w:marRight w:val="0"/>
                      <w:marTop w:val="0"/>
                      <w:marBottom w:val="0"/>
                      <w:divBdr>
                        <w:top w:val="none" w:sz="0" w:space="0" w:color="auto"/>
                        <w:left w:val="none" w:sz="0" w:space="0" w:color="auto"/>
                        <w:bottom w:val="none" w:sz="0" w:space="0" w:color="auto"/>
                        <w:right w:val="none" w:sz="0" w:space="0" w:color="auto"/>
                      </w:divBdr>
                    </w:div>
                    <w:div w:id="1726636869">
                      <w:marLeft w:val="0"/>
                      <w:marRight w:val="0"/>
                      <w:marTop w:val="0"/>
                      <w:marBottom w:val="0"/>
                      <w:divBdr>
                        <w:top w:val="none" w:sz="0" w:space="0" w:color="auto"/>
                        <w:left w:val="none" w:sz="0" w:space="0" w:color="auto"/>
                        <w:bottom w:val="none" w:sz="0" w:space="0" w:color="auto"/>
                        <w:right w:val="none" w:sz="0" w:space="0" w:color="auto"/>
                      </w:divBdr>
                    </w:div>
                    <w:div w:id="110174702">
                      <w:marLeft w:val="0"/>
                      <w:marRight w:val="0"/>
                      <w:marTop w:val="0"/>
                      <w:marBottom w:val="0"/>
                      <w:divBdr>
                        <w:top w:val="none" w:sz="0" w:space="0" w:color="auto"/>
                        <w:left w:val="none" w:sz="0" w:space="0" w:color="auto"/>
                        <w:bottom w:val="none" w:sz="0" w:space="0" w:color="auto"/>
                        <w:right w:val="none" w:sz="0" w:space="0" w:color="auto"/>
                      </w:divBdr>
                    </w:div>
                    <w:div w:id="697778448">
                      <w:marLeft w:val="0"/>
                      <w:marRight w:val="0"/>
                      <w:marTop w:val="0"/>
                      <w:marBottom w:val="0"/>
                      <w:divBdr>
                        <w:top w:val="none" w:sz="0" w:space="0" w:color="auto"/>
                        <w:left w:val="none" w:sz="0" w:space="0" w:color="auto"/>
                        <w:bottom w:val="none" w:sz="0" w:space="0" w:color="auto"/>
                        <w:right w:val="none" w:sz="0" w:space="0" w:color="auto"/>
                      </w:divBdr>
                    </w:div>
                    <w:div w:id="591865053">
                      <w:marLeft w:val="0"/>
                      <w:marRight w:val="0"/>
                      <w:marTop w:val="0"/>
                      <w:marBottom w:val="0"/>
                      <w:divBdr>
                        <w:top w:val="none" w:sz="0" w:space="0" w:color="auto"/>
                        <w:left w:val="none" w:sz="0" w:space="0" w:color="auto"/>
                        <w:bottom w:val="none" w:sz="0" w:space="0" w:color="auto"/>
                        <w:right w:val="none" w:sz="0" w:space="0" w:color="auto"/>
                      </w:divBdr>
                    </w:div>
                  </w:divsChild>
                </w:div>
                <w:div w:id="1502159390">
                  <w:marLeft w:val="0"/>
                  <w:marRight w:val="0"/>
                  <w:marTop w:val="0"/>
                  <w:marBottom w:val="0"/>
                  <w:divBdr>
                    <w:top w:val="none" w:sz="0" w:space="0" w:color="auto"/>
                    <w:left w:val="none" w:sz="0" w:space="0" w:color="auto"/>
                    <w:bottom w:val="none" w:sz="0" w:space="0" w:color="auto"/>
                    <w:right w:val="none" w:sz="0" w:space="0" w:color="auto"/>
                  </w:divBdr>
                  <w:divsChild>
                    <w:div w:id="1082868925">
                      <w:marLeft w:val="0"/>
                      <w:marRight w:val="0"/>
                      <w:marTop w:val="0"/>
                      <w:marBottom w:val="0"/>
                      <w:divBdr>
                        <w:top w:val="none" w:sz="0" w:space="0" w:color="auto"/>
                        <w:left w:val="none" w:sz="0" w:space="0" w:color="auto"/>
                        <w:bottom w:val="none" w:sz="0" w:space="0" w:color="auto"/>
                        <w:right w:val="none" w:sz="0" w:space="0" w:color="auto"/>
                      </w:divBdr>
                    </w:div>
                    <w:div w:id="905722249">
                      <w:marLeft w:val="0"/>
                      <w:marRight w:val="0"/>
                      <w:marTop w:val="0"/>
                      <w:marBottom w:val="0"/>
                      <w:divBdr>
                        <w:top w:val="none" w:sz="0" w:space="0" w:color="auto"/>
                        <w:left w:val="none" w:sz="0" w:space="0" w:color="auto"/>
                        <w:bottom w:val="none" w:sz="0" w:space="0" w:color="auto"/>
                        <w:right w:val="none" w:sz="0" w:space="0" w:color="auto"/>
                      </w:divBdr>
                    </w:div>
                    <w:div w:id="1251501270">
                      <w:marLeft w:val="0"/>
                      <w:marRight w:val="0"/>
                      <w:marTop w:val="0"/>
                      <w:marBottom w:val="0"/>
                      <w:divBdr>
                        <w:top w:val="none" w:sz="0" w:space="0" w:color="auto"/>
                        <w:left w:val="none" w:sz="0" w:space="0" w:color="auto"/>
                        <w:bottom w:val="none" w:sz="0" w:space="0" w:color="auto"/>
                        <w:right w:val="none" w:sz="0" w:space="0" w:color="auto"/>
                      </w:divBdr>
                    </w:div>
                    <w:div w:id="169565890">
                      <w:marLeft w:val="0"/>
                      <w:marRight w:val="0"/>
                      <w:marTop w:val="0"/>
                      <w:marBottom w:val="0"/>
                      <w:divBdr>
                        <w:top w:val="none" w:sz="0" w:space="0" w:color="auto"/>
                        <w:left w:val="none" w:sz="0" w:space="0" w:color="auto"/>
                        <w:bottom w:val="none" w:sz="0" w:space="0" w:color="auto"/>
                        <w:right w:val="none" w:sz="0" w:space="0" w:color="auto"/>
                      </w:divBdr>
                    </w:div>
                    <w:div w:id="1710034362">
                      <w:marLeft w:val="0"/>
                      <w:marRight w:val="0"/>
                      <w:marTop w:val="0"/>
                      <w:marBottom w:val="0"/>
                      <w:divBdr>
                        <w:top w:val="none" w:sz="0" w:space="0" w:color="auto"/>
                        <w:left w:val="none" w:sz="0" w:space="0" w:color="auto"/>
                        <w:bottom w:val="none" w:sz="0" w:space="0" w:color="auto"/>
                        <w:right w:val="none" w:sz="0" w:space="0" w:color="auto"/>
                      </w:divBdr>
                    </w:div>
                    <w:div w:id="724107673">
                      <w:marLeft w:val="0"/>
                      <w:marRight w:val="0"/>
                      <w:marTop w:val="0"/>
                      <w:marBottom w:val="0"/>
                      <w:divBdr>
                        <w:top w:val="none" w:sz="0" w:space="0" w:color="auto"/>
                        <w:left w:val="none" w:sz="0" w:space="0" w:color="auto"/>
                        <w:bottom w:val="none" w:sz="0" w:space="0" w:color="auto"/>
                        <w:right w:val="none" w:sz="0" w:space="0" w:color="auto"/>
                      </w:divBdr>
                    </w:div>
                  </w:divsChild>
                </w:div>
                <w:div w:id="982586133">
                  <w:marLeft w:val="0"/>
                  <w:marRight w:val="0"/>
                  <w:marTop w:val="0"/>
                  <w:marBottom w:val="0"/>
                  <w:divBdr>
                    <w:top w:val="none" w:sz="0" w:space="0" w:color="auto"/>
                    <w:left w:val="none" w:sz="0" w:space="0" w:color="auto"/>
                    <w:bottom w:val="none" w:sz="0" w:space="0" w:color="auto"/>
                    <w:right w:val="none" w:sz="0" w:space="0" w:color="auto"/>
                  </w:divBdr>
                  <w:divsChild>
                    <w:div w:id="1940334042">
                      <w:marLeft w:val="0"/>
                      <w:marRight w:val="0"/>
                      <w:marTop w:val="0"/>
                      <w:marBottom w:val="0"/>
                      <w:divBdr>
                        <w:top w:val="none" w:sz="0" w:space="0" w:color="auto"/>
                        <w:left w:val="none" w:sz="0" w:space="0" w:color="auto"/>
                        <w:bottom w:val="none" w:sz="0" w:space="0" w:color="auto"/>
                        <w:right w:val="none" w:sz="0" w:space="0" w:color="auto"/>
                      </w:divBdr>
                    </w:div>
                    <w:div w:id="629629513">
                      <w:marLeft w:val="0"/>
                      <w:marRight w:val="0"/>
                      <w:marTop w:val="0"/>
                      <w:marBottom w:val="0"/>
                      <w:divBdr>
                        <w:top w:val="none" w:sz="0" w:space="0" w:color="auto"/>
                        <w:left w:val="none" w:sz="0" w:space="0" w:color="auto"/>
                        <w:bottom w:val="none" w:sz="0" w:space="0" w:color="auto"/>
                        <w:right w:val="none" w:sz="0" w:space="0" w:color="auto"/>
                      </w:divBdr>
                    </w:div>
                    <w:div w:id="954824984">
                      <w:marLeft w:val="0"/>
                      <w:marRight w:val="0"/>
                      <w:marTop w:val="0"/>
                      <w:marBottom w:val="0"/>
                      <w:divBdr>
                        <w:top w:val="none" w:sz="0" w:space="0" w:color="auto"/>
                        <w:left w:val="none" w:sz="0" w:space="0" w:color="auto"/>
                        <w:bottom w:val="none" w:sz="0" w:space="0" w:color="auto"/>
                        <w:right w:val="none" w:sz="0" w:space="0" w:color="auto"/>
                      </w:divBdr>
                    </w:div>
                    <w:div w:id="1152058943">
                      <w:marLeft w:val="0"/>
                      <w:marRight w:val="0"/>
                      <w:marTop w:val="0"/>
                      <w:marBottom w:val="0"/>
                      <w:divBdr>
                        <w:top w:val="none" w:sz="0" w:space="0" w:color="auto"/>
                        <w:left w:val="none" w:sz="0" w:space="0" w:color="auto"/>
                        <w:bottom w:val="none" w:sz="0" w:space="0" w:color="auto"/>
                        <w:right w:val="none" w:sz="0" w:space="0" w:color="auto"/>
                      </w:divBdr>
                    </w:div>
                  </w:divsChild>
                </w:div>
                <w:div w:id="1282960572">
                  <w:marLeft w:val="0"/>
                  <w:marRight w:val="0"/>
                  <w:marTop w:val="0"/>
                  <w:marBottom w:val="0"/>
                  <w:divBdr>
                    <w:top w:val="none" w:sz="0" w:space="0" w:color="auto"/>
                    <w:left w:val="none" w:sz="0" w:space="0" w:color="auto"/>
                    <w:bottom w:val="none" w:sz="0" w:space="0" w:color="auto"/>
                    <w:right w:val="none" w:sz="0" w:space="0" w:color="auto"/>
                  </w:divBdr>
                  <w:divsChild>
                    <w:div w:id="280918540">
                      <w:marLeft w:val="0"/>
                      <w:marRight w:val="0"/>
                      <w:marTop w:val="0"/>
                      <w:marBottom w:val="0"/>
                      <w:divBdr>
                        <w:top w:val="none" w:sz="0" w:space="0" w:color="auto"/>
                        <w:left w:val="none" w:sz="0" w:space="0" w:color="auto"/>
                        <w:bottom w:val="none" w:sz="0" w:space="0" w:color="auto"/>
                        <w:right w:val="none" w:sz="0" w:space="0" w:color="auto"/>
                      </w:divBdr>
                    </w:div>
                    <w:div w:id="991299696">
                      <w:marLeft w:val="0"/>
                      <w:marRight w:val="0"/>
                      <w:marTop w:val="0"/>
                      <w:marBottom w:val="0"/>
                      <w:divBdr>
                        <w:top w:val="none" w:sz="0" w:space="0" w:color="auto"/>
                        <w:left w:val="none" w:sz="0" w:space="0" w:color="auto"/>
                        <w:bottom w:val="none" w:sz="0" w:space="0" w:color="auto"/>
                        <w:right w:val="none" w:sz="0" w:space="0" w:color="auto"/>
                      </w:divBdr>
                    </w:div>
                  </w:divsChild>
                </w:div>
                <w:div w:id="51538125">
                  <w:marLeft w:val="0"/>
                  <w:marRight w:val="0"/>
                  <w:marTop w:val="0"/>
                  <w:marBottom w:val="0"/>
                  <w:divBdr>
                    <w:top w:val="none" w:sz="0" w:space="0" w:color="auto"/>
                    <w:left w:val="none" w:sz="0" w:space="0" w:color="auto"/>
                    <w:bottom w:val="none" w:sz="0" w:space="0" w:color="auto"/>
                    <w:right w:val="none" w:sz="0" w:space="0" w:color="auto"/>
                  </w:divBdr>
                  <w:divsChild>
                    <w:div w:id="2115588830">
                      <w:marLeft w:val="0"/>
                      <w:marRight w:val="0"/>
                      <w:marTop w:val="0"/>
                      <w:marBottom w:val="0"/>
                      <w:divBdr>
                        <w:top w:val="none" w:sz="0" w:space="0" w:color="auto"/>
                        <w:left w:val="none" w:sz="0" w:space="0" w:color="auto"/>
                        <w:bottom w:val="none" w:sz="0" w:space="0" w:color="auto"/>
                        <w:right w:val="none" w:sz="0" w:space="0" w:color="auto"/>
                      </w:divBdr>
                    </w:div>
                    <w:div w:id="984627203">
                      <w:marLeft w:val="0"/>
                      <w:marRight w:val="0"/>
                      <w:marTop w:val="0"/>
                      <w:marBottom w:val="0"/>
                      <w:divBdr>
                        <w:top w:val="none" w:sz="0" w:space="0" w:color="auto"/>
                        <w:left w:val="none" w:sz="0" w:space="0" w:color="auto"/>
                        <w:bottom w:val="none" w:sz="0" w:space="0" w:color="auto"/>
                        <w:right w:val="none" w:sz="0" w:space="0" w:color="auto"/>
                      </w:divBdr>
                    </w:div>
                    <w:div w:id="1921793031">
                      <w:marLeft w:val="0"/>
                      <w:marRight w:val="0"/>
                      <w:marTop w:val="0"/>
                      <w:marBottom w:val="0"/>
                      <w:divBdr>
                        <w:top w:val="none" w:sz="0" w:space="0" w:color="auto"/>
                        <w:left w:val="none" w:sz="0" w:space="0" w:color="auto"/>
                        <w:bottom w:val="none" w:sz="0" w:space="0" w:color="auto"/>
                        <w:right w:val="none" w:sz="0" w:space="0" w:color="auto"/>
                      </w:divBdr>
                    </w:div>
                    <w:div w:id="1873030077">
                      <w:marLeft w:val="0"/>
                      <w:marRight w:val="0"/>
                      <w:marTop w:val="0"/>
                      <w:marBottom w:val="0"/>
                      <w:divBdr>
                        <w:top w:val="none" w:sz="0" w:space="0" w:color="auto"/>
                        <w:left w:val="none" w:sz="0" w:space="0" w:color="auto"/>
                        <w:bottom w:val="none" w:sz="0" w:space="0" w:color="auto"/>
                        <w:right w:val="none" w:sz="0" w:space="0" w:color="auto"/>
                      </w:divBdr>
                    </w:div>
                    <w:div w:id="165366287">
                      <w:marLeft w:val="0"/>
                      <w:marRight w:val="0"/>
                      <w:marTop w:val="0"/>
                      <w:marBottom w:val="0"/>
                      <w:divBdr>
                        <w:top w:val="none" w:sz="0" w:space="0" w:color="auto"/>
                        <w:left w:val="none" w:sz="0" w:space="0" w:color="auto"/>
                        <w:bottom w:val="none" w:sz="0" w:space="0" w:color="auto"/>
                        <w:right w:val="none" w:sz="0" w:space="0" w:color="auto"/>
                      </w:divBdr>
                    </w:div>
                    <w:div w:id="1153640688">
                      <w:marLeft w:val="0"/>
                      <w:marRight w:val="0"/>
                      <w:marTop w:val="0"/>
                      <w:marBottom w:val="0"/>
                      <w:divBdr>
                        <w:top w:val="none" w:sz="0" w:space="0" w:color="auto"/>
                        <w:left w:val="none" w:sz="0" w:space="0" w:color="auto"/>
                        <w:bottom w:val="none" w:sz="0" w:space="0" w:color="auto"/>
                        <w:right w:val="none" w:sz="0" w:space="0" w:color="auto"/>
                      </w:divBdr>
                    </w:div>
                  </w:divsChild>
                </w:div>
                <w:div w:id="1562011853">
                  <w:marLeft w:val="0"/>
                  <w:marRight w:val="0"/>
                  <w:marTop w:val="0"/>
                  <w:marBottom w:val="0"/>
                  <w:divBdr>
                    <w:top w:val="none" w:sz="0" w:space="0" w:color="auto"/>
                    <w:left w:val="none" w:sz="0" w:space="0" w:color="auto"/>
                    <w:bottom w:val="none" w:sz="0" w:space="0" w:color="auto"/>
                    <w:right w:val="none" w:sz="0" w:space="0" w:color="auto"/>
                  </w:divBdr>
                  <w:divsChild>
                    <w:div w:id="977608751">
                      <w:marLeft w:val="0"/>
                      <w:marRight w:val="0"/>
                      <w:marTop w:val="0"/>
                      <w:marBottom w:val="0"/>
                      <w:divBdr>
                        <w:top w:val="none" w:sz="0" w:space="0" w:color="auto"/>
                        <w:left w:val="none" w:sz="0" w:space="0" w:color="auto"/>
                        <w:bottom w:val="none" w:sz="0" w:space="0" w:color="auto"/>
                        <w:right w:val="none" w:sz="0" w:space="0" w:color="auto"/>
                      </w:divBdr>
                    </w:div>
                    <w:div w:id="778065572">
                      <w:marLeft w:val="0"/>
                      <w:marRight w:val="0"/>
                      <w:marTop w:val="0"/>
                      <w:marBottom w:val="0"/>
                      <w:divBdr>
                        <w:top w:val="none" w:sz="0" w:space="0" w:color="auto"/>
                        <w:left w:val="none" w:sz="0" w:space="0" w:color="auto"/>
                        <w:bottom w:val="none" w:sz="0" w:space="0" w:color="auto"/>
                        <w:right w:val="none" w:sz="0" w:space="0" w:color="auto"/>
                      </w:divBdr>
                    </w:div>
                    <w:div w:id="1968854068">
                      <w:marLeft w:val="0"/>
                      <w:marRight w:val="0"/>
                      <w:marTop w:val="0"/>
                      <w:marBottom w:val="0"/>
                      <w:divBdr>
                        <w:top w:val="none" w:sz="0" w:space="0" w:color="auto"/>
                        <w:left w:val="none" w:sz="0" w:space="0" w:color="auto"/>
                        <w:bottom w:val="none" w:sz="0" w:space="0" w:color="auto"/>
                        <w:right w:val="none" w:sz="0" w:space="0" w:color="auto"/>
                      </w:divBdr>
                    </w:div>
                  </w:divsChild>
                </w:div>
                <w:div w:id="2001538483">
                  <w:marLeft w:val="0"/>
                  <w:marRight w:val="0"/>
                  <w:marTop w:val="0"/>
                  <w:marBottom w:val="0"/>
                  <w:divBdr>
                    <w:top w:val="none" w:sz="0" w:space="0" w:color="auto"/>
                    <w:left w:val="none" w:sz="0" w:space="0" w:color="auto"/>
                    <w:bottom w:val="none" w:sz="0" w:space="0" w:color="auto"/>
                    <w:right w:val="none" w:sz="0" w:space="0" w:color="auto"/>
                  </w:divBdr>
                  <w:divsChild>
                    <w:div w:id="49461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3675711">
          <w:marLeft w:val="0"/>
          <w:marRight w:val="0"/>
          <w:marTop w:val="0"/>
          <w:marBottom w:val="0"/>
          <w:divBdr>
            <w:top w:val="none" w:sz="0" w:space="0" w:color="auto"/>
            <w:left w:val="none" w:sz="0" w:space="0" w:color="auto"/>
            <w:bottom w:val="none" w:sz="0" w:space="0" w:color="auto"/>
            <w:right w:val="none" w:sz="0" w:space="0" w:color="auto"/>
          </w:divBdr>
          <w:divsChild>
            <w:div w:id="1071657509">
              <w:marLeft w:val="0"/>
              <w:marRight w:val="0"/>
              <w:marTop w:val="0"/>
              <w:marBottom w:val="0"/>
              <w:divBdr>
                <w:top w:val="none" w:sz="0" w:space="0" w:color="auto"/>
                <w:left w:val="none" w:sz="0" w:space="0" w:color="auto"/>
                <w:bottom w:val="none" w:sz="0" w:space="0" w:color="auto"/>
                <w:right w:val="none" w:sz="0" w:space="0" w:color="auto"/>
              </w:divBdr>
              <w:divsChild>
                <w:div w:id="1860317267">
                  <w:marLeft w:val="0"/>
                  <w:marRight w:val="0"/>
                  <w:marTop w:val="0"/>
                  <w:marBottom w:val="0"/>
                  <w:divBdr>
                    <w:top w:val="none" w:sz="0" w:space="0" w:color="auto"/>
                    <w:left w:val="none" w:sz="0" w:space="0" w:color="auto"/>
                    <w:bottom w:val="none" w:sz="0" w:space="0" w:color="auto"/>
                    <w:right w:val="none" w:sz="0" w:space="0" w:color="auto"/>
                  </w:divBdr>
                </w:div>
                <w:div w:id="1957978050">
                  <w:marLeft w:val="0"/>
                  <w:marRight w:val="0"/>
                  <w:marTop w:val="0"/>
                  <w:marBottom w:val="0"/>
                  <w:divBdr>
                    <w:top w:val="none" w:sz="0" w:space="0" w:color="auto"/>
                    <w:left w:val="none" w:sz="0" w:space="0" w:color="auto"/>
                    <w:bottom w:val="none" w:sz="0" w:space="0" w:color="auto"/>
                    <w:right w:val="none" w:sz="0" w:space="0" w:color="auto"/>
                  </w:divBdr>
                </w:div>
              </w:divsChild>
            </w:div>
            <w:div w:id="949316293">
              <w:marLeft w:val="0"/>
              <w:marRight w:val="0"/>
              <w:marTop w:val="0"/>
              <w:marBottom w:val="0"/>
              <w:divBdr>
                <w:top w:val="none" w:sz="0" w:space="0" w:color="auto"/>
                <w:left w:val="none" w:sz="0" w:space="0" w:color="auto"/>
                <w:bottom w:val="none" w:sz="0" w:space="0" w:color="auto"/>
                <w:right w:val="none" w:sz="0" w:space="0" w:color="auto"/>
              </w:divBdr>
              <w:divsChild>
                <w:div w:id="1102802469">
                  <w:marLeft w:val="0"/>
                  <w:marRight w:val="0"/>
                  <w:marTop w:val="0"/>
                  <w:marBottom w:val="0"/>
                  <w:divBdr>
                    <w:top w:val="none" w:sz="0" w:space="0" w:color="auto"/>
                    <w:left w:val="none" w:sz="0" w:space="0" w:color="auto"/>
                    <w:bottom w:val="none" w:sz="0" w:space="0" w:color="auto"/>
                    <w:right w:val="none" w:sz="0" w:space="0" w:color="auto"/>
                  </w:divBdr>
                </w:div>
              </w:divsChild>
            </w:div>
            <w:div w:id="1973439691">
              <w:marLeft w:val="0"/>
              <w:marRight w:val="0"/>
              <w:marTop w:val="0"/>
              <w:marBottom w:val="0"/>
              <w:divBdr>
                <w:top w:val="none" w:sz="0" w:space="0" w:color="auto"/>
                <w:left w:val="none" w:sz="0" w:space="0" w:color="auto"/>
                <w:bottom w:val="none" w:sz="0" w:space="0" w:color="auto"/>
                <w:right w:val="none" w:sz="0" w:space="0" w:color="auto"/>
              </w:divBdr>
              <w:divsChild>
                <w:div w:id="503319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906349">
          <w:marLeft w:val="0"/>
          <w:marRight w:val="0"/>
          <w:marTop w:val="0"/>
          <w:marBottom w:val="0"/>
          <w:divBdr>
            <w:top w:val="none" w:sz="0" w:space="0" w:color="auto"/>
            <w:left w:val="none" w:sz="0" w:space="0" w:color="auto"/>
            <w:bottom w:val="none" w:sz="0" w:space="0" w:color="auto"/>
            <w:right w:val="none" w:sz="0" w:space="0" w:color="auto"/>
          </w:divBdr>
          <w:divsChild>
            <w:div w:id="1626548282">
              <w:marLeft w:val="0"/>
              <w:marRight w:val="0"/>
              <w:marTop w:val="0"/>
              <w:marBottom w:val="0"/>
              <w:divBdr>
                <w:top w:val="none" w:sz="0" w:space="0" w:color="auto"/>
                <w:left w:val="none" w:sz="0" w:space="0" w:color="auto"/>
                <w:bottom w:val="none" w:sz="0" w:space="0" w:color="auto"/>
                <w:right w:val="none" w:sz="0" w:space="0" w:color="auto"/>
              </w:divBdr>
              <w:divsChild>
                <w:div w:id="244190011">
                  <w:marLeft w:val="0"/>
                  <w:marRight w:val="0"/>
                  <w:marTop w:val="0"/>
                  <w:marBottom w:val="0"/>
                  <w:divBdr>
                    <w:top w:val="none" w:sz="0" w:space="0" w:color="auto"/>
                    <w:left w:val="none" w:sz="0" w:space="0" w:color="auto"/>
                    <w:bottom w:val="none" w:sz="0" w:space="0" w:color="auto"/>
                    <w:right w:val="none" w:sz="0" w:space="0" w:color="auto"/>
                  </w:divBdr>
                </w:div>
              </w:divsChild>
            </w:div>
            <w:div w:id="1790199316">
              <w:marLeft w:val="0"/>
              <w:marRight w:val="0"/>
              <w:marTop w:val="0"/>
              <w:marBottom w:val="0"/>
              <w:divBdr>
                <w:top w:val="none" w:sz="0" w:space="0" w:color="auto"/>
                <w:left w:val="none" w:sz="0" w:space="0" w:color="auto"/>
                <w:bottom w:val="none" w:sz="0" w:space="0" w:color="auto"/>
                <w:right w:val="none" w:sz="0" w:space="0" w:color="auto"/>
              </w:divBdr>
              <w:divsChild>
                <w:div w:id="1405642031">
                  <w:marLeft w:val="0"/>
                  <w:marRight w:val="0"/>
                  <w:marTop w:val="0"/>
                  <w:marBottom w:val="0"/>
                  <w:divBdr>
                    <w:top w:val="none" w:sz="0" w:space="0" w:color="auto"/>
                    <w:left w:val="none" w:sz="0" w:space="0" w:color="auto"/>
                    <w:bottom w:val="none" w:sz="0" w:space="0" w:color="auto"/>
                    <w:right w:val="none" w:sz="0" w:space="0" w:color="auto"/>
                  </w:divBdr>
                </w:div>
                <w:div w:id="1373768841">
                  <w:marLeft w:val="0"/>
                  <w:marRight w:val="0"/>
                  <w:marTop w:val="0"/>
                  <w:marBottom w:val="0"/>
                  <w:divBdr>
                    <w:top w:val="none" w:sz="0" w:space="0" w:color="auto"/>
                    <w:left w:val="none" w:sz="0" w:space="0" w:color="auto"/>
                    <w:bottom w:val="none" w:sz="0" w:space="0" w:color="auto"/>
                    <w:right w:val="none" w:sz="0" w:space="0" w:color="auto"/>
                  </w:divBdr>
                </w:div>
                <w:div w:id="2077241060">
                  <w:marLeft w:val="0"/>
                  <w:marRight w:val="0"/>
                  <w:marTop w:val="0"/>
                  <w:marBottom w:val="0"/>
                  <w:divBdr>
                    <w:top w:val="none" w:sz="0" w:space="0" w:color="auto"/>
                    <w:left w:val="none" w:sz="0" w:space="0" w:color="auto"/>
                    <w:bottom w:val="none" w:sz="0" w:space="0" w:color="auto"/>
                    <w:right w:val="none" w:sz="0" w:space="0" w:color="auto"/>
                  </w:divBdr>
                </w:div>
              </w:divsChild>
            </w:div>
            <w:div w:id="1753887557">
              <w:marLeft w:val="0"/>
              <w:marRight w:val="0"/>
              <w:marTop w:val="0"/>
              <w:marBottom w:val="0"/>
              <w:divBdr>
                <w:top w:val="none" w:sz="0" w:space="0" w:color="auto"/>
                <w:left w:val="none" w:sz="0" w:space="0" w:color="auto"/>
                <w:bottom w:val="none" w:sz="0" w:space="0" w:color="auto"/>
                <w:right w:val="none" w:sz="0" w:space="0" w:color="auto"/>
              </w:divBdr>
              <w:divsChild>
                <w:div w:id="1284843836">
                  <w:marLeft w:val="0"/>
                  <w:marRight w:val="0"/>
                  <w:marTop w:val="0"/>
                  <w:marBottom w:val="0"/>
                  <w:divBdr>
                    <w:top w:val="none" w:sz="0" w:space="0" w:color="auto"/>
                    <w:left w:val="none" w:sz="0" w:space="0" w:color="auto"/>
                    <w:bottom w:val="none" w:sz="0" w:space="0" w:color="auto"/>
                    <w:right w:val="none" w:sz="0" w:space="0" w:color="auto"/>
                  </w:divBdr>
                  <w:divsChild>
                    <w:div w:id="2075273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695416">
              <w:marLeft w:val="0"/>
              <w:marRight w:val="0"/>
              <w:marTop w:val="0"/>
              <w:marBottom w:val="0"/>
              <w:divBdr>
                <w:top w:val="none" w:sz="0" w:space="0" w:color="auto"/>
                <w:left w:val="none" w:sz="0" w:space="0" w:color="auto"/>
                <w:bottom w:val="none" w:sz="0" w:space="0" w:color="auto"/>
                <w:right w:val="none" w:sz="0" w:space="0" w:color="auto"/>
              </w:divBdr>
              <w:divsChild>
                <w:div w:id="1796288471">
                  <w:marLeft w:val="0"/>
                  <w:marRight w:val="0"/>
                  <w:marTop w:val="0"/>
                  <w:marBottom w:val="0"/>
                  <w:divBdr>
                    <w:top w:val="none" w:sz="0" w:space="0" w:color="auto"/>
                    <w:left w:val="none" w:sz="0" w:space="0" w:color="auto"/>
                    <w:bottom w:val="none" w:sz="0" w:space="0" w:color="auto"/>
                    <w:right w:val="none" w:sz="0" w:space="0" w:color="auto"/>
                  </w:divBdr>
                </w:div>
              </w:divsChild>
            </w:div>
            <w:div w:id="1454859882">
              <w:marLeft w:val="0"/>
              <w:marRight w:val="0"/>
              <w:marTop w:val="0"/>
              <w:marBottom w:val="0"/>
              <w:divBdr>
                <w:top w:val="none" w:sz="0" w:space="0" w:color="auto"/>
                <w:left w:val="none" w:sz="0" w:space="0" w:color="auto"/>
                <w:bottom w:val="none" w:sz="0" w:space="0" w:color="auto"/>
                <w:right w:val="none" w:sz="0" w:space="0" w:color="auto"/>
              </w:divBdr>
              <w:divsChild>
                <w:div w:id="1953977229">
                  <w:marLeft w:val="0"/>
                  <w:marRight w:val="0"/>
                  <w:marTop w:val="0"/>
                  <w:marBottom w:val="0"/>
                  <w:divBdr>
                    <w:top w:val="none" w:sz="0" w:space="0" w:color="auto"/>
                    <w:left w:val="none" w:sz="0" w:space="0" w:color="auto"/>
                    <w:bottom w:val="none" w:sz="0" w:space="0" w:color="auto"/>
                    <w:right w:val="none" w:sz="0" w:space="0" w:color="auto"/>
                  </w:divBdr>
                </w:div>
              </w:divsChild>
            </w:div>
            <w:div w:id="479272572">
              <w:marLeft w:val="0"/>
              <w:marRight w:val="0"/>
              <w:marTop w:val="0"/>
              <w:marBottom w:val="0"/>
              <w:divBdr>
                <w:top w:val="none" w:sz="0" w:space="0" w:color="auto"/>
                <w:left w:val="none" w:sz="0" w:space="0" w:color="auto"/>
                <w:bottom w:val="none" w:sz="0" w:space="0" w:color="auto"/>
                <w:right w:val="none" w:sz="0" w:space="0" w:color="auto"/>
              </w:divBdr>
              <w:divsChild>
                <w:div w:id="649753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7011136">
      <w:bodyDiv w:val="1"/>
      <w:marLeft w:val="0"/>
      <w:marRight w:val="0"/>
      <w:marTop w:val="0"/>
      <w:marBottom w:val="0"/>
      <w:divBdr>
        <w:top w:val="none" w:sz="0" w:space="0" w:color="auto"/>
        <w:left w:val="none" w:sz="0" w:space="0" w:color="auto"/>
        <w:bottom w:val="none" w:sz="0" w:space="0" w:color="auto"/>
        <w:right w:val="none" w:sz="0" w:space="0" w:color="auto"/>
      </w:divBdr>
      <w:divsChild>
        <w:div w:id="121077687">
          <w:marLeft w:val="0"/>
          <w:marRight w:val="108"/>
          <w:marTop w:val="108"/>
          <w:marBottom w:val="108"/>
          <w:divBdr>
            <w:top w:val="none" w:sz="0" w:space="0" w:color="auto"/>
            <w:left w:val="none" w:sz="0" w:space="0" w:color="auto"/>
            <w:bottom w:val="none" w:sz="0" w:space="0" w:color="auto"/>
            <w:right w:val="none" w:sz="0" w:space="0" w:color="auto"/>
          </w:divBdr>
          <w:divsChild>
            <w:div w:id="1534461492">
              <w:marLeft w:val="0"/>
              <w:marRight w:val="0"/>
              <w:marTop w:val="0"/>
              <w:marBottom w:val="0"/>
              <w:divBdr>
                <w:top w:val="none" w:sz="0" w:space="0" w:color="auto"/>
                <w:left w:val="none" w:sz="0" w:space="0" w:color="auto"/>
                <w:bottom w:val="none" w:sz="0" w:space="0" w:color="auto"/>
                <w:right w:val="none" w:sz="0" w:space="0" w:color="auto"/>
              </w:divBdr>
              <w:divsChild>
                <w:div w:id="97086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9744883">
      <w:bodyDiv w:val="1"/>
      <w:marLeft w:val="0"/>
      <w:marRight w:val="0"/>
      <w:marTop w:val="0"/>
      <w:marBottom w:val="0"/>
      <w:divBdr>
        <w:top w:val="none" w:sz="0" w:space="0" w:color="auto"/>
        <w:left w:val="none" w:sz="0" w:space="0" w:color="auto"/>
        <w:bottom w:val="none" w:sz="0" w:space="0" w:color="auto"/>
        <w:right w:val="none" w:sz="0" w:space="0" w:color="auto"/>
      </w:divBdr>
      <w:divsChild>
        <w:div w:id="10106611">
          <w:marLeft w:val="547"/>
          <w:marRight w:val="0"/>
          <w:marTop w:val="0"/>
          <w:marBottom w:val="0"/>
          <w:divBdr>
            <w:top w:val="none" w:sz="0" w:space="0" w:color="auto"/>
            <w:left w:val="none" w:sz="0" w:space="0" w:color="auto"/>
            <w:bottom w:val="none" w:sz="0" w:space="0" w:color="auto"/>
            <w:right w:val="none" w:sz="0" w:space="0" w:color="auto"/>
          </w:divBdr>
        </w:div>
        <w:div w:id="168066754">
          <w:marLeft w:val="1166"/>
          <w:marRight w:val="0"/>
          <w:marTop w:val="0"/>
          <w:marBottom w:val="0"/>
          <w:divBdr>
            <w:top w:val="none" w:sz="0" w:space="0" w:color="auto"/>
            <w:left w:val="none" w:sz="0" w:space="0" w:color="auto"/>
            <w:bottom w:val="none" w:sz="0" w:space="0" w:color="auto"/>
            <w:right w:val="none" w:sz="0" w:space="0" w:color="auto"/>
          </w:divBdr>
        </w:div>
        <w:div w:id="207448967">
          <w:marLeft w:val="1166"/>
          <w:marRight w:val="0"/>
          <w:marTop w:val="0"/>
          <w:marBottom w:val="0"/>
          <w:divBdr>
            <w:top w:val="none" w:sz="0" w:space="0" w:color="auto"/>
            <w:left w:val="none" w:sz="0" w:space="0" w:color="auto"/>
            <w:bottom w:val="none" w:sz="0" w:space="0" w:color="auto"/>
            <w:right w:val="none" w:sz="0" w:space="0" w:color="auto"/>
          </w:divBdr>
        </w:div>
        <w:div w:id="222259116">
          <w:marLeft w:val="1166"/>
          <w:marRight w:val="0"/>
          <w:marTop w:val="0"/>
          <w:marBottom w:val="0"/>
          <w:divBdr>
            <w:top w:val="none" w:sz="0" w:space="0" w:color="auto"/>
            <w:left w:val="none" w:sz="0" w:space="0" w:color="auto"/>
            <w:bottom w:val="none" w:sz="0" w:space="0" w:color="auto"/>
            <w:right w:val="none" w:sz="0" w:space="0" w:color="auto"/>
          </w:divBdr>
        </w:div>
        <w:div w:id="496926661">
          <w:marLeft w:val="547"/>
          <w:marRight w:val="0"/>
          <w:marTop w:val="0"/>
          <w:marBottom w:val="0"/>
          <w:divBdr>
            <w:top w:val="none" w:sz="0" w:space="0" w:color="auto"/>
            <w:left w:val="none" w:sz="0" w:space="0" w:color="auto"/>
            <w:bottom w:val="none" w:sz="0" w:space="0" w:color="auto"/>
            <w:right w:val="none" w:sz="0" w:space="0" w:color="auto"/>
          </w:divBdr>
        </w:div>
        <w:div w:id="594560187">
          <w:marLeft w:val="547"/>
          <w:marRight w:val="0"/>
          <w:marTop w:val="0"/>
          <w:marBottom w:val="0"/>
          <w:divBdr>
            <w:top w:val="none" w:sz="0" w:space="0" w:color="auto"/>
            <w:left w:val="none" w:sz="0" w:space="0" w:color="auto"/>
            <w:bottom w:val="none" w:sz="0" w:space="0" w:color="auto"/>
            <w:right w:val="none" w:sz="0" w:space="0" w:color="auto"/>
          </w:divBdr>
        </w:div>
        <w:div w:id="671763173">
          <w:marLeft w:val="547"/>
          <w:marRight w:val="0"/>
          <w:marTop w:val="0"/>
          <w:marBottom w:val="0"/>
          <w:divBdr>
            <w:top w:val="none" w:sz="0" w:space="0" w:color="auto"/>
            <w:left w:val="none" w:sz="0" w:space="0" w:color="auto"/>
            <w:bottom w:val="none" w:sz="0" w:space="0" w:color="auto"/>
            <w:right w:val="none" w:sz="0" w:space="0" w:color="auto"/>
          </w:divBdr>
        </w:div>
        <w:div w:id="673455698">
          <w:marLeft w:val="1166"/>
          <w:marRight w:val="0"/>
          <w:marTop w:val="0"/>
          <w:marBottom w:val="0"/>
          <w:divBdr>
            <w:top w:val="none" w:sz="0" w:space="0" w:color="auto"/>
            <w:left w:val="none" w:sz="0" w:space="0" w:color="auto"/>
            <w:bottom w:val="none" w:sz="0" w:space="0" w:color="auto"/>
            <w:right w:val="none" w:sz="0" w:space="0" w:color="auto"/>
          </w:divBdr>
        </w:div>
        <w:div w:id="814564474">
          <w:marLeft w:val="1166"/>
          <w:marRight w:val="0"/>
          <w:marTop w:val="0"/>
          <w:marBottom w:val="0"/>
          <w:divBdr>
            <w:top w:val="none" w:sz="0" w:space="0" w:color="auto"/>
            <w:left w:val="none" w:sz="0" w:space="0" w:color="auto"/>
            <w:bottom w:val="none" w:sz="0" w:space="0" w:color="auto"/>
            <w:right w:val="none" w:sz="0" w:space="0" w:color="auto"/>
          </w:divBdr>
        </w:div>
        <w:div w:id="887107550">
          <w:marLeft w:val="1166"/>
          <w:marRight w:val="0"/>
          <w:marTop w:val="0"/>
          <w:marBottom w:val="0"/>
          <w:divBdr>
            <w:top w:val="none" w:sz="0" w:space="0" w:color="auto"/>
            <w:left w:val="none" w:sz="0" w:space="0" w:color="auto"/>
            <w:bottom w:val="none" w:sz="0" w:space="0" w:color="auto"/>
            <w:right w:val="none" w:sz="0" w:space="0" w:color="auto"/>
          </w:divBdr>
        </w:div>
        <w:div w:id="1157917407">
          <w:marLeft w:val="1166"/>
          <w:marRight w:val="0"/>
          <w:marTop w:val="0"/>
          <w:marBottom w:val="0"/>
          <w:divBdr>
            <w:top w:val="none" w:sz="0" w:space="0" w:color="auto"/>
            <w:left w:val="none" w:sz="0" w:space="0" w:color="auto"/>
            <w:bottom w:val="none" w:sz="0" w:space="0" w:color="auto"/>
            <w:right w:val="none" w:sz="0" w:space="0" w:color="auto"/>
          </w:divBdr>
        </w:div>
        <w:div w:id="1204171426">
          <w:marLeft w:val="1166"/>
          <w:marRight w:val="0"/>
          <w:marTop w:val="0"/>
          <w:marBottom w:val="0"/>
          <w:divBdr>
            <w:top w:val="none" w:sz="0" w:space="0" w:color="auto"/>
            <w:left w:val="none" w:sz="0" w:space="0" w:color="auto"/>
            <w:bottom w:val="none" w:sz="0" w:space="0" w:color="auto"/>
            <w:right w:val="none" w:sz="0" w:space="0" w:color="auto"/>
          </w:divBdr>
        </w:div>
        <w:div w:id="1227451577">
          <w:marLeft w:val="1166"/>
          <w:marRight w:val="0"/>
          <w:marTop w:val="0"/>
          <w:marBottom w:val="0"/>
          <w:divBdr>
            <w:top w:val="none" w:sz="0" w:space="0" w:color="auto"/>
            <w:left w:val="none" w:sz="0" w:space="0" w:color="auto"/>
            <w:bottom w:val="none" w:sz="0" w:space="0" w:color="auto"/>
            <w:right w:val="none" w:sz="0" w:space="0" w:color="auto"/>
          </w:divBdr>
        </w:div>
        <w:div w:id="1291669896">
          <w:marLeft w:val="1166"/>
          <w:marRight w:val="0"/>
          <w:marTop w:val="0"/>
          <w:marBottom w:val="0"/>
          <w:divBdr>
            <w:top w:val="none" w:sz="0" w:space="0" w:color="auto"/>
            <w:left w:val="none" w:sz="0" w:space="0" w:color="auto"/>
            <w:bottom w:val="none" w:sz="0" w:space="0" w:color="auto"/>
            <w:right w:val="none" w:sz="0" w:space="0" w:color="auto"/>
          </w:divBdr>
        </w:div>
        <w:div w:id="1455754306">
          <w:marLeft w:val="1166"/>
          <w:marRight w:val="0"/>
          <w:marTop w:val="0"/>
          <w:marBottom w:val="0"/>
          <w:divBdr>
            <w:top w:val="none" w:sz="0" w:space="0" w:color="auto"/>
            <w:left w:val="none" w:sz="0" w:space="0" w:color="auto"/>
            <w:bottom w:val="none" w:sz="0" w:space="0" w:color="auto"/>
            <w:right w:val="none" w:sz="0" w:space="0" w:color="auto"/>
          </w:divBdr>
        </w:div>
        <w:div w:id="1666978344">
          <w:marLeft w:val="547"/>
          <w:marRight w:val="0"/>
          <w:marTop w:val="0"/>
          <w:marBottom w:val="0"/>
          <w:divBdr>
            <w:top w:val="none" w:sz="0" w:space="0" w:color="auto"/>
            <w:left w:val="none" w:sz="0" w:space="0" w:color="auto"/>
            <w:bottom w:val="none" w:sz="0" w:space="0" w:color="auto"/>
            <w:right w:val="none" w:sz="0" w:space="0" w:color="auto"/>
          </w:divBdr>
        </w:div>
        <w:div w:id="1745561901">
          <w:marLeft w:val="1166"/>
          <w:marRight w:val="0"/>
          <w:marTop w:val="0"/>
          <w:marBottom w:val="0"/>
          <w:divBdr>
            <w:top w:val="none" w:sz="0" w:space="0" w:color="auto"/>
            <w:left w:val="none" w:sz="0" w:space="0" w:color="auto"/>
            <w:bottom w:val="none" w:sz="0" w:space="0" w:color="auto"/>
            <w:right w:val="none" w:sz="0" w:space="0" w:color="auto"/>
          </w:divBdr>
        </w:div>
        <w:div w:id="1802186219">
          <w:marLeft w:val="1166"/>
          <w:marRight w:val="0"/>
          <w:marTop w:val="0"/>
          <w:marBottom w:val="0"/>
          <w:divBdr>
            <w:top w:val="none" w:sz="0" w:space="0" w:color="auto"/>
            <w:left w:val="none" w:sz="0" w:space="0" w:color="auto"/>
            <w:bottom w:val="none" w:sz="0" w:space="0" w:color="auto"/>
            <w:right w:val="none" w:sz="0" w:space="0" w:color="auto"/>
          </w:divBdr>
        </w:div>
        <w:div w:id="1837576367">
          <w:marLeft w:val="1166"/>
          <w:marRight w:val="0"/>
          <w:marTop w:val="0"/>
          <w:marBottom w:val="0"/>
          <w:divBdr>
            <w:top w:val="none" w:sz="0" w:space="0" w:color="auto"/>
            <w:left w:val="none" w:sz="0" w:space="0" w:color="auto"/>
            <w:bottom w:val="none" w:sz="0" w:space="0" w:color="auto"/>
            <w:right w:val="none" w:sz="0" w:space="0" w:color="auto"/>
          </w:divBdr>
        </w:div>
        <w:div w:id="1893957485">
          <w:marLeft w:val="1166"/>
          <w:marRight w:val="0"/>
          <w:marTop w:val="0"/>
          <w:marBottom w:val="0"/>
          <w:divBdr>
            <w:top w:val="none" w:sz="0" w:space="0" w:color="auto"/>
            <w:left w:val="none" w:sz="0" w:space="0" w:color="auto"/>
            <w:bottom w:val="none" w:sz="0" w:space="0" w:color="auto"/>
            <w:right w:val="none" w:sz="0" w:space="0" w:color="auto"/>
          </w:divBdr>
        </w:div>
        <w:div w:id="1906605571">
          <w:marLeft w:val="1166"/>
          <w:marRight w:val="0"/>
          <w:marTop w:val="0"/>
          <w:marBottom w:val="0"/>
          <w:divBdr>
            <w:top w:val="none" w:sz="0" w:space="0" w:color="auto"/>
            <w:left w:val="none" w:sz="0" w:space="0" w:color="auto"/>
            <w:bottom w:val="none" w:sz="0" w:space="0" w:color="auto"/>
            <w:right w:val="none" w:sz="0" w:space="0" w:color="auto"/>
          </w:divBdr>
        </w:div>
        <w:div w:id="2002343343">
          <w:marLeft w:val="1166"/>
          <w:marRight w:val="0"/>
          <w:marTop w:val="0"/>
          <w:marBottom w:val="0"/>
          <w:divBdr>
            <w:top w:val="none" w:sz="0" w:space="0" w:color="auto"/>
            <w:left w:val="none" w:sz="0" w:space="0" w:color="auto"/>
            <w:bottom w:val="none" w:sz="0" w:space="0" w:color="auto"/>
            <w:right w:val="none" w:sz="0" w:space="0" w:color="auto"/>
          </w:divBdr>
        </w:div>
        <w:div w:id="2018651235">
          <w:marLeft w:val="1166"/>
          <w:marRight w:val="0"/>
          <w:marTop w:val="0"/>
          <w:marBottom w:val="0"/>
          <w:divBdr>
            <w:top w:val="none" w:sz="0" w:space="0" w:color="auto"/>
            <w:left w:val="none" w:sz="0" w:space="0" w:color="auto"/>
            <w:bottom w:val="none" w:sz="0" w:space="0" w:color="auto"/>
            <w:right w:val="none" w:sz="0" w:space="0" w:color="auto"/>
          </w:divBdr>
        </w:div>
      </w:divsChild>
    </w:div>
    <w:div w:id="1269389959">
      <w:bodyDiv w:val="1"/>
      <w:marLeft w:val="0"/>
      <w:marRight w:val="0"/>
      <w:marTop w:val="0"/>
      <w:marBottom w:val="0"/>
      <w:divBdr>
        <w:top w:val="none" w:sz="0" w:space="0" w:color="auto"/>
        <w:left w:val="none" w:sz="0" w:space="0" w:color="auto"/>
        <w:bottom w:val="none" w:sz="0" w:space="0" w:color="auto"/>
        <w:right w:val="none" w:sz="0" w:space="0" w:color="auto"/>
      </w:divBdr>
      <w:divsChild>
        <w:div w:id="6757126">
          <w:marLeft w:val="0"/>
          <w:marRight w:val="0"/>
          <w:marTop w:val="0"/>
          <w:marBottom w:val="0"/>
          <w:divBdr>
            <w:top w:val="none" w:sz="0" w:space="0" w:color="auto"/>
            <w:left w:val="none" w:sz="0" w:space="0" w:color="auto"/>
            <w:bottom w:val="none" w:sz="0" w:space="0" w:color="auto"/>
            <w:right w:val="none" w:sz="0" w:space="0" w:color="auto"/>
          </w:divBdr>
          <w:divsChild>
            <w:div w:id="2010252465">
              <w:marLeft w:val="0"/>
              <w:marRight w:val="0"/>
              <w:marTop w:val="0"/>
              <w:marBottom w:val="0"/>
              <w:divBdr>
                <w:top w:val="none" w:sz="0" w:space="0" w:color="auto"/>
                <w:left w:val="none" w:sz="0" w:space="0" w:color="auto"/>
                <w:bottom w:val="none" w:sz="0" w:space="0" w:color="auto"/>
                <w:right w:val="none" w:sz="0" w:space="0" w:color="auto"/>
              </w:divBdr>
              <w:divsChild>
                <w:div w:id="100149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1033887">
      <w:bodyDiv w:val="1"/>
      <w:marLeft w:val="0"/>
      <w:marRight w:val="0"/>
      <w:marTop w:val="0"/>
      <w:marBottom w:val="0"/>
      <w:divBdr>
        <w:top w:val="none" w:sz="0" w:space="0" w:color="auto"/>
        <w:left w:val="none" w:sz="0" w:space="0" w:color="auto"/>
        <w:bottom w:val="none" w:sz="0" w:space="0" w:color="auto"/>
        <w:right w:val="none" w:sz="0" w:space="0" w:color="auto"/>
      </w:divBdr>
      <w:divsChild>
        <w:div w:id="1730103910">
          <w:marLeft w:val="126"/>
          <w:marRight w:val="126"/>
          <w:marTop w:val="0"/>
          <w:marBottom w:val="126"/>
          <w:divBdr>
            <w:top w:val="none" w:sz="0" w:space="0" w:color="auto"/>
            <w:left w:val="none" w:sz="0" w:space="0" w:color="auto"/>
            <w:bottom w:val="none" w:sz="0" w:space="0" w:color="auto"/>
            <w:right w:val="none" w:sz="0" w:space="0" w:color="auto"/>
          </w:divBdr>
          <w:divsChild>
            <w:div w:id="1281302112">
              <w:marLeft w:val="0"/>
              <w:marRight w:val="0"/>
              <w:marTop w:val="0"/>
              <w:marBottom w:val="0"/>
              <w:divBdr>
                <w:top w:val="none" w:sz="0" w:space="0" w:color="auto"/>
                <w:left w:val="none" w:sz="0" w:space="0" w:color="auto"/>
                <w:bottom w:val="none" w:sz="0" w:space="0" w:color="auto"/>
                <w:right w:val="none" w:sz="0" w:space="0" w:color="auto"/>
              </w:divBdr>
              <w:divsChild>
                <w:div w:id="1027870371">
                  <w:marLeft w:val="0"/>
                  <w:marRight w:val="108"/>
                  <w:marTop w:val="18"/>
                  <w:marBottom w:val="108"/>
                  <w:divBdr>
                    <w:top w:val="none" w:sz="0" w:space="0" w:color="auto"/>
                    <w:left w:val="none" w:sz="0" w:space="0" w:color="auto"/>
                    <w:bottom w:val="none" w:sz="0" w:space="0" w:color="auto"/>
                    <w:right w:val="none" w:sz="0" w:space="0" w:color="auto"/>
                  </w:divBdr>
                  <w:divsChild>
                    <w:div w:id="482937334">
                      <w:marLeft w:val="0"/>
                      <w:marRight w:val="0"/>
                      <w:marTop w:val="0"/>
                      <w:marBottom w:val="0"/>
                      <w:divBdr>
                        <w:top w:val="none" w:sz="0" w:space="0" w:color="auto"/>
                        <w:left w:val="none" w:sz="0" w:space="0" w:color="auto"/>
                        <w:bottom w:val="none" w:sz="0" w:space="0" w:color="auto"/>
                        <w:right w:val="none" w:sz="0" w:space="0" w:color="auto"/>
                      </w:divBdr>
                      <w:divsChild>
                        <w:div w:id="1411192074">
                          <w:marLeft w:val="0"/>
                          <w:marRight w:val="0"/>
                          <w:marTop w:val="0"/>
                          <w:marBottom w:val="0"/>
                          <w:divBdr>
                            <w:top w:val="none" w:sz="0" w:space="0" w:color="auto"/>
                            <w:left w:val="none" w:sz="0" w:space="0" w:color="auto"/>
                            <w:bottom w:val="none" w:sz="0" w:space="0" w:color="auto"/>
                            <w:right w:val="none" w:sz="0" w:space="0" w:color="auto"/>
                          </w:divBdr>
                          <w:divsChild>
                            <w:div w:id="205609617">
                              <w:marLeft w:val="0"/>
                              <w:marRight w:val="0"/>
                              <w:marTop w:val="0"/>
                              <w:marBottom w:val="0"/>
                              <w:divBdr>
                                <w:top w:val="none" w:sz="0" w:space="0" w:color="auto"/>
                                <w:left w:val="none" w:sz="0" w:space="0" w:color="auto"/>
                                <w:bottom w:val="none" w:sz="0" w:space="0" w:color="auto"/>
                                <w:right w:val="none" w:sz="0" w:space="0" w:color="auto"/>
                              </w:divBdr>
                              <w:divsChild>
                                <w:div w:id="1547832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6460770">
                  <w:marLeft w:val="0"/>
                  <w:marRight w:val="108"/>
                  <w:marTop w:val="108"/>
                  <w:marBottom w:val="108"/>
                  <w:divBdr>
                    <w:top w:val="none" w:sz="0" w:space="0" w:color="auto"/>
                    <w:left w:val="none" w:sz="0" w:space="0" w:color="auto"/>
                    <w:bottom w:val="none" w:sz="0" w:space="0" w:color="auto"/>
                    <w:right w:val="none" w:sz="0" w:space="0" w:color="auto"/>
                  </w:divBdr>
                  <w:divsChild>
                    <w:div w:id="247692639">
                      <w:marLeft w:val="0"/>
                      <w:marRight w:val="0"/>
                      <w:marTop w:val="0"/>
                      <w:marBottom w:val="0"/>
                      <w:divBdr>
                        <w:top w:val="none" w:sz="0" w:space="0" w:color="auto"/>
                        <w:left w:val="none" w:sz="0" w:space="0" w:color="auto"/>
                        <w:bottom w:val="none" w:sz="0" w:space="0" w:color="auto"/>
                        <w:right w:val="none" w:sz="0" w:space="0" w:color="auto"/>
                      </w:divBdr>
                      <w:divsChild>
                        <w:div w:id="1556159707">
                          <w:marLeft w:val="0"/>
                          <w:marRight w:val="0"/>
                          <w:marTop w:val="0"/>
                          <w:marBottom w:val="0"/>
                          <w:divBdr>
                            <w:top w:val="none" w:sz="0" w:space="0" w:color="auto"/>
                            <w:left w:val="none" w:sz="0" w:space="0" w:color="auto"/>
                            <w:bottom w:val="none" w:sz="0" w:space="0" w:color="auto"/>
                            <w:right w:val="none" w:sz="0" w:space="0" w:color="auto"/>
                          </w:divBdr>
                          <w:divsChild>
                            <w:div w:id="1495532996">
                              <w:marLeft w:val="0"/>
                              <w:marRight w:val="0"/>
                              <w:marTop w:val="0"/>
                              <w:marBottom w:val="0"/>
                              <w:divBdr>
                                <w:top w:val="none" w:sz="0" w:space="0" w:color="auto"/>
                                <w:left w:val="none" w:sz="0" w:space="0" w:color="auto"/>
                                <w:bottom w:val="none" w:sz="0" w:space="0" w:color="auto"/>
                                <w:right w:val="none" w:sz="0" w:space="0" w:color="auto"/>
                              </w:divBdr>
                              <w:divsChild>
                                <w:div w:id="1997415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6458616">
                  <w:marLeft w:val="0"/>
                  <w:marRight w:val="0"/>
                  <w:marTop w:val="0"/>
                  <w:marBottom w:val="0"/>
                  <w:divBdr>
                    <w:top w:val="none" w:sz="0" w:space="0" w:color="auto"/>
                    <w:left w:val="none" w:sz="0" w:space="0" w:color="auto"/>
                    <w:bottom w:val="none" w:sz="0" w:space="0" w:color="auto"/>
                    <w:right w:val="none" w:sz="0" w:space="0" w:color="auto"/>
                  </w:divBdr>
                </w:div>
                <w:div w:id="1834027477">
                  <w:marLeft w:val="0"/>
                  <w:marRight w:val="0"/>
                  <w:marTop w:val="0"/>
                  <w:marBottom w:val="0"/>
                  <w:divBdr>
                    <w:top w:val="none" w:sz="0" w:space="0" w:color="auto"/>
                    <w:left w:val="none" w:sz="0" w:space="0" w:color="auto"/>
                    <w:bottom w:val="none" w:sz="0" w:space="0" w:color="auto"/>
                    <w:right w:val="none" w:sz="0" w:space="0" w:color="auto"/>
                  </w:divBdr>
                  <w:divsChild>
                    <w:div w:id="43517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2786212">
      <w:bodyDiv w:val="1"/>
      <w:marLeft w:val="0"/>
      <w:marRight w:val="0"/>
      <w:marTop w:val="0"/>
      <w:marBottom w:val="0"/>
      <w:divBdr>
        <w:top w:val="none" w:sz="0" w:space="0" w:color="auto"/>
        <w:left w:val="none" w:sz="0" w:space="0" w:color="auto"/>
        <w:bottom w:val="none" w:sz="0" w:space="0" w:color="auto"/>
        <w:right w:val="none" w:sz="0" w:space="0" w:color="auto"/>
      </w:divBdr>
      <w:divsChild>
        <w:div w:id="159009926">
          <w:marLeft w:val="547"/>
          <w:marRight w:val="0"/>
          <w:marTop w:val="0"/>
          <w:marBottom w:val="0"/>
          <w:divBdr>
            <w:top w:val="none" w:sz="0" w:space="0" w:color="auto"/>
            <w:left w:val="none" w:sz="0" w:space="0" w:color="auto"/>
            <w:bottom w:val="none" w:sz="0" w:space="0" w:color="auto"/>
            <w:right w:val="none" w:sz="0" w:space="0" w:color="auto"/>
          </w:divBdr>
        </w:div>
        <w:div w:id="313340680">
          <w:marLeft w:val="547"/>
          <w:marRight w:val="0"/>
          <w:marTop w:val="0"/>
          <w:marBottom w:val="0"/>
          <w:divBdr>
            <w:top w:val="none" w:sz="0" w:space="0" w:color="auto"/>
            <w:left w:val="none" w:sz="0" w:space="0" w:color="auto"/>
            <w:bottom w:val="none" w:sz="0" w:space="0" w:color="auto"/>
            <w:right w:val="none" w:sz="0" w:space="0" w:color="auto"/>
          </w:divBdr>
        </w:div>
      </w:divsChild>
    </w:div>
    <w:div w:id="1617560057">
      <w:bodyDiv w:val="1"/>
      <w:marLeft w:val="0"/>
      <w:marRight w:val="0"/>
      <w:marTop w:val="0"/>
      <w:marBottom w:val="0"/>
      <w:divBdr>
        <w:top w:val="none" w:sz="0" w:space="0" w:color="auto"/>
        <w:left w:val="none" w:sz="0" w:space="0" w:color="auto"/>
        <w:bottom w:val="none" w:sz="0" w:space="0" w:color="auto"/>
        <w:right w:val="none" w:sz="0" w:space="0" w:color="auto"/>
      </w:divBdr>
      <w:divsChild>
        <w:div w:id="319191808">
          <w:marLeft w:val="0"/>
          <w:marRight w:val="108"/>
          <w:marTop w:val="108"/>
          <w:marBottom w:val="108"/>
          <w:divBdr>
            <w:top w:val="none" w:sz="0" w:space="0" w:color="auto"/>
            <w:left w:val="none" w:sz="0" w:space="0" w:color="auto"/>
            <w:bottom w:val="none" w:sz="0" w:space="0" w:color="auto"/>
            <w:right w:val="none" w:sz="0" w:space="0" w:color="auto"/>
          </w:divBdr>
          <w:divsChild>
            <w:div w:id="1067652705">
              <w:marLeft w:val="0"/>
              <w:marRight w:val="0"/>
              <w:marTop w:val="0"/>
              <w:marBottom w:val="0"/>
              <w:divBdr>
                <w:top w:val="none" w:sz="0" w:space="0" w:color="auto"/>
                <w:left w:val="none" w:sz="0" w:space="0" w:color="auto"/>
                <w:bottom w:val="none" w:sz="0" w:space="0" w:color="auto"/>
                <w:right w:val="none" w:sz="0" w:space="0" w:color="auto"/>
              </w:divBdr>
              <w:divsChild>
                <w:div w:id="340470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9016654">
      <w:bodyDiv w:val="1"/>
      <w:marLeft w:val="0"/>
      <w:marRight w:val="0"/>
      <w:marTop w:val="0"/>
      <w:marBottom w:val="0"/>
      <w:divBdr>
        <w:top w:val="none" w:sz="0" w:space="0" w:color="auto"/>
        <w:left w:val="none" w:sz="0" w:space="0" w:color="auto"/>
        <w:bottom w:val="none" w:sz="0" w:space="0" w:color="auto"/>
        <w:right w:val="none" w:sz="0" w:space="0" w:color="auto"/>
      </w:divBdr>
      <w:divsChild>
        <w:div w:id="320696023">
          <w:marLeft w:val="547"/>
          <w:marRight w:val="0"/>
          <w:marTop w:val="0"/>
          <w:marBottom w:val="0"/>
          <w:divBdr>
            <w:top w:val="none" w:sz="0" w:space="0" w:color="auto"/>
            <w:left w:val="none" w:sz="0" w:space="0" w:color="auto"/>
            <w:bottom w:val="none" w:sz="0" w:space="0" w:color="auto"/>
            <w:right w:val="none" w:sz="0" w:space="0" w:color="auto"/>
          </w:divBdr>
        </w:div>
        <w:div w:id="189300006">
          <w:marLeft w:val="1166"/>
          <w:marRight w:val="0"/>
          <w:marTop w:val="0"/>
          <w:marBottom w:val="0"/>
          <w:divBdr>
            <w:top w:val="none" w:sz="0" w:space="0" w:color="auto"/>
            <w:left w:val="none" w:sz="0" w:space="0" w:color="auto"/>
            <w:bottom w:val="none" w:sz="0" w:space="0" w:color="auto"/>
            <w:right w:val="none" w:sz="0" w:space="0" w:color="auto"/>
          </w:divBdr>
        </w:div>
        <w:div w:id="792789400">
          <w:marLeft w:val="1166"/>
          <w:marRight w:val="0"/>
          <w:marTop w:val="0"/>
          <w:marBottom w:val="0"/>
          <w:divBdr>
            <w:top w:val="none" w:sz="0" w:space="0" w:color="auto"/>
            <w:left w:val="none" w:sz="0" w:space="0" w:color="auto"/>
            <w:bottom w:val="none" w:sz="0" w:space="0" w:color="auto"/>
            <w:right w:val="none" w:sz="0" w:space="0" w:color="auto"/>
          </w:divBdr>
        </w:div>
        <w:div w:id="408162695">
          <w:marLeft w:val="1166"/>
          <w:marRight w:val="0"/>
          <w:marTop w:val="0"/>
          <w:marBottom w:val="0"/>
          <w:divBdr>
            <w:top w:val="none" w:sz="0" w:space="0" w:color="auto"/>
            <w:left w:val="none" w:sz="0" w:space="0" w:color="auto"/>
            <w:bottom w:val="none" w:sz="0" w:space="0" w:color="auto"/>
            <w:right w:val="none" w:sz="0" w:space="0" w:color="auto"/>
          </w:divBdr>
        </w:div>
        <w:div w:id="322779877">
          <w:marLeft w:val="1166"/>
          <w:marRight w:val="0"/>
          <w:marTop w:val="0"/>
          <w:marBottom w:val="0"/>
          <w:divBdr>
            <w:top w:val="none" w:sz="0" w:space="0" w:color="auto"/>
            <w:left w:val="none" w:sz="0" w:space="0" w:color="auto"/>
            <w:bottom w:val="none" w:sz="0" w:space="0" w:color="auto"/>
            <w:right w:val="none" w:sz="0" w:space="0" w:color="auto"/>
          </w:divBdr>
        </w:div>
        <w:div w:id="2113165626">
          <w:marLeft w:val="1166"/>
          <w:marRight w:val="0"/>
          <w:marTop w:val="0"/>
          <w:marBottom w:val="0"/>
          <w:divBdr>
            <w:top w:val="none" w:sz="0" w:space="0" w:color="auto"/>
            <w:left w:val="none" w:sz="0" w:space="0" w:color="auto"/>
            <w:bottom w:val="none" w:sz="0" w:space="0" w:color="auto"/>
            <w:right w:val="none" w:sz="0" w:space="0" w:color="auto"/>
          </w:divBdr>
        </w:div>
        <w:div w:id="1352490812">
          <w:marLeft w:val="1166"/>
          <w:marRight w:val="0"/>
          <w:marTop w:val="0"/>
          <w:marBottom w:val="0"/>
          <w:divBdr>
            <w:top w:val="none" w:sz="0" w:space="0" w:color="auto"/>
            <w:left w:val="none" w:sz="0" w:space="0" w:color="auto"/>
            <w:bottom w:val="none" w:sz="0" w:space="0" w:color="auto"/>
            <w:right w:val="none" w:sz="0" w:space="0" w:color="auto"/>
          </w:divBdr>
        </w:div>
        <w:div w:id="1354186373">
          <w:marLeft w:val="1166"/>
          <w:marRight w:val="0"/>
          <w:marTop w:val="0"/>
          <w:marBottom w:val="0"/>
          <w:divBdr>
            <w:top w:val="none" w:sz="0" w:space="0" w:color="auto"/>
            <w:left w:val="none" w:sz="0" w:space="0" w:color="auto"/>
            <w:bottom w:val="none" w:sz="0" w:space="0" w:color="auto"/>
            <w:right w:val="none" w:sz="0" w:space="0" w:color="auto"/>
          </w:divBdr>
        </w:div>
        <w:div w:id="916018305">
          <w:marLeft w:val="1166"/>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3.png"/><Relationship Id="rId21" Type="http://schemas.openxmlformats.org/officeDocument/2006/relationships/diagramLayout" Target="diagrams/layout1.xml"/><Relationship Id="rId42" Type="http://schemas.openxmlformats.org/officeDocument/2006/relationships/chart" Target="charts/chart3.xml"/><Relationship Id="rId63" Type="http://schemas.openxmlformats.org/officeDocument/2006/relationships/image" Target="media/image19.png"/><Relationship Id="rId84" Type="http://schemas.openxmlformats.org/officeDocument/2006/relationships/image" Target="media/image31.png"/><Relationship Id="rId138" Type="http://schemas.openxmlformats.org/officeDocument/2006/relationships/image" Target="media/image60.png"/><Relationship Id="rId107" Type="http://schemas.openxmlformats.org/officeDocument/2006/relationships/image" Target="media/image34.png"/><Relationship Id="rId11" Type="http://schemas.openxmlformats.org/officeDocument/2006/relationships/hyperlink" Target="file:///C:\Users\kjjc210\Desktop\Sarah%20B%20Thesis\Thesis\THESIS%20V6%20FINAL%20-%20KR.docx" TargetMode="External"/><Relationship Id="rId32" Type="http://schemas.openxmlformats.org/officeDocument/2006/relationships/image" Target="media/image7.jpeg"/><Relationship Id="rId53" Type="http://schemas.openxmlformats.org/officeDocument/2006/relationships/hyperlink" Target="https://www.dsptoolkit.nhs.uk" TargetMode="External"/><Relationship Id="rId74" Type="http://schemas.openxmlformats.org/officeDocument/2006/relationships/image" Target="media/image28.png"/><Relationship Id="rId128" Type="http://schemas.openxmlformats.org/officeDocument/2006/relationships/hyperlink" Target="https://www.iesohealth.com/en-gb/data-science" TargetMode="External"/><Relationship Id="rId149" Type="http://schemas.openxmlformats.org/officeDocument/2006/relationships/hyperlink" Target="mailto:sarah.bateup@pgr.anglia.ac.uk" TargetMode="External"/><Relationship Id="rId5" Type="http://schemas.openxmlformats.org/officeDocument/2006/relationships/webSettings" Target="webSettings.xml"/><Relationship Id="rId95" Type="http://schemas.openxmlformats.org/officeDocument/2006/relationships/hyperlink" Target="https://digital.nhs.uk/data-and-information/information-standards/information-standards-and-data-collections-including-extractions/publications-and-notifications/standards-and-collections/dcb3058-compliance-with-national-data-opt-outs" TargetMode="External"/><Relationship Id="rId22" Type="http://schemas.openxmlformats.org/officeDocument/2006/relationships/diagramQuickStyle" Target="diagrams/quickStyle1.xml"/><Relationship Id="rId27" Type="http://schemas.openxmlformats.org/officeDocument/2006/relationships/image" Target="media/image3.jpg"/><Relationship Id="rId43" Type="http://schemas.openxmlformats.org/officeDocument/2006/relationships/image" Target="media/image9.png"/><Relationship Id="rId48" Type="http://schemas.openxmlformats.org/officeDocument/2006/relationships/diagramQuickStyle" Target="diagrams/quickStyle3.xml"/><Relationship Id="rId64" Type="http://schemas.openxmlformats.org/officeDocument/2006/relationships/image" Target="media/image20.png"/><Relationship Id="rId69" Type="http://schemas.openxmlformats.org/officeDocument/2006/relationships/footer" Target="footer4.xml"/><Relationship Id="rId113" Type="http://schemas.openxmlformats.org/officeDocument/2006/relationships/image" Target="media/image40.png"/><Relationship Id="rId118" Type="http://schemas.openxmlformats.org/officeDocument/2006/relationships/image" Target="media/image44.png"/><Relationship Id="rId134" Type="http://schemas.openxmlformats.org/officeDocument/2006/relationships/image" Target="media/image56.png"/><Relationship Id="rId139" Type="http://schemas.openxmlformats.org/officeDocument/2006/relationships/image" Target="media/image61.png"/><Relationship Id="rId80" Type="http://schemas.openxmlformats.org/officeDocument/2006/relationships/chart" Target="charts/chart4.xml"/><Relationship Id="rId85" Type="http://schemas.openxmlformats.org/officeDocument/2006/relationships/hyperlink" Target="http://www.babcp.com/files/About/BABCP-Standards-of-Conduct-Performance-and-Ethics.pdf" TargetMode="External"/><Relationship Id="rId150" Type="http://schemas.openxmlformats.org/officeDocument/2006/relationships/hyperlink" Target="mailto:sarah.burch@anglia.ac.uk" TargetMode="External"/><Relationship Id="rId12" Type="http://schemas.openxmlformats.org/officeDocument/2006/relationships/hyperlink" Target="file:///C:\Users\kjjc210\Desktop\Sarah%20B%20Thesis\Thesis\THESIS%20V6%20FINAL%20-%20KR.docx" TargetMode="External"/><Relationship Id="rId17" Type="http://schemas.openxmlformats.org/officeDocument/2006/relationships/hyperlink" Target="http://www.iesohealth.com" TargetMode="External"/><Relationship Id="rId33" Type="http://schemas.openxmlformats.org/officeDocument/2006/relationships/hyperlink" Target="http://www.iesohealth.com" TargetMode="External"/><Relationship Id="rId38" Type="http://schemas.microsoft.com/office/2007/relationships/diagramDrawing" Target="diagrams/drawing2.xml"/><Relationship Id="rId59" Type="http://schemas.openxmlformats.org/officeDocument/2006/relationships/image" Target="media/image15.png"/><Relationship Id="rId103" Type="http://schemas.openxmlformats.org/officeDocument/2006/relationships/hyperlink" Target="http://psychclassics.yorku.ca/Watson/views.htm" TargetMode="External"/><Relationship Id="rId108" Type="http://schemas.openxmlformats.org/officeDocument/2006/relationships/image" Target="media/image35.png"/><Relationship Id="rId124" Type="http://schemas.openxmlformats.org/officeDocument/2006/relationships/image" Target="media/image50.png"/><Relationship Id="rId129" Type="http://schemas.openxmlformats.org/officeDocument/2006/relationships/image" Target="media/image52.png"/><Relationship Id="rId54" Type="http://schemas.openxmlformats.org/officeDocument/2006/relationships/hyperlink" Target="https://cedar.exeter.ac.uk/iapt/hihandbook/assessments/ctsrmanual/" TargetMode="External"/><Relationship Id="rId70" Type="http://schemas.openxmlformats.org/officeDocument/2006/relationships/image" Target="media/image25.emf"/><Relationship Id="rId75" Type="http://schemas.openxmlformats.org/officeDocument/2006/relationships/diagramData" Target="diagrams/data4.xml"/><Relationship Id="rId91" Type="http://schemas.openxmlformats.org/officeDocument/2006/relationships/hyperlink" Target="http://www.nhsconfed.org/~/media/Confederation/Files/Publications/Documents/Any_qualified_provider.pdf" TargetMode="External"/><Relationship Id="rId96" Type="http://schemas.openxmlformats.org/officeDocument/2006/relationships/hyperlink" Target="https://digital.nhs.uk/data-and-information/information-standards/information-standards-and-data-collections-including-extractions/publications-and-notifications/standards-and-collections/dcb-1520-improving-access-to-psychological-therapies-data-set" TargetMode="External"/><Relationship Id="rId140" Type="http://schemas.openxmlformats.org/officeDocument/2006/relationships/image" Target="media/image62.png"/><Relationship Id="rId145" Type="http://schemas.openxmlformats.org/officeDocument/2006/relationships/image" Target="media/image67.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diagramColors" Target="diagrams/colors1.xml"/><Relationship Id="rId28" Type="http://schemas.openxmlformats.org/officeDocument/2006/relationships/hyperlink" Target="http://www.iesohealth.com" TargetMode="External"/><Relationship Id="rId49" Type="http://schemas.openxmlformats.org/officeDocument/2006/relationships/diagramColors" Target="diagrams/colors3.xml"/><Relationship Id="rId114" Type="http://schemas.openxmlformats.org/officeDocument/2006/relationships/hyperlink" Target="http://dx.doi.org/10.1001/jamapsychiatry.2019.2664" TargetMode="External"/><Relationship Id="rId119" Type="http://schemas.openxmlformats.org/officeDocument/2006/relationships/image" Target="media/image45.png"/><Relationship Id="rId44" Type="http://schemas.openxmlformats.org/officeDocument/2006/relationships/image" Target="media/image10.png"/><Relationship Id="rId60" Type="http://schemas.openxmlformats.org/officeDocument/2006/relationships/image" Target="media/image16.png"/><Relationship Id="rId65" Type="http://schemas.openxmlformats.org/officeDocument/2006/relationships/image" Target="media/image21.png"/><Relationship Id="rId81" Type="http://schemas.openxmlformats.org/officeDocument/2006/relationships/image" Target="media/image29.emf"/><Relationship Id="rId86" Type="http://schemas.openxmlformats.org/officeDocument/2006/relationships/hyperlink" Target="https://www.gov.uk/government/publications/talking-therapies-a-4-year-plan-of-action" TargetMode="External"/><Relationship Id="rId130" Type="http://schemas.openxmlformats.org/officeDocument/2006/relationships/hyperlink" Target="mailto:info@iesohealth.com" TargetMode="External"/><Relationship Id="rId135" Type="http://schemas.openxmlformats.org/officeDocument/2006/relationships/image" Target="media/image57.png"/><Relationship Id="rId151" Type="http://schemas.openxmlformats.org/officeDocument/2006/relationships/hyperlink" Target="mailto:complaints@anglia.ac.uk" TargetMode="External"/><Relationship Id="rId13" Type="http://schemas.openxmlformats.org/officeDocument/2006/relationships/hyperlink" Target="file:///C:\Users\kjjc210\Desktop\Sarah%20B%20Thesis\Thesis\THESIS%20V6%20FINAL%20-%20KR.docx" TargetMode="External"/><Relationship Id="rId18" Type="http://schemas.openxmlformats.org/officeDocument/2006/relationships/image" Target="media/image1.emf"/><Relationship Id="rId39" Type="http://schemas.openxmlformats.org/officeDocument/2006/relationships/chart" Target="charts/chart1.xml"/><Relationship Id="rId109" Type="http://schemas.openxmlformats.org/officeDocument/2006/relationships/image" Target="media/image36.png"/><Relationship Id="rId34" Type="http://schemas.openxmlformats.org/officeDocument/2006/relationships/diagramData" Target="diagrams/data2.xml"/><Relationship Id="rId50" Type="http://schemas.microsoft.com/office/2007/relationships/diagramDrawing" Target="diagrams/drawing3.xml"/><Relationship Id="rId55" Type="http://schemas.openxmlformats.org/officeDocument/2006/relationships/image" Target="media/image12.png"/><Relationship Id="rId76" Type="http://schemas.openxmlformats.org/officeDocument/2006/relationships/diagramLayout" Target="diagrams/layout4.xml"/><Relationship Id="rId97" Type="http://schemas.openxmlformats.org/officeDocument/2006/relationships/hyperlink" Target="https://www.gov.uk/government/publications/nhs-mandate-2014-to-2015" TargetMode="External"/><Relationship Id="rId104" Type="http://schemas.openxmlformats.org/officeDocument/2006/relationships/image" Target="media/image32.emf"/><Relationship Id="rId120" Type="http://schemas.openxmlformats.org/officeDocument/2006/relationships/image" Target="media/image46.png"/><Relationship Id="rId125" Type="http://schemas.openxmlformats.org/officeDocument/2006/relationships/image" Target="media/image51.png"/><Relationship Id="rId141" Type="http://schemas.openxmlformats.org/officeDocument/2006/relationships/image" Target="media/image63.png"/><Relationship Id="rId146" Type="http://schemas.openxmlformats.org/officeDocument/2006/relationships/image" Target="media/image68.emf"/><Relationship Id="rId7" Type="http://schemas.openxmlformats.org/officeDocument/2006/relationships/endnotes" Target="endnotes.xml"/><Relationship Id="rId71" Type="http://schemas.openxmlformats.org/officeDocument/2006/relationships/image" Target="media/image26.emf"/><Relationship Id="rId92" Type="http://schemas.openxmlformats.org/officeDocument/2006/relationships/hyperlink" Target="https://digital.nhs.uk/data-and-information/data-collections-and-data-sets/data-sets/improving-access-to-psychological-therapies-data-set" TargetMode="External"/><Relationship Id="rId2" Type="http://schemas.openxmlformats.org/officeDocument/2006/relationships/numbering" Target="numbering.xml"/><Relationship Id="rId29" Type="http://schemas.openxmlformats.org/officeDocument/2006/relationships/image" Target="media/image4.png"/><Relationship Id="rId24" Type="http://schemas.microsoft.com/office/2007/relationships/diagramDrawing" Target="diagrams/drawing1.xml"/><Relationship Id="rId40" Type="http://schemas.openxmlformats.org/officeDocument/2006/relationships/image" Target="media/image8.png"/><Relationship Id="rId45" Type="http://schemas.openxmlformats.org/officeDocument/2006/relationships/image" Target="media/image11.png"/><Relationship Id="rId66" Type="http://schemas.openxmlformats.org/officeDocument/2006/relationships/image" Target="media/image22.tiff"/><Relationship Id="rId87" Type="http://schemas.openxmlformats.org/officeDocument/2006/relationships/hyperlink" Target="https://assets.publishing.service.gov.uk/government/uploads/system/uploads/attachment_data/file/486818/mndate-NHSE-15_16.pdf" TargetMode="External"/><Relationship Id="rId110" Type="http://schemas.openxmlformats.org/officeDocument/2006/relationships/image" Target="media/image37.png"/><Relationship Id="rId115" Type="http://schemas.openxmlformats.org/officeDocument/2006/relationships/image" Target="media/image41.emf"/><Relationship Id="rId131" Type="http://schemas.openxmlformats.org/officeDocument/2006/relationships/image" Target="media/image53.png"/><Relationship Id="rId136" Type="http://schemas.openxmlformats.org/officeDocument/2006/relationships/image" Target="media/image58.png"/><Relationship Id="rId61" Type="http://schemas.openxmlformats.org/officeDocument/2006/relationships/image" Target="media/image17.png"/><Relationship Id="rId82" Type="http://schemas.openxmlformats.org/officeDocument/2006/relationships/package" Target="embeddings/Microsoft_Word_Document2.docx"/><Relationship Id="rId152" Type="http://schemas.openxmlformats.org/officeDocument/2006/relationships/fontTable" Target="fontTable.xml"/><Relationship Id="rId19" Type="http://schemas.openxmlformats.org/officeDocument/2006/relationships/hyperlink" Target="http://www.iapt.nhs.uk/silo/files/national-curriculum-for-high-intensity-cognitive-behavioural-therapy-courses.pdf" TargetMode="External"/><Relationship Id="rId14" Type="http://schemas.openxmlformats.org/officeDocument/2006/relationships/hyperlink" Target="file:///C:\Users\kjjc210\Desktop\Sarah%20B%20Thesis\Thesis\THESIS%20V6%20FINAL%20-%20KR.docx" TargetMode="External"/><Relationship Id="rId30" Type="http://schemas.openxmlformats.org/officeDocument/2006/relationships/image" Target="media/image5.emf"/><Relationship Id="rId35" Type="http://schemas.openxmlformats.org/officeDocument/2006/relationships/diagramLayout" Target="diagrams/layout2.xml"/><Relationship Id="rId56" Type="http://schemas.openxmlformats.org/officeDocument/2006/relationships/image" Target="media/image13.png"/><Relationship Id="rId77" Type="http://schemas.openxmlformats.org/officeDocument/2006/relationships/diagramQuickStyle" Target="diagrams/quickStyle4.xml"/><Relationship Id="rId100" Type="http://schemas.openxmlformats.org/officeDocument/2006/relationships/hyperlink" Target="http://mindtech.org.uk/mindtech-annual-conference/59-exhibitors-at-official-launch-11th-november-2013.html" TargetMode="External"/><Relationship Id="rId105" Type="http://schemas.openxmlformats.org/officeDocument/2006/relationships/oleObject" Target="embeddings/oleObject1.bin"/><Relationship Id="rId126" Type="http://schemas.openxmlformats.org/officeDocument/2006/relationships/hyperlink" Target="http://dx.doi.org/10.21037/mhealth.2018.08.02" TargetMode="External"/><Relationship Id="rId147" Type="http://schemas.openxmlformats.org/officeDocument/2006/relationships/hyperlink" Target="mailto:sarah.bateup@pgr.anglia.ac.uk" TargetMode="External"/><Relationship Id="rId8" Type="http://schemas.openxmlformats.org/officeDocument/2006/relationships/footer" Target="footer1.xml"/><Relationship Id="rId51" Type="http://schemas.openxmlformats.org/officeDocument/2006/relationships/hyperlink" Target="http://www.iesohealth.com" TargetMode="External"/><Relationship Id="rId72" Type="http://schemas.openxmlformats.org/officeDocument/2006/relationships/image" Target="media/image27.emf"/><Relationship Id="rId93" Type="http://schemas.openxmlformats.org/officeDocument/2006/relationships/hyperlink" Target="https://digital.nhs.uk/about-nhs-digital/our-work/keeping-patient-data-safe/gdpr/gdpr-register/improving-access-to-psychological-therapies-iapt" TargetMode="External"/><Relationship Id="rId98" Type="http://schemas.openxmlformats.org/officeDocument/2006/relationships/hyperlink" Target="http://www.nmc.org.uk/globalassets/sitedocuments/nmc-publications/revised-new-nmc-code.pdf" TargetMode="External"/><Relationship Id="rId121" Type="http://schemas.openxmlformats.org/officeDocument/2006/relationships/image" Target="media/image47.png"/><Relationship Id="rId142" Type="http://schemas.openxmlformats.org/officeDocument/2006/relationships/image" Target="media/image64.png"/><Relationship Id="rId3" Type="http://schemas.openxmlformats.org/officeDocument/2006/relationships/styles" Target="styles.xml"/><Relationship Id="rId25" Type="http://schemas.openxmlformats.org/officeDocument/2006/relationships/hyperlink" Target="http://www.exeter.ac.uk" TargetMode="External"/><Relationship Id="rId46" Type="http://schemas.openxmlformats.org/officeDocument/2006/relationships/diagramData" Target="diagrams/data3.xml"/><Relationship Id="rId67" Type="http://schemas.openxmlformats.org/officeDocument/2006/relationships/image" Target="media/image23.tiff"/><Relationship Id="rId116" Type="http://schemas.openxmlformats.org/officeDocument/2006/relationships/image" Target="media/image42.png"/><Relationship Id="rId137" Type="http://schemas.openxmlformats.org/officeDocument/2006/relationships/image" Target="media/image59.png"/><Relationship Id="rId20" Type="http://schemas.openxmlformats.org/officeDocument/2006/relationships/diagramData" Target="diagrams/data1.xml"/><Relationship Id="rId41" Type="http://schemas.openxmlformats.org/officeDocument/2006/relationships/chart" Target="charts/chart2.xml"/><Relationship Id="rId62" Type="http://schemas.openxmlformats.org/officeDocument/2006/relationships/image" Target="media/image18.png"/><Relationship Id="rId83" Type="http://schemas.openxmlformats.org/officeDocument/2006/relationships/image" Target="media/image30.png"/><Relationship Id="rId88" Type="http://schemas.openxmlformats.org/officeDocument/2006/relationships/hyperlink" Target="http://www.hscic.gov.uk/catalogue/PUB14899/psyc-ther-ann-rep-2013-14.pdf" TargetMode="External"/><Relationship Id="rId111" Type="http://schemas.openxmlformats.org/officeDocument/2006/relationships/image" Target="media/image38.png"/><Relationship Id="rId132" Type="http://schemas.openxmlformats.org/officeDocument/2006/relationships/image" Target="media/image54.png"/><Relationship Id="rId153" Type="http://schemas.openxmlformats.org/officeDocument/2006/relationships/theme" Target="theme/theme1.xml"/><Relationship Id="rId15" Type="http://schemas.openxmlformats.org/officeDocument/2006/relationships/footer" Target="footer3.xml"/><Relationship Id="rId36" Type="http://schemas.openxmlformats.org/officeDocument/2006/relationships/diagramQuickStyle" Target="diagrams/quickStyle2.xml"/><Relationship Id="rId57" Type="http://schemas.openxmlformats.org/officeDocument/2006/relationships/image" Target="media/image14.emf"/><Relationship Id="rId106" Type="http://schemas.openxmlformats.org/officeDocument/2006/relationships/image" Target="media/image33.png"/><Relationship Id="rId127" Type="http://schemas.openxmlformats.org/officeDocument/2006/relationships/hyperlink" Target="https://doi.org/10.18848/2576-5310/CGP/v08i01/1-11" TargetMode="External"/><Relationship Id="rId10" Type="http://schemas.openxmlformats.org/officeDocument/2006/relationships/hyperlink" Target="file:///C:\Users\kjjc210\Desktop\Sarah%20B%20Thesis\Thesis\THESIS%20V6%20FINAL%20-%20KR.docx" TargetMode="External"/><Relationship Id="rId31" Type="http://schemas.openxmlformats.org/officeDocument/2006/relationships/image" Target="media/image6.png"/><Relationship Id="rId52" Type="http://schemas.openxmlformats.org/officeDocument/2006/relationships/hyperlink" Target="https://www.iso.org/isoiec-27001-information-security.html" TargetMode="External"/><Relationship Id="rId73" Type="http://schemas.openxmlformats.org/officeDocument/2006/relationships/package" Target="embeddings/Microsoft_Word_Document1.docx"/><Relationship Id="rId78" Type="http://schemas.openxmlformats.org/officeDocument/2006/relationships/diagramColors" Target="diagrams/colors4.xml"/><Relationship Id="rId94" Type="http://schemas.openxmlformats.org/officeDocument/2006/relationships/hyperlink" Target="https://digital.nhs.uk/about-nhs-digital/corporate-information-and-documents/directions-and-data-provision-notices" TargetMode="External"/><Relationship Id="rId99" Type="http://schemas.openxmlformats.org/officeDocument/2006/relationships/hyperlink" Target="https://www.gov.uk/government/uploads/system/uploads/attachment_data/file/" TargetMode="External"/><Relationship Id="rId101" Type="http://schemas.openxmlformats.org/officeDocument/2006/relationships/hyperlink" Target="https://www.theguardian.com/healthcare-network/2016/mar/16/depression-suicide-nhs-mental-health-problem" TargetMode="External"/><Relationship Id="rId122" Type="http://schemas.openxmlformats.org/officeDocument/2006/relationships/image" Target="media/image48.png"/><Relationship Id="rId143" Type="http://schemas.openxmlformats.org/officeDocument/2006/relationships/image" Target="media/image65.png"/><Relationship Id="rId148" Type="http://schemas.openxmlformats.org/officeDocument/2006/relationships/hyperlink" Target="mailto:sarah.burch@anglia.ac.uk" TargetMode="External"/><Relationship Id="rId4" Type="http://schemas.openxmlformats.org/officeDocument/2006/relationships/settings" Target="settings.xml"/><Relationship Id="rId9" Type="http://schemas.openxmlformats.org/officeDocument/2006/relationships/footer" Target="footer2.xml"/><Relationship Id="rId26" Type="http://schemas.openxmlformats.org/officeDocument/2006/relationships/image" Target="media/image2.emf"/><Relationship Id="rId47" Type="http://schemas.openxmlformats.org/officeDocument/2006/relationships/diagramLayout" Target="diagrams/layout3.xml"/><Relationship Id="rId68" Type="http://schemas.openxmlformats.org/officeDocument/2006/relationships/image" Target="media/image24.png"/><Relationship Id="rId89" Type="http://schemas.openxmlformats.org/officeDocument/2006/relationships/hyperlink" Target="http://cep.lse.ac.uk/pubs/download/special/cepsp26.pdf" TargetMode="External"/><Relationship Id="rId112" Type="http://schemas.openxmlformats.org/officeDocument/2006/relationships/image" Target="media/image39.png"/><Relationship Id="rId133" Type="http://schemas.openxmlformats.org/officeDocument/2006/relationships/image" Target="media/image55.png"/><Relationship Id="rId16" Type="http://schemas.openxmlformats.org/officeDocument/2006/relationships/hyperlink" Target="http://www.iesohealth.com" TargetMode="External"/><Relationship Id="rId37" Type="http://schemas.openxmlformats.org/officeDocument/2006/relationships/diagramColors" Target="diagrams/colors2.xml"/><Relationship Id="rId58" Type="http://schemas.openxmlformats.org/officeDocument/2006/relationships/package" Target="embeddings/Microsoft_Word_Document.docx"/><Relationship Id="rId79" Type="http://schemas.microsoft.com/office/2007/relationships/diagramDrawing" Target="diagrams/drawing4.xml"/><Relationship Id="rId102" Type="http://schemas.openxmlformats.org/officeDocument/2006/relationships/hyperlink" Target="http://apt.rcpsych.or/content/13/6/438.full" TargetMode="External"/><Relationship Id="rId123" Type="http://schemas.openxmlformats.org/officeDocument/2006/relationships/image" Target="media/image49.emf"/><Relationship Id="rId144" Type="http://schemas.openxmlformats.org/officeDocument/2006/relationships/image" Target="media/image66.png"/><Relationship Id="rId90" Type="http://schemas.openxmlformats.org/officeDocument/2006/relationships/hyperlink" Target="http://www.kingsfund.org.uk/sites/files/kf/field/field_publication_file/clinical-commissioning-groups-report-ings-fund-nuffield-jul13.pdf"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ww.ucl.ac.uk/pals/research/clinical-educational-and-health-psychology/research-groups/core/competence-frameworks"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Book2"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Book2"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a:t>Variance in recovery</a:t>
            </a:r>
            <a:r>
              <a:rPr lang="en-US" baseline="0"/>
              <a:t> rate</a:t>
            </a:r>
            <a:endParaRPr lang="en-US"/>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n-US"/>
        </a:p>
      </c:txPr>
    </c:title>
    <c:autoTitleDeleted val="0"/>
    <c:plotArea>
      <c:layout/>
      <c:barChart>
        <c:barDir val="bar"/>
        <c:grouping val="clustered"/>
        <c:varyColors val="0"/>
        <c:ser>
          <c:idx val="0"/>
          <c:order val="0"/>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Sheet1!$A$1:$B$1</c:f>
              <c:strCache>
                <c:ptCount val="2"/>
                <c:pt idx="0">
                  <c:v>Lowest</c:v>
                </c:pt>
                <c:pt idx="1">
                  <c:v>Highest</c:v>
                </c:pt>
              </c:strCache>
            </c:strRef>
          </c:cat>
          <c:val>
            <c:numRef>
              <c:f>Sheet1!$A$2:$B$2</c:f>
              <c:numCache>
                <c:formatCode>0%</c:formatCode>
                <c:ptCount val="2"/>
                <c:pt idx="0">
                  <c:v>0.15</c:v>
                </c:pt>
                <c:pt idx="1">
                  <c:v>0.67</c:v>
                </c:pt>
              </c:numCache>
            </c:numRef>
          </c:val>
          <c:extLst>
            <c:ext xmlns:c16="http://schemas.microsoft.com/office/drawing/2014/chart" uri="{C3380CC4-5D6E-409C-BE32-E72D297353CC}">
              <c16:uniqueId val="{00000000-6A2F-8C40-BFB0-88430A1A5372}"/>
            </c:ext>
          </c:extLst>
        </c:ser>
        <c:dLbls>
          <c:dLblPos val="inEnd"/>
          <c:showLegendKey val="0"/>
          <c:showVal val="1"/>
          <c:showCatName val="0"/>
          <c:showSerName val="0"/>
          <c:showPercent val="0"/>
          <c:showBubbleSize val="0"/>
        </c:dLbls>
        <c:gapWidth val="65"/>
        <c:axId val="1834733519"/>
        <c:axId val="1834943887"/>
      </c:barChart>
      <c:catAx>
        <c:axId val="1834733519"/>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r>
                  <a:rPr lang="en-US"/>
                  <a:t>Service with highest/lowest  rate</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1834943887"/>
        <c:crosses val="autoZero"/>
        <c:auto val="1"/>
        <c:lblAlgn val="ctr"/>
        <c:lblOffset val="100"/>
        <c:noMultiLvlLbl val="0"/>
      </c:catAx>
      <c:valAx>
        <c:axId val="1834943887"/>
        <c:scaling>
          <c:orientation val="minMax"/>
        </c:scaling>
        <c:delete val="0"/>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r>
                  <a:rPr lang="en-US"/>
                  <a:t>Recovery Rate</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183473351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cap="none" spc="0" normalizeH="0" baseline="0">
              <a:solidFill>
                <a:schemeClr val="dk1">
                  <a:lumMod val="50000"/>
                  <a:lumOff val="50000"/>
                </a:schemeClr>
              </a:solidFill>
              <a:latin typeface="+mn-lt"/>
              <a:ea typeface="+mj-ea"/>
              <a:cs typeface="+mj-cs"/>
            </a:defRPr>
          </a:pPr>
          <a:endParaRPr lang="en-US"/>
        </a:p>
      </c:txPr>
    </c:title>
    <c:autoTitleDeleted val="0"/>
    <c:plotArea>
      <c:layout/>
      <c:barChart>
        <c:barDir val="col"/>
        <c:grouping val="clustered"/>
        <c:varyColors val="0"/>
        <c:ser>
          <c:idx val="0"/>
          <c:order val="0"/>
          <c:tx>
            <c:strRef>
              <c:f>Sheet1!$B$1</c:f>
              <c:strCache>
                <c:ptCount val="1"/>
                <c:pt idx="0">
                  <c:v>Therapist 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Sheet1!$A$2:$A$6</c:f>
              <c:strCache>
                <c:ptCount val="5"/>
                <c:pt idx="0">
                  <c:v>Liness et al</c:v>
                </c:pt>
                <c:pt idx="1">
                  <c:v>Saxon et al</c:v>
                </c:pt>
                <c:pt idx="2">
                  <c:v>Pereira et al</c:v>
                </c:pt>
                <c:pt idx="3">
                  <c:v>Gyanni et al</c:v>
                </c:pt>
                <c:pt idx="4">
                  <c:v>Delgadillo et al</c:v>
                </c:pt>
              </c:strCache>
            </c:strRef>
          </c:cat>
          <c:val>
            <c:numRef>
              <c:f>Sheet1!$B$2:$B$6</c:f>
              <c:numCache>
                <c:formatCode>General</c:formatCode>
                <c:ptCount val="5"/>
                <c:pt idx="0">
                  <c:v>45</c:v>
                </c:pt>
                <c:pt idx="1">
                  <c:v>28</c:v>
                </c:pt>
                <c:pt idx="2">
                  <c:v>12</c:v>
                </c:pt>
                <c:pt idx="4">
                  <c:v>21</c:v>
                </c:pt>
              </c:numCache>
            </c:numRef>
          </c:val>
          <c:extLst>
            <c:ext xmlns:c16="http://schemas.microsoft.com/office/drawing/2014/chart" uri="{C3380CC4-5D6E-409C-BE32-E72D297353CC}">
              <c16:uniqueId val="{00000000-197E-D845-8FB2-4A67A1EA2001}"/>
            </c:ext>
          </c:extLst>
        </c:ser>
        <c:dLbls>
          <c:dLblPos val="inEnd"/>
          <c:showLegendKey val="0"/>
          <c:showVal val="1"/>
          <c:showCatName val="0"/>
          <c:showSerName val="0"/>
          <c:showPercent val="0"/>
          <c:showBubbleSize val="0"/>
        </c:dLbls>
        <c:gapWidth val="267"/>
        <c:overlap val="-43"/>
        <c:axId val="1285898544"/>
        <c:axId val="1286546192"/>
      </c:barChart>
      <c:catAx>
        <c:axId val="128589854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n-US"/>
          </a:p>
        </c:txPr>
        <c:crossAx val="1286546192"/>
        <c:crosses val="autoZero"/>
        <c:auto val="1"/>
        <c:lblAlgn val="ctr"/>
        <c:lblOffset val="100"/>
        <c:noMultiLvlLbl val="0"/>
      </c:catAx>
      <c:valAx>
        <c:axId val="1286546192"/>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1285898544"/>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Patient 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Liness et al</c:v>
                </c:pt>
                <c:pt idx="1">
                  <c:v>Saxon et al</c:v>
                </c:pt>
                <c:pt idx="2">
                  <c:v>Pereira et al</c:v>
                </c:pt>
                <c:pt idx="3">
                  <c:v>Gyanni et al</c:v>
                </c:pt>
                <c:pt idx="4">
                  <c:v>Delgadillo et al</c:v>
                </c:pt>
              </c:strCache>
            </c:strRef>
          </c:cat>
          <c:val>
            <c:numRef>
              <c:f>Sheet1!$B$2:$B$6</c:f>
              <c:numCache>
                <c:formatCode>General</c:formatCode>
                <c:ptCount val="5"/>
                <c:pt idx="0">
                  <c:v>720</c:v>
                </c:pt>
                <c:pt idx="1">
                  <c:v>1912</c:v>
                </c:pt>
                <c:pt idx="2">
                  <c:v>1200</c:v>
                </c:pt>
                <c:pt idx="3">
                  <c:v>19395</c:v>
                </c:pt>
                <c:pt idx="4">
                  <c:v>987</c:v>
                </c:pt>
              </c:numCache>
            </c:numRef>
          </c:val>
          <c:extLst>
            <c:ext xmlns:c16="http://schemas.microsoft.com/office/drawing/2014/chart" uri="{C3380CC4-5D6E-409C-BE32-E72D297353CC}">
              <c16:uniqueId val="{00000000-EB9C-B941-9753-3F024AC17012}"/>
            </c:ext>
          </c:extLst>
        </c:ser>
        <c:dLbls>
          <c:dLblPos val="outEnd"/>
          <c:showLegendKey val="0"/>
          <c:showVal val="1"/>
          <c:showCatName val="0"/>
          <c:showSerName val="0"/>
          <c:showPercent val="0"/>
          <c:showBubbleSize val="0"/>
        </c:dLbls>
        <c:gapWidth val="219"/>
        <c:overlap val="-27"/>
        <c:axId val="1224648848"/>
        <c:axId val="1224650528"/>
      </c:barChart>
      <c:catAx>
        <c:axId val="1224648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4650528"/>
        <c:crosses val="autoZero"/>
        <c:auto val="1"/>
        <c:lblAlgn val="ctr"/>
        <c:lblOffset val="100"/>
        <c:noMultiLvlLbl val="0"/>
      </c:catAx>
      <c:valAx>
        <c:axId val="12246505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464884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Pt>
            <c:idx val="0"/>
            <c:invertIfNegative val="0"/>
            <c:bubble3D val="0"/>
            <c:spPr>
              <a:solidFill>
                <a:srgbClr val="FF0000"/>
              </a:solidFill>
              <a:ln>
                <a:noFill/>
              </a:ln>
              <a:effectLst/>
            </c:spPr>
            <c:extLst>
              <c:ext xmlns:c16="http://schemas.microsoft.com/office/drawing/2014/chart" uri="{C3380CC4-5D6E-409C-BE32-E72D297353CC}">
                <c16:uniqueId val="{00000001-D163-5C4D-8E12-B2B4992122E5}"/>
              </c:ext>
            </c:extLst>
          </c:dPt>
          <c:dPt>
            <c:idx val="1"/>
            <c:invertIfNegative val="0"/>
            <c:bubble3D val="0"/>
            <c:spPr>
              <a:solidFill>
                <a:srgbClr val="FF0000"/>
              </a:solidFill>
              <a:ln>
                <a:noFill/>
              </a:ln>
              <a:effectLst/>
            </c:spPr>
            <c:extLst>
              <c:ext xmlns:c16="http://schemas.microsoft.com/office/drawing/2014/chart" uri="{C3380CC4-5D6E-409C-BE32-E72D297353CC}">
                <c16:uniqueId val="{00000003-D163-5C4D-8E12-B2B4992122E5}"/>
              </c:ext>
            </c:extLst>
          </c:dPt>
          <c:dPt>
            <c:idx val="2"/>
            <c:invertIfNegative val="0"/>
            <c:bubble3D val="0"/>
            <c:spPr>
              <a:solidFill>
                <a:srgbClr val="00B050"/>
              </a:solidFill>
              <a:ln>
                <a:noFill/>
              </a:ln>
              <a:effectLst/>
            </c:spPr>
            <c:extLst>
              <c:ext xmlns:c16="http://schemas.microsoft.com/office/drawing/2014/chart" uri="{C3380CC4-5D6E-409C-BE32-E72D297353CC}">
                <c16:uniqueId val="{00000005-D163-5C4D-8E12-B2B4992122E5}"/>
              </c:ext>
            </c:extLst>
          </c:dPt>
          <c:dPt>
            <c:idx val="3"/>
            <c:invertIfNegative val="0"/>
            <c:bubble3D val="0"/>
            <c:spPr>
              <a:solidFill>
                <a:srgbClr val="00B050"/>
              </a:solidFill>
              <a:ln>
                <a:noFill/>
              </a:ln>
              <a:effectLst/>
            </c:spPr>
            <c:extLst>
              <c:ext xmlns:c16="http://schemas.microsoft.com/office/drawing/2014/chart" uri="{C3380CC4-5D6E-409C-BE32-E72D297353CC}">
                <c16:uniqueId val="{00000007-D163-5C4D-8E12-B2B4992122E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Sheet1!$A$1:$D$1</c:f>
              <c:strCache>
                <c:ptCount val="4"/>
                <c:pt idx="0">
                  <c:v>0 out 3 </c:v>
                </c:pt>
                <c:pt idx="1">
                  <c:v>1 out of 3</c:v>
                </c:pt>
                <c:pt idx="2">
                  <c:v>2 out of 3</c:v>
                </c:pt>
                <c:pt idx="3">
                  <c:v>3 out of 3</c:v>
                </c:pt>
              </c:strCache>
            </c:strRef>
          </c:cat>
          <c:val>
            <c:numRef>
              <c:f>Sheet1!$A$2:$D$2</c:f>
              <c:numCache>
                <c:formatCode>General</c:formatCode>
                <c:ptCount val="4"/>
                <c:pt idx="0">
                  <c:v>40</c:v>
                </c:pt>
                <c:pt idx="1">
                  <c:v>52</c:v>
                </c:pt>
                <c:pt idx="2">
                  <c:v>58</c:v>
                </c:pt>
                <c:pt idx="3">
                  <c:v>49</c:v>
                </c:pt>
              </c:numCache>
            </c:numRef>
          </c:val>
          <c:extLst>
            <c:ext xmlns:c16="http://schemas.microsoft.com/office/drawing/2014/chart" uri="{C3380CC4-5D6E-409C-BE32-E72D297353CC}">
              <c16:uniqueId val="{00000008-D163-5C4D-8E12-B2B4992122E5}"/>
            </c:ext>
          </c:extLst>
        </c:ser>
        <c:dLbls>
          <c:dLblPos val="inEnd"/>
          <c:showLegendKey val="0"/>
          <c:showVal val="1"/>
          <c:showCatName val="0"/>
          <c:showSerName val="0"/>
          <c:showPercent val="0"/>
          <c:showBubbleSize val="0"/>
        </c:dLbls>
        <c:gapWidth val="100"/>
        <c:overlap val="-24"/>
        <c:axId val="1020638064"/>
        <c:axId val="1020639744"/>
      </c:barChart>
      <c:catAx>
        <c:axId val="1020638064"/>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1020639744"/>
        <c:crosses val="autoZero"/>
        <c:auto val="1"/>
        <c:lblAlgn val="ctr"/>
        <c:lblOffset val="100"/>
        <c:noMultiLvlLbl val="0"/>
      </c:catAx>
      <c:valAx>
        <c:axId val="1020639744"/>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10206380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CEC23CD-FDC8-D742-BCB4-14356AB05DAD}" type="doc">
      <dgm:prSet loTypeId="urn:microsoft.com/office/officeart/2005/8/layout/chevron2" loCatId="" qsTypeId="urn:microsoft.com/office/officeart/2005/8/quickstyle/simple1" qsCatId="simple" csTypeId="urn:microsoft.com/office/officeart/2005/8/colors/accent1_2" csCatId="accent1" phldr="1"/>
      <dgm:spPr/>
      <dgm:t>
        <a:bodyPr/>
        <a:lstStyle/>
        <a:p>
          <a:endParaRPr lang="en-US"/>
        </a:p>
      </dgm:t>
    </dgm:pt>
    <dgm:pt modelId="{29EE21AD-3923-5643-BE72-9DA05986C005}">
      <dgm:prSet phldrT="[Text]"/>
      <dgm:spPr/>
      <dgm:t>
        <a:bodyPr/>
        <a:lstStyle/>
        <a:p>
          <a:r>
            <a:rPr lang="en-US"/>
            <a:t>Incompetent</a:t>
          </a:r>
        </a:p>
      </dgm:t>
    </dgm:pt>
    <dgm:pt modelId="{0F00FE51-5057-9B44-8CAD-376720A42774}" type="parTrans" cxnId="{E233447F-B247-2949-853A-B33E2D3077ED}">
      <dgm:prSet/>
      <dgm:spPr/>
      <dgm:t>
        <a:bodyPr/>
        <a:lstStyle/>
        <a:p>
          <a:endParaRPr lang="en-US"/>
        </a:p>
      </dgm:t>
    </dgm:pt>
    <dgm:pt modelId="{9EDABAD9-4057-7240-89A3-FDB6F78D3358}" type="sibTrans" cxnId="{E233447F-B247-2949-853A-B33E2D3077ED}">
      <dgm:prSet/>
      <dgm:spPr/>
      <dgm:t>
        <a:bodyPr/>
        <a:lstStyle/>
        <a:p>
          <a:endParaRPr lang="en-US"/>
        </a:p>
      </dgm:t>
    </dgm:pt>
    <dgm:pt modelId="{95EC139D-F0B6-CB4A-96E8-6882B4BBAE57}">
      <dgm:prSet phldrT="[Text]"/>
      <dgm:spPr/>
      <dgm:t>
        <a:bodyPr/>
        <a:lstStyle/>
        <a:p>
          <a:r>
            <a:rPr lang="en-US"/>
            <a:t>SCORE = 0</a:t>
          </a:r>
        </a:p>
      </dgm:t>
    </dgm:pt>
    <dgm:pt modelId="{BA3FD82E-730D-8247-9A77-B44EF984B222}" type="parTrans" cxnId="{ED1C9FE6-8B3E-DB4B-8F4D-95647CA07246}">
      <dgm:prSet/>
      <dgm:spPr/>
      <dgm:t>
        <a:bodyPr/>
        <a:lstStyle/>
        <a:p>
          <a:endParaRPr lang="en-US"/>
        </a:p>
      </dgm:t>
    </dgm:pt>
    <dgm:pt modelId="{38E7B3EA-DD6C-0745-B28E-032B90A57A31}" type="sibTrans" cxnId="{ED1C9FE6-8B3E-DB4B-8F4D-95647CA07246}">
      <dgm:prSet/>
      <dgm:spPr/>
      <dgm:t>
        <a:bodyPr/>
        <a:lstStyle/>
        <a:p>
          <a:endParaRPr lang="en-US"/>
        </a:p>
      </dgm:t>
    </dgm:pt>
    <dgm:pt modelId="{2FECAD04-0A99-AA46-9309-EA0D07A96011}">
      <dgm:prSet phldrT="[Text]"/>
      <dgm:spPr/>
      <dgm:t>
        <a:bodyPr/>
        <a:lstStyle/>
        <a:p>
          <a:endParaRPr lang="en-US"/>
        </a:p>
      </dgm:t>
    </dgm:pt>
    <dgm:pt modelId="{0DF87134-0ACA-3A4C-AD6D-571CEC60488D}" type="parTrans" cxnId="{33DCF216-C54E-674C-B628-11D050894EC2}">
      <dgm:prSet/>
      <dgm:spPr/>
      <dgm:t>
        <a:bodyPr/>
        <a:lstStyle/>
        <a:p>
          <a:endParaRPr lang="en-US"/>
        </a:p>
      </dgm:t>
    </dgm:pt>
    <dgm:pt modelId="{BF65B2AB-6582-DE44-B5F9-DC91E6BE9597}" type="sibTrans" cxnId="{33DCF216-C54E-674C-B628-11D050894EC2}">
      <dgm:prSet/>
      <dgm:spPr/>
      <dgm:t>
        <a:bodyPr/>
        <a:lstStyle/>
        <a:p>
          <a:endParaRPr lang="en-US"/>
        </a:p>
      </dgm:t>
    </dgm:pt>
    <dgm:pt modelId="{75783098-E46B-3B42-A757-352AB090EB19}">
      <dgm:prSet phldrT="[Text]"/>
      <dgm:spPr/>
      <dgm:t>
        <a:bodyPr/>
        <a:lstStyle/>
        <a:p>
          <a:r>
            <a:rPr lang="en-US"/>
            <a:t>Novice</a:t>
          </a:r>
        </a:p>
      </dgm:t>
    </dgm:pt>
    <dgm:pt modelId="{5EC2B5CB-4A59-D342-BE58-903543EEF7A2}" type="parTrans" cxnId="{94BFD2D7-CBE3-5E44-90AF-C8E35EF4C8C3}">
      <dgm:prSet/>
      <dgm:spPr/>
      <dgm:t>
        <a:bodyPr/>
        <a:lstStyle/>
        <a:p>
          <a:endParaRPr lang="en-US"/>
        </a:p>
      </dgm:t>
    </dgm:pt>
    <dgm:pt modelId="{02A8202F-72D4-C546-B4F9-95D361763BA0}" type="sibTrans" cxnId="{94BFD2D7-CBE3-5E44-90AF-C8E35EF4C8C3}">
      <dgm:prSet/>
      <dgm:spPr/>
      <dgm:t>
        <a:bodyPr/>
        <a:lstStyle/>
        <a:p>
          <a:endParaRPr lang="en-US"/>
        </a:p>
      </dgm:t>
    </dgm:pt>
    <dgm:pt modelId="{B7534F24-2285-1945-94CD-008144E8FE73}">
      <dgm:prSet phldrT="[Text]"/>
      <dgm:spPr/>
      <dgm:t>
        <a:bodyPr/>
        <a:lstStyle/>
        <a:p>
          <a:r>
            <a:rPr lang="en-US"/>
            <a:t>SCORE = 1/2</a:t>
          </a:r>
        </a:p>
      </dgm:t>
    </dgm:pt>
    <dgm:pt modelId="{CF6C708C-AE42-3A49-80C3-F420785EBDCA}" type="parTrans" cxnId="{BF156764-281B-8141-8967-CAA98580651B}">
      <dgm:prSet/>
      <dgm:spPr/>
      <dgm:t>
        <a:bodyPr/>
        <a:lstStyle/>
        <a:p>
          <a:endParaRPr lang="en-US"/>
        </a:p>
      </dgm:t>
    </dgm:pt>
    <dgm:pt modelId="{15D76B7D-810D-AB4E-9781-B96404572546}" type="sibTrans" cxnId="{BF156764-281B-8141-8967-CAA98580651B}">
      <dgm:prSet/>
      <dgm:spPr/>
      <dgm:t>
        <a:bodyPr/>
        <a:lstStyle/>
        <a:p>
          <a:endParaRPr lang="en-US"/>
        </a:p>
      </dgm:t>
    </dgm:pt>
    <dgm:pt modelId="{6C512A54-6B98-164F-AAB4-B6BC45919644}">
      <dgm:prSet phldrT="[Text]"/>
      <dgm:spPr/>
      <dgm:t>
        <a:bodyPr/>
        <a:lstStyle/>
        <a:p>
          <a:r>
            <a:rPr lang="en-US" dirty="0"/>
            <a:t>Evidence of feature/s but problematic/lack of consistency</a:t>
          </a:r>
          <a:endParaRPr lang="en-US"/>
        </a:p>
      </dgm:t>
    </dgm:pt>
    <dgm:pt modelId="{589CC0B2-4D75-3346-9733-3890BC62A74D}" type="parTrans" cxnId="{4A13DF39-7C39-1743-8865-3F9983096B71}">
      <dgm:prSet/>
      <dgm:spPr/>
      <dgm:t>
        <a:bodyPr/>
        <a:lstStyle/>
        <a:p>
          <a:endParaRPr lang="en-US"/>
        </a:p>
      </dgm:t>
    </dgm:pt>
    <dgm:pt modelId="{3F742384-4D95-A143-BA13-0D866CB98FE0}" type="sibTrans" cxnId="{4A13DF39-7C39-1743-8865-3F9983096B71}">
      <dgm:prSet/>
      <dgm:spPr/>
      <dgm:t>
        <a:bodyPr/>
        <a:lstStyle/>
        <a:p>
          <a:endParaRPr lang="en-US"/>
        </a:p>
      </dgm:t>
    </dgm:pt>
    <dgm:pt modelId="{172D69D1-FF2C-5D4A-8A7C-F85A51C6441A}">
      <dgm:prSet phldrT="[Text]"/>
      <dgm:spPr/>
      <dgm:t>
        <a:bodyPr/>
        <a:lstStyle/>
        <a:p>
          <a:r>
            <a:rPr lang="en-US"/>
            <a:t>Advanced beginner</a:t>
          </a:r>
        </a:p>
      </dgm:t>
    </dgm:pt>
    <dgm:pt modelId="{A265643C-0ECD-E745-9BBE-D5C872B2AAF1}" type="parTrans" cxnId="{803BFD72-0D65-774D-B381-9A7F3FDE30E9}">
      <dgm:prSet/>
      <dgm:spPr/>
      <dgm:t>
        <a:bodyPr/>
        <a:lstStyle/>
        <a:p>
          <a:endParaRPr lang="en-US"/>
        </a:p>
      </dgm:t>
    </dgm:pt>
    <dgm:pt modelId="{186D04B8-4356-F946-A480-F4A8AE2CA6A5}" type="sibTrans" cxnId="{803BFD72-0D65-774D-B381-9A7F3FDE30E9}">
      <dgm:prSet/>
      <dgm:spPr/>
      <dgm:t>
        <a:bodyPr/>
        <a:lstStyle/>
        <a:p>
          <a:endParaRPr lang="en-US"/>
        </a:p>
      </dgm:t>
    </dgm:pt>
    <dgm:pt modelId="{27595020-555B-FC4A-8A65-01BA7CECA3CA}">
      <dgm:prSet phldrT="[Text]"/>
      <dgm:spPr/>
      <dgm:t>
        <a:bodyPr/>
        <a:lstStyle/>
        <a:p>
          <a:r>
            <a:rPr lang="en-US" dirty="0"/>
            <a:t>SCORE = 2/3</a:t>
          </a:r>
          <a:endParaRPr lang="en-US"/>
        </a:p>
      </dgm:t>
    </dgm:pt>
    <dgm:pt modelId="{F0059F80-2FA5-D949-AA76-3A6A9E9EC805}" type="parTrans" cxnId="{9127AB26-4AC6-7D4D-BE9D-C00DD849FC36}">
      <dgm:prSet/>
      <dgm:spPr/>
      <dgm:t>
        <a:bodyPr/>
        <a:lstStyle/>
        <a:p>
          <a:endParaRPr lang="en-US"/>
        </a:p>
      </dgm:t>
    </dgm:pt>
    <dgm:pt modelId="{F4DBB3C5-5CF1-F24A-BE8E-9E4B0F85481E}" type="sibTrans" cxnId="{9127AB26-4AC6-7D4D-BE9D-C00DD849FC36}">
      <dgm:prSet/>
      <dgm:spPr/>
      <dgm:t>
        <a:bodyPr/>
        <a:lstStyle/>
        <a:p>
          <a:endParaRPr lang="en-US"/>
        </a:p>
      </dgm:t>
    </dgm:pt>
    <dgm:pt modelId="{42323348-FD92-8449-80FE-14879A3CB61C}">
      <dgm:prSet phldrT="[Text]"/>
      <dgm:spPr/>
      <dgm:t>
        <a:bodyPr/>
        <a:lstStyle/>
        <a:p>
          <a:r>
            <a:rPr lang="en-US" dirty="0"/>
            <a:t>Competent but some problems/inconsistencies</a:t>
          </a:r>
          <a:endParaRPr lang="en-US"/>
        </a:p>
      </dgm:t>
    </dgm:pt>
    <dgm:pt modelId="{99A9F160-2E22-7B45-ADB0-05F14292DEB1}" type="parTrans" cxnId="{F18A8525-54F8-8345-86AD-677E5ED8B8D0}">
      <dgm:prSet/>
      <dgm:spPr/>
      <dgm:t>
        <a:bodyPr/>
        <a:lstStyle/>
        <a:p>
          <a:endParaRPr lang="en-US"/>
        </a:p>
      </dgm:t>
    </dgm:pt>
    <dgm:pt modelId="{7634DA93-5D7C-EA46-9FB4-6F7795B95A05}" type="sibTrans" cxnId="{F18A8525-54F8-8345-86AD-677E5ED8B8D0}">
      <dgm:prSet/>
      <dgm:spPr/>
      <dgm:t>
        <a:bodyPr/>
        <a:lstStyle/>
        <a:p>
          <a:endParaRPr lang="en-US"/>
        </a:p>
      </dgm:t>
    </dgm:pt>
    <dgm:pt modelId="{725AFD6E-BC77-8748-A209-323DACC5EEDD}">
      <dgm:prSet/>
      <dgm:spPr/>
      <dgm:t>
        <a:bodyPr/>
        <a:lstStyle/>
        <a:p>
          <a:r>
            <a:rPr lang="en-US"/>
            <a:t>Competent</a:t>
          </a:r>
        </a:p>
        <a:p>
          <a:endParaRPr lang="en-US"/>
        </a:p>
      </dgm:t>
    </dgm:pt>
    <dgm:pt modelId="{1FDB54E0-FDCD-484E-9D57-407A04422D0E}" type="parTrans" cxnId="{31AE65BE-00BE-3F4A-AE93-FE40923BD23C}">
      <dgm:prSet/>
      <dgm:spPr/>
      <dgm:t>
        <a:bodyPr/>
        <a:lstStyle/>
        <a:p>
          <a:endParaRPr lang="en-US"/>
        </a:p>
      </dgm:t>
    </dgm:pt>
    <dgm:pt modelId="{A0464CF7-5320-7940-AA66-052FCDAADC78}" type="sibTrans" cxnId="{31AE65BE-00BE-3F4A-AE93-FE40923BD23C}">
      <dgm:prSet/>
      <dgm:spPr/>
      <dgm:t>
        <a:bodyPr/>
        <a:lstStyle/>
        <a:p>
          <a:endParaRPr lang="en-US"/>
        </a:p>
      </dgm:t>
    </dgm:pt>
    <dgm:pt modelId="{2BCD0B1F-B971-9143-8C1A-C295FAE0318E}">
      <dgm:prSet/>
      <dgm:spPr/>
      <dgm:t>
        <a:bodyPr/>
        <a:lstStyle/>
        <a:p>
          <a:r>
            <a:rPr lang="en-US"/>
            <a:t>Proficient</a:t>
          </a:r>
        </a:p>
      </dgm:t>
    </dgm:pt>
    <dgm:pt modelId="{2615B880-2A4A-9840-8BC1-FB22525F7991}" type="parTrans" cxnId="{F22CF13A-797E-934C-A1B9-D50F6F8D4E1F}">
      <dgm:prSet/>
      <dgm:spPr/>
      <dgm:t>
        <a:bodyPr/>
        <a:lstStyle/>
        <a:p>
          <a:endParaRPr lang="en-US"/>
        </a:p>
      </dgm:t>
    </dgm:pt>
    <dgm:pt modelId="{FA4D48FB-92E4-2D45-AAA9-2DDE5608621A}" type="sibTrans" cxnId="{F22CF13A-797E-934C-A1B9-D50F6F8D4E1F}">
      <dgm:prSet/>
      <dgm:spPr/>
      <dgm:t>
        <a:bodyPr/>
        <a:lstStyle/>
        <a:p>
          <a:endParaRPr lang="en-US"/>
        </a:p>
      </dgm:t>
    </dgm:pt>
    <dgm:pt modelId="{5476A38B-E13D-6E46-8D29-11CBC143513C}">
      <dgm:prSet/>
      <dgm:spPr/>
      <dgm:t>
        <a:bodyPr/>
        <a:lstStyle/>
        <a:p>
          <a:r>
            <a:rPr lang="en-US"/>
            <a:t>Expert</a:t>
          </a:r>
        </a:p>
      </dgm:t>
    </dgm:pt>
    <dgm:pt modelId="{3A5B59D8-878D-1A4F-897C-145489300A84}" type="parTrans" cxnId="{96CC70A3-9435-8249-881F-BF66FBE7206D}">
      <dgm:prSet/>
      <dgm:spPr/>
      <dgm:t>
        <a:bodyPr/>
        <a:lstStyle/>
        <a:p>
          <a:endParaRPr lang="en-US"/>
        </a:p>
      </dgm:t>
    </dgm:pt>
    <dgm:pt modelId="{3D7740C3-4E2D-384E-87B6-20D8CE34F88D}" type="sibTrans" cxnId="{96CC70A3-9435-8249-881F-BF66FBE7206D}">
      <dgm:prSet/>
      <dgm:spPr/>
      <dgm:t>
        <a:bodyPr/>
        <a:lstStyle/>
        <a:p>
          <a:endParaRPr lang="en-US"/>
        </a:p>
      </dgm:t>
    </dgm:pt>
    <dgm:pt modelId="{C97E6509-A378-BC45-BEE7-FFB991520FCA}">
      <dgm:prSet/>
      <dgm:spPr/>
      <dgm:t>
        <a:bodyPr/>
        <a:lstStyle/>
        <a:p>
          <a:r>
            <a:rPr lang="en-US" dirty="0"/>
            <a:t>SCORE = 6</a:t>
          </a:r>
          <a:endParaRPr lang="en-US"/>
        </a:p>
      </dgm:t>
    </dgm:pt>
    <dgm:pt modelId="{483AB50D-53CF-B44C-AEC1-9BFFCD6018ED}" type="parTrans" cxnId="{198E3780-28A5-B84B-BA42-83B56B43D564}">
      <dgm:prSet/>
      <dgm:spPr/>
      <dgm:t>
        <a:bodyPr/>
        <a:lstStyle/>
        <a:p>
          <a:endParaRPr lang="en-US"/>
        </a:p>
      </dgm:t>
    </dgm:pt>
    <dgm:pt modelId="{1E35F56A-7BCB-044A-9465-5AE4A09B98B1}" type="sibTrans" cxnId="{198E3780-28A5-B84B-BA42-83B56B43D564}">
      <dgm:prSet/>
      <dgm:spPr/>
      <dgm:t>
        <a:bodyPr/>
        <a:lstStyle/>
        <a:p>
          <a:endParaRPr lang="en-US"/>
        </a:p>
      </dgm:t>
    </dgm:pt>
    <dgm:pt modelId="{8B81E66E-976F-EC4B-A7B5-8FAE800EC8C3}">
      <dgm:prSet/>
      <dgm:spPr/>
      <dgm:t>
        <a:bodyPr/>
        <a:lstStyle/>
        <a:p>
          <a:r>
            <a:rPr lang="en-US" dirty="0"/>
            <a:t>SCORE = 4/5</a:t>
          </a:r>
          <a:endParaRPr lang="en-US"/>
        </a:p>
      </dgm:t>
    </dgm:pt>
    <dgm:pt modelId="{764F28EA-FB2D-6543-A326-3AAB506A9105}" type="parTrans" cxnId="{C2737A41-8574-1743-A7D5-7BCABCB52019}">
      <dgm:prSet/>
      <dgm:spPr/>
      <dgm:t>
        <a:bodyPr/>
        <a:lstStyle/>
        <a:p>
          <a:endParaRPr lang="en-US"/>
        </a:p>
      </dgm:t>
    </dgm:pt>
    <dgm:pt modelId="{42998D7F-BEFB-9542-9162-84B878FBF1A1}" type="sibTrans" cxnId="{C2737A41-8574-1743-A7D5-7BCABCB52019}">
      <dgm:prSet/>
      <dgm:spPr/>
      <dgm:t>
        <a:bodyPr/>
        <a:lstStyle/>
        <a:p>
          <a:endParaRPr lang="en-US"/>
        </a:p>
      </dgm:t>
    </dgm:pt>
    <dgm:pt modelId="{25BE29E7-04E0-2C41-B6F9-2E67D042A6DE}">
      <dgm:prSet/>
      <dgm:spPr/>
      <dgm:t>
        <a:bodyPr/>
        <a:lstStyle/>
        <a:p>
          <a:r>
            <a:rPr lang="en-US" dirty="0"/>
            <a:t>SCORE = 3/4</a:t>
          </a:r>
          <a:endParaRPr lang="en-US"/>
        </a:p>
      </dgm:t>
    </dgm:pt>
    <dgm:pt modelId="{1FCF2A87-422D-7442-8AD5-3DC352703B18}" type="parTrans" cxnId="{510A12CD-59D0-FC45-B672-284F1C44DA5F}">
      <dgm:prSet/>
      <dgm:spPr/>
      <dgm:t>
        <a:bodyPr/>
        <a:lstStyle/>
        <a:p>
          <a:endParaRPr lang="en-US"/>
        </a:p>
      </dgm:t>
    </dgm:pt>
    <dgm:pt modelId="{8DF458A8-1A8D-1441-BDA9-393F0814B817}" type="sibTrans" cxnId="{510A12CD-59D0-FC45-B672-284F1C44DA5F}">
      <dgm:prSet/>
      <dgm:spPr/>
      <dgm:t>
        <a:bodyPr/>
        <a:lstStyle/>
        <a:p>
          <a:endParaRPr lang="en-US"/>
        </a:p>
      </dgm:t>
    </dgm:pt>
    <dgm:pt modelId="{B5265F65-62FD-3249-A694-8FEC43037D99}">
      <dgm:prSet/>
      <dgm:spPr/>
      <dgm:t>
        <a:bodyPr/>
        <a:lstStyle/>
        <a:p>
          <a:r>
            <a:rPr lang="en-US" dirty="0"/>
            <a:t>Good features but minor problems</a:t>
          </a:r>
          <a:endParaRPr lang="en-US"/>
        </a:p>
      </dgm:t>
    </dgm:pt>
    <dgm:pt modelId="{D09C60C1-0CEB-364C-A8AE-3EAB2EFCC070}" type="parTrans" cxnId="{1183BCC8-A6D9-E349-95C9-F07C89FB9B29}">
      <dgm:prSet/>
      <dgm:spPr/>
      <dgm:t>
        <a:bodyPr/>
        <a:lstStyle/>
        <a:p>
          <a:endParaRPr lang="en-US"/>
        </a:p>
      </dgm:t>
    </dgm:pt>
    <dgm:pt modelId="{94277EBA-50FE-E445-9C60-42CA0E3E3320}" type="sibTrans" cxnId="{1183BCC8-A6D9-E349-95C9-F07C89FB9B29}">
      <dgm:prSet/>
      <dgm:spPr/>
      <dgm:t>
        <a:bodyPr/>
        <a:lstStyle/>
        <a:p>
          <a:endParaRPr lang="en-US"/>
        </a:p>
      </dgm:t>
    </dgm:pt>
    <dgm:pt modelId="{7AEE73BD-1FC0-314B-94C3-1D95DEB72260}">
      <dgm:prSet phldrT="[Text]"/>
      <dgm:spPr/>
      <dgm:t>
        <a:bodyPr/>
        <a:lstStyle/>
        <a:p>
          <a:r>
            <a:rPr lang="en-US"/>
            <a:t>Absence of feature/s being assessed</a:t>
          </a:r>
        </a:p>
      </dgm:t>
    </dgm:pt>
    <dgm:pt modelId="{A8541F5E-31F9-854F-9911-F8521B8C64A8}" type="parTrans" cxnId="{C099D8D5-0C5A-3644-91B4-7C7AD65DFE90}">
      <dgm:prSet/>
      <dgm:spPr/>
      <dgm:t>
        <a:bodyPr/>
        <a:lstStyle/>
        <a:p>
          <a:endParaRPr lang="en-GB"/>
        </a:p>
      </dgm:t>
    </dgm:pt>
    <dgm:pt modelId="{4694A75D-C886-9C46-BBE6-33A2666252E0}" type="sibTrans" cxnId="{C099D8D5-0C5A-3644-91B4-7C7AD65DFE90}">
      <dgm:prSet/>
      <dgm:spPr/>
      <dgm:t>
        <a:bodyPr/>
        <a:lstStyle/>
        <a:p>
          <a:endParaRPr lang="en-GB"/>
        </a:p>
      </dgm:t>
    </dgm:pt>
    <dgm:pt modelId="{7BAFAD0E-24C3-0042-87CC-529687F4553E}">
      <dgm:prSet/>
      <dgm:spPr/>
      <dgm:t>
        <a:bodyPr/>
        <a:lstStyle/>
        <a:p>
          <a:r>
            <a:rPr lang="en-US" dirty="0"/>
            <a:t>Excellent performance in the face of adversity</a:t>
          </a:r>
          <a:endParaRPr lang="en-US"/>
        </a:p>
      </dgm:t>
    </dgm:pt>
    <dgm:pt modelId="{12DDD835-59B7-094C-B7E1-9CB47496FD30}" type="parTrans" cxnId="{1967CB01-24CC-1A4D-B195-6EC09508D648}">
      <dgm:prSet/>
      <dgm:spPr/>
      <dgm:t>
        <a:bodyPr/>
        <a:lstStyle/>
        <a:p>
          <a:endParaRPr lang="en-GB"/>
        </a:p>
      </dgm:t>
    </dgm:pt>
    <dgm:pt modelId="{02AD7050-3A41-BA45-940A-6169B66B424A}" type="sibTrans" cxnId="{1967CB01-24CC-1A4D-B195-6EC09508D648}">
      <dgm:prSet/>
      <dgm:spPr/>
      <dgm:t>
        <a:bodyPr/>
        <a:lstStyle/>
        <a:p>
          <a:endParaRPr lang="en-GB"/>
        </a:p>
      </dgm:t>
    </dgm:pt>
    <dgm:pt modelId="{7C6B653E-EED3-9849-A28E-52BF714BA5F4}">
      <dgm:prSet phldrT="[Text]"/>
      <dgm:spPr/>
      <dgm:t>
        <a:bodyPr/>
        <a:lstStyle/>
        <a:p>
          <a:r>
            <a:rPr lang="en-US"/>
            <a:t>Inappropriate use of feature/s being assessed/major problems</a:t>
          </a:r>
        </a:p>
      </dgm:t>
    </dgm:pt>
    <dgm:pt modelId="{F9145434-CCAB-8549-9297-E06A6C2357C6}" type="parTrans" cxnId="{7522DFBC-23D7-3C4B-8FDA-D5112B4B5AD7}">
      <dgm:prSet/>
      <dgm:spPr/>
      <dgm:t>
        <a:bodyPr/>
        <a:lstStyle/>
        <a:p>
          <a:endParaRPr lang="en-GB"/>
        </a:p>
      </dgm:t>
    </dgm:pt>
    <dgm:pt modelId="{58BF07E1-DB9F-DA42-9027-E526F94C734A}" type="sibTrans" cxnId="{7522DFBC-23D7-3C4B-8FDA-D5112B4B5AD7}">
      <dgm:prSet/>
      <dgm:spPr/>
      <dgm:t>
        <a:bodyPr/>
        <a:lstStyle/>
        <a:p>
          <a:endParaRPr lang="en-GB"/>
        </a:p>
      </dgm:t>
    </dgm:pt>
    <dgm:pt modelId="{D7B1790C-41B5-584B-8FA8-735F24B709DC}">
      <dgm:prSet phldrT="[Text]"/>
      <dgm:spPr/>
      <dgm:t>
        <a:bodyPr/>
        <a:lstStyle/>
        <a:p>
          <a:r>
            <a:rPr lang="en-US" dirty="0"/>
            <a:t>Evidence of feature/s but problematic/lack of consistency</a:t>
          </a:r>
          <a:endParaRPr lang="en-US"/>
        </a:p>
      </dgm:t>
    </dgm:pt>
    <dgm:pt modelId="{DCDF2031-0BFD-784C-83D0-1C09763CC16B}" type="parTrans" cxnId="{3538C60B-B3EB-7F46-9424-1F76A8EFD069}">
      <dgm:prSet/>
      <dgm:spPr/>
      <dgm:t>
        <a:bodyPr/>
        <a:lstStyle/>
        <a:p>
          <a:endParaRPr lang="en-GB"/>
        </a:p>
      </dgm:t>
    </dgm:pt>
    <dgm:pt modelId="{011864B6-DABF-AE46-B687-718746052074}" type="sibTrans" cxnId="{3538C60B-B3EB-7F46-9424-1F76A8EFD069}">
      <dgm:prSet/>
      <dgm:spPr/>
      <dgm:t>
        <a:bodyPr/>
        <a:lstStyle/>
        <a:p>
          <a:endParaRPr lang="en-GB"/>
        </a:p>
      </dgm:t>
    </dgm:pt>
    <dgm:pt modelId="{3AB94E46-DB06-F947-9F3E-08BCFC44DC35}">
      <dgm:prSet/>
      <dgm:spPr/>
      <dgm:t>
        <a:bodyPr/>
        <a:lstStyle/>
        <a:p>
          <a:r>
            <a:rPr lang="en-US" dirty="0"/>
            <a:t>Competent but some problems/inconsistencies</a:t>
          </a:r>
          <a:endParaRPr lang="en-US"/>
        </a:p>
      </dgm:t>
    </dgm:pt>
    <dgm:pt modelId="{AE1D0FB2-F951-554B-BEAC-AC78100C6CB1}" type="parTrans" cxnId="{8E68080F-3A3E-2F4A-8284-8CD50CD32A1A}">
      <dgm:prSet/>
      <dgm:spPr/>
      <dgm:t>
        <a:bodyPr/>
        <a:lstStyle/>
        <a:p>
          <a:endParaRPr lang="en-GB"/>
        </a:p>
      </dgm:t>
    </dgm:pt>
    <dgm:pt modelId="{0C899468-5011-8742-B454-7B4198036AFE}" type="sibTrans" cxnId="{8E68080F-3A3E-2F4A-8284-8CD50CD32A1A}">
      <dgm:prSet/>
      <dgm:spPr/>
      <dgm:t>
        <a:bodyPr/>
        <a:lstStyle/>
        <a:p>
          <a:endParaRPr lang="en-GB"/>
        </a:p>
      </dgm:t>
    </dgm:pt>
    <dgm:pt modelId="{174C9ED2-4775-7649-AC8D-1B5518A7B8DF}">
      <dgm:prSet/>
      <dgm:spPr/>
      <dgm:t>
        <a:bodyPr/>
        <a:lstStyle/>
        <a:p>
          <a:r>
            <a:rPr lang="en-US" dirty="0"/>
            <a:t>Very good features minimal problems</a:t>
          </a:r>
          <a:endParaRPr lang="en-US"/>
        </a:p>
      </dgm:t>
    </dgm:pt>
    <dgm:pt modelId="{4B02B46F-E30B-7446-8104-61BDEAF0D5C2}" type="parTrans" cxnId="{E623ECD2-8ACF-574E-A22E-9A066B91F034}">
      <dgm:prSet/>
      <dgm:spPr/>
      <dgm:t>
        <a:bodyPr/>
        <a:lstStyle/>
        <a:p>
          <a:endParaRPr lang="en-GB"/>
        </a:p>
      </dgm:t>
    </dgm:pt>
    <dgm:pt modelId="{E7FF371A-ABDB-CD4C-A9D6-72C24B921DCB}" type="sibTrans" cxnId="{E623ECD2-8ACF-574E-A22E-9A066B91F034}">
      <dgm:prSet/>
      <dgm:spPr/>
      <dgm:t>
        <a:bodyPr/>
        <a:lstStyle/>
        <a:p>
          <a:endParaRPr lang="en-GB"/>
        </a:p>
      </dgm:t>
    </dgm:pt>
    <dgm:pt modelId="{47FF1A97-C1BD-C34C-9F7C-F226BE639E83}">
      <dgm:prSet/>
      <dgm:spPr/>
      <dgm:t>
        <a:bodyPr/>
        <a:lstStyle/>
        <a:p>
          <a:r>
            <a:rPr lang="en-US" dirty="0"/>
            <a:t>Good features but minor problems</a:t>
          </a:r>
          <a:endParaRPr lang="en-US"/>
        </a:p>
      </dgm:t>
    </dgm:pt>
    <dgm:pt modelId="{A79A04BD-BFEB-CD48-B77B-25EFD410ACE5}" type="parTrans" cxnId="{6B34D220-FBA8-6B47-9C43-A60FB7EB5875}">
      <dgm:prSet/>
      <dgm:spPr/>
      <dgm:t>
        <a:bodyPr/>
        <a:lstStyle/>
        <a:p>
          <a:endParaRPr lang="en-GB"/>
        </a:p>
      </dgm:t>
    </dgm:pt>
    <dgm:pt modelId="{1AAFB00B-35D4-5242-BCAF-21C54E5684D6}" type="sibTrans" cxnId="{6B34D220-FBA8-6B47-9C43-A60FB7EB5875}">
      <dgm:prSet/>
      <dgm:spPr/>
      <dgm:t>
        <a:bodyPr/>
        <a:lstStyle/>
        <a:p>
          <a:endParaRPr lang="en-GB"/>
        </a:p>
      </dgm:t>
    </dgm:pt>
    <dgm:pt modelId="{C6BA5976-0DFA-234F-93A6-797069246F27}" type="pres">
      <dgm:prSet presAssocID="{6CEC23CD-FDC8-D742-BCB4-14356AB05DAD}" presName="linearFlow" presStyleCnt="0">
        <dgm:presLayoutVars>
          <dgm:dir/>
          <dgm:animLvl val="lvl"/>
          <dgm:resizeHandles val="exact"/>
        </dgm:presLayoutVars>
      </dgm:prSet>
      <dgm:spPr/>
    </dgm:pt>
    <dgm:pt modelId="{AC93D9DA-70B6-8146-BC3D-AEB0003AA752}" type="pres">
      <dgm:prSet presAssocID="{29EE21AD-3923-5643-BE72-9DA05986C005}" presName="composite" presStyleCnt="0"/>
      <dgm:spPr/>
    </dgm:pt>
    <dgm:pt modelId="{81515690-2731-F542-B6BF-2CB8F44831EE}" type="pres">
      <dgm:prSet presAssocID="{29EE21AD-3923-5643-BE72-9DA05986C005}" presName="parentText" presStyleLbl="alignNode1" presStyleIdx="0" presStyleCnt="6">
        <dgm:presLayoutVars>
          <dgm:chMax val="1"/>
          <dgm:bulletEnabled val="1"/>
        </dgm:presLayoutVars>
      </dgm:prSet>
      <dgm:spPr/>
    </dgm:pt>
    <dgm:pt modelId="{41A1D2C7-B757-174D-9B2D-539CE9258215}" type="pres">
      <dgm:prSet presAssocID="{29EE21AD-3923-5643-BE72-9DA05986C005}" presName="descendantText" presStyleLbl="alignAcc1" presStyleIdx="0" presStyleCnt="6">
        <dgm:presLayoutVars>
          <dgm:bulletEnabled val="1"/>
        </dgm:presLayoutVars>
      </dgm:prSet>
      <dgm:spPr/>
    </dgm:pt>
    <dgm:pt modelId="{16526146-1BF5-0348-A669-67319BC9CB92}" type="pres">
      <dgm:prSet presAssocID="{9EDABAD9-4057-7240-89A3-FDB6F78D3358}" presName="sp" presStyleCnt="0"/>
      <dgm:spPr/>
    </dgm:pt>
    <dgm:pt modelId="{35938210-1D1D-994E-AEA0-0628F96C8644}" type="pres">
      <dgm:prSet presAssocID="{75783098-E46B-3B42-A757-352AB090EB19}" presName="composite" presStyleCnt="0"/>
      <dgm:spPr/>
    </dgm:pt>
    <dgm:pt modelId="{798A9169-D9FB-E44A-96D3-669DBD602241}" type="pres">
      <dgm:prSet presAssocID="{75783098-E46B-3B42-A757-352AB090EB19}" presName="parentText" presStyleLbl="alignNode1" presStyleIdx="1" presStyleCnt="6">
        <dgm:presLayoutVars>
          <dgm:chMax val="1"/>
          <dgm:bulletEnabled val="1"/>
        </dgm:presLayoutVars>
      </dgm:prSet>
      <dgm:spPr/>
    </dgm:pt>
    <dgm:pt modelId="{D92C6DDE-42E1-8047-869F-C1E19CD1D851}" type="pres">
      <dgm:prSet presAssocID="{75783098-E46B-3B42-A757-352AB090EB19}" presName="descendantText" presStyleLbl="alignAcc1" presStyleIdx="1" presStyleCnt="6">
        <dgm:presLayoutVars>
          <dgm:bulletEnabled val="1"/>
        </dgm:presLayoutVars>
      </dgm:prSet>
      <dgm:spPr/>
    </dgm:pt>
    <dgm:pt modelId="{4AF27955-F739-AE4C-AEA5-200B105539BB}" type="pres">
      <dgm:prSet presAssocID="{02A8202F-72D4-C546-B4F9-95D361763BA0}" presName="sp" presStyleCnt="0"/>
      <dgm:spPr/>
    </dgm:pt>
    <dgm:pt modelId="{DC3DCE35-7D6F-4D46-A29F-A361A22FFF33}" type="pres">
      <dgm:prSet presAssocID="{172D69D1-FF2C-5D4A-8A7C-F85A51C6441A}" presName="composite" presStyleCnt="0"/>
      <dgm:spPr/>
    </dgm:pt>
    <dgm:pt modelId="{0405FE90-6702-364B-9E4D-95CC1A64373D}" type="pres">
      <dgm:prSet presAssocID="{172D69D1-FF2C-5D4A-8A7C-F85A51C6441A}" presName="parentText" presStyleLbl="alignNode1" presStyleIdx="2" presStyleCnt="6">
        <dgm:presLayoutVars>
          <dgm:chMax val="1"/>
          <dgm:bulletEnabled val="1"/>
        </dgm:presLayoutVars>
      </dgm:prSet>
      <dgm:spPr/>
    </dgm:pt>
    <dgm:pt modelId="{D4718596-35B7-0748-A848-356F3183B794}" type="pres">
      <dgm:prSet presAssocID="{172D69D1-FF2C-5D4A-8A7C-F85A51C6441A}" presName="descendantText" presStyleLbl="alignAcc1" presStyleIdx="2" presStyleCnt="6">
        <dgm:presLayoutVars>
          <dgm:bulletEnabled val="1"/>
        </dgm:presLayoutVars>
      </dgm:prSet>
      <dgm:spPr/>
    </dgm:pt>
    <dgm:pt modelId="{7DBF79A3-8CA0-2347-9299-3836F21301D2}" type="pres">
      <dgm:prSet presAssocID="{186D04B8-4356-F946-A480-F4A8AE2CA6A5}" presName="sp" presStyleCnt="0"/>
      <dgm:spPr/>
    </dgm:pt>
    <dgm:pt modelId="{15B03EE0-177C-7A41-9295-F77607F3E9B8}" type="pres">
      <dgm:prSet presAssocID="{725AFD6E-BC77-8748-A209-323DACC5EEDD}" presName="composite" presStyleCnt="0"/>
      <dgm:spPr/>
    </dgm:pt>
    <dgm:pt modelId="{257F9943-1DAB-224C-BFC9-F35F23103A0A}" type="pres">
      <dgm:prSet presAssocID="{725AFD6E-BC77-8748-A209-323DACC5EEDD}" presName="parentText" presStyleLbl="alignNode1" presStyleIdx="3" presStyleCnt="6">
        <dgm:presLayoutVars>
          <dgm:chMax val="1"/>
          <dgm:bulletEnabled val="1"/>
        </dgm:presLayoutVars>
      </dgm:prSet>
      <dgm:spPr/>
    </dgm:pt>
    <dgm:pt modelId="{F9F86B3C-459F-A945-9AF8-250A5BBDDF19}" type="pres">
      <dgm:prSet presAssocID="{725AFD6E-BC77-8748-A209-323DACC5EEDD}" presName="descendantText" presStyleLbl="alignAcc1" presStyleIdx="3" presStyleCnt="6">
        <dgm:presLayoutVars>
          <dgm:bulletEnabled val="1"/>
        </dgm:presLayoutVars>
      </dgm:prSet>
      <dgm:spPr/>
    </dgm:pt>
    <dgm:pt modelId="{422407EA-D50C-6143-9F26-7C81A37E8898}" type="pres">
      <dgm:prSet presAssocID="{A0464CF7-5320-7940-AA66-052FCDAADC78}" presName="sp" presStyleCnt="0"/>
      <dgm:spPr/>
    </dgm:pt>
    <dgm:pt modelId="{1F235C41-D18E-B44E-B3CA-A75A0A075966}" type="pres">
      <dgm:prSet presAssocID="{2BCD0B1F-B971-9143-8C1A-C295FAE0318E}" presName="composite" presStyleCnt="0"/>
      <dgm:spPr/>
    </dgm:pt>
    <dgm:pt modelId="{F286DC80-FF48-F640-A86F-460680A23097}" type="pres">
      <dgm:prSet presAssocID="{2BCD0B1F-B971-9143-8C1A-C295FAE0318E}" presName="parentText" presStyleLbl="alignNode1" presStyleIdx="4" presStyleCnt="6">
        <dgm:presLayoutVars>
          <dgm:chMax val="1"/>
          <dgm:bulletEnabled val="1"/>
        </dgm:presLayoutVars>
      </dgm:prSet>
      <dgm:spPr/>
    </dgm:pt>
    <dgm:pt modelId="{2F8B40DC-0929-FC44-A29F-7B705CF65337}" type="pres">
      <dgm:prSet presAssocID="{2BCD0B1F-B971-9143-8C1A-C295FAE0318E}" presName="descendantText" presStyleLbl="alignAcc1" presStyleIdx="4" presStyleCnt="6">
        <dgm:presLayoutVars>
          <dgm:bulletEnabled val="1"/>
        </dgm:presLayoutVars>
      </dgm:prSet>
      <dgm:spPr/>
    </dgm:pt>
    <dgm:pt modelId="{E2FC3E07-F509-6748-8756-933D2B4BB09D}" type="pres">
      <dgm:prSet presAssocID="{FA4D48FB-92E4-2D45-AAA9-2DDE5608621A}" presName="sp" presStyleCnt="0"/>
      <dgm:spPr/>
    </dgm:pt>
    <dgm:pt modelId="{2877F541-5423-EF44-9A31-C215F089B137}" type="pres">
      <dgm:prSet presAssocID="{5476A38B-E13D-6E46-8D29-11CBC143513C}" presName="composite" presStyleCnt="0"/>
      <dgm:spPr/>
    </dgm:pt>
    <dgm:pt modelId="{76C2564D-4EAB-A945-BA58-6075F7806715}" type="pres">
      <dgm:prSet presAssocID="{5476A38B-E13D-6E46-8D29-11CBC143513C}" presName="parentText" presStyleLbl="alignNode1" presStyleIdx="5" presStyleCnt="6">
        <dgm:presLayoutVars>
          <dgm:chMax val="1"/>
          <dgm:bulletEnabled val="1"/>
        </dgm:presLayoutVars>
      </dgm:prSet>
      <dgm:spPr/>
    </dgm:pt>
    <dgm:pt modelId="{BF046ADF-D39E-FA43-A225-9B9E5C798389}" type="pres">
      <dgm:prSet presAssocID="{5476A38B-E13D-6E46-8D29-11CBC143513C}" presName="descendantText" presStyleLbl="alignAcc1" presStyleIdx="5" presStyleCnt="6">
        <dgm:presLayoutVars>
          <dgm:bulletEnabled val="1"/>
        </dgm:presLayoutVars>
      </dgm:prSet>
      <dgm:spPr/>
    </dgm:pt>
  </dgm:ptLst>
  <dgm:cxnLst>
    <dgm:cxn modelId="{1967CB01-24CC-1A4D-B195-6EC09508D648}" srcId="{5476A38B-E13D-6E46-8D29-11CBC143513C}" destId="{7BAFAD0E-24C3-0042-87CC-529687F4553E}" srcOrd="1" destOrd="0" parTransId="{12DDD835-59B7-094C-B7E1-9CB47496FD30}" sibTransId="{02AD7050-3A41-BA45-940A-6169B66B424A}"/>
    <dgm:cxn modelId="{5BB46802-DA74-BE44-8F15-4589EB9FC4FE}" type="presOf" srcId="{42323348-FD92-8449-80FE-14879A3CB61C}" destId="{D4718596-35B7-0748-A848-356F3183B794}" srcOrd="0" destOrd="2" presId="urn:microsoft.com/office/officeart/2005/8/layout/chevron2"/>
    <dgm:cxn modelId="{3538C60B-B3EB-7F46-9424-1F76A8EFD069}" srcId="{172D69D1-FF2C-5D4A-8A7C-F85A51C6441A}" destId="{D7B1790C-41B5-584B-8FA8-735F24B709DC}" srcOrd="1" destOrd="0" parTransId="{DCDF2031-0BFD-784C-83D0-1C09763CC16B}" sibTransId="{011864B6-DABF-AE46-B687-718746052074}"/>
    <dgm:cxn modelId="{8E68080F-3A3E-2F4A-8284-8CD50CD32A1A}" srcId="{725AFD6E-BC77-8748-A209-323DACC5EEDD}" destId="{3AB94E46-DB06-F947-9F3E-08BCFC44DC35}" srcOrd="1" destOrd="0" parTransId="{AE1D0FB2-F951-554B-BEAC-AC78100C6CB1}" sibTransId="{0C899468-5011-8742-B454-7B4198036AFE}"/>
    <dgm:cxn modelId="{5869F212-1D03-6E40-87B9-B2D14E4333BD}" type="presOf" srcId="{B7534F24-2285-1945-94CD-008144E8FE73}" destId="{D92C6DDE-42E1-8047-869F-C1E19CD1D851}" srcOrd="0" destOrd="0" presId="urn:microsoft.com/office/officeart/2005/8/layout/chevron2"/>
    <dgm:cxn modelId="{33DCF216-C54E-674C-B628-11D050894EC2}" srcId="{29EE21AD-3923-5643-BE72-9DA05986C005}" destId="{2FECAD04-0A99-AA46-9309-EA0D07A96011}" srcOrd="2" destOrd="0" parTransId="{0DF87134-0ACA-3A4C-AD6D-571CEC60488D}" sibTransId="{BF65B2AB-6582-DE44-B5F9-DC91E6BE9597}"/>
    <dgm:cxn modelId="{AE550B19-361E-AF45-8021-914CA270BDBA}" type="presOf" srcId="{75783098-E46B-3B42-A757-352AB090EB19}" destId="{798A9169-D9FB-E44A-96D3-669DBD602241}" srcOrd="0" destOrd="0" presId="urn:microsoft.com/office/officeart/2005/8/layout/chevron2"/>
    <dgm:cxn modelId="{6B34D220-FBA8-6B47-9C43-A60FB7EB5875}" srcId="{2BCD0B1F-B971-9143-8C1A-C295FAE0318E}" destId="{47FF1A97-C1BD-C34C-9F7C-F226BE639E83}" srcOrd="1" destOrd="0" parTransId="{A79A04BD-BFEB-CD48-B77B-25EFD410ACE5}" sibTransId="{1AAFB00B-35D4-5242-BCAF-21C54E5684D6}"/>
    <dgm:cxn modelId="{E04AF220-28E0-CF4B-9519-AB65F6DF20BA}" type="presOf" srcId="{C97E6509-A378-BC45-BEE7-FFB991520FCA}" destId="{BF046ADF-D39E-FA43-A225-9B9E5C798389}" srcOrd="0" destOrd="0" presId="urn:microsoft.com/office/officeart/2005/8/layout/chevron2"/>
    <dgm:cxn modelId="{A0017C21-D3F8-CC4F-A618-05BD1F8E4475}" type="presOf" srcId="{25BE29E7-04E0-2C41-B6F9-2E67D042A6DE}" destId="{F9F86B3C-459F-A945-9AF8-250A5BBDDF19}" srcOrd="0" destOrd="0" presId="urn:microsoft.com/office/officeart/2005/8/layout/chevron2"/>
    <dgm:cxn modelId="{CF687F22-B5B5-AC42-A5BA-96D8D7257971}" type="presOf" srcId="{2FECAD04-0A99-AA46-9309-EA0D07A96011}" destId="{41A1D2C7-B757-174D-9B2D-539CE9258215}" srcOrd="0" destOrd="2" presId="urn:microsoft.com/office/officeart/2005/8/layout/chevron2"/>
    <dgm:cxn modelId="{2CD0A624-9F30-BA43-8155-02980932BF55}" type="presOf" srcId="{2BCD0B1F-B971-9143-8C1A-C295FAE0318E}" destId="{F286DC80-FF48-F640-A86F-460680A23097}" srcOrd="0" destOrd="0" presId="urn:microsoft.com/office/officeart/2005/8/layout/chevron2"/>
    <dgm:cxn modelId="{6D642A25-F45A-9841-8E6E-E5877F5ECEB7}" type="presOf" srcId="{3AB94E46-DB06-F947-9F3E-08BCFC44DC35}" destId="{F9F86B3C-459F-A945-9AF8-250A5BBDDF19}" srcOrd="0" destOrd="1" presId="urn:microsoft.com/office/officeart/2005/8/layout/chevron2"/>
    <dgm:cxn modelId="{F18A8525-54F8-8345-86AD-677E5ED8B8D0}" srcId="{172D69D1-FF2C-5D4A-8A7C-F85A51C6441A}" destId="{42323348-FD92-8449-80FE-14879A3CB61C}" srcOrd="2" destOrd="0" parTransId="{99A9F160-2E22-7B45-ADB0-05F14292DEB1}" sibTransId="{7634DA93-5D7C-EA46-9FB4-6F7795B95A05}"/>
    <dgm:cxn modelId="{9127AB26-4AC6-7D4D-BE9D-C00DD849FC36}" srcId="{172D69D1-FF2C-5D4A-8A7C-F85A51C6441A}" destId="{27595020-555B-FC4A-8A65-01BA7CECA3CA}" srcOrd="0" destOrd="0" parTransId="{F0059F80-2FA5-D949-AA76-3A6A9E9EC805}" sibTransId="{F4DBB3C5-5CF1-F24A-BE8E-9E4B0F85481E}"/>
    <dgm:cxn modelId="{6B65272F-721C-4C44-8DF7-9A802AD32599}" type="presOf" srcId="{29EE21AD-3923-5643-BE72-9DA05986C005}" destId="{81515690-2731-F542-B6BF-2CB8F44831EE}" srcOrd="0" destOrd="0" presId="urn:microsoft.com/office/officeart/2005/8/layout/chevron2"/>
    <dgm:cxn modelId="{6FA37431-3042-0F43-9227-38CA6206192C}" type="presOf" srcId="{6CEC23CD-FDC8-D742-BCB4-14356AB05DAD}" destId="{C6BA5976-0DFA-234F-93A6-797069246F27}" srcOrd="0" destOrd="0" presId="urn:microsoft.com/office/officeart/2005/8/layout/chevron2"/>
    <dgm:cxn modelId="{E9998234-65E6-9945-B296-002844041AC9}" type="presOf" srcId="{27595020-555B-FC4A-8A65-01BA7CECA3CA}" destId="{D4718596-35B7-0748-A848-356F3183B794}" srcOrd="0" destOrd="0" presId="urn:microsoft.com/office/officeart/2005/8/layout/chevron2"/>
    <dgm:cxn modelId="{4A13DF39-7C39-1743-8865-3F9983096B71}" srcId="{75783098-E46B-3B42-A757-352AB090EB19}" destId="{6C512A54-6B98-164F-AAB4-B6BC45919644}" srcOrd="2" destOrd="0" parTransId="{589CC0B2-4D75-3346-9733-3890BC62A74D}" sibTransId="{3F742384-4D95-A143-BA13-0D866CB98FE0}"/>
    <dgm:cxn modelId="{F22CF13A-797E-934C-A1B9-D50F6F8D4E1F}" srcId="{6CEC23CD-FDC8-D742-BCB4-14356AB05DAD}" destId="{2BCD0B1F-B971-9143-8C1A-C295FAE0318E}" srcOrd="4" destOrd="0" parTransId="{2615B880-2A4A-9840-8BC1-FB22525F7991}" sibTransId="{FA4D48FB-92E4-2D45-AAA9-2DDE5608621A}"/>
    <dgm:cxn modelId="{C2737A41-8574-1743-A7D5-7BCABCB52019}" srcId="{2BCD0B1F-B971-9143-8C1A-C295FAE0318E}" destId="{8B81E66E-976F-EC4B-A7B5-8FAE800EC8C3}" srcOrd="0" destOrd="0" parTransId="{764F28EA-FB2D-6543-A326-3AAB506A9105}" sibTransId="{42998D7F-BEFB-9542-9162-84B878FBF1A1}"/>
    <dgm:cxn modelId="{BF156764-281B-8141-8967-CAA98580651B}" srcId="{75783098-E46B-3B42-A757-352AB090EB19}" destId="{B7534F24-2285-1945-94CD-008144E8FE73}" srcOrd="0" destOrd="0" parTransId="{CF6C708C-AE42-3A49-80C3-F420785EBDCA}" sibTransId="{15D76B7D-810D-AB4E-9781-B96404572546}"/>
    <dgm:cxn modelId="{98660165-E09D-2144-8863-3261334C20B7}" type="presOf" srcId="{725AFD6E-BC77-8748-A209-323DACC5EEDD}" destId="{257F9943-1DAB-224C-BFC9-F35F23103A0A}" srcOrd="0" destOrd="0" presId="urn:microsoft.com/office/officeart/2005/8/layout/chevron2"/>
    <dgm:cxn modelId="{21005D66-F2FE-594A-B323-2AA4CBCB7003}" type="presOf" srcId="{174C9ED2-4775-7649-AC8D-1B5518A7B8DF}" destId="{2F8B40DC-0929-FC44-A29F-7B705CF65337}" srcOrd="0" destOrd="2" presId="urn:microsoft.com/office/officeart/2005/8/layout/chevron2"/>
    <dgm:cxn modelId="{AD2A0D50-60B2-4142-AF41-10A541D83FC4}" type="presOf" srcId="{8B81E66E-976F-EC4B-A7B5-8FAE800EC8C3}" destId="{2F8B40DC-0929-FC44-A29F-7B705CF65337}" srcOrd="0" destOrd="0" presId="urn:microsoft.com/office/officeart/2005/8/layout/chevron2"/>
    <dgm:cxn modelId="{C3A74E51-8173-E046-B1FF-70582D615D30}" type="presOf" srcId="{7AEE73BD-1FC0-314B-94C3-1D95DEB72260}" destId="{41A1D2C7-B757-174D-9B2D-539CE9258215}" srcOrd="0" destOrd="1" presId="urn:microsoft.com/office/officeart/2005/8/layout/chevron2"/>
    <dgm:cxn modelId="{803BFD72-0D65-774D-B381-9A7F3FDE30E9}" srcId="{6CEC23CD-FDC8-D742-BCB4-14356AB05DAD}" destId="{172D69D1-FF2C-5D4A-8A7C-F85A51C6441A}" srcOrd="2" destOrd="0" parTransId="{A265643C-0ECD-E745-9BBE-D5C872B2AAF1}" sibTransId="{186D04B8-4356-F946-A480-F4A8AE2CA6A5}"/>
    <dgm:cxn modelId="{E233447F-B247-2949-853A-B33E2D3077ED}" srcId="{6CEC23CD-FDC8-D742-BCB4-14356AB05DAD}" destId="{29EE21AD-3923-5643-BE72-9DA05986C005}" srcOrd="0" destOrd="0" parTransId="{0F00FE51-5057-9B44-8CAD-376720A42774}" sibTransId="{9EDABAD9-4057-7240-89A3-FDB6F78D3358}"/>
    <dgm:cxn modelId="{198E3780-28A5-B84B-BA42-83B56B43D564}" srcId="{5476A38B-E13D-6E46-8D29-11CBC143513C}" destId="{C97E6509-A378-BC45-BEE7-FFB991520FCA}" srcOrd="0" destOrd="0" parTransId="{483AB50D-53CF-B44C-AEC1-9BFFCD6018ED}" sibTransId="{1E35F56A-7BCB-044A-9465-5AE4A09B98B1}"/>
    <dgm:cxn modelId="{96CC70A3-9435-8249-881F-BF66FBE7206D}" srcId="{6CEC23CD-FDC8-D742-BCB4-14356AB05DAD}" destId="{5476A38B-E13D-6E46-8D29-11CBC143513C}" srcOrd="5" destOrd="0" parTransId="{3A5B59D8-878D-1A4F-897C-145489300A84}" sibTransId="{3D7740C3-4E2D-384E-87B6-20D8CE34F88D}"/>
    <dgm:cxn modelId="{441D43A7-5F6C-0445-9C43-F14F45D0D239}" type="presOf" srcId="{D7B1790C-41B5-584B-8FA8-735F24B709DC}" destId="{D4718596-35B7-0748-A848-356F3183B794}" srcOrd="0" destOrd="1" presId="urn:microsoft.com/office/officeart/2005/8/layout/chevron2"/>
    <dgm:cxn modelId="{8E8971AC-4B74-4946-94C5-324EBAE1058A}" type="presOf" srcId="{172D69D1-FF2C-5D4A-8A7C-F85A51C6441A}" destId="{0405FE90-6702-364B-9E4D-95CC1A64373D}" srcOrd="0" destOrd="0" presId="urn:microsoft.com/office/officeart/2005/8/layout/chevron2"/>
    <dgm:cxn modelId="{53BE21B2-0C6C-5C40-B31D-E652FF7E71FE}" type="presOf" srcId="{95EC139D-F0B6-CB4A-96E8-6882B4BBAE57}" destId="{41A1D2C7-B757-174D-9B2D-539CE9258215}" srcOrd="0" destOrd="0" presId="urn:microsoft.com/office/officeart/2005/8/layout/chevron2"/>
    <dgm:cxn modelId="{7522DFBC-23D7-3C4B-8FDA-D5112B4B5AD7}" srcId="{75783098-E46B-3B42-A757-352AB090EB19}" destId="{7C6B653E-EED3-9849-A28E-52BF714BA5F4}" srcOrd="1" destOrd="0" parTransId="{F9145434-CCAB-8549-9297-E06A6C2357C6}" sibTransId="{58BF07E1-DB9F-DA42-9027-E526F94C734A}"/>
    <dgm:cxn modelId="{31AE65BE-00BE-3F4A-AE93-FE40923BD23C}" srcId="{6CEC23CD-FDC8-D742-BCB4-14356AB05DAD}" destId="{725AFD6E-BC77-8748-A209-323DACC5EEDD}" srcOrd="3" destOrd="0" parTransId="{1FDB54E0-FDCD-484E-9D57-407A04422D0E}" sibTransId="{A0464CF7-5320-7940-AA66-052FCDAADC78}"/>
    <dgm:cxn modelId="{BDECEDBF-9EC7-D744-A5E6-FB1CCBC94037}" type="presOf" srcId="{5476A38B-E13D-6E46-8D29-11CBC143513C}" destId="{76C2564D-4EAB-A945-BA58-6075F7806715}" srcOrd="0" destOrd="0" presId="urn:microsoft.com/office/officeart/2005/8/layout/chevron2"/>
    <dgm:cxn modelId="{3ED049C7-C720-7F46-8400-8F8A2D6C6F1D}" type="presOf" srcId="{47FF1A97-C1BD-C34C-9F7C-F226BE639E83}" destId="{2F8B40DC-0929-FC44-A29F-7B705CF65337}" srcOrd="0" destOrd="1" presId="urn:microsoft.com/office/officeart/2005/8/layout/chevron2"/>
    <dgm:cxn modelId="{B84FB5C7-4F4A-4D43-984E-E37C3DC9C189}" type="presOf" srcId="{B5265F65-62FD-3249-A694-8FEC43037D99}" destId="{F9F86B3C-459F-A945-9AF8-250A5BBDDF19}" srcOrd="0" destOrd="2" presId="urn:microsoft.com/office/officeart/2005/8/layout/chevron2"/>
    <dgm:cxn modelId="{1183BCC8-A6D9-E349-95C9-F07C89FB9B29}" srcId="{725AFD6E-BC77-8748-A209-323DACC5EEDD}" destId="{B5265F65-62FD-3249-A694-8FEC43037D99}" srcOrd="2" destOrd="0" parTransId="{D09C60C1-0CEB-364C-A8AE-3EAB2EFCC070}" sibTransId="{94277EBA-50FE-E445-9C60-42CA0E3E3320}"/>
    <dgm:cxn modelId="{510A12CD-59D0-FC45-B672-284F1C44DA5F}" srcId="{725AFD6E-BC77-8748-A209-323DACC5EEDD}" destId="{25BE29E7-04E0-2C41-B6F9-2E67D042A6DE}" srcOrd="0" destOrd="0" parTransId="{1FCF2A87-422D-7442-8AD5-3DC352703B18}" sibTransId="{8DF458A8-1A8D-1441-BDA9-393F0814B817}"/>
    <dgm:cxn modelId="{E623ECD2-8ACF-574E-A22E-9A066B91F034}" srcId="{2BCD0B1F-B971-9143-8C1A-C295FAE0318E}" destId="{174C9ED2-4775-7649-AC8D-1B5518A7B8DF}" srcOrd="2" destOrd="0" parTransId="{4B02B46F-E30B-7446-8104-61BDEAF0D5C2}" sibTransId="{E7FF371A-ABDB-CD4C-A9D6-72C24B921DCB}"/>
    <dgm:cxn modelId="{C099D8D5-0C5A-3644-91B4-7C7AD65DFE90}" srcId="{29EE21AD-3923-5643-BE72-9DA05986C005}" destId="{7AEE73BD-1FC0-314B-94C3-1D95DEB72260}" srcOrd="1" destOrd="0" parTransId="{A8541F5E-31F9-854F-9911-F8521B8C64A8}" sibTransId="{4694A75D-C886-9C46-BBE6-33A2666252E0}"/>
    <dgm:cxn modelId="{94BFD2D7-CBE3-5E44-90AF-C8E35EF4C8C3}" srcId="{6CEC23CD-FDC8-D742-BCB4-14356AB05DAD}" destId="{75783098-E46B-3B42-A757-352AB090EB19}" srcOrd="1" destOrd="0" parTransId="{5EC2B5CB-4A59-D342-BE58-903543EEF7A2}" sibTransId="{02A8202F-72D4-C546-B4F9-95D361763BA0}"/>
    <dgm:cxn modelId="{2A5CEBE0-26BC-7847-B428-5784BF7AE926}" type="presOf" srcId="{6C512A54-6B98-164F-AAB4-B6BC45919644}" destId="{D92C6DDE-42E1-8047-869F-C1E19CD1D851}" srcOrd="0" destOrd="2" presId="urn:microsoft.com/office/officeart/2005/8/layout/chevron2"/>
    <dgm:cxn modelId="{ED1C9FE6-8B3E-DB4B-8F4D-95647CA07246}" srcId="{29EE21AD-3923-5643-BE72-9DA05986C005}" destId="{95EC139D-F0B6-CB4A-96E8-6882B4BBAE57}" srcOrd="0" destOrd="0" parTransId="{BA3FD82E-730D-8247-9A77-B44EF984B222}" sibTransId="{38E7B3EA-DD6C-0745-B28E-032B90A57A31}"/>
    <dgm:cxn modelId="{0C86DBF3-A395-1446-AC9C-F5C794041C72}" type="presOf" srcId="{7C6B653E-EED3-9849-A28E-52BF714BA5F4}" destId="{D92C6DDE-42E1-8047-869F-C1E19CD1D851}" srcOrd="0" destOrd="1" presId="urn:microsoft.com/office/officeart/2005/8/layout/chevron2"/>
    <dgm:cxn modelId="{5846D4F8-7494-8C4C-AC8B-2AB61F1FED0A}" type="presOf" srcId="{7BAFAD0E-24C3-0042-87CC-529687F4553E}" destId="{BF046ADF-D39E-FA43-A225-9B9E5C798389}" srcOrd="0" destOrd="1" presId="urn:microsoft.com/office/officeart/2005/8/layout/chevron2"/>
    <dgm:cxn modelId="{CE94331C-F0DD-844C-8E32-DD905C918348}" type="presParOf" srcId="{C6BA5976-0DFA-234F-93A6-797069246F27}" destId="{AC93D9DA-70B6-8146-BC3D-AEB0003AA752}" srcOrd="0" destOrd="0" presId="urn:microsoft.com/office/officeart/2005/8/layout/chevron2"/>
    <dgm:cxn modelId="{D74EB12B-FC6B-1D47-807F-C1F0DCA9A5D4}" type="presParOf" srcId="{AC93D9DA-70B6-8146-BC3D-AEB0003AA752}" destId="{81515690-2731-F542-B6BF-2CB8F44831EE}" srcOrd="0" destOrd="0" presId="urn:microsoft.com/office/officeart/2005/8/layout/chevron2"/>
    <dgm:cxn modelId="{8BFBE29B-AC1B-9B4F-A085-212EEC0EDDDD}" type="presParOf" srcId="{AC93D9DA-70B6-8146-BC3D-AEB0003AA752}" destId="{41A1D2C7-B757-174D-9B2D-539CE9258215}" srcOrd="1" destOrd="0" presId="urn:microsoft.com/office/officeart/2005/8/layout/chevron2"/>
    <dgm:cxn modelId="{72C10EC0-FAC9-D944-AA38-8861DDB8410E}" type="presParOf" srcId="{C6BA5976-0DFA-234F-93A6-797069246F27}" destId="{16526146-1BF5-0348-A669-67319BC9CB92}" srcOrd="1" destOrd="0" presId="urn:microsoft.com/office/officeart/2005/8/layout/chevron2"/>
    <dgm:cxn modelId="{F201893C-B94F-C545-B9B3-0C11145A96CC}" type="presParOf" srcId="{C6BA5976-0DFA-234F-93A6-797069246F27}" destId="{35938210-1D1D-994E-AEA0-0628F96C8644}" srcOrd="2" destOrd="0" presId="urn:microsoft.com/office/officeart/2005/8/layout/chevron2"/>
    <dgm:cxn modelId="{4AAE8AA4-17E5-D74B-8EBF-237B2624902D}" type="presParOf" srcId="{35938210-1D1D-994E-AEA0-0628F96C8644}" destId="{798A9169-D9FB-E44A-96D3-669DBD602241}" srcOrd="0" destOrd="0" presId="urn:microsoft.com/office/officeart/2005/8/layout/chevron2"/>
    <dgm:cxn modelId="{C08A60E0-38F3-A941-AE93-62DE4C9C795E}" type="presParOf" srcId="{35938210-1D1D-994E-AEA0-0628F96C8644}" destId="{D92C6DDE-42E1-8047-869F-C1E19CD1D851}" srcOrd="1" destOrd="0" presId="urn:microsoft.com/office/officeart/2005/8/layout/chevron2"/>
    <dgm:cxn modelId="{7BE03C91-4A24-3C4D-ADC5-3716C3CF8A29}" type="presParOf" srcId="{C6BA5976-0DFA-234F-93A6-797069246F27}" destId="{4AF27955-F739-AE4C-AEA5-200B105539BB}" srcOrd="3" destOrd="0" presId="urn:microsoft.com/office/officeart/2005/8/layout/chevron2"/>
    <dgm:cxn modelId="{843B9402-4218-2C43-B9D7-ACBE8877ADE5}" type="presParOf" srcId="{C6BA5976-0DFA-234F-93A6-797069246F27}" destId="{DC3DCE35-7D6F-4D46-A29F-A361A22FFF33}" srcOrd="4" destOrd="0" presId="urn:microsoft.com/office/officeart/2005/8/layout/chevron2"/>
    <dgm:cxn modelId="{FBFEB14E-A5C5-AD47-9001-1DA659555ADC}" type="presParOf" srcId="{DC3DCE35-7D6F-4D46-A29F-A361A22FFF33}" destId="{0405FE90-6702-364B-9E4D-95CC1A64373D}" srcOrd="0" destOrd="0" presId="urn:microsoft.com/office/officeart/2005/8/layout/chevron2"/>
    <dgm:cxn modelId="{19A6E6FE-0919-984E-914B-2944340C6D82}" type="presParOf" srcId="{DC3DCE35-7D6F-4D46-A29F-A361A22FFF33}" destId="{D4718596-35B7-0748-A848-356F3183B794}" srcOrd="1" destOrd="0" presId="urn:microsoft.com/office/officeart/2005/8/layout/chevron2"/>
    <dgm:cxn modelId="{EEB419F5-A996-584F-B097-50508802BBFF}" type="presParOf" srcId="{C6BA5976-0DFA-234F-93A6-797069246F27}" destId="{7DBF79A3-8CA0-2347-9299-3836F21301D2}" srcOrd="5" destOrd="0" presId="urn:microsoft.com/office/officeart/2005/8/layout/chevron2"/>
    <dgm:cxn modelId="{30154D9C-F856-5E4A-A83B-90F03602ED92}" type="presParOf" srcId="{C6BA5976-0DFA-234F-93A6-797069246F27}" destId="{15B03EE0-177C-7A41-9295-F77607F3E9B8}" srcOrd="6" destOrd="0" presId="urn:microsoft.com/office/officeart/2005/8/layout/chevron2"/>
    <dgm:cxn modelId="{30444691-6BCF-314A-8D34-C28F75BCB4C4}" type="presParOf" srcId="{15B03EE0-177C-7A41-9295-F77607F3E9B8}" destId="{257F9943-1DAB-224C-BFC9-F35F23103A0A}" srcOrd="0" destOrd="0" presId="urn:microsoft.com/office/officeart/2005/8/layout/chevron2"/>
    <dgm:cxn modelId="{7C16A696-7F3C-C64C-826E-3BDF74AE9278}" type="presParOf" srcId="{15B03EE0-177C-7A41-9295-F77607F3E9B8}" destId="{F9F86B3C-459F-A945-9AF8-250A5BBDDF19}" srcOrd="1" destOrd="0" presId="urn:microsoft.com/office/officeart/2005/8/layout/chevron2"/>
    <dgm:cxn modelId="{9B1A347F-813D-6F42-8565-5AF4A5B2A985}" type="presParOf" srcId="{C6BA5976-0DFA-234F-93A6-797069246F27}" destId="{422407EA-D50C-6143-9F26-7C81A37E8898}" srcOrd="7" destOrd="0" presId="urn:microsoft.com/office/officeart/2005/8/layout/chevron2"/>
    <dgm:cxn modelId="{B5791E5B-590B-6446-A09F-618DF609490E}" type="presParOf" srcId="{C6BA5976-0DFA-234F-93A6-797069246F27}" destId="{1F235C41-D18E-B44E-B3CA-A75A0A075966}" srcOrd="8" destOrd="0" presId="urn:microsoft.com/office/officeart/2005/8/layout/chevron2"/>
    <dgm:cxn modelId="{60CC0BA3-8E16-2C42-9115-6B3E1B779837}" type="presParOf" srcId="{1F235C41-D18E-B44E-B3CA-A75A0A075966}" destId="{F286DC80-FF48-F640-A86F-460680A23097}" srcOrd="0" destOrd="0" presId="urn:microsoft.com/office/officeart/2005/8/layout/chevron2"/>
    <dgm:cxn modelId="{C2F06178-8A58-4141-9A2A-8B0B06667965}" type="presParOf" srcId="{1F235C41-D18E-B44E-B3CA-A75A0A075966}" destId="{2F8B40DC-0929-FC44-A29F-7B705CF65337}" srcOrd="1" destOrd="0" presId="urn:microsoft.com/office/officeart/2005/8/layout/chevron2"/>
    <dgm:cxn modelId="{480EF34B-6175-9544-A207-12E051DD1B3C}" type="presParOf" srcId="{C6BA5976-0DFA-234F-93A6-797069246F27}" destId="{E2FC3E07-F509-6748-8756-933D2B4BB09D}" srcOrd="9" destOrd="0" presId="urn:microsoft.com/office/officeart/2005/8/layout/chevron2"/>
    <dgm:cxn modelId="{0B38C78B-B9A0-4C48-98F6-0D78FCAEC587}" type="presParOf" srcId="{C6BA5976-0DFA-234F-93A6-797069246F27}" destId="{2877F541-5423-EF44-9A31-C215F089B137}" srcOrd="10" destOrd="0" presId="urn:microsoft.com/office/officeart/2005/8/layout/chevron2"/>
    <dgm:cxn modelId="{E58D639F-BA6F-DD47-B113-89334035E7CC}" type="presParOf" srcId="{2877F541-5423-EF44-9A31-C215F089B137}" destId="{76C2564D-4EAB-A945-BA58-6075F7806715}" srcOrd="0" destOrd="0" presId="urn:microsoft.com/office/officeart/2005/8/layout/chevron2"/>
    <dgm:cxn modelId="{958A7A80-D6A6-2841-827C-21E20154D6E2}" type="presParOf" srcId="{2877F541-5423-EF44-9A31-C215F089B137}" destId="{BF046ADF-D39E-FA43-A225-9B9E5C798389}" srcOrd="1" destOrd="0" presId="urn:microsoft.com/office/officeart/2005/8/layout/chevron2"/>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8937593-6F7A-FD45-B708-13521310ED76}" type="doc">
      <dgm:prSet loTypeId="urn:microsoft.com/office/officeart/2005/8/layout/radial4" loCatId="" qsTypeId="urn:microsoft.com/office/officeart/2005/8/quickstyle/simple1" qsCatId="simple" csTypeId="urn:microsoft.com/office/officeart/2005/8/colors/colorful3" csCatId="colorful" phldr="1"/>
      <dgm:spPr/>
      <dgm:t>
        <a:bodyPr/>
        <a:lstStyle/>
        <a:p>
          <a:endParaRPr lang="en-US"/>
        </a:p>
      </dgm:t>
    </dgm:pt>
    <dgm:pt modelId="{8A4C36E0-8599-2548-884F-6CB117BF9A39}">
      <dgm:prSet phldrT="[Text]"/>
      <dgm:spPr/>
      <dgm:t>
        <a:bodyPr/>
        <a:lstStyle/>
        <a:p>
          <a:r>
            <a:rPr lang="en-US"/>
            <a:t>Clinical outcomes</a:t>
          </a:r>
        </a:p>
      </dgm:t>
    </dgm:pt>
    <dgm:pt modelId="{DF7B2B2B-5AAE-814C-9B15-3AFB55DEF88E}" type="parTrans" cxnId="{A9A33E26-3074-3149-B80D-8BFD9EF536A7}">
      <dgm:prSet/>
      <dgm:spPr/>
      <dgm:t>
        <a:bodyPr/>
        <a:lstStyle/>
        <a:p>
          <a:endParaRPr lang="en-US"/>
        </a:p>
      </dgm:t>
    </dgm:pt>
    <dgm:pt modelId="{0423BB58-38AA-8240-A50D-620DD8A8CAC3}" type="sibTrans" cxnId="{A9A33E26-3074-3149-B80D-8BFD9EF536A7}">
      <dgm:prSet/>
      <dgm:spPr/>
      <dgm:t>
        <a:bodyPr/>
        <a:lstStyle/>
        <a:p>
          <a:endParaRPr lang="en-US"/>
        </a:p>
      </dgm:t>
    </dgm:pt>
    <dgm:pt modelId="{55394775-9DCE-E740-83F8-455030256EA7}">
      <dgm:prSet phldrT="[Text]"/>
      <dgm:spPr/>
      <dgm:t>
        <a:bodyPr/>
        <a:lstStyle/>
        <a:p>
          <a:r>
            <a:rPr lang="en-US"/>
            <a:t>SERVICE VARIABLES</a:t>
          </a:r>
        </a:p>
        <a:p>
          <a:r>
            <a:rPr lang="en-US"/>
            <a:t>leadership style, organisational culture, policies and procedures</a:t>
          </a:r>
        </a:p>
      </dgm:t>
    </dgm:pt>
    <dgm:pt modelId="{D99DD9C9-C4D6-6644-AA4C-B37CFE477142}" type="parTrans" cxnId="{7455F804-9014-B94E-98F9-4E9B1610E93B}">
      <dgm:prSet/>
      <dgm:spPr/>
      <dgm:t>
        <a:bodyPr/>
        <a:lstStyle/>
        <a:p>
          <a:endParaRPr lang="en-US"/>
        </a:p>
      </dgm:t>
    </dgm:pt>
    <dgm:pt modelId="{7EF43F57-26A9-9A44-9EFE-29E6504EB55C}" type="sibTrans" cxnId="{7455F804-9014-B94E-98F9-4E9B1610E93B}">
      <dgm:prSet/>
      <dgm:spPr/>
      <dgm:t>
        <a:bodyPr/>
        <a:lstStyle/>
        <a:p>
          <a:endParaRPr lang="en-US"/>
        </a:p>
      </dgm:t>
    </dgm:pt>
    <dgm:pt modelId="{3FB420E5-8792-044B-B93B-1E65F8BCF658}">
      <dgm:prSet phldrT="[Text]"/>
      <dgm:spPr/>
      <dgm:t>
        <a:bodyPr/>
        <a:lstStyle/>
        <a:p>
          <a:r>
            <a:rPr lang="en-US"/>
            <a:t>PATIENT VARIABLES </a:t>
          </a:r>
        </a:p>
        <a:p>
          <a:r>
            <a:rPr lang="en-US"/>
            <a:t>severity, gender, age, complexity, disability, personality traits</a:t>
          </a:r>
        </a:p>
      </dgm:t>
    </dgm:pt>
    <dgm:pt modelId="{8D3E04CB-EE29-7541-8598-96345AC13979}" type="parTrans" cxnId="{2F0759D7-CCB7-7949-AEB3-EFBF02B262CF}">
      <dgm:prSet/>
      <dgm:spPr/>
      <dgm:t>
        <a:bodyPr/>
        <a:lstStyle/>
        <a:p>
          <a:endParaRPr lang="en-US"/>
        </a:p>
      </dgm:t>
    </dgm:pt>
    <dgm:pt modelId="{8BDE0819-2B47-B543-92FC-745C9CB6293F}" type="sibTrans" cxnId="{2F0759D7-CCB7-7949-AEB3-EFBF02B262CF}">
      <dgm:prSet/>
      <dgm:spPr/>
      <dgm:t>
        <a:bodyPr/>
        <a:lstStyle/>
        <a:p>
          <a:endParaRPr lang="en-US"/>
        </a:p>
      </dgm:t>
    </dgm:pt>
    <dgm:pt modelId="{B8EE4156-BD39-B44D-B5D8-211393485FD3}">
      <dgm:prSet phldrT="[Text]"/>
      <dgm:spPr/>
      <dgm:t>
        <a:bodyPr/>
        <a:lstStyle/>
        <a:p>
          <a:r>
            <a:rPr lang="en-US"/>
            <a:t>SOCIODEMOGRAPHIC VARIABLES </a:t>
          </a:r>
        </a:p>
        <a:p>
          <a:r>
            <a:rPr lang="en-US"/>
            <a:t>access to services, access to transport, social deprivation</a:t>
          </a:r>
        </a:p>
      </dgm:t>
    </dgm:pt>
    <dgm:pt modelId="{C606C40D-2C34-3643-9FF2-FFB2F1DEDE4B}" type="parTrans" cxnId="{7F84881F-2283-0048-B5B1-3BAFDB5FBD1A}">
      <dgm:prSet/>
      <dgm:spPr/>
      <dgm:t>
        <a:bodyPr/>
        <a:lstStyle/>
        <a:p>
          <a:endParaRPr lang="en-US"/>
        </a:p>
      </dgm:t>
    </dgm:pt>
    <dgm:pt modelId="{0F67685C-1746-474E-89BE-0CAA488A3A57}" type="sibTrans" cxnId="{7F84881F-2283-0048-B5B1-3BAFDB5FBD1A}">
      <dgm:prSet/>
      <dgm:spPr/>
      <dgm:t>
        <a:bodyPr/>
        <a:lstStyle/>
        <a:p>
          <a:endParaRPr lang="en-US"/>
        </a:p>
      </dgm:t>
    </dgm:pt>
    <dgm:pt modelId="{0AC4AABA-D77F-7B4B-B2A1-50A065D6C80A}">
      <dgm:prSet/>
      <dgm:spPr/>
      <dgm:t>
        <a:bodyPr/>
        <a:lstStyle/>
        <a:p>
          <a:br>
            <a:rPr lang="en-US"/>
          </a:br>
          <a:r>
            <a:rPr lang="en-US"/>
            <a:t>THERAPIST VARIABLES </a:t>
          </a:r>
        </a:p>
        <a:p>
          <a:r>
            <a:rPr lang="en-US"/>
            <a:t>age gender, experience, training competence adherence, personality traits</a:t>
          </a:r>
        </a:p>
      </dgm:t>
    </dgm:pt>
    <dgm:pt modelId="{B9C6CCF9-DF40-924D-9638-F118E46C830F}" type="parTrans" cxnId="{758C9D8C-F83C-644C-A37D-03348E0996B7}">
      <dgm:prSet/>
      <dgm:spPr/>
      <dgm:t>
        <a:bodyPr/>
        <a:lstStyle/>
        <a:p>
          <a:endParaRPr lang="en-US"/>
        </a:p>
      </dgm:t>
    </dgm:pt>
    <dgm:pt modelId="{5BB0F843-DDB7-7A4E-84E9-5E78C91CF100}" type="sibTrans" cxnId="{758C9D8C-F83C-644C-A37D-03348E0996B7}">
      <dgm:prSet/>
      <dgm:spPr/>
      <dgm:t>
        <a:bodyPr/>
        <a:lstStyle/>
        <a:p>
          <a:endParaRPr lang="en-US"/>
        </a:p>
      </dgm:t>
    </dgm:pt>
    <dgm:pt modelId="{81BC258E-AA3D-4145-A736-D9BEA95800E0}">
      <dgm:prSet/>
      <dgm:spPr/>
      <dgm:t>
        <a:bodyPr/>
        <a:lstStyle/>
        <a:p>
          <a:endParaRPr lang="en-US"/>
        </a:p>
      </dgm:t>
    </dgm:pt>
    <dgm:pt modelId="{E7A34C52-98A2-C746-B460-45737EB0484C}" type="parTrans" cxnId="{F625E89A-D332-864B-A80F-3D60B9C36BC4}">
      <dgm:prSet/>
      <dgm:spPr/>
      <dgm:t>
        <a:bodyPr/>
        <a:lstStyle/>
        <a:p>
          <a:endParaRPr lang="en-US"/>
        </a:p>
      </dgm:t>
    </dgm:pt>
    <dgm:pt modelId="{7EB4EE2A-EE76-CE4B-AADE-23FEC35EB1A4}" type="sibTrans" cxnId="{F625E89A-D332-864B-A80F-3D60B9C36BC4}">
      <dgm:prSet/>
      <dgm:spPr/>
      <dgm:t>
        <a:bodyPr/>
        <a:lstStyle/>
        <a:p>
          <a:endParaRPr lang="en-US"/>
        </a:p>
      </dgm:t>
    </dgm:pt>
    <dgm:pt modelId="{2D0DA28B-61CD-414C-88A8-12363C77F16C}" type="pres">
      <dgm:prSet presAssocID="{78937593-6F7A-FD45-B708-13521310ED76}" presName="cycle" presStyleCnt="0">
        <dgm:presLayoutVars>
          <dgm:chMax val="1"/>
          <dgm:dir/>
          <dgm:animLvl val="ctr"/>
          <dgm:resizeHandles val="exact"/>
        </dgm:presLayoutVars>
      </dgm:prSet>
      <dgm:spPr/>
    </dgm:pt>
    <dgm:pt modelId="{9642B45C-441D-9040-ACAF-8206CEFE55EA}" type="pres">
      <dgm:prSet presAssocID="{8A4C36E0-8599-2548-884F-6CB117BF9A39}" presName="centerShape" presStyleLbl="node0" presStyleIdx="0" presStyleCnt="1"/>
      <dgm:spPr/>
    </dgm:pt>
    <dgm:pt modelId="{584DAA5F-877E-694B-808E-26D9B3AAE05E}" type="pres">
      <dgm:prSet presAssocID="{D99DD9C9-C4D6-6644-AA4C-B37CFE477142}" presName="parTrans" presStyleLbl="bgSibTrans2D1" presStyleIdx="0" presStyleCnt="4"/>
      <dgm:spPr/>
    </dgm:pt>
    <dgm:pt modelId="{5151EE31-C628-4544-8E69-6C5D3480A777}" type="pres">
      <dgm:prSet presAssocID="{55394775-9DCE-E740-83F8-455030256EA7}" presName="node" presStyleLbl="node1" presStyleIdx="0" presStyleCnt="4">
        <dgm:presLayoutVars>
          <dgm:bulletEnabled val="1"/>
        </dgm:presLayoutVars>
      </dgm:prSet>
      <dgm:spPr/>
    </dgm:pt>
    <dgm:pt modelId="{BCB79D9B-9136-9441-AEEE-5A9845F543ED}" type="pres">
      <dgm:prSet presAssocID="{8D3E04CB-EE29-7541-8598-96345AC13979}" presName="parTrans" presStyleLbl="bgSibTrans2D1" presStyleIdx="1" presStyleCnt="4"/>
      <dgm:spPr/>
    </dgm:pt>
    <dgm:pt modelId="{96989937-1E16-E344-9120-A34ED6DE7E48}" type="pres">
      <dgm:prSet presAssocID="{3FB420E5-8792-044B-B93B-1E65F8BCF658}" presName="node" presStyleLbl="node1" presStyleIdx="1" presStyleCnt="4">
        <dgm:presLayoutVars>
          <dgm:bulletEnabled val="1"/>
        </dgm:presLayoutVars>
      </dgm:prSet>
      <dgm:spPr/>
    </dgm:pt>
    <dgm:pt modelId="{E8B179D5-CCE2-704A-A8ED-1FA3B743DBD0}" type="pres">
      <dgm:prSet presAssocID="{C606C40D-2C34-3643-9FF2-FFB2F1DEDE4B}" presName="parTrans" presStyleLbl="bgSibTrans2D1" presStyleIdx="2" presStyleCnt="4"/>
      <dgm:spPr/>
    </dgm:pt>
    <dgm:pt modelId="{74E46E04-A09B-2743-A247-1FEAB0952F06}" type="pres">
      <dgm:prSet presAssocID="{B8EE4156-BD39-B44D-B5D8-211393485FD3}" presName="node" presStyleLbl="node1" presStyleIdx="2" presStyleCnt="4">
        <dgm:presLayoutVars>
          <dgm:bulletEnabled val="1"/>
        </dgm:presLayoutVars>
      </dgm:prSet>
      <dgm:spPr/>
    </dgm:pt>
    <dgm:pt modelId="{CAF26C9B-B4E6-B745-85D0-7891DFB29042}" type="pres">
      <dgm:prSet presAssocID="{B9C6CCF9-DF40-924D-9638-F118E46C830F}" presName="parTrans" presStyleLbl="bgSibTrans2D1" presStyleIdx="3" presStyleCnt="4"/>
      <dgm:spPr/>
    </dgm:pt>
    <dgm:pt modelId="{B4236189-1F51-F94F-B0F2-348FF3FBF4BA}" type="pres">
      <dgm:prSet presAssocID="{0AC4AABA-D77F-7B4B-B2A1-50A065D6C80A}" presName="node" presStyleLbl="node1" presStyleIdx="3" presStyleCnt="4">
        <dgm:presLayoutVars>
          <dgm:bulletEnabled val="1"/>
        </dgm:presLayoutVars>
      </dgm:prSet>
      <dgm:spPr/>
    </dgm:pt>
  </dgm:ptLst>
  <dgm:cxnLst>
    <dgm:cxn modelId="{7455F804-9014-B94E-98F9-4E9B1610E93B}" srcId="{8A4C36E0-8599-2548-884F-6CB117BF9A39}" destId="{55394775-9DCE-E740-83F8-455030256EA7}" srcOrd="0" destOrd="0" parTransId="{D99DD9C9-C4D6-6644-AA4C-B37CFE477142}" sibTransId="{7EF43F57-26A9-9A44-9EFE-29E6504EB55C}"/>
    <dgm:cxn modelId="{28D84B17-85B1-FE4E-9464-DE2E19527614}" type="presOf" srcId="{D99DD9C9-C4D6-6644-AA4C-B37CFE477142}" destId="{584DAA5F-877E-694B-808E-26D9B3AAE05E}" srcOrd="0" destOrd="0" presId="urn:microsoft.com/office/officeart/2005/8/layout/radial4"/>
    <dgm:cxn modelId="{12357A1C-05CD-9D4D-A184-4289A1D3AE94}" type="presOf" srcId="{55394775-9DCE-E740-83F8-455030256EA7}" destId="{5151EE31-C628-4544-8E69-6C5D3480A777}" srcOrd="0" destOrd="0" presId="urn:microsoft.com/office/officeart/2005/8/layout/radial4"/>
    <dgm:cxn modelId="{7F84881F-2283-0048-B5B1-3BAFDB5FBD1A}" srcId="{8A4C36E0-8599-2548-884F-6CB117BF9A39}" destId="{B8EE4156-BD39-B44D-B5D8-211393485FD3}" srcOrd="2" destOrd="0" parTransId="{C606C40D-2C34-3643-9FF2-FFB2F1DEDE4B}" sibTransId="{0F67685C-1746-474E-89BE-0CAA488A3A57}"/>
    <dgm:cxn modelId="{A9A33E26-3074-3149-B80D-8BFD9EF536A7}" srcId="{78937593-6F7A-FD45-B708-13521310ED76}" destId="{8A4C36E0-8599-2548-884F-6CB117BF9A39}" srcOrd="0" destOrd="0" parTransId="{DF7B2B2B-5AAE-814C-9B15-3AFB55DEF88E}" sibTransId="{0423BB58-38AA-8240-A50D-620DD8A8CAC3}"/>
    <dgm:cxn modelId="{7ECF5C32-09A2-FF43-9818-C88D175DCF47}" type="presOf" srcId="{78937593-6F7A-FD45-B708-13521310ED76}" destId="{2D0DA28B-61CD-414C-88A8-12363C77F16C}" srcOrd="0" destOrd="0" presId="urn:microsoft.com/office/officeart/2005/8/layout/radial4"/>
    <dgm:cxn modelId="{ECF05546-1248-2A4F-A9F8-26BE7385D55C}" type="presOf" srcId="{0AC4AABA-D77F-7B4B-B2A1-50A065D6C80A}" destId="{B4236189-1F51-F94F-B0F2-348FF3FBF4BA}" srcOrd="0" destOrd="0" presId="urn:microsoft.com/office/officeart/2005/8/layout/radial4"/>
    <dgm:cxn modelId="{30259D50-8B91-1F45-AB71-21844F371E10}" type="presOf" srcId="{B8EE4156-BD39-B44D-B5D8-211393485FD3}" destId="{74E46E04-A09B-2743-A247-1FEAB0952F06}" srcOrd="0" destOrd="0" presId="urn:microsoft.com/office/officeart/2005/8/layout/radial4"/>
    <dgm:cxn modelId="{1BC5FF59-40AE-3D45-84AA-2B36F093850C}" type="presOf" srcId="{C606C40D-2C34-3643-9FF2-FFB2F1DEDE4B}" destId="{E8B179D5-CCE2-704A-A8ED-1FA3B743DBD0}" srcOrd="0" destOrd="0" presId="urn:microsoft.com/office/officeart/2005/8/layout/radial4"/>
    <dgm:cxn modelId="{758C9D8C-F83C-644C-A37D-03348E0996B7}" srcId="{8A4C36E0-8599-2548-884F-6CB117BF9A39}" destId="{0AC4AABA-D77F-7B4B-B2A1-50A065D6C80A}" srcOrd="3" destOrd="0" parTransId="{B9C6CCF9-DF40-924D-9638-F118E46C830F}" sibTransId="{5BB0F843-DDB7-7A4E-84E9-5E78C91CF100}"/>
    <dgm:cxn modelId="{F625E89A-D332-864B-A80F-3D60B9C36BC4}" srcId="{78937593-6F7A-FD45-B708-13521310ED76}" destId="{81BC258E-AA3D-4145-A736-D9BEA95800E0}" srcOrd="1" destOrd="0" parTransId="{E7A34C52-98A2-C746-B460-45737EB0484C}" sibTransId="{7EB4EE2A-EE76-CE4B-AADE-23FEC35EB1A4}"/>
    <dgm:cxn modelId="{65C3039F-6A18-1048-A21C-48BE609367F7}" type="presOf" srcId="{3FB420E5-8792-044B-B93B-1E65F8BCF658}" destId="{96989937-1E16-E344-9120-A34ED6DE7E48}" srcOrd="0" destOrd="0" presId="urn:microsoft.com/office/officeart/2005/8/layout/radial4"/>
    <dgm:cxn modelId="{600D37C0-39E8-EF4C-AFE8-B5E51991EA37}" type="presOf" srcId="{8D3E04CB-EE29-7541-8598-96345AC13979}" destId="{BCB79D9B-9136-9441-AEEE-5A9845F543ED}" srcOrd="0" destOrd="0" presId="urn:microsoft.com/office/officeart/2005/8/layout/radial4"/>
    <dgm:cxn modelId="{415F7CC4-5967-6942-BBD0-D1EA3484B88F}" type="presOf" srcId="{B9C6CCF9-DF40-924D-9638-F118E46C830F}" destId="{CAF26C9B-B4E6-B745-85D0-7891DFB29042}" srcOrd="0" destOrd="0" presId="urn:microsoft.com/office/officeart/2005/8/layout/radial4"/>
    <dgm:cxn modelId="{2F0759D7-CCB7-7949-AEB3-EFBF02B262CF}" srcId="{8A4C36E0-8599-2548-884F-6CB117BF9A39}" destId="{3FB420E5-8792-044B-B93B-1E65F8BCF658}" srcOrd="1" destOrd="0" parTransId="{8D3E04CB-EE29-7541-8598-96345AC13979}" sibTransId="{8BDE0819-2B47-B543-92FC-745C9CB6293F}"/>
    <dgm:cxn modelId="{232ACBE4-3C19-F24B-B47D-BD749C8CB46B}" type="presOf" srcId="{8A4C36E0-8599-2548-884F-6CB117BF9A39}" destId="{9642B45C-441D-9040-ACAF-8206CEFE55EA}" srcOrd="0" destOrd="0" presId="urn:microsoft.com/office/officeart/2005/8/layout/radial4"/>
    <dgm:cxn modelId="{4BB24D24-F0DF-2440-AB3F-B6D6A8586BFD}" type="presParOf" srcId="{2D0DA28B-61CD-414C-88A8-12363C77F16C}" destId="{9642B45C-441D-9040-ACAF-8206CEFE55EA}" srcOrd="0" destOrd="0" presId="urn:microsoft.com/office/officeart/2005/8/layout/radial4"/>
    <dgm:cxn modelId="{B58EB231-34E0-4042-A795-2A35FA9EF8D4}" type="presParOf" srcId="{2D0DA28B-61CD-414C-88A8-12363C77F16C}" destId="{584DAA5F-877E-694B-808E-26D9B3AAE05E}" srcOrd="1" destOrd="0" presId="urn:microsoft.com/office/officeart/2005/8/layout/radial4"/>
    <dgm:cxn modelId="{FC71663E-60B9-D042-90F5-090336820F0F}" type="presParOf" srcId="{2D0DA28B-61CD-414C-88A8-12363C77F16C}" destId="{5151EE31-C628-4544-8E69-6C5D3480A777}" srcOrd="2" destOrd="0" presId="urn:microsoft.com/office/officeart/2005/8/layout/radial4"/>
    <dgm:cxn modelId="{241DB981-4FFD-2245-9534-033E537D0E67}" type="presParOf" srcId="{2D0DA28B-61CD-414C-88A8-12363C77F16C}" destId="{BCB79D9B-9136-9441-AEEE-5A9845F543ED}" srcOrd="3" destOrd="0" presId="urn:microsoft.com/office/officeart/2005/8/layout/radial4"/>
    <dgm:cxn modelId="{18547A7A-EB2D-4848-87C6-8EF9870B708B}" type="presParOf" srcId="{2D0DA28B-61CD-414C-88A8-12363C77F16C}" destId="{96989937-1E16-E344-9120-A34ED6DE7E48}" srcOrd="4" destOrd="0" presId="urn:microsoft.com/office/officeart/2005/8/layout/radial4"/>
    <dgm:cxn modelId="{3AD459D1-DDBB-0C4A-8DFD-03DFDDA61D3F}" type="presParOf" srcId="{2D0DA28B-61CD-414C-88A8-12363C77F16C}" destId="{E8B179D5-CCE2-704A-A8ED-1FA3B743DBD0}" srcOrd="5" destOrd="0" presId="urn:microsoft.com/office/officeart/2005/8/layout/radial4"/>
    <dgm:cxn modelId="{01FCB6DA-B69C-434C-879C-925EAB82E89E}" type="presParOf" srcId="{2D0DA28B-61CD-414C-88A8-12363C77F16C}" destId="{74E46E04-A09B-2743-A247-1FEAB0952F06}" srcOrd="6" destOrd="0" presId="urn:microsoft.com/office/officeart/2005/8/layout/radial4"/>
    <dgm:cxn modelId="{257FCB6A-7D9F-0445-9F69-AAC3DE6CFE19}" type="presParOf" srcId="{2D0DA28B-61CD-414C-88A8-12363C77F16C}" destId="{CAF26C9B-B4E6-B745-85D0-7891DFB29042}" srcOrd="7" destOrd="0" presId="urn:microsoft.com/office/officeart/2005/8/layout/radial4"/>
    <dgm:cxn modelId="{F9C44217-26E6-204D-9D77-C5DC81BEE59D}" type="presParOf" srcId="{2D0DA28B-61CD-414C-88A8-12363C77F16C}" destId="{B4236189-1F51-F94F-B0F2-348FF3FBF4BA}" srcOrd="8" destOrd="0" presId="urn:microsoft.com/office/officeart/2005/8/layout/radial4"/>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D0D2CFBB-88FC-774F-AE51-9F14D8B982CF}" type="doc">
      <dgm:prSet loTypeId="urn:microsoft.com/office/officeart/2005/8/layout/venn2" loCatId="" qsTypeId="urn:microsoft.com/office/officeart/2005/8/quickstyle/simple1" qsCatId="simple" csTypeId="urn:microsoft.com/office/officeart/2005/8/colors/accent1_2" csCatId="accent1" phldr="1"/>
      <dgm:spPr/>
      <dgm:t>
        <a:bodyPr/>
        <a:lstStyle/>
        <a:p>
          <a:endParaRPr lang="en-US"/>
        </a:p>
      </dgm:t>
    </dgm:pt>
    <dgm:pt modelId="{A69BFB5C-8AF6-904D-937C-10A0C11475B0}">
      <dgm:prSet phldrT="[Text]"/>
      <dgm:spPr/>
      <dgm:t>
        <a:bodyPr/>
        <a:lstStyle/>
        <a:p>
          <a:r>
            <a:rPr lang="en-US"/>
            <a:t>Total number of BABCP accredited therapists n=6,556</a:t>
          </a:r>
        </a:p>
      </dgm:t>
    </dgm:pt>
    <dgm:pt modelId="{481DF9F7-2CA2-7646-854E-FEC1FA756337}" type="parTrans" cxnId="{AF5AF840-84B0-6449-9EC5-33DC60F67798}">
      <dgm:prSet/>
      <dgm:spPr/>
      <dgm:t>
        <a:bodyPr/>
        <a:lstStyle/>
        <a:p>
          <a:endParaRPr lang="en-US"/>
        </a:p>
      </dgm:t>
    </dgm:pt>
    <dgm:pt modelId="{2D6FE98A-A486-B043-8025-D42968894317}" type="sibTrans" cxnId="{AF5AF840-84B0-6449-9EC5-33DC60F67798}">
      <dgm:prSet/>
      <dgm:spPr/>
      <dgm:t>
        <a:bodyPr/>
        <a:lstStyle/>
        <a:p>
          <a:endParaRPr lang="en-US"/>
        </a:p>
      </dgm:t>
    </dgm:pt>
    <dgm:pt modelId="{45CD11CE-EE1B-1F45-8BE7-7C64B91F2996}">
      <dgm:prSet phldrT="[Text]"/>
      <dgm:spPr/>
      <dgm:t>
        <a:bodyPr/>
        <a:lstStyle/>
        <a:p>
          <a:r>
            <a:rPr lang="en-US"/>
            <a:t>BABCP accredited CBT therapists working in IAPT n=3789</a:t>
          </a:r>
        </a:p>
      </dgm:t>
    </dgm:pt>
    <dgm:pt modelId="{A35E26D4-A61A-6D49-9E3C-92E89EED585B}" type="parTrans" cxnId="{FF2DE5DD-8A8E-9E47-974D-DC420E3CBCFD}">
      <dgm:prSet/>
      <dgm:spPr/>
      <dgm:t>
        <a:bodyPr/>
        <a:lstStyle/>
        <a:p>
          <a:endParaRPr lang="en-US"/>
        </a:p>
      </dgm:t>
    </dgm:pt>
    <dgm:pt modelId="{385D0E8B-B835-FC42-BD54-9625F1A51856}" type="sibTrans" cxnId="{FF2DE5DD-8A8E-9E47-974D-DC420E3CBCFD}">
      <dgm:prSet/>
      <dgm:spPr/>
      <dgm:t>
        <a:bodyPr/>
        <a:lstStyle/>
        <a:p>
          <a:endParaRPr lang="en-US"/>
        </a:p>
      </dgm:t>
    </dgm:pt>
    <dgm:pt modelId="{45BE3787-F83B-7448-BD16-0C3118D8E67F}">
      <dgm:prSet phldrT="[Text]"/>
      <dgm:spPr/>
      <dgm:t>
        <a:bodyPr/>
        <a:lstStyle/>
        <a:p>
          <a:r>
            <a:rPr lang="en-US"/>
            <a:t>Study Sample n=200</a:t>
          </a:r>
        </a:p>
      </dgm:t>
    </dgm:pt>
    <dgm:pt modelId="{C46BEE55-D928-2144-A6C7-3B69F0D937D5}" type="parTrans" cxnId="{B9DFB22A-6171-8E43-8200-523E59EC1DCE}">
      <dgm:prSet/>
      <dgm:spPr/>
      <dgm:t>
        <a:bodyPr/>
        <a:lstStyle/>
        <a:p>
          <a:endParaRPr lang="en-US"/>
        </a:p>
      </dgm:t>
    </dgm:pt>
    <dgm:pt modelId="{BB0A7A35-167D-C64E-8493-4F0C7F2B5D07}" type="sibTrans" cxnId="{B9DFB22A-6171-8E43-8200-523E59EC1DCE}">
      <dgm:prSet/>
      <dgm:spPr/>
      <dgm:t>
        <a:bodyPr/>
        <a:lstStyle/>
        <a:p>
          <a:endParaRPr lang="en-US"/>
        </a:p>
      </dgm:t>
    </dgm:pt>
    <dgm:pt modelId="{761C3FB5-DA31-6A43-8316-1D21E7B78CA9}" type="pres">
      <dgm:prSet presAssocID="{D0D2CFBB-88FC-774F-AE51-9F14D8B982CF}" presName="Name0" presStyleCnt="0">
        <dgm:presLayoutVars>
          <dgm:chMax val="7"/>
          <dgm:resizeHandles val="exact"/>
        </dgm:presLayoutVars>
      </dgm:prSet>
      <dgm:spPr/>
    </dgm:pt>
    <dgm:pt modelId="{4566CA98-5E2C-8345-A217-73965009B43E}" type="pres">
      <dgm:prSet presAssocID="{D0D2CFBB-88FC-774F-AE51-9F14D8B982CF}" presName="comp1" presStyleCnt="0"/>
      <dgm:spPr/>
    </dgm:pt>
    <dgm:pt modelId="{A545E3D2-7A4A-E84A-9F7A-514435772E67}" type="pres">
      <dgm:prSet presAssocID="{D0D2CFBB-88FC-774F-AE51-9F14D8B982CF}" presName="circle1" presStyleLbl="node1" presStyleIdx="0" presStyleCnt="3"/>
      <dgm:spPr/>
    </dgm:pt>
    <dgm:pt modelId="{1A8C1306-4172-7B48-B1B8-858C537AF96A}" type="pres">
      <dgm:prSet presAssocID="{D0D2CFBB-88FC-774F-AE51-9F14D8B982CF}" presName="c1text" presStyleLbl="node1" presStyleIdx="0" presStyleCnt="3">
        <dgm:presLayoutVars>
          <dgm:bulletEnabled val="1"/>
        </dgm:presLayoutVars>
      </dgm:prSet>
      <dgm:spPr/>
    </dgm:pt>
    <dgm:pt modelId="{40456AFC-1219-3F44-9AD8-E5444581AA42}" type="pres">
      <dgm:prSet presAssocID="{D0D2CFBB-88FC-774F-AE51-9F14D8B982CF}" presName="comp2" presStyleCnt="0"/>
      <dgm:spPr/>
    </dgm:pt>
    <dgm:pt modelId="{744BDD58-915D-8F4A-95FC-F49641AE88DF}" type="pres">
      <dgm:prSet presAssocID="{D0D2CFBB-88FC-774F-AE51-9F14D8B982CF}" presName="circle2" presStyleLbl="node1" presStyleIdx="1" presStyleCnt="3"/>
      <dgm:spPr/>
    </dgm:pt>
    <dgm:pt modelId="{1FA5DD3C-3A61-1241-8BEE-858B6710BFF0}" type="pres">
      <dgm:prSet presAssocID="{D0D2CFBB-88FC-774F-AE51-9F14D8B982CF}" presName="c2text" presStyleLbl="node1" presStyleIdx="1" presStyleCnt="3">
        <dgm:presLayoutVars>
          <dgm:bulletEnabled val="1"/>
        </dgm:presLayoutVars>
      </dgm:prSet>
      <dgm:spPr/>
    </dgm:pt>
    <dgm:pt modelId="{BE7D9A9F-82B3-EF43-B6A3-F2EECE61754A}" type="pres">
      <dgm:prSet presAssocID="{D0D2CFBB-88FC-774F-AE51-9F14D8B982CF}" presName="comp3" presStyleCnt="0"/>
      <dgm:spPr/>
    </dgm:pt>
    <dgm:pt modelId="{1F70F6EB-FCB7-E34C-9DCA-2292000E0B8F}" type="pres">
      <dgm:prSet presAssocID="{D0D2CFBB-88FC-774F-AE51-9F14D8B982CF}" presName="circle3" presStyleLbl="node1" presStyleIdx="2" presStyleCnt="3"/>
      <dgm:spPr/>
    </dgm:pt>
    <dgm:pt modelId="{54D723B5-03D3-D046-93BF-87119407B3B4}" type="pres">
      <dgm:prSet presAssocID="{D0D2CFBB-88FC-774F-AE51-9F14D8B982CF}" presName="c3text" presStyleLbl="node1" presStyleIdx="2" presStyleCnt="3">
        <dgm:presLayoutVars>
          <dgm:bulletEnabled val="1"/>
        </dgm:presLayoutVars>
      </dgm:prSet>
      <dgm:spPr/>
    </dgm:pt>
  </dgm:ptLst>
  <dgm:cxnLst>
    <dgm:cxn modelId="{856C5206-A3A4-234F-91DF-2C094D86084C}" type="presOf" srcId="{A69BFB5C-8AF6-904D-937C-10A0C11475B0}" destId="{1A8C1306-4172-7B48-B1B8-858C537AF96A}" srcOrd="1" destOrd="0" presId="urn:microsoft.com/office/officeart/2005/8/layout/venn2"/>
    <dgm:cxn modelId="{B0336415-E67C-0547-AC49-9764EE3B3F7A}" type="presOf" srcId="{45BE3787-F83B-7448-BD16-0C3118D8E67F}" destId="{1F70F6EB-FCB7-E34C-9DCA-2292000E0B8F}" srcOrd="0" destOrd="0" presId="urn:microsoft.com/office/officeart/2005/8/layout/venn2"/>
    <dgm:cxn modelId="{B9DFB22A-6171-8E43-8200-523E59EC1DCE}" srcId="{D0D2CFBB-88FC-774F-AE51-9F14D8B982CF}" destId="{45BE3787-F83B-7448-BD16-0C3118D8E67F}" srcOrd="2" destOrd="0" parTransId="{C46BEE55-D928-2144-A6C7-3B69F0D937D5}" sibTransId="{BB0A7A35-167D-C64E-8493-4F0C7F2B5D07}"/>
    <dgm:cxn modelId="{AF5AF840-84B0-6449-9EC5-33DC60F67798}" srcId="{D0D2CFBB-88FC-774F-AE51-9F14D8B982CF}" destId="{A69BFB5C-8AF6-904D-937C-10A0C11475B0}" srcOrd="0" destOrd="0" parTransId="{481DF9F7-2CA2-7646-854E-FEC1FA756337}" sibTransId="{2D6FE98A-A486-B043-8025-D42968894317}"/>
    <dgm:cxn modelId="{8E98FF6F-F671-D043-AB2D-784C05A6D31D}" type="presOf" srcId="{45CD11CE-EE1B-1F45-8BE7-7C64B91F2996}" destId="{1FA5DD3C-3A61-1241-8BEE-858B6710BFF0}" srcOrd="1" destOrd="0" presId="urn:microsoft.com/office/officeart/2005/8/layout/venn2"/>
    <dgm:cxn modelId="{E49E5376-873F-8F41-B286-499DBF65F0EB}" type="presOf" srcId="{45CD11CE-EE1B-1F45-8BE7-7C64B91F2996}" destId="{744BDD58-915D-8F4A-95FC-F49641AE88DF}" srcOrd="0" destOrd="0" presId="urn:microsoft.com/office/officeart/2005/8/layout/venn2"/>
    <dgm:cxn modelId="{D6FBBFB9-A03F-7146-AED0-05ABE7916B1D}" type="presOf" srcId="{D0D2CFBB-88FC-774F-AE51-9F14D8B982CF}" destId="{761C3FB5-DA31-6A43-8316-1D21E7B78CA9}" srcOrd="0" destOrd="0" presId="urn:microsoft.com/office/officeart/2005/8/layout/venn2"/>
    <dgm:cxn modelId="{FF2DE5DD-8A8E-9E47-974D-DC420E3CBCFD}" srcId="{D0D2CFBB-88FC-774F-AE51-9F14D8B982CF}" destId="{45CD11CE-EE1B-1F45-8BE7-7C64B91F2996}" srcOrd="1" destOrd="0" parTransId="{A35E26D4-A61A-6D49-9E3C-92E89EED585B}" sibTransId="{385D0E8B-B835-FC42-BD54-9625F1A51856}"/>
    <dgm:cxn modelId="{DE9E53E1-494D-2B49-AD26-44B967C34C0F}" type="presOf" srcId="{45BE3787-F83B-7448-BD16-0C3118D8E67F}" destId="{54D723B5-03D3-D046-93BF-87119407B3B4}" srcOrd="1" destOrd="0" presId="urn:microsoft.com/office/officeart/2005/8/layout/venn2"/>
    <dgm:cxn modelId="{5E49C8FA-0A68-5A4F-8325-77324E426987}" type="presOf" srcId="{A69BFB5C-8AF6-904D-937C-10A0C11475B0}" destId="{A545E3D2-7A4A-E84A-9F7A-514435772E67}" srcOrd="0" destOrd="0" presId="urn:microsoft.com/office/officeart/2005/8/layout/venn2"/>
    <dgm:cxn modelId="{94C03364-5967-434A-94C0-87BA32D83F0A}" type="presParOf" srcId="{761C3FB5-DA31-6A43-8316-1D21E7B78CA9}" destId="{4566CA98-5E2C-8345-A217-73965009B43E}" srcOrd="0" destOrd="0" presId="urn:microsoft.com/office/officeart/2005/8/layout/venn2"/>
    <dgm:cxn modelId="{9ECDF267-31F9-C74B-B828-7EF86682FE1F}" type="presParOf" srcId="{4566CA98-5E2C-8345-A217-73965009B43E}" destId="{A545E3D2-7A4A-E84A-9F7A-514435772E67}" srcOrd="0" destOrd="0" presId="urn:microsoft.com/office/officeart/2005/8/layout/venn2"/>
    <dgm:cxn modelId="{17014D64-B145-F34E-BEF6-D91FC58944F0}" type="presParOf" srcId="{4566CA98-5E2C-8345-A217-73965009B43E}" destId="{1A8C1306-4172-7B48-B1B8-858C537AF96A}" srcOrd="1" destOrd="0" presId="urn:microsoft.com/office/officeart/2005/8/layout/venn2"/>
    <dgm:cxn modelId="{FEA11C3A-7977-3744-81BB-D04FE23B0734}" type="presParOf" srcId="{761C3FB5-DA31-6A43-8316-1D21E7B78CA9}" destId="{40456AFC-1219-3F44-9AD8-E5444581AA42}" srcOrd="1" destOrd="0" presId="urn:microsoft.com/office/officeart/2005/8/layout/venn2"/>
    <dgm:cxn modelId="{A756CFF8-5339-1F49-9122-9A70F88B1A45}" type="presParOf" srcId="{40456AFC-1219-3F44-9AD8-E5444581AA42}" destId="{744BDD58-915D-8F4A-95FC-F49641AE88DF}" srcOrd="0" destOrd="0" presId="urn:microsoft.com/office/officeart/2005/8/layout/venn2"/>
    <dgm:cxn modelId="{C8156C90-2A0A-D842-8E4D-3CB31FA7BDC3}" type="presParOf" srcId="{40456AFC-1219-3F44-9AD8-E5444581AA42}" destId="{1FA5DD3C-3A61-1241-8BEE-858B6710BFF0}" srcOrd="1" destOrd="0" presId="urn:microsoft.com/office/officeart/2005/8/layout/venn2"/>
    <dgm:cxn modelId="{A614A3A9-84F9-E544-85A3-4B82E1552AD3}" type="presParOf" srcId="{761C3FB5-DA31-6A43-8316-1D21E7B78CA9}" destId="{BE7D9A9F-82B3-EF43-B6A3-F2EECE61754A}" srcOrd="2" destOrd="0" presId="urn:microsoft.com/office/officeart/2005/8/layout/venn2"/>
    <dgm:cxn modelId="{5C460CC6-27D2-9F49-8964-699FC7C8E9AB}" type="presParOf" srcId="{BE7D9A9F-82B3-EF43-B6A3-F2EECE61754A}" destId="{1F70F6EB-FCB7-E34C-9DCA-2292000E0B8F}" srcOrd="0" destOrd="0" presId="urn:microsoft.com/office/officeart/2005/8/layout/venn2"/>
    <dgm:cxn modelId="{98401842-2307-3C4F-8B2A-B274379F66B8}" type="presParOf" srcId="{BE7D9A9F-82B3-EF43-B6A3-F2EECE61754A}" destId="{54D723B5-03D3-D046-93BF-87119407B3B4}" srcOrd="1" destOrd="0" presId="urn:microsoft.com/office/officeart/2005/8/layout/venn2"/>
  </dgm:cxnLst>
  <dgm:bg/>
  <dgm:whole/>
  <dgm:extLst>
    <a:ext uri="http://schemas.microsoft.com/office/drawing/2008/diagram">
      <dsp:dataModelExt xmlns:dsp="http://schemas.microsoft.com/office/drawing/2008/diagram" relId="rId50"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0811681E-E341-124D-AA12-45D276EA542C}" type="doc">
      <dgm:prSet loTypeId="urn:microsoft.com/office/officeart/2005/8/layout/hierarchy3" loCatId="" qsTypeId="urn:microsoft.com/office/officeart/2005/8/quickstyle/3d5" qsCatId="3D" csTypeId="urn:microsoft.com/office/officeart/2005/8/colors/accent1_2" csCatId="accent1" phldr="1"/>
      <dgm:spPr/>
      <dgm:t>
        <a:bodyPr/>
        <a:lstStyle/>
        <a:p>
          <a:endParaRPr lang="en-US"/>
        </a:p>
      </dgm:t>
    </dgm:pt>
    <dgm:pt modelId="{0B362A26-F359-1249-A0A7-3EB852C77075}">
      <dgm:prSet phldrT="[Text]"/>
      <dgm:spPr/>
      <dgm:t>
        <a:bodyPr/>
        <a:lstStyle/>
        <a:p>
          <a:r>
            <a:rPr lang="en-US"/>
            <a:t>Therapist 1</a:t>
          </a:r>
        </a:p>
      </dgm:t>
    </dgm:pt>
    <dgm:pt modelId="{B5E3FC8B-D3FD-F748-B822-EE8CC6F0833B}" type="parTrans" cxnId="{3AD75968-9E78-E34B-A04A-665A02FC9394}">
      <dgm:prSet/>
      <dgm:spPr/>
      <dgm:t>
        <a:bodyPr/>
        <a:lstStyle/>
        <a:p>
          <a:endParaRPr lang="en-US"/>
        </a:p>
      </dgm:t>
    </dgm:pt>
    <dgm:pt modelId="{BB061FA2-3DAD-0249-BB29-CF5738E2EA50}" type="sibTrans" cxnId="{3AD75968-9E78-E34B-A04A-665A02FC9394}">
      <dgm:prSet/>
      <dgm:spPr/>
      <dgm:t>
        <a:bodyPr/>
        <a:lstStyle/>
        <a:p>
          <a:endParaRPr lang="en-US"/>
        </a:p>
      </dgm:t>
    </dgm:pt>
    <dgm:pt modelId="{1706FF8A-7D28-F448-9226-179FBBE8DE60}">
      <dgm:prSet phldrT="[Text]"/>
      <dgm:spPr/>
      <dgm:t>
        <a:bodyPr/>
        <a:lstStyle/>
        <a:p>
          <a:r>
            <a:rPr lang="en-US"/>
            <a:t>Patient 1</a:t>
          </a:r>
        </a:p>
      </dgm:t>
    </dgm:pt>
    <dgm:pt modelId="{5272503B-AE48-424B-8306-891ABB7E40AD}" type="parTrans" cxnId="{02B65416-9246-C24B-8EAD-BBABF3818A8D}">
      <dgm:prSet/>
      <dgm:spPr/>
      <dgm:t>
        <a:bodyPr/>
        <a:lstStyle/>
        <a:p>
          <a:endParaRPr lang="en-US"/>
        </a:p>
      </dgm:t>
    </dgm:pt>
    <dgm:pt modelId="{131DE221-A96A-9F48-8E2F-E254E3F735C0}" type="sibTrans" cxnId="{02B65416-9246-C24B-8EAD-BBABF3818A8D}">
      <dgm:prSet/>
      <dgm:spPr/>
      <dgm:t>
        <a:bodyPr/>
        <a:lstStyle/>
        <a:p>
          <a:endParaRPr lang="en-US"/>
        </a:p>
      </dgm:t>
    </dgm:pt>
    <dgm:pt modelId="{38340FEE-B12E-4440-AFF1-88554AD77822}">
      <dgm:prSet phldrT="[Text]"/>
      <dgm:spPr/>
      <dgm:t>
        <a:bodyPr/>
        <a:lstStyle/>
        <a:p>
          <a:r>
            <a:rPr lang="en-US"/>
            <a:t>Patient 2</a:t>
          </a:r>
        </a:p>
      </dgm:t>
    </dgm:pt>
    <dgm:pt modelId="{5E7B801F-E422-1C48-9D4A-78F41A69B0DF}" type="parTrans" cxnId="{66272E4A-3765-6545-BBAC-380EED2B49C1}">
      <dgm:prSet/>
      <dgm:spPr/>
      <dgm:t>
        <a:bodyPr/>
        <a:lstStyle/>
        <a:p>
          <a:endParaRPr lang="en-US"/>
        </a:p>
      </dgm:t>
    </dgm:pt>
    <dgm:pt modelId="{DE6EED4B-5E01-0B45-ACA4-E90A18BCD81D}" type="sibTrans" cxnId="{66272E4A-3765-6545-BBAC-380EED2B49C1}">
      <dgm:prSet/>
      <dgm:spPr/>
      <dgm:t>
        <a:bodyPr/>
        <a:lstStyle/>
        <a:p>
          <a:endParaRPr lang="en-US"/>
        </a:p>
      </dgm:t>
    </dgm:pt>
    <dgm:pt modelId="{E0D6272D-83D9-3C41-881B-D5CB4F02B40B}">
      <dgm:prSet phldrT="[Text]"/>
      <dgm:spPr/>
      <dgm:t>
        <a:bodyPr/>
        <a:lstStyle/>
        <a:p>
          <a:r>
            <a:rPr lang="en-US"/>
            <a:t>Therapist 2</a:t>
          </a:r>
        </a:p>
      </dgm:t>
    </dgm:pt>
    <dgm:pt modelId="{A9702E21-81F4-D143-BB63-AAE1B098D1FB}" type="parTrans" cxnId="{F9695F15-CCC7-4D45-9118-FA98C9A542BF}">
      <dgm:prSet/>
      <dgm:spPr/>
      <dgm:t>
        <a:bodyPr/>
        <a:lstStyle/>
        <a:p>
          <a:endParaRPr lang="en-US"/>
        </a:p>
      </dgm:t>
    </dgm:pt>
    <dgm:pt modelId="{97BC1715-58E1-4F4D-9DB7-941641DF2C66}" type="sibTrans" cxnId="{F9695F15-CCC7-4D45-9118-FA98C9A542BF}">
      <dgm:prSet/>
      <dgm:spPr/>
      <dgm:t>
        <a:bodyPr/>
        <a:lstStyle/>
        <a:p>
          <a:endParaRPr lang="en-US"/>
        </a:p>
      </dgm:t>
    </dgm:pt>
    <dgm:pt modelId="{54CCD6CC-6EBF-974C-8982-5C5AF18C904C}">
      <dgm:prSet phldrT="[Text]"/>
      <dgm:spPr/>
      <dgm:t>
        <a:bodyPr/>
        <a:lstStyle/>
        <a:p>
          <a:r>
            <a:rPr lang="en-US"/>
            <a:t>Patient 4</a:t>
          </a:r>
        </a:p>
      </dgm:t>
    </dgm:pt>
    <dgm:pt modelId="{9CD9C564-5227-DB4D-8D4F-2BE0E194361A}" type="parTrans" cxnId="{3F6EDD5E-2DDC-5A46-AA43-EC1DE99D4688}">
      <dgm:prSet/>
      <dgm:spPr/>
      <dgm:t>
        <a:bodyPr/>
        <a:lstStyle/>
        <a:p>
          <a:endParaRPr lang="en-US"/>
        </a:p>
      </dgm:t>
    </dgm:pt>
    <dgm:pt modelId="{C9BB1A69-A4EE-0F4E-A257-4F453CD342C5}" type="sibTrans" cxnId="{3F6EDD5E-2DDC-5A46-AA43-EC1DE99D4688}">
      <dgm:prSet/>
      <dgm:spPr/>
      <dgm:t>
        <a:bodyPr/>
        <a:lstStyle/>
        <a:p>
          <a:endParaRPr lang="en-US"/>
        </a:p>
      </dgm:t>
    </dgm:pt>
    <dgm:pt modelId="{74B3726F-C9E0-314C-B4A8-D6E1A8D1DD0F}">
      <dgm:prSet phldrT="[Text]"/>
      <dgm:spPr/>
      <dgm:t>
        <a:bodyPr/>
        <a:lstStyle/>
        <a:p>
          <a:r>
            <a:rPr lang="en-US"/>
            <a:t>Patient 5</a:t>
          </a:r>
        </a:p>
      </dgm:t>
    </dgm:pt>
    <dgm:pt modelId="{92786171-A23D-9344-BDE4-169C7FFF0BA7}" type="parTrans" cxnId="{57C6768A-D42E-604A-B9CC-630A68827BA5}">
      <dgm:prSet/>
      <dgm:spPr/>
      <dgm:t>
        <a:bodyPr/>
        <a:lstStyle/>
        <a:p>
          <a:endParaRPr lang="en-US"/>
        </a:p>
      </dgm:t>
    </dgm:pt>
    <dgm:pt modelId="{D78803BF-CE78-0F4F-AF3B-4C8B5321234D}" type="sibTrans" cxnId="{57C6768A-D42E-604A-B9CC-630A68827BA5}">
      <dgm:prSet/>
      <dgm:spPr/>
      <dgm:t>
        <a:bodyPr/>
        <a:lstStyle/>
        <a:p>
          <a:endParaRPr lang="en-US"/>
        </a:p>
      </dgm:t>
    </dgm:pt>
    <dgm:pt modelId="{4EA54C54-279D-AA41-84BA-585852C2D7B3}">
      <dgm:prSet/>
      <dgm:spPr/>
      <dgm:t>
        <a:bodyPr/>
        <a:lstStyle/>
        <a:p>
          <a:r>
            <a:rPr lang="en-US"/>
            <a:t>Patient 6</a:t>
          </a:r>
        </a:p>
      </dgm:t>
    </dgm:pt>
    <dgm:pt modelId="{DC322026-37EC-8141-BC8F-490DF2185D42}" type="parTrans" cxnId="{B24E3331-A1EB-6243-8497-759777C468FF}">
      <dgm:prSet/>
      <dgm:spPr/>
      <dgm:t>
        <a:bodyPr/>
        <a:lstStyle/>
        <a:p>
          <a:endParaRPr lang="en-US"/>
        </a:p>
      </dgm:t>
    </dgm:pt>
    <dgm:pt modelId="{60D1899E-A089-5845-B81B-AA37F32BCB7F}" type="sibTrans" cxnId="{B24E3331-A1EB-6243-8497-759777C468FF}">
      <dgm:prSet/>
      <dgm:spPr/>
      <dgm:t>
        <a:bodyPr/>
        <a:lstStyle/>
        <a:p>
          <a:endParaRPr lang="en-US"/>
        </a:p>
      </dgm:t>
    </dgm:pt>
    <dgm:pt modelId="{1F30DE76-1269-5746-8C73-0FC0E20C79E7}">
      <dgm:prSet/>
      <dgm:spPr/>
      <dgm:t>
        <a:bodyPr/>
        <a:lstStyle/>
        <a:p>
          <a:r>
            <a:rPr lang="en-US"/>
            <a:t>Patient 3</a:t>
          </a:r>
        </a:p>
      </dgm:t>
    </dgm:pt>
    <dgm:pt modelId="{46DE4CC7-DF1F-8A48-994D-46007026A412}" type="parTrans" cxnId="{DC0D5B99-C126-6A46-9049-2A6733BFFDF9}">
      <dgm:prSet/>
      <dgm:spPr/>
      <dgm:t>
        <a:bodyPr/>
        <a:lstStyle/>
        <a:p>
          <a:endParaRPr lang="en-US"/>
        </a:p>
      </dgm:t>
    </dgm:pt>
    <dgm:pt modelId="{657F5132-4D4A-6649-9C77-0AEEF4789465}" type="sibTrans" cxnId="{DC0D5B99-C126-6A46-9049-2A6733BFFDF9}">
      <dgm:prSet/>
      <dgm:spPr/>
      <dgm:t>
        <a:bodyPr/>
        <a:lstStyle/>
        <a:p>
          <a:endParaRPr lang="en-US"/>
        </a:p>
      </dgm:t>
    </dgm:pt>
    <dgm:pt modelId="{DEBB4787-0C1B-A74E-B651-A1108DD805A2}">
      <dgm:prSet/>
      <dgm:spPr/>
      <dgm:t>
        <a:bodyPr/>
        <a:lstStyle/>
        <a:p>
          <a:r>
            <a:rPr lang="en-US"/>
            <a:t>Patient 7</a:t>
          </a:r>
        </a:p>
      </dgm:t>
    </dgm:pt>
    <dgm:pt modelId="{0392E015-08F6-B647-9ED2-AE61F14A7081}" type="parTrans" cxnId="{44FA69FF-9D75-8944-8AF9-CFC742A060B7}">
      <dgm:prSet/>
      <dgm:spPr/>
      <dgm:t>
        <a:bodyPr/>
        <a:lstStyle/>
        <a:p>
          <a:endParaRPr lang="en-US"/>
        </a:p>
      </dgm:t>
    </dgm:pt>
    <dgm:pt modelId="{F6732AFA-3943-A44E-9D01-2BC3288C5390}" type="sibTrans" cxnId="{44FA69FF-9D75-8944-8AF9-CFC742A060B7}">
      <dgm:prSet/>
      <dgm:spPr/>
      <dgm:t>
        <a:bodyPr/>
        <a:lstStyle/>
        <a:p>
          <a:endParaRPr lang="en-US"/>
        </a:p>
      </dgm:t>
    </dgm:pt>
    <dgm:pt modelId="{B0F669D1-C0FD-E246-98C2-CB07C8A5DB5E}">
      <dgm:prSet/>
      <dgm:spPr/>
      <dgm:t>
        <a:bodyPr/>
        <a:lstStyle/>
        <a:p>
          <a:r>
            <a:rPr lang="en-US"/>
            <a:t>Therapist 3</a:t>
          </a:r>
        </a:p>
      </dgm:t>
    </dgm:pt>
    <dgm:pt modelId="{FEC90766-E714-A043-B1B9-0AF748E28810}" type="parTrans" cxnId="{F1DC3B21-832B-5248-A8DA-CFEF60174BEB}">
      <dgm:prSet/>
      <dgm:spPr/>
      <dgm:t>
        <a:bodyPr/>
        <a:lstStyle/>
        <a:p>
          <a:endParaRPr lang="en-US"/>
        </a:p>
      </dgm:t>
    </dgm:pt>
    <dgm:pt modelId="{E3587FB3-C4B6-954D-AB3B-58EA170B4D32}" type="sibTrans" cxnId="{F1DC3B21-832B-5248-A8DA-CFEF60174BEB}">
      <dgm:prSet/>
      <dgm:spPr/>
      <dgm:t>
        <a:bodyPr/>
        <a:lstStyle/>
        <a:p>
          <a:endParaRPr lang="en-US"/>
        </a:p>
      </dgm:t>
    </dgm:pt>
    <dgm:pt modelId="{0C7ECD6D-EFCA-4149-95BF-D58F8B25CB57}">
      <dgm:prSet/>
      <dgm:spPr/>
      <dgm:t>
        <a:bodyPr/>
        <a:lstStyle/>
        <a:p>
          <a:r>
            <a:rPr lang="en-US"/>
            <a:t>Therapist 4</a:t>
          </a:r>
        </a:p>
      </dgm:t>
    </dgm:pt>
    <dgm:pt modelId="{2A68FA56-6738-C349-8FAE-C21578B7525B}" type="parTrans" cxnId="{1361CCE4-063A-B145-A2B3-54C157BE0435}">
      <dgm:prSet/>
      <dgm:spPr/>
      <dgm:t>
        <a:bodyPr/>
        <a:lstStyle/>
        <a:p>
          <a:endParaRPr lang="en-US"/>
        </a:p>
      </dgm:t>
    </dgm:pt>
    <dgm:pt modelId="{2774F700-FFD0-294B-B9BF-772E69D2DECC}" type="sibTrans" cxnId="{1361CCE4-063A-B145-A2B3-54C157BE0435}">
      <dgm:prSet/>
      <dgm:spPr/>
      <dgm:t>
        <a:bodyPr/>
        <a:lstStyle/>
        <a:p>
          <a:endParaRPr lang="en-US"/>
        </a:p>
      </dgm:t>
    </dgm:pt>
    <dgm:pt modelId="{2EE7463C-2551-D944-B9AC-218D705A0248}">
      <dgm:prSet/>
      <dgm:spPr/>
      <dgm:t>
        <a:bodyPr/>
        <a:lstStyle/>
        <a:p>
          <a:r>
            <a:rPr lang="en-US"/>
            <a:t>Therapist 5</a:t>
          </a:r>
        </a:p>
      </dgm:t>
    </dgm:pt>
    <dgm:pt modelId="{D2CF7B11-EF84-FF46-AE0C-A6E9F223D8AE}" type="parTrans" cxnId="{721109BA-2D28-744F-B5C4-BE6164AD9834}">
      <dgm:prSet/>
      <dgm:spPr/>
      <dgm:t>
        <a:bodyPr/>
        <a:lstStyle/>
        <a:p>
          <a:endParaRPr lang="en-US"/>
        </a:p>
      </dgm:t>
    </dgm:pt>
    <dgm:pt modelId="{16119B77-AC9C-C54C-8211-EE4D07530BE3}" type="sibTrans" cxnId="{721109BA-2D28-744F-B5C4-BE6164AD9834}">
      <dgm:prSet/>
      <dgm:spPr/>
      <dgm:t>
        <a:bodyPr/>
        <a:lstStyle/>
        <a:p>
          <a:endParaRPr lang="en-US"/>
        </a:p>
      </dgm:t>
    </dgm:pt>
    <dgm:pt modelId="{FD285C4E-C134-DA4E-B3F9-EF963C586734}">
      <dgm:prSet/>
      <dgm:spPr/>
      <dgm:t>
        <a:bodyPr/>
        <a:lstStyle/>
        <a:p>
          <a:r>
            <a:rPr lang="en-US"/>
            <a:t>Patient 8</a:t>
          </a:r>
        </a:p>
      </dgm:t>
    </dgm:pt>
    <dgm:pt modelId="{D2EB6E4D-BE5D-6A40-A2DB-88438C755768}" type="parTrans" cxnId="{5514883B-4E41-8941-BAB2-3B95AF135889}">
      <dgm:prSet/>
      <dgm:spPr/>
      <dgm:t>
        <a:bodyPr/>
        <a:lstStyle/>
        <a:p>
          <a:endParaRPr lang="en-US"/>
        </a:p>
      </dgm:t>
    </dgm:pt>
    <dgm:pt modelId="{39B93E68-BE05-D24A-9548-73D493C3A77E}" type="sibTrans" cxnId="{5514883B-4E41-8941-BAB2-3B95AF135889}">
      <dgm:prSet/>
      <dgm:spPr/>
      <dgm:t>
        <a:bodyPr/>
        <a:lstStyle/>
        <a:p>
          <a:endParaRPr lang="en-US"/>
        </a:p>
      </dgm:t>
    </dgm:pt>
    <dgm:pt modelId="{24C4528B-B904-2E41-B2D8-80711F91837D}">
      <dgm:prSet/>
      <dgm:spPr/>
      <dgm:t>
        <a:bodyPr/>
        <a:lstStyle/>
        <a:p>
          <a:r>
            <a:rPr lang="en-US"/>
            <a:t>Patient 9</a:t>
          </a:r>
        </a:p>
      </dgm:t>
    </dgm:pt>
    <dgm:pt modelId="{FF7A3484-536A-4B4E-8261-FAA91821226D}" type="parTrans" cxnId="{C26EA754-444E-174D-B04B-E5D812042256}">
      <dgm:prSet/>
      <dgm:spPr/>
      <dgm:t>
        <a:bodyPr/>
        <a:lstStyle/>
        <a:p>
          <a:endParaRPr lang="en-US"/>
        </a:p>
      </dgm:t>
    </dgm:pt>
    <dgm:pt modelId="{C6EF0FCF-78D7-D041-9831-F875B654E513}" type="sibTrans" cxnId="{C26EA754-444E-174D-B04B-E5D812042256}">
      <dgm:prSet/>
      <dgm:spPr/>
      <dgm:t>
        <a:bodyPr/>
        <a:lstStyle/>
        <a:p>
          <a:endParaRPr lang="en-US"/>
        </a:p>
      </dgm:t>
    </dgm:pt>
    <dgm:pt modelId="{0E86E52B-8373-BC4E-B6FE-9F4CF10DDE51}">
      <dgm:prSet/>
      <dgm:spPr/>
      <dgm:t>
        <a:bodyPr/>
        <a:lstStyle/>
        <a:p>
          <a:r>
            <a:rPr lang="en-US"/>
            <a:t>Patient 10</a:t>
          </a:r>
        </a:p>
      </dgm:t>
    </dgm:pt>
    <dgm:pt modelId="{D6EE1491-DC0D-9E4E-ABBC-5B3980CFFFD2}" type="parTrans" cxnId="{3BEFB4BD-10DD-8644-9FE3-25C1C6819847}">
      <dgm:prSet/>
      <dgm:spPr/>
      <dgm:t>
        <a:bodyPr/>
        <a:lstStyle/>
        <a:p>
          <a:endParaRPr lang="en-US"/>
        </a:p>
      </dgm:t>
    </dgm:pt>
    <dgm:pt modelId="{92FE8F82-DE1A-F44C-8F4E-F1B99304F79F}" type="sibTrans" cxnId="{3BEFB4BD-10DD-8644-9FE3-25C1C6819847}">
      <dgm:prSet/>
      <dgm:spPr/>
      <dgm:t>
        <a:bodyPr/>
        <a:lstStyle/>
        <a:p>
          <a:endParaRPr lang="en-US"/>
        </a:p>
      </dgm:t>
    </dgm:pt>
    <dgm:pt modelId="{1902E7C0-0D02-E547-9B7D-39122625CABC}">
      <dgm:prSet/>
      <dgm:spPr/>
      <dgm:t>
        <a:bodyPr/>
        <a:lstStyle/>
        <a:p>
          <a:r>
            <a:rPr lang="en-US"/>
            <a:t>Patient 11</a:t>
          </a:r>
        </a:p>
      </dgm:t>
    </dgm:pt>
    <dgm:pt modelId="{5CD8EA84-8C96-7444-93F1-FA89D3D00EF7}" type="parTrans" cxnId="{2552CA39-C201-7847-9CBF-5C16DB72C2DE}">
      <dgm:prSet/>
      <dgm:spPr/>
      <dgm:t>
        <a:bodyPr/>
        <a:lstStyle/>
        <a:p>
          <a:endParaRPr lang="en-US"/>
        </a:p>
      </dgm:t>
    </dgm:pt>
    <dgm:pt modelId="{BF981FF5-8759-6F4E-A428-4606B6C8E870}" type="sibTrans" cxnId="{2552CA39-C201-7847-9CBF-5C16DB72C2DE}">
      <dgm:prSet/>
      <dgm:spPr/>
      <dgm:t>
        <a:bodyPr/>
        <a:lstStyle/>
        <a:p>
          <a:endParaRPr lang="en-US"/>
        </a:p>
      </dgm:t>
    </dgm:pt>
    <dgm:pt modelId="{3F57D9E8-F89F-DB42-9E03-E362215415B0}">
      <dgm:prSet/>
      <dgm:spPr/>
      <dgm:t>
        <a:bodyPr/>
        <a:lstStyle/>
        <a:p>
          <a:r>
            <a:rPr lang="en-US"/>
            <a:t>Patient 12</a:t>
          </a:r>
        </a:p>
      </dgm:t>
    </dgm:pt>
    <dgm:pt modelId="{50B52534-EB02-0643-B498-17CF8435EB99}" type="parTrans" cxnId="{2503428A-21A7-5844-B7B6-508945A7B3F1}">
      <dgm:prSet/>
      <dgm:spPr/>
      <dgm:t>
        <a:bodyPr/>
        <a:lstStyle/>
        <a:p>
          <a:endParaRPr lang="en-US"/>
        </a:p>
      </dgm:t>
    </dgm:pt>
    <dgm:pt modelId="{FAC13035-80EE-6143-9591-E1011DBE255B}" type="sibTrans" cxnId="{2503428A-21A7-5844-B7B6-508945A7B3F1}">
      <dgm:prSet/>
      <dgm:spPr/>
      <dgm:t>
        <a:bodyPr/>
        <a:lstStyle/>
        <a:p>
          <a:endParaRPr lang="en-US"/>
        </a:p>
      </dgm:t>
    </dgm:pt>
    <dgm:pt modelId="{CC1D2F38-2007-9E44-AAC0-54BB68C1F4E3}">
      <dgm:prSet/>
      <dgm:spPr/>
      <dgm:t>
        <a:bodyPr/>
        <a:lstStyle/>
        <a:p>
          <a:r>
            <a:rPr lang="en-US"/>
            <a:t>Patient 13</a:t>
          </a:r>
        </a:p>
      </dgm:t>
    </dgm:pt>
    <dgm:pt modelId="{0103A3D1-48BC-5243-A6BB-2DA7CE693D22}" type="parTrans" cxnId="{C5ECC402-DE90-A245-A690-E28607D8B248}">
      <dgm:prSet/>
      <dgm:spPr/>
      <dgm:t>
        <a:bodyPr/>
        <a:lstStyle/>
        <a:p>
          <a:endParaRPr lang="en-US"/>
        </a:p>
      </dgm:t>
    </dgm:pt>
    <dgm:pt modelId="{0B0F2386-7557-6A41-B353-C22D58FFBF77}" type="sibTrans" cxnId="{C5ECC402-DE90-A245-A690-E28607D8B248}">
      <dgm:prSet/>
      <dgm:spPr/>
      <dgm:t>
        <a:bodyPr/>
        <a:lstStyle/>
        <a:p>
          <a:endParaRPr lang="en-US"/>
        </a:p>
      </dgm:t>
    </dgm:pt>
    <dgm:pt modelId="{A618596B-B3AC-0A4B-82C6-887328BA4A16}">
      <dgm:prSet/>
      <dgm:spPr/>
      <dgm:t>
        <a:bodyPr/>
        <a:lstStyle/>
        <a:p>
          <a:r>
            <a:rPr lang="en-US"/>
            <a:t>Patient 15</a:t>
          </a:r>
        </a:p>
      </dgm:t>
    </dgm:pt>
    <dgm:pt modelId="{FD7A8D14-8A90-5445-908B-1C078F305225}" type="parTrans" cxnId="{2764E8C5-7156-EE45-886E-C5F837CC7693}">
      <dgm:prSet/>
      <dgm:spPr/>
      <dgm:t>
        <a:bodyPr/>
        <a:lstStyle/>
        <a:p>
          <a:endParaRPr lang="en-US"/>
        </a:p>
      </dgm:t>
    </dgm:pt>
    <dgm:pt modelId="{BED5C47B-F61F-4446-B919-D14372C04B7C}" type="sibTrans" cxnId="{2764E8C5-7156-EE45-886E-C5F837CC7693}">
      <dgm:prSet/>
      <dgm:spPr/>
      <dgm:t>
        <a:bodyPr/>
        <a:lstStyle/>
        <a:p>
          <a:endParaRPr lang="en-US"/>
        </a:p>
      </dgm:t>
    </dgm:pt>
    <dgm:pt modelId="{DB3AA5B2-DE3D-A940-8355-400D55D41AC0}">
      <dgm:prSet/>
      <dgm:spPr/>
      <dgm:t>
        <a:bodyPr/>
        <a:lstStyle/>
        <a:p>
          <a:r>
            <a:rPr lang="en-US"/>
            <a:t>Patient 16</a:t>
          </a:r>
        </a:p>
      </dgm:t>
    </dgm:pt>
    <dgm:pt modelId="{FDC0A8BB-36CF-6546-B58D-8660B978376D}" type="parTrans" cxnId="{6C8BD518-E879-194C-BA94-38D70EB8B68F}">
      <dgm:prSet/>
      <dgm:spPr/>
      <dgm:t>
        <a:bodyPr/>
        <a:lstStyle/>
        <a:p>
          <a:endParaRPr lang="en-US"/>
        </a:p>
      </dgm:t>
    </dgm:pt>
    <dgm:pt modelId="{24D42248-348B-124E-8EB2-D15260ECE56F}" type="sibTrans" cxnId="{6C8BD518-E879-194C-BA94-38D70EB8B68F}">
      <dgm:prSet/>
      <dgm:spPr/>
      <dgm:t>
        <a:bodyPr/>
        <a:lstStyle/>
        <a:p>
          <a:endParaRPr lang="en-US"/>
        </a:p>
      </dgm:t>
    </dgm:pt>
    <dgm:pt modelId="{E324042A-25AC-E54C-A681-517CDB72F5D4}">
      <dgm:prSet/>
      <dgm:spPr/>
      <dgm:t>
        <a:bodyPr/>
        <a:lstStyle/>
        <a:p>
          <a:r>
            <a:rPr lang="en-US"/>
            <a:t>Patient 17</a:t>
          </a:r>
        </a:p>
      </dgm:t>
    </dgm:pt>
    <dgm:pt modelId="{1B55A111-F1C6-5947-A4C7-BBD45C6AF45A}" type="parTrans" cxnId="{29D13C64-F8E1-2048-8B42-CB0958AE9B30}">
      <dgm:prSet/>
      <dgm:spPr/>
      <dgm:t>
        <a:bodyPr/>
        <a:lstStyle/>
        <a:p>
          <a:endParaRPr lang="en-US"/>
        </a:p>
      </dgm:t>
    </dgm:pt>
    <dgm:pt modelId="{AA1C9EA1-8273-D340-AA6C-E9AFF4A8FAC3}" type="sibTrans" cxnId="{29D13C64-F8E1-2048-8B42-CB0958AE9B30}">
      <dgm:prSet/>
      <dgm:spPr/>
      <dgm:t>
        <a:bodyPr/>
        <a:lstStyle/>
        <a:p>
          <a:endParaRPr lang="en-US"/>
        </a:p>
      </dgm:t>
    </dgm:pt>
    <dgm:pt modelId="{D51770AE-5F5A-AF4C-854F-DD036671CEA3}">
      <dgm:prSet/>
      <dgm:spPr/>
      <dgm:t>
        <a:bodyPr/>
        <a:lstStyle/>
        <a:p>
          <a:r>
            <a:rPr lang="en-US"/>
            <a:t>Patient 18</a:t>
          </a:r>
        </a:p>
      </dgm:t>
    </dgm:pt>
    <dgm:pt modelId="{A937821B-4531-8849-BFC7-A70453F177B2}" type="parTrans" cxnId="{ECEA4E5C-0531-BB41-9E12-6F3F27016451}">
      <dgm:prSet/>
      <dgm:spPr/>
      <dgm:t>
        <a:bodyPr/>
        <a:lstStyle/>
        <a:p>
          <a:endParaRPr lang="en-US"/>
        </a:p>
      </dgm:t>
    </dgm:pt>
    <dgm:pt modelId="{81A408B6-5216-6D4F-A0CA-65DB2F7F9A05}" type="sibTrans" cxnId="{ECEA4E5C-0531-BB41-9E12-6F3F27016451}">
      <dgm:prSet/>
      <dgm:spPr/>
      <dgm:t>
        <a:bodyPr/>
        <a:lstStyle/>
        <a:p>
          <a:endParaRPr lang="en-US"/>
        </a:p>
      </dgm:t>
    </dgm:pt>
    <dgm:pt modelId="{E487F0EF-6E7F-8E4D-AF53-576CB6CFB730}">
      <dgm:prSet/>
      <dgm:spPr/>
      <dgm:t>
        <a:bodyPr/>
        <a:lstStyle/>
        <a:p>
          <a:r>
            <a:rPr lang="en-US"/>
            <a:t>Patient 14</a:t>
          </a:r>
        </a:p>
      </dgm:t>
    </dgm:pt>
    <dgm:pt modelId="{F5CA312B-CB77-E140-9604-556B8C9E5657}" type="parTrans" cxnId="{9227B213-481D-C249-A051-E91DE09F995E}">
      <dgm:prSet/>
      <dgm:spPr/>
      <dgm:t>
        <a:bodyPr/>
        <a:lstStyle/>
        <a:p>
          <a:endParaRPr lang="en-US"/>
        </a:p>
      </dgm:t>
    </dgm:pt>
    <dgm:pt modelId="{6A4C55A0-21EA-7146-A633-1A98C7530DC2}" type="sibTrans" cxnId="{9227B213-481D-C249-A051-E91DE09F995E}">
      <dgm:prSet/>
      <dgm:spPr/>
      <dgm:t>
        <a:bodyPr/>
        <a:lstStyle/>
        <a:p>
          <a:endParaRPr lang="en-US"/>
        </a:p>
      </dgm:t>
    </dgm:pt>
    <dgm:pt modelId="{C3FBA16E-107C-CC41-8456-76849870676D}" type="pres">
      <dgm:prSet presAssocID="{0811681E-E341-124D-AA12-45D276EA542C}" presName="diagram" presStyleCnt="0">
        <dgm:presLayoutVars>
          <dgm:chPref val="1"/>
          <dgm:dir/>
          <dgm:animOne val="branch"/>
          <dgm:animLvl val="lvl"/>
          <dgm:resizeHandles/>
        </dgm:presLayoutVars>
      </dgm:prSet>
      <dgm:spPr/>
    </dgm:pt>
    <dgm:pt modelId="{BCA6DD07-3938-2D43-A804-34B67A804CC3}" type="pres">
      <dgm:prSet presAssocID="{0B362A26-F359-1249-A0A7-3EB852C77075}" presName="root" presStyleCnt="0"/>
      <dgm:spPr/>
    </dgm:pt>
    <dgm:pt modelId="{EF73D8D9-FB12-C143-8907-9878A74BF2FB}" type="pres">
      <dgm:prSet presAssocID="{0B362A26-F359-1249-A0A7-3EB852C77075}" presName="rootComposite" presStyleCnt="0"/>
      <dgm:spPr/>
    </dgm:pt>
    <dgm:pt modelId="{79C5622F-F917-4F42-A174-54254D6004E2}" type="pres">
      <dgm:prSet presAssocID="{0B362A26-F359-1249-A0A7-3EB852C77075}" presName="rootText" presStyleLbl="node1" presStyleIdx="0" presStyleCnt="5"/>
      <dgm:spPr/>
    </dgm:pt>
    <dgm:pt modelId="{826E05E4-B365-A542-9746-87105DEC4660}" type="pres">
      <dgm:prSet presAssocID="{0B362A26-F359-1249-A0A7-3EB852C77075}" presName="rootConnector" presStyleLbl="node1" presStyleIdx="0" presStyleCnt="5"/>
      <dgm:spPr/>
    </dgm:pt>
    <dgm:pt modelId="{02DF8533-CAF3-594A-8B10-BEA60C4ADD3C}" type="pres">
      <dgm:prSet presAssocID="{0B362A26-F359-1249-A0A7-3EB852C77075}" presName="childShape" presStyleCnt="0"/>
      <dgm:spPr/>
    </dgm:pt>
    <dgm:pt modelId="{A8B6C984-AB70-0641-BB38-8AF79F99B197}" type="pres">
      <dgm:prSet presAssocID="{5272503B-AE48-424B-8306-891ABB7E40AD}" presName="Name13" presStyleLbl="parChTrans1D2" presStyleIdx="0" presStyleCnt="18"/>
      <dgm:spPr/>
    </dgm:pt>
    <dgm:pt modelId="{0FACBFE4-B88C-D242-94E4-DBFD01B49DF6}" type="pres">
      <dgm:prSet presAssocID="{1706FF8A-7D28-F448-9226-179FBBE8DE60}" presName="childText" presStyleLbl="bgAcc1" presStyleIdx="0" presStyleCnt="18">
        <dgm:presLayoutVars>
          <dgm:bulletEnabled val="1"/>
        </dgm:presLayoutVars>
      </dgm:prSet>
      <dgm:spPr/>
    </dgm:pt>
    <dgm:pt modelId="{FEBF5CEF-06E3-4A47-AF22-84DBA5423D15}" type="pres">
      <dgm:prSet presAssocID="{5E7B801F-E422-1C48-9D4A-78F41A69B0DF}" presName="Name13" presStyleLbl="parChTrans1D2" presStyleIdx="1" presStyleCnt="18"/>
      <dgm:spPr/>
    </dgm:pt>
    <dgm:pt modelId="{BA4A8323-E687-E94E-8898-235E9912FADA}" type="pres">
      <dgm:prSet presAssocID="{38340FEE-B12E-4440-AFF1-88554AD77822}" presName="childText" presStyleLbl="bgAcc1" presStyleIdx="1" presStyleCnt="18">
        <dgm:presLayoutVars>
          <dgm:bulletEnabled val="1"/>
        </dgm:presLayoutVars>
      </dgm:prSet>
      <dgm:spPr/>
    </dgm:pt>
    <dgm:pt modelId="{BD8DC038-8FA6-4945-AB84-640B4760F1EF}" type="pres">
      <dgm:prSet presAssocID="{46DE4CC7-DF1F-8A48-994D-46007026A412}" presName="Name13" presStyleLbl="parChTrans1D2" presStyleIdx="2" presStyleCnt="18"/>
      <dgm:spPr/>
    </dgm:pt>
    <dgm:pt modelId="{9181E156-3EC2-8E46-B392-3A683E2729D6}" type="pres">
      <dgm:prSet presAssocID="{1F30DE76-1269-5746-8C73-0FC0E20C79E7}" presName="childText" presStyleLbl="bgAcc1" presStyleIdx="2" presStyleCnt="18">
        <dgm:presLayoutVars>
          <dgm:bulletEnabled val="1"/>
        </dgm:presLayoutVars>
      </dgm:prSet>
      <dgm:spPr/>
    </dgm:pt>
    <dgm:pt modelId="{9F83864D-FB60-2E40-987F-E46E59784F93}" type="pres">
      <dgm:prSet presAssocID="{E0D6272D-83D9-3C41-881B-D5CB4F02B40B}" presName="root" presStyleCnt="0"/>
      <dgm:spPr/>
    </dgm:pt>
    <dgm:pt modelId="{197B504F-2CCB-B340-8F32-DF5C7F418AB5}" type="pres">
      <dgm:prSet presAssocID="{E0D6272D-83D9-3C41-881B-D5CB4F02B40B}" presName="rootComposite" presStyleCnt="0"/>
      <dgm:spPr/>
    </dgm:pt>
    <dgm:pt modelId="{ABD5F3A4-A0DA-EE40-9C59-EEB52B59B40F}" type="pres">
      <dgm:prSet presAssocID="{E0D6272D-83D9-3C41-881B-D5CB4F02B40B}" presName="rootText" presStyleLbl="node1" presStyleIdx="1" presStyleCnt="5"/>
      <dgm:spPr/>
    </dgm:pt>
    <dgm:pt modelId="{16979545-45E9-6D47-94AC-13DECDE2B41F}" type="pres">
      <dgm:prSet presAssocID="{E0D6272D-83D9-3C41-881B-D5CB4F02B40B}" presName="rootConnector" presStyleLbl="node1" presStyleIdx="1" presStyleCnt="5"/>
      <dgm:spPr/>
    </dgm:pt>
    <dgm:pt modelId="{F3AC40CD-EF6B-BF43-A901-1E75C4D96AD5}" type="pres">
      <dgm:prSet presAssocID="{E0D6272D-83D9-3C41-881B-D5CB4F02B40B}" presName="childShape" presStyleCnt="0"/>
      <dgm:spPr/>
    </dgm:pt>
    <dgm:pt modelId="{9A1626A3-B86A-3541-8361-1979FC0581F3}" type="pres">
      <dgm:prSet presAssocID="{9CD9C564-5227-DB4D-8D4F-2BE0E194361A}" presName="Name13" presStyleLbl="parChTrans1D2" presStyleIdx="3" presStyleCnt="18"/>
      <dgm:spPr/>
    </dgm:pt>
    <dgm:pt modelId="{0BD5E7FA-A7D7-8D47-A909-B7E25707F492}" type="pres">
      <dgm:prSet presAssocID="{54CCD6CC-6EBF-974C-8982-5C5AF18C904C}" presName="childText" presStyleLbl="bgAcc1" presStyleIdx="3" presStyleCnt="18">
        <dgm:presLayoutVars>
          <dgm:bulletEnabled val="1"/>
        </dgm:presLayoutVars>
      </dgm:prSet>
      <dgm:spPr/>
    </dgm:pt>
    <dgm:pt modelId="{DA44FEDB-46F3-4145-B03C-257970FE3C03}" type="pres">
      <dgm:prSet presAssocID="{92786171-A23D-9344-BDE4-169C7FFF0BA7}" presName="Name13" presStyleLbl="parChTrans1D2" presStyleIdx="4" presStyleCnt="18"/>
      <dgm:spPr/>
    </dgm:pt>
    <dgm:pt modelId="{2291901A-4150-684E-AAEE-C904133973DF}" type="pres">
      <dgm:prSet presAssocID="{74B3726F-C9E0-314C-B4A8-D6E1A8D1DD0F}" presName="childText" presStyleLbl="bgAcc1" presStyleIdx="4" presStyleCnt="18">
        <dgm:presLayoutVars>
          <dgm:bulletEnabled val="1"/>
        </dgm:presLayoutVars>
      </dgm:prSet>
      <dgm:spPr/>
    </dgm:pt>
    <dgm:pt modelId="{1B19012D-721E-554A-A57B-03F0FBC5A36E}" type="pres">
      <dgm:prSet presAssocID="{DC322026-37EC-8141-BC8F-490DF2185D42}" presName="Name13" presStyleLbl="parChTrans1D2" presStyleIdx="5" presStyleCnt="18"/>
      <dgm:spPr/>
    </dgm:pt>
    <dgm:pt modelId="{EFA7D6AC-662C-0E40-A97B-93B4ACBB73CB}" type="pres">
      <dgm:prSet presAssocID="{4EA54C54-279D-AA41-84BA-585852C2D7B3}" presName="childText" presStyleLbl="bgAcc1" presStyleIdx="5" presStyleCnt="18">
        <dgm:presLayoutVars>
          <dgm:bulletEnabled val="1"/>
        </dgm:presLayoutVars>
      </dgm:prSet>
      <dgm:spPr/>
    </dgm:pt>
    <dgm:pt modelId="{B3D9AA2F-F400-214F-A9AC-1F7DDC422C5B}" type="pres">
      <dgm:prSet presAssocID="{0392E015-08F6-B647-9ED2-AE61F14A7081}" presName="Name13" presStyleLbl="parChTrans1D2" presStyleIdx="6" presStyleCnt="18"/>
      <dgm:spPr/>
    </dgm:pt>
    <dgm:pt modelId="{FBF2D628-9CA7-E942-920E-6720051ED609}" type="pres">
      <dgm:prSet presAssocID="{DEBB4787-0C1B-A74E-B651-A1108DD805A2}" presName="childText" presStyleLbl="bgAcc1" presStyleIdx="6" presStyleCnt="18">
        <dgm:presLayoutVars>
          <dgm:bulletEnabled val="1"/>
        </dgm:presLayoutVars>
      </dgm:prSet>
      <dgm:spPr/>
    </dgm:pt>
    <dgm:pt modelId="{817FED39-C9AC-9149-B54B-CB44A23BEA00}" type="pres">
      <dgm:prSet presAssocID="{B0F669D1-C0FD-E246-98C2-CB07C8A5DB5E}" presName="root" presStyleCnt="0"/>
      <dgm:spPr/>
    </dgm:pt>
    <dgm:pt modelId="{0D9EEC9A-9029-AC4B-A0EC-490865CF1E0A}" type="pres">
      <dgm:prSet presAssocID="{B0F669D1-C0FD-E246-98C2-CB07C8A5DB5E}" presName="rootComposite" presStyleCnt="0"/>
      <dgm:spPr/>
    </dgm:pt>
    <dgm:pt modelId="{70F971EA-8A8E-3C40-8ED1-ED83FF77E902}" type="pres">
      <dgm:prSet presAssocID="{B0F669D1-C0FD-E246-98C2-CB07C8A5DB5E}" presName="rootText" presStyleLbl="node1" presStyleIdx="2" presStyleCnt="5"/>
      <dgm:spPr/>
    </dgm:pt>
    <dgm:pt modelId="{025EE767-1E04-F849-B8DF-441C11BFA17F}" type="pres">
      <dgm:prSet presAssocID="{B0F669D1-C0FD-E246-98C2-CB07C8A5DB5E}" presName="rootConnector" presStyleLbl="node1" presStyleIdx="2" presStyleCnt="5"/>
      <dgm:spPr/>
    </dgm:pt>
    <dgm:pt modelId="{E516C030-F570-F945-9600-807D873CAE0D}" type="pres">
      <dgm:prSet presAssocID="{B0F669D1-C0FD-E246-98C2-CB07C8A5DB5E}" presName="childShape" presStyleCnt="0"/>
      <dgm:spPr/>
    </dgm:pt>
    <dgm:pt modelId="{8723BBA8-7465-B444-928F-74D86DE466F7}" type="pres">
      <dgm:prSet presAssocID="{D2EB6E4D-BE5D-6A40-A2DB-88438C755768}" presName="Name13" presStyleLbl="parChTrans1D2" presStyleIdx="7" presStyleCnt="18"/>
      <dgm:spPr/>
    </dgm:pt>
    <dgm:pt modelId="{A97F3223-CD9B-3D40-A355-44541BD441B1}" type="pres">
      <dgm:prSet presAssocID="{FD285C4E-C134-DA4E-B3F9-EF963C586734}" presName="childText" presStyleLbl="bgAcc1" presStyleIdx="7" presStyleCnt="18">
        <dgm:presLayoutVars>
          <dgm:bulletEnabled val="1"/>
        </dgm:presLayoutVars>
      </dgm:prSet>
      <dgm:spPr/>
    </dgm:pt>
    <dgm:pt modelId="{5A9C3ED6-B62B-0144-9A18-D588291A28CC}" type="pres">
      <dgm:prSet presAssocID="{FF7A3484-536A-4B4E-8261-FAA91821226D}" presName="Name13" presStyleLbl="parChTrans1D2" presStyleIdx="8" presStyleCnt="18"/>
      <dgm:spPr/>
    </dgm:pt>
    <dgm:pt modelId="{3DF889CC-0584-4C4B-A7DE-A33EC7BD1F5E}" type="pres">
      <dgm:prSet presAssocID="{24C4528B-B904-2E41-B2D8-80711F91837D}" presName="childText" presStyleLbl="bgAcc1" presStyleIdx="8" presStyleCnt="18">
        <dgm:presLayoutVars>
          <dgm:bulletEnabled val="1"/>
        </dgm:presLayoutVars>
      </dgm:prSet>
      <dgm:spPr/>
    </dgm:pt>
    <dgm:pt modelId="{C649019D-88DC-6747-AFEF-5B814AB3AE16}" type="pres">
      <dgm:prSet presAssocID="{D6EE1491-DC0D-9E4E-ABBC-5B3980CFFFD2}" presName="Name13" presStyleLbl="parChTrans1D2" presStyleIdx="9" presStyleCnt="18"/>
      <dgm:spPr/>
    </dgm:pt>
    <dgm:pt modelId="{42BAF60A-BAFD-644C-86F6-E2C5A50D7C09}" type="pres">
      <dgm:prSet presAssocID="{0E86E52B-8373-BC4E-B6FE-9F4CF10DDE51}" presName="childText" presStyleLbl="bgAcc1" presStyleIdx="9" presStyleCnt="18">
        <dgm:presLayoutVars>
          <dgm:bulletEnabled val="1"/>
        </dgm:presLayoutVars>
      </dgm:prSet>
      <dgm:spPr/>
    </dgm:pt>
    <dgm:pt modelId="{97A26703-FB35-F146-BCAE-0E08C9C39747}" type="pres">
      <dgm:prSet presAssocID="{0C7ECD6D-EFCA-4149-95BF-D58F8B25CB57}" presName="root" presStyleCnt="0"/>
      <dgm:spPr/>
    </dgm:pt>
    <dgm:pt modelId="{013DAEF9-3D37-5A48-9BAE-F343DC505C0F}" type="pres">
      <dgm:prSet presAssocID="{0C7ECD6D-EFCA-4149-95BF-D58F8B25CB57}" presName="rootComposite" presStyleCnt="0"/>
      <dgm:spPr/>
    </dgm:pt>
    <dgm:pt modelId="{01D0E96F-21CA-1140-BE31-F0BACF787F39}" type="pres">
      <dgm:prSet presAssocID="{0C7ECD6D-EFCA-4149-95BF-D58F8B25CB57}" presName="rootText" presStyleLbl="node1" presStyleIdx="3" presStyleCnt="5"/>
      <dgm:spPr/>
    </dgm:pt>
    <dgm:pt modelId="{24F7F25D-A68D-0442-82D0-0F18465892AF}" type="pres">
      <dgm:prSet presAssocID="{0C7ECD6D-EFCA-4149-95BF-D58F8B25CB57}" presName="rootConnector" presStyleLbl="node1" presStyleIdx="3" presStyleCnt="5"/>
      <dgm:spPr/>
    </dgm:pt>
    <dgm:pt modelId="{844DC66D-A8D3-C34F-B9D8-43A74A20B9EC}" type="pres">
      <dgm:prSet presAssocID="{0C7ECD6D-EFCA-4149-95BF-D58F8B25CB57}" presName="childShape" presStyleCnt="0"/>
      <dgm:spPr/>
    </dgm:pt>
    <dgm:pt modelId="{99DB7734-BFD7-164F-B2FC-D983EAA98C63}" type="pres">
      <dgm:prSet presAssocID="{5CD8EA84-8C96-7444-93F1-FA89D3D00EF7}" presName="Name13" presStyleLbl="parChTrans1D2" presStyleIdx="10" presStyleCnt="18"/>
      <dgm:spPr/>
    </dgm:pt>
    <dgm:pt modelId="{790094B5-4C91-2043-9EA0-A70DB5F304BD}" type="pres">
      <dgm:prSet presAssocID="{1902E7C0-0D02-E547-9B7D-39122625CABC}" presName="childText" presStyleLbl="bgAcc1" presStyleIdx="10" presStyleCnt="18">
        <dgm:presLayoutVars>
          <dgm:bulletEnabled val="1"/>
        </dgm:presLayoutVars>
      </dgm:prSet>
      <dgm:spPr/>
    </dgm:pt>
    <dgm:pt modelId="{F6A51B4C-AD73-424D-8352-AA7E59FDA70B}" type="pres">
      <dgm:prSet presAssocID="{50B52534-EB02-0643-B498-17CF8435EB99}" presName="Name13" presStyleLbl="parChTrans1D2" presStyleIdx="11" presStyleCnt="18"/>
      <dgm:spPr/>
    </dgm:pt>
    <dgm:pt modelId="{8C85747C-09C5-9D4B-93EA-9D0F60B7F642}" type="pres">
      <dgm:prSet presAssocID="{3F57D9E8-F89F-DB42-9E03-E362215415B0}" presName="childText" presStyleLbl="bgAcc1" presStyleIdx="11" presStyleCnt="18">
        <dgm:presLayoutVars>
          <dgm:bulletEnabled val="1"/>
        </dgm:presLayoutVars>
      </dgm:prSet>
      <dgm:spPr/>
    </dgm:pt>
    <dgm:pt modelId="{09784FB3-06DB-E040-A462-E6D1EFC9DB0F}" type="pres">
      <dgm:prSet presAssocID="{0103A3D1-48BC-5243-A6BB-2DA7CE693D22}" presName="Name13" presStyleLbl="parChTrans1D2" presStyleIdx="12" presStyleCnt="18"/>
      <dgm:spPr/>
    </dgm:pt>
    <dgm:pt modelId="{BC2002BA-143B-9E4E-AF5C-A3AD07052C6D}" type="pres">
      <dgm:prSet presAssocID="{CC1D2F38-2007-9E44-AAC0-54BB68C1F4E3}" presName="childText" presStyleLbl="bgAcc1" presStyleIdx="12" presStyleCnt="18">
        <dgm:presLayoutVars>
          <dgm:bulletEnabled val="1"/>
        </dgm:presLayoutVars>
      </dgm:prSet>
      <dgm:spPr/>
    </dgm:pt>
    <dgm:pt modelId="{E25C8DCE-A8B6-DC4F-9618-6739B33C2B7F}" type="pres">
      <dgm:prSet presAssocID="{F5CA312B-CB77-E140-9604-556B8C9E5657}" presName="Name13" presStyleLbl="parChTrans1D2" presStyleIdx="13" presStyleCnt="18"/>
      <dgm:spPr/>
    </dgm:pt>
    <dgm:pt modelId="{F9371C9C-2B71-FE48-9646-6A8FB504D2A1}" type="pres">
      <dgm:prSet presAssocID="{E487F0EF-6E7F-8E4D-AF53-576CB6CFB730}" presName="childText" presStyleLbl="bgAcc1" presStyleIdx="13" presStyleCnt="18">
        <dgm:presLayoutVars>
          <dgm:bulletEnabled val="1"/>
        </dgm:presLayoutVars>
      </dgm:prSet>
      <dgm:spPr/>
    </dgm:pt>
    <dgm:pt modelId="{44AC172A-BA29-524F-A314-B8EF81B54B27}" type="pres">
      <dgm:prSet presAssocID="{2EE7463C-2551-D944-B9AC-218D705A0248}" presName="root" presStyleCnt="0"/>
      <dgm:spPr/>
    </dgm:pt>
    <dgm:pt modelId="{8DE0CC8E-ED6D-6E49-AA05-0A42690CF18F}" type="pres">
      <dgm:prSet presAssocID="{2EE7463C-2551-D944-B9AC-218D705A0248}" presName="rootComposite" presStyleCnt="0"/>
      <dgm:spPr/>
    </dgm:pt>
    <dgm:pt modelId="{26D085C6-3F83-EA4E-89E2-6D7C974ED2FB}" type="pres">
      <dgm:prSet presAssocID="{2EE7463C-2551-D944-B9AC-218D705A0248}" presName="rootText" presStyleLbl="node1" presStyleIdx="4" presStyleCnt="5"/>
      <dgm:spPr/>
    </dgm:pt>
    <dgm:pt modelId="{3526D4F4-BCCC-7E43-A6F6-F3E2F43CC831}" type="pres">
      <dgm:prSet presAssocID="{2EE7463C-2551-D944-B9AC-218D705A0248}" presName="rootConnector" presStyleLbl="node1" presStyleIdx="4" presStyleCnt="5"/>
      <dgm:spPr/>
    </dgm:pt>
    <dgm:pt modelId="{C4E5B233-CC17-8842-A229-B0DDA14096A5}" type="pres">
      <dgm:prSet presAssocID="{2EE7463C-2551-D944-B9AC-218D705A0248}" presName="childShape" presStyleCnt="0"/>
      <dgm:spPr/>
    </dgm:pt>
    <dgm:pt modelId="{5DF18CE2-83BE-A743-8D18-EDD12C9F0223}" type="pres">
      <dgm:prSet presAssocID="{FD7A8D14-8A90-5445-908B-1C078F305225}" presName="Name13" presStyleLbl="parChTrans1D2" presStyleIdx="14" presStyleCnt="18"/>
      <dgm:spPr/>
    </dgm:pt>
    <dgm:pt modelId="{2821D366-F56D-0849-AEAD-F3A51DF37FED}" type="pres">
      <dgm:prSet presAssocID="{A618596B-B3AC-0A4B-82C6-887328BA4A16}" presName="childText" presStyleLbl="bgAcc1" presStyleIdx="14" presStyleCnt="18">
        <dgm:presLayoutVars>
          <dgm:bulletEnabled val="1"/>
        </dgm:presLayoutVars>
      </dgm:prSet>
      <dgm:spPr/>
    </dgm:pt>
    <dgm:pt modelId="{E1F3DC55-4FB2-5C4A-8056-157078EDCE6D}" type="pres">
      <dgm:prSet presAssocID="{FDC0A8BB-36CF-6546-B58D-8660B978376D}" presName="Name13" presStyleLbl="parChTrans1D2" presStyleIdx="15" presStyleCnt="18"/>
      <dgm:spPr/>
    </dgm:pt>
    <dgm:pt modelId="{CD704A15-FC32-9E4B-AC9D-EB8837FE3B91}" type="pres">
      <dgm:prSet presAssocID="{DB3AA5B2-DE3D-A940-8355-400D55D41AC0}" presName="childText" presStyleLbl="bgAcc1" presStyleIdx="15" presStyleCnt="18">
        <dgm:presLayoutVars>
          <dgm:bulletEnabled val="1"/>
        </dgm:presLayoutVars>
      </dgm:prSet>
      <dgm:spPr/>
    </dgm:pt>
    <dgm:pt modelId="{8696DFBE-E365-6544-BB4A-ECC9896CC83D}" type="pres">
      <dgm:prSet presAssocID="{1B55A111-F1C6-5947-A4C7-BBD45C6AF45A}" presName="Name13" presStyleLbl="parChTrans1D2" presStyleIdx="16" presStyleCnt="18"/>
      <dgm:spPr/>
    </dgm:pt>
    <dgm:pt modelId="{043CAE35-828B-164E-AD0E-95C4EFE0E8C7}" type="pres">
      <dgm:prSet presAssocID="{E324042A-25AC-E54C-A681-517CDB72F5D4}" presName="childText" presStyleLbl="bgAcc1" presStyleIdx="16" presStyleCnt="18">
        <dgm:presLayoutVars>
          <dgm:bulletEnabled val="1"/>
        </dgm:presLayoutVars>
      </dgm:prSet>
      <dgm:spPr/>
    </dgm:pt>
    <dgm:pt modelId="{FC641620-C56B-0C43-878C-E3FEBE6CE1BE}" type="pres">
      <dgm:prSet presAssocID="{A937821B-4531-8849-BFC7-A70453F177B2}" presName="Name13" presStyleLbl="parChTrans1D2" presStyleIdx="17" presStyleCnt="18"/>
      <dgm:spPr/>
    </dgm:pt>
    <dgm:pt modelId="{0C64593D-7E89-FB4C-9098-CBBD7CEF9FCB}" type="pres">
      <dgm:prSet presAssocID="{D51770AE-5F5A-AF4C-854F-DD036671CEA3}" presName="childText" presStyleLbl="bgAcc1" presStyleIdx="17" presStyleCnt="18">
        <dgm:presLayoutVars>
          <dgm:bulletEnabled val="1"/>
        </dgm:presLayoutVars>
      </dgm:prSet>
      <dgm:spPr/>
    </dgm:pt>
  </dgm:ptLst>
  <dgm:cxnLst>
    <dgm:cxn modelId="{4D121700-7D2A-6B43-BE1A-60A70AC3611B}" type="presOf" srcId="{74B3726F-C9E0-314C-B4A8-D6E1A8D1DD0F}" destId="{2291901A-4150-684E-AAEE-C904133973DF}" srcOrd="0" destOrd="0" presId="urn:microsoft.com/office/officeart/2005/8/layout/hierarchy3"/>
    <dgm:cxn modelId="{53D96000-8E51-3049-9278-6313C40B09CB}" type="presOf" srcId="{0392E015-08F6-B647-9ED2-AE61F14A7081}" destId="{B3D9AA2F-F400-214F-A9AC-1F7DDC422C5B}" srcOrd="0" destOrd="0" presId="urn:microsoft.com/office/officeart/2005/8/layout/hierarchy3"/>
    <dgm:cxn modelId="{75D67501-0B63-BD4F-A512-84E03E177F8E}" type="presOf" srcId="{0C7ECD6D-EFCA-4149-95BF-D58F8B25CB57}" destId="{01D0E96F-21CA-1140-BE31-F0BACF787F39}" srcOrd="0" destOrd="0" presId="urn:microsoft.com/office/officeart/2005/8/layout/hierarchy3"/>
    <dgm:cxn modelId="{E272A702-071C-9C4B-A90E-292FD570DDC5}" type="presOf" srcId="{0E86E52B-8373-BC4E-B6FE-9F4CF10DDE51}" destId="{42BAF60A-BAFD-644C-86F6-E2C5A50D7C09}" srcOrd="0" destOrd="0" presId="urn:microsoft.com/office/officeart/2005/8/layout/hierarchy3"/>
    <dgm:cxn modelId="{C5ECC402-DE90-A245-A690-E28607D8B248}" srcId="{0C7ECD6D-EFCA-4149-95BF-D58F8B25CB57}" destId="{CC1D2F38-2007-9E44-AAC0-54BB68C1F4E3}" srcOrd="2" destOrd="0" parTransId="{0103A3D1-48BC-5243-A6BB-2DA7CE693D22}" sibTransId="{0B0F2386-7557-6A41-B353-C22D58FFBF77}"/>
    <dgm:cxn modelId="{F86B1E05-F86F-874D-B079-069D19C96F60}" type="presOf" srcId="{F5CA312B-CB77-E140-9604-556B8C9E5657}" destId="{E25C8DCE-A8B6-DC4F-9618-6739B33C2B7F}" srcOrd="0" destOrd="0" presId="urn:microsoft.com/office/officeart/2005/8/layout/hierarchy3"/>
    <dgm:cxn modelId="{7B030606-6675-5A45-AB86-1609C69561B7}" type="presOf" srcId="{D51770AE-5F5A-AF4C-854F-DD036671CEA3}" destId="{0C64593D-7E89-FB4C-9098-CBBD7CEF9FCB}" srcOrd="0" destOrd="0" presId="urn:microsoft.com/office/officeart/2005/8/layout/hierarchy3"/>
    <dgm:cxn modelId="{28460507-4E35-7748-BE73-4F1B9F048BBA}" type="presOf" srcId="{E324042A-25AC-E54C-A681-517CDB72F5D4}" destId="{043CAE35-828B-164E-AD0E-95C4EFE0E8C7}" srcOrd="0" destOrd="0" presId="urn:microsoft.com/office/officeart/2005/8/layout/hierarchy3"/>
    <dgm:cxn modelId="{A35B9108-2616-F44B-A955-D020681CA2FA}" type="presOf" srcId="{5E7B801F-E422-1C48-9D4A-78F41A69B0DF}" destId="{FEBF5CEF-06E3-4A47-AF22-84DBA5423D15}" srcOrd="0" destOrd="0" presId="urn:microsoft.com/office/officeart/2005/8/layout/hierarchy3"/>
    <dgm:cxn modelId="{8FE7C70E-CBC6-3448-86A6-76204764E497}" type="presOf" srcId="{DB3AA5B2-DE3D-A940-8355-400D55D41AC0}" destId="{CD704A15-FC32-9E4B-AC9D-EB8837FE3B91}" srcOrd="0" destOrd="0" presId="urn:microsoft.com/office/officeart/2005/8/layout/hierarchy3"/>
    <dgm:cxn modelId="{9227B213-481D-C249-A051-E91DE09F995E}" srcId="{0C7ECD6D-EFCA-4149-95BF-D58F8B25CB57}" destId="{E487F0EF-6E7F-8E4D-AF53-576CB6CFB730}" srcOrd="3" destOrd="0" parTransId="{F5CA312B-CB77-E140-9604-556B8C9E5657}" sibTransId="{6A4C55A0-21EA-7146-A633-1A98C7530DC2}"/>
    <dgm:cxn modelId="{24090C14-2E8E-AB41-BCF8-58FA1447E7BA}" type="presOf" srcId="{0B362A26-F359-1249-A0A7-3EB852C77075}" destId="{79C5622F-F917-4F42-A174-54254D6004E2}" srcOrd="0" destOrd="0" presId="urn:microsoft.com/office/officeart/2005/8/layout/hierarchy3"/>
    <dgm:cxn modelId="{9D08C214-2F86-8942-801A-8D57A293B39F}" type="presOf" srcId="{4EA54C54-279D-AA41-84BA-585852C2D7B3}" destId="{EFA7D6AC-662C-0E40-A97B-93B4ACBB73CB}" srcOrd="0" destOrd="0" presId="urn:microsoft.com/office/officeart/2005/8/layout/hierarchy3"/>
    <dgm:cxn modelId="{F9695F15-CCC7-4D45-9118-FA98C9A542BF}" srcId="{0811681E-E341-124D-AA12-45D276EA542C}" destId="{E0D6272D-83D9-3C41-881B-D5CB4F02B40B}" srcOrd="1" destOrd="0" parTransId="{A9702E21-81F4-D143-BB63-AAE1B098D1FB}" sibTransId="{97BC1715-58E1-4F4D-9DB7-941641DF2C66}"/>
    <dgm:cxn modelId="{02B65416-9246-C24B-8EAD-BBABF3818A8D}" srcId="{0B362A26-F359-1249-A0A7-3EB852C77075}" destId="{1706FF8A-7D28-F448-9226-179FBBE8DE60}" srcOrd="0" destOrd="0" parTransId="{5272503B-AE48-424B-8306-891ABB7E40AD}" sibTransId="{131DE221-A96A-9F48-8E2F-E254E3F735C0}"/>
    <dgm:cxn modelId="{6C8BD518-E879-194C-BA94-38D70EB8B68F}" srcId="{2EE7463C-2551-D944-B9AC-218D705A0248}" destId="{DB3AA5B2-DE3D-A940-8355-400D55D41AC0}" srcOrd="1" destOrd="0" parTransId="{FDC0A8BB-36CF-6546-B58D-8660B978376D}" sibTransId="{24D42248-348B-124E-8EB2-D15260ECE56F}"/>
    <dgm:cxn modelId="{F1DC3B21-832B-5248-A8DA-CFEF60174BEB}" srcId="{0811681E-E341-124D-AA12-45D276EA542C}" destId="{B0F669D1-C0FD-E246-98C2-CB07C8A5DB5E}" srcOrd="2" destOrd="0" parTransId="{FEC90766-E714-A043-B1B9-0AF748E28810}" sibTransId="{E3587FB3-C4B6-954D-AB3B-58EA170B4D32}"/>
    <dgm:cxn modelId="{9B4FB822-5F26-C64B-A173-0588F04D6F14}" type="presOf" srcId="{46DE4CC7-DF1F-8A48-994D-46007026A412}" destId="{BD8DC038-8FA6-4945-AB84-640B4760F1EF}" srcOrd="0" destOrd="0" presId="urn:microsoft.com/office/officeart/2005/8/layout/hierarchy3"/>
    <dgm:cxn modelId="{89BE4A27-641D-4F46-8EDC-869A85AB7956}" type="presOf" srcId="{24C4528B-B904-2E41-B2D8-80711F91837D}" destId="{3DF889CC-0584-4C4B-A7DE-A33EC7BD1F5E}" srcOrd="0" destOrd="0" presId="urn:microsoft.com/office/officeart/2005/8/layout/hierarchy3"/>
    <dgm:cxn modelId="{B0E8602E-35C4-BA46-9140-88563C46EA6D}" type="presOf" srcId="{0811681E-E341-124D-AA12-45D276EA542C}" destId="{C3FBA16E-107C-CC41-8456-76849870676D}" srcOrd="0" destOrd="0" presId="urn:microsoft.com/office/officeart/2005/8/layout/hierarchy3"/>
    <dgm:cxn modelId="{B24E3331-A1EB-6243-8497-759777C468FF}" srcId="{E0D6272D-83D9-3C41-881B-D5CB4F02B40B}" destId="{4EA54C54-279D-AA41-84BA-585852C2D7B3}" srcOrd="2" destOrd="0" parTransId="{DC322026-37EC-8141-BC8F-490DF2185D42}" sibTransId="{60D1899E-A089-5845-B81B-AA37F32BCB7F}"/>
    <dgm:cxn modelId="{53738039-4DAF-1A44-A5E2-1E4DDBC1799F}" type="presOf" srcId="{92786171-A23D-9344-BDE4-169C7FFF0BA7}" destId="{DA44FEDB-46F3-4145-B03C-257970FE3C03}" srcOrd="0" destOrd="0" presId="urn:microsoft.com/office/officeart/2005/8/layout/hierarchy3"/>
    <dgm:cxn modelId="{2552CA39-C201-7847-9CBF-5C16DB72C2DE}" srcId="{0C7ECD6D-EFCA-4149-95BF-D58F8B25CB57}" destId="{1902E7C0-0D02-E547-9B7D-39122625CABC}" srcOrd="0" destOrd="0" parTransId="{5CD8EA84-8C96-7444-93F1-FA89D3D00EF7}" sibTransId="{BF981FF5-8759-6F4E-A428-4606B6C8E870}"/>
    <dgm:cxn modelId="{5514883B-4E41-8941-BAB2-3B95AF135889}" srcId="{B0F669D1-C0FD-E246-98C2-CB07C8A5DB5E}" destId="{FD285C4E-C134-DA4E-B3F9-EF963C586734}" srcOrd="0" destOrd="0" parTransId="{D2EB6E4D-BE5D-6A40-A2DB-88438C755768}" sibTransId="{39B93E68-BE05-D24A-9548-73D493C3A77E}"/>
    <dgm:cxn modelId="{AD22BD40-F192-0442-A8AF-FC87375E1276}" type="presOf" srcId="{B0F669D1-C0FD-E246-98C2-CB07C8A5DB5E}" destId="{025EE767-1E04-F849-B8DF-441C11BFA17F}" srcOrd="1" destOrd="0" presId="urn:microsoft.com/office/officeart/2005/8/layout/hierarchy3"/>
    <dgm:cxn modelId="{ECEA4E5C-0531-BB41-9E12-6F3F27016451}" srcId="{2EE7463C-2551-D944-B9AC-218D705A0248}" destId="{D51770AE-5F5A-AF4C-854F-DD036671CEA3}" srcOrd="3" destOrd="0" parTransId="{A937821B-4531-8849-BFC7-A70453F177B2}" sibTransId="{81A408B6-5216-6D4F-A0CA-65DB2F7F9A05}"/>
    <dgm:cxn modelId="{34777E5D-2828-FC47-B079-574C0235C984}" type="presOf" srcId="{D6EE1491-DC0D-9E4E-ABBC-5B3980CFFFD2}" destId="{C649019D-88DC-6747-AFEF-5B814AB3AE16}" srcOrd="0" destOrd="0" presId="urn:microsoft.com/office/officeart/2005/8/layout/hierarchy3"/>
    <dgm:cxn modelId="{CD3E965D-C123-0D48-B8F5-5250CA16D0A7}" type="presOf" srcId="{A937821B-4531-8849-BFC7-A70453F177B2}" destId="{FC641620-C56B-0C43-878C-E3FEBE6CE1BE}" srcOrd="0" destOrd="0" presId="urn:microsoft.com/office/officeart/2005/8/layout/hierarchy3"/>
    <dgm:cxn modelId="{3F6EDD5E-2DDC-5A46-AA43-EC1DE99D4688}" srcId="{E0D6272D-83D9-3C41-881B-D5CB4F02B40B}" destId="{54CCD6CC-6EBF-974C-8982-5C5AF18C904C}" srcOrd="0" destOrd="0" parTransId="{9CD9C564-5227-DB4D-8D4F-2BE0E194361A}" sibTransId="{C9BB1A69-A4EE-0F4E-A257-4F453CD342C5}"/>
    <dgm:cxn modelId="{75EA635F-9D3E-4D44-AFF6-3839429FB2F7}" type="presOf" srcId="{3F57D9E8-F89F-DB42-9E03-E362215415B0}" destId="{8C85747C-09C5-9D4B-93EA-9D0F60B7F642}" srcOrd="0" destOrd="0" presId="urn:microsoft.com/office/officeart/2005/8/layout/hierarchy3"/>
    <dgm:cxn modelId="{F55B0262-ADE8-B640-BB49-F732AC5910D0}" type="presOf" srcId="{2EE7463C-2551-D944-B9AC-218D705A0248}" destId="{3526D4F4-BCCC-7E43-A6F6-F3E2F43CC831}" srcOrd="1" destOrd="0" presId="urn:microsoft.com/office/officeart/2005/8/layout/hierarchy3"/>
    <dgm:cxn modelId="{29D13C64-F8E1-2048-8B42-CB0958AE9B30}" srcId="{2EE7463C-2551-D944-B9AC-218D705A0248}" destId="{E324042A-25AC-E54C-A681-517CDB72F5D4}" srcOrd="2" destOrd="0" parTransId="{1B55A111-F1C6-5947-A4C7-BBD45C6AF45A}" sibTransId="{AA1C9EA1-8273-D340-AA6C-E9AFF4A8FAC3}"/>
    <dgm:cxn modelId="{8469E344-69CD-9F4E-8F27-D944F2752D23}" type="presOf" srcId="{5CD8EA84-8C96-7444-93F1-FA89D3D00EF7}" destId="{99DB7734-BFD7-164F-B2FC-D983EAA98C63}" srcOrd="0" destOrd="0" presId="urn:microsoft.com/office/officeart/2005/8/layout/hierarchy3"/>
    <dgm:cxn modelId="{AC4B4948-BD9E-A749-B1BA-87A345B94D54}" type="presOf" srcId="{CC1D2F38-2007-9E44-AAC0-54BB68C1F4E3}" destId="{BC2002BA-143B-9E4E-AF5C-A3AD07052C6D}" srcOrd="0" destOrd="0" presId="urn:microsoft.com/office/officeart/2005/8/layout/hierarchy3"/>
    <dgm:cxn modelId="{3AD75968-9E78-E34B-A04A-665A02FC9394}" srcId="{0811681E-E341-124D-AA12-45D276EA542C}" destId="{0B362A26-F359-1249-A0A7-3EB852C77075}" srcOrd="0" destOrd="0" parTransId="{B5E3FC8B-D3FD-F748-B822-EE8CC6F0833B}" sibTransId="{BB061FA2-3DAD-0249-BB29-CF5738E2EA50}"/>
    <dgm:cxn modelId="{01107C68-5542-7942-BBC0-0E796A31D6B2}" type="presOf" srcId="{54CCD6CC-6EBF-974C-8982-5C5AF18C904C}" destId="{0BD5E7FA-A7D7-8D47-A909-B7E25707F492}" srcOrd="0" destOrd="0" presId="urn:microsoft.com/office/officeart/2005/8/layout/hierarchy3"/>
    <dgm:cxn modelId="{E1432169-2F9C-A945-A356-1C7B3201D01C}" type="presOf" srcId="{5272503B-AE48-424B-8306-891ABB7E40AD}" destId="{A8B6C984-AB70-0641-BB38-8AF79F99B197}" srcOrd="0" destOrd="0" presId="urn:microsoft.com/office/officeart/2005/8/layout/hierarchy3"/>
    <dgm:cxn modelId="{6E83F449-431D-994A-A215-2BDE49C196F7}" type="presOf" srcId="{FF7A3484-536A-4B4E-8261-FAA91821226D}" destId="{5A9C3ED6-B62B-0144-9A18-D588291A28CC}" srcOrd="0" destOrd="0" presId="urn:microsoft.com/office/officeart/2005/8/layout/hierarchy3"/>
    <dgm:cxn modelId="{66272E4A-3765-6545-BBAC-380EED2B49C1}" srcId="{0B362A26-F359-1249-A0A7-3EB852C77075}" destId="{38340FEE-B12E-4440-AFF1-88554AD77822}" srcOrd="1" destOrd="0" parTransId="{5E7B801F-E422-1C48-9D4A-78F41A69B0DF}" sibTransId="{DE6EED4B-5E01-0B45-ACA4-E90A18BCD81D}"/>
    <dgm:cxn modelId="{CD1BF44D-90E1-664F-8BDC-26418E9A9FE4}" type="presOf" srcId="{0103A3D1-48BC-5243-A6BB-2DA7CE693D22}" destId="{09784FB3-06DB-E040-A462-E6D1EFC9DB0F}" srcOrd="0" destOrd="0" presId="urn:microsoft.com/office/officeart/2005/8/layout/hierarchy3"/>
    <dgm:cxn modelId="{88F75450-ABD2-684F-831B-520FCD97BA2D}" type="presOf" srcId="{B0F669D1-C0FD-E246-98C2-CB07C8A5DB5E}" destId="{70F971EA-8A8E-3C40-8ED1-ED83FF77E902}" srcOrd="0" destOrd="0" presId="urn:microsoft.com/office/officeart/2005/8/layout/hierarchy3"/>
    <dgm:cxn modelId="{C26EA754-444E-174D-B04B-E5D812042256}" srcId="{B0F669D1-C0FD-E246-98C2-CB07C8A5DB5E}" destId="{24C4528B-B904-2E41-B2D8-80711F91837D}" srcOrd="1" destOrd="0" parTransId="{FF7A3484-536A-4B4E-8261-FAA91821226D}" sibTransId="{C6EF0FCF-78D7-D041-9831-F875B654E513}"/>
    <dgm:cxn modelId="{4D9D1D7D-5F8B-2245-A0F7-2E66964F7E37}" type="presOf" srcId="{E0D6272D-83D9-3C41-881B-D5CB4F02B40B}" destId="{16979545-45E9-6D47-94AC-13DECDE2B41F}" srcOrd="1" destOrd="0" presId="urn:microsoft.com/office/officeart/2005/8/layout/hierarchy3"/>
    <dgm:cxn modelId="{00987B84-57A3-CC4D-866C-4817F3550F4A}" type="presOf" srcId="{38340FEE-B12E-4440-AFF1-88554AD77822}" destId="{BA4A8323-E687-E94E-8898-235E9912FADA}" srcOrd="0" destOrd="0" presId="urn:microsoft.com/office/officeart/2005/8/layout/hierarchy3"/>
    <dgm:cxn modelId="{D932A885-E05B-AF4B-8F55-5E31C33651E6}" type="presOf" srcId="{2EE7463C-2551-D944-B9AC-218D705A0248}" destId="{26D085C6-3F83-EA4E-89E2-6D7C974ED2FB}" srcOrd="0" destOrd="0" presId="urn:microsoft.com/office/officeart/2005/8/layout/hierarchy3"/>
    <dgm:cxn modelId="{B6FD5A87-B3DB-9A46-B56C-265FCEACBB68}" type="presOf" srcId="{DC322026-37EC-8141-BC8F-490DF2185D42}" destId="{1B19012D-721E-554A-A57B-03F0FBC5A36E}" srcOrd="0" destOrd="0" presId="urn:microsoft.com/office/officeart/2005/8/layout/hierarchy3"/>
    <dgm:cxn modelId="{2503428A-21A7-5844-B7B6-508945A7B3F1}" srcId="{0C7ECD6D-EFCA-4149-95BF-D58F8B25CB57}" destId="{3F57D9E8-F89F-DB42-9E03-E362215415B0}" srcOrd="1" destOrd="0" parTransId="{50B52534-EB02-0643-B498-17CF8435EB99}" sibTransId="{FAC13035-80EE-6143-9591-E1011DBE255B}"/>
    <dgm:cxn modelId="{57C6768A-D42E-604A-B9CC-630A68827BA5}" srcId="{E0D6272D-83D9-3C41-881B-D5CB4F02B40B}" destId="{74B3726F-C9E0-314C-B4A8-D6E1A8D1DD0F}" srcOrd="1" destOrd="0" parTransId="{92786171-A23D-9344-BDE4-169C7FFF0BA7}" sibTransId="{D78803BF-CE78-0F4F-AF3B-4C8B5321234D}"/>
    <dgm:cxn modelId="{DBD82198-8BF5-5D43-9C63-C233040CFD2F}" type="presOf" srcId="{0B362A26-F359-1249-A0A7-3EB852C77075}" destId="{826E05E4-B365-A542-9746-87105DEC4660}" srcOrd="1" destOrd="0" presId="urn:microsoft.com/office/officeart/2005/8/layout/hierarchy3"/>
    <dgm:cxn modelId="{DC0D5B99-C126-6A46-9049-2A6733BFFDF9}" srcId="{0B362A26-F359-1249-A0A7-3EB852C77075}" destId="{1F30DE76-1269-5746-8C73-0FC0E20C79E7}" srcOrd="2" destOrd="0" parTransId="{46DE4CC7-DF1F-8A48-994D-46007026A412}" sibTransId="{657F5132-4D4A-6649-9C77-0AEEF4789465}"/>
    <dgm:cxn modelId="{B468879E-DAB4-934B-B61E-73D54301BBBA}" type="presOf" srcId="{DEBB4787-0C1B-A74E-B651-A1108DD805A2}" destId="{FBF2D628-9CA7-E942-920E-6720051ED609}" srcOrd="0" destOrd="0" presId="urn:microsoft.com/office/officeart/2005/8/layout/hierarchy3"/>
    <dgm:cxn modelId="{570243A1-FF31-A744-B5F1-0878E9289BE9}" type="presOf" srcId="{1F30DE76-1269-5746-8C73-0FC0E20C79E7}" destId="{9181E156-3EC2-8E46-B392-3A683E2729D6}" srcOrd="0" destOrd="0" presId="urn:microsoft.com/office/officeart/2005/8/layout/hierarchy3"/>
    <dgm:cxn modelId="{EE0FC0A6-D456-0341-8384-9F6E3F348C50}" type="presOf" srcId="{E0D6272D-83D9-3C41-881B-D5CB4F02B40B}" destId="{ABD5F3A4-A0DA-EE40-9C59-EEB52B59B40F}" srcOrd="0" destOrd="0" presId="urn:microsoft.com/office/officeart/2005/8/layout/hierarchy3"/>
    <dgm:cxn modelId="{0EC704A9-C270-D248-9BB9-F5AF27D56DB0}" type="presOf" srcId="{D2EB6E4D-BE5D-6A40-A2DB-88438C755768}" destId="{8723BBA8-7465-B444-928F-74D86DE466F7}" srcOrd="0" destOrd="0" presId="urn:microsoft.com/office/officeart/2005/8/layout/hierarchy3"/>
    <dgm:cxn modelId="{634B6DB3-5735-A042-8A40-DFDC4FE0CC52}" type="presOf" srcId="{50B52534-EB02-0643-B498-17CF8435EB99}" destId="{F6A51B4C-AD73-424D-8352-AA7E59FDA70B}" srcOrd="0" destOrd="0" presId="urn:microsoft.com/office/officeart/2005/8/layout/hierarchy3"/>
    <dgm:cxn modelId="{19D8F2B7-F4EA-8A46-886C-5ADA0B456E26}" type="presOf" srcId="{9CD9C564-5227-DB4D-8D4F-2BE0E194361A}" destId="{9A1626A3-B86A-3541-8361-1979FC0581F3}" srcOrd="0" destOrd="0" presId="urn:microsoft.com/office/officeart/2005/8/layout/hierarchy3"/>
    <dgm:cxn modelId="{721109BA-2D28-744F-B5C4-BE6164AD9834}" srcId="{0811681E-E341-124D-AA12-45D276EA542C}" destId="{2EE7463C-2551-D944-B9AC-218D705A0248}" srcOrd="4" destOrd="0" parTransId="{D2CF7B11-EF84-FF46-AE0C-A6E9F223D8AE}" sibTransId="{16119B77-AC9C-C54C-8211-EE4D07530BE3}"/>
    <dgm:cxn modelId="{1EEDEBBB-0182-D249-9A65-1C37FC4E5E07}" type="presOf" srcId="{1902E7C0-0D02-E547-9B7D-39122625CABC}" destId="{790094B5-4C91-2043-9EA0-A70DB5F304BD}" srcOrd="0" destOrd="0" presId="urn:microsoft.com/office/officeart/2005/8/layout/hierarchy3"/>
    <dgm:cxn modelId="{3BEFB4BD-10DD-8644-9FE3-25C1C6819847}" srcId="{B0F669D1-C0FD-E246-98C2-CB07C8A5DB5E}" destId="{0E86E52B-8373-BC4E-B6FE-9F4CF10DDE51}" srcOrd="2" destOrd="0" parTransId="{D6EE1491-DC0D-9E4E-ABBC-5B3980CFFFD2}" sibTransId="{92FE8F82-DE1A-F44C-8F4E-F1B99304F79F}"/>
    <dgm:cxn modelId="{47ED9DBE-62C5-5D40-8383-48BA3D1C5BB1}" type="presOf" srcId="{FD285C4E-C134-DA4E-B3F9-EF963C586734}" destId="{A97F3223-CD9B-3D40-A355-44541BD441B1}" srcOrd="0" destOrd="0" presId="urn:microsoft.com/office/officeart/2005/8/layout/hierarchy3"/>
    <dgm:cxn modelId="{2222F2C0-D1B8-3549-84BA-74678DD7B6D2}" type="presOf" srcId="{1706FF8A-7D28-F448-9226-179FBBE8DE60}" destId="{0FACBFE4-B88C-D242-94E4-DBFD01B49DF6}" srcOrd="0" destOrd="0" presId="urn:microsoft.com/office/officeart/2005/8/layout/hierarchy3"/>
    <dgm:cxn modelId="{2764E8C5-7156-EE45-886E-C5F837CC7693}" srcId="{2EE7463C-2551-D944-B9AC-218D705A0248}" destId="{A618596B-B3AC-0A4B-82C6-887328BA4A16}" srcOrd="0" destOrd="0" parTransId="{FD7A8D14-8A90-5445-908B-1C078F305225}" sibTransId="{BED5C47B-F61F-4446-B919-D14372C04B7C}"/>
    <dgm:cxn modelId="{30DC16C9-0ACF-9048-948C-B88A8F931E0E}" type="presOf" srcId="{FDC0A8BB-36CF-6546-B58D-8660B978376D}" destId="{E1F3DC55-4FB2-5C4A-8056-157078EDCE6D}" srcOrd="0" destOrd="0" presId="urn:microsoft.com/office/officeart/2005/8/layout/hierarchy3"/>
    <dgm:cxn modelId="{8B1DDBCE-5118-ED4D-A70D-B7DDB99B4A88}" type="presOf" srcId="{0C7ECD6D-EFCA-4149-95BF-D58F8B25CB57}" destId="{24F7F25D-A68D-0442-82D0-0F18465892AF}" srcOrd="1" destOrd="0" presId="urn:microsoft.com/office/officeart/2005/8/layout/hierarchy3"/>
    <dgm:cxn modelId="{1361CCE4-063A-B145-A2B3-54C157BE0435}" srcId="{0811681E-E341-124D-AA12-45D276EA542C}" destId="{0C7ECD6D-EFCA-4149-95BF-D58F8B25CB57}" srcOrd="3" destOrd="0" parTransId="{2A68FA56-6738-C349-8FAE-C21578B7525B}" sibTransId="{2774F700-FFD0-294B-B9BF-772E69D2DECC}"/>
    <dgm:cxn modelId="{DFE769E6-BD08-F84C-80AC-6F8E10F4031F}" type="presOf" srcId="{A618596B-B3AC-0A4B-82C6-887328BA4A16}" destId="{2821D366-F56D-0849-AEAD-F3A51DF37FED}" srcOrd="0" destOrd="0" presId="urn:microsoft.com/office/officeart/2005/8/layout/hierarchy3"/>
    <dgm:cxn modelId="{50F52FE7-FC64-EB4C-82CF-353D017545A2}" type="presOf" srcId="{E487F0EF-6E7F-8E4D-AF53-576CB6CFB730}" destId="{F9371C9C-2B71-FE48-9646-6A8FB504D2A1}" srcOrd="0" destOrd="0" presId="urn:microsoft.com/office/officeart/2005/8/layout/hierarchy3"/>
    <dgm:cxn modelId="{EB850EEA-1780-DE4B-A6EF-0883C4F3F4F8}" type="presOf" srcId="{FD7A8D14-8A90-5445-908B-1C078F305225}" destId="{5DF18CE2-83BE-A743-8D18-EDD12C9F0223}" srcOrd="0" destOrd="0" presId="urn:microsoft.com/office/officeart/2005/8/layout/hierarchy3"/>
    <dgm:cxn modelId="{EC8806F4-F6B8-8A48-A62D-E34C1DB46B84}" type="presOf" srcId="{1B55A111-F1C6-5947-A4C7-BBD45C6AF45A}" destId="{8696DFBE-E365-6544-BB4A-ECC9896CC83D}" srcOrd="0" destOrd="0" presId="urn:microsoft.com/office/officeart/2005/8/layout/hierarchy3"/>
    <dgm:cxn modelId="{44FA69FF-9D75-8944-8AF9-CFC742A060B7}" srcId="{E0D6272D-83D9-3C41-881B-D5CB4F02B40B}" destId="{DEBB4787-0C1B-A74E-B651-A1108DD805A2}" srcOrd="3" destOrd="0" parTransId="{0392E015-08F6-B647-9ED2-AE61F14A7081}" sibTransId="{F6732AFA-3943-A44E-9D01-2BC3288C5390}"/>
    <dgm:cxn modelId="{E1F61BEB-FB13-6E42-99FD-D038750DB264}" type="presParOf" srcId="{C3FBA16E-107C-CC41-8456-76849870676D}" destId="{BCA6DD07-3938-2D43-A804-34B67A804CC3}" srcOrd="0" destOrd="0" presId="urn:microsoft.com/office/officeart/2005/8/layout/hierarchy3"/>
    <dgm:cxn modelId="{51250DD6-7704-8B42-98F2-EF82A326CB39}" type="presParOf" srcId="{BCA6DD07-3938-2D43-A804-34B67A804CC3}" destId="{EF73D8D9-FB12-C143-8907-9878A74BF2FB}" srcOrd="0" destOrd="0" presId="urn:microsoft.com/office/officeart/2005/8/layout/hierarchy3"/>
    <dgm:cxn modelId="{E9863C01-098D-3F4D-BDE1-58199A0CCC8D}" type="presParOf" srcId="{EF73D8D9-FB12-C143-8907-9878A74BF2FB}" destId="{79C5622F-F917-4F42-A174-54254D6004E2}" srcOrd="0" destOrd="0" presId="urn:microsoft.com/office/officeart/2005/8/layout/hierarchy3"/>
    <dgm:cxn modelId="{DAAD00D1-47C7-5E4A-8AFD-6F792EE36104}" type="presParOf" srcId="{EF73D8D9-FB12-C143-8907-9878A74BF2FB}" destId="{826E05E4-B365-A542-9746-87105DEC4660}" srcOrd="1" destOrd="0" presId="urn:microsoft.com/office/officeart/2005/8/layout/hierarchy3"/>
    <dgm:cxn modelId="{E0C7B364-B601-4044-BFF5-1A152916B549}" type="presParOf" srcId="{BCA6DD07-3938-2D43-A804-34B67A804CC3}" destId="{02DF8533-CAF3-594A-8B10-BEA60C4ADD3C}" srcOrd="1" destOrd="0" presId="urn:microsoft.com/office/officeart/2005/8/layout/hierarchy3"/>
    <dgm:cxn modelId="{BDDCF40F-420B-5E47-B2B4-67B37E9EE509}" type="presParOf" srcId="{02DF8533-CAF3-594A-8B10-BEA60C4ADD3C}" destId="{A8B6C984-AB70-0641-BB38-8AF79F99B197}" srcOrd="0" destOrd="0" presId="urn:microsoft.com/office/officeart/2005/8/layout/hierarchy3"/>
    <dgm:cxn modelId="{81AFBB62-FEA0-6042-A24E-9C68355F262E}" type="presParOf" srcId="{02DF8533-CAF3-594A-8B10-BEA60C4ADD3C}" destId="{0FACBFE4-B88C-D242-94E4-DBFD01B49DF6}" srcOrd="1" destOrd="0" presId="urn:microsoft.com/office/officeart/2005/8/layout/hierarchy3"/>
    <dgm:cxn modelId="{3ED24E8C-F4B9-774E-A93E-BC6A11224CEF}" type="presParOf" srcId="{02DF8533-CAF3-594A-8B10-BEA60C4ADD3C}" destId="{FEBF5CEF-06E3-4A47-AF22-84DBA5423D15}" srcOrd="2" destOrd="0" presId="urn:microsoft.com/office/officeart/2005/8/layout/hierarchy3"/>
    <dgm:cxn modelId="{D56E4601-8907-AE4A-B5D6-022B12FAA485}" type="presParOf" srcId="{02DF8533-CAF3-594A-8B10-BEA60C4ADD3C}" destId="{BA4A8323-E687-E94E-8898-235E9912FADA}" srcOrd="3" destOrd="0" presId="urn:microsoft.com/office/officeart/2005/8/layout/hierarchy3"/>
    <dgm:cxn modelId="{86CA9D5D-2548-5A46-BE78-8A45278198DA}" type="presParOf" srcId="{02DF8533-CAF3-594A-8B10-BEA60C4ADD3C}" destId="{BD8DC038-8FA6-4945-AB84-640B4760F1EF}" srcOrd="4" destOrd="0" presId="urn:microsoft.com/office/officeart/2005/8/layout/hierarchy3"/>
    <dgm:cxn modelId="{5AF72574-7E38-AF4D-88C1-EE747CDA8784}" type="presParOf" srcId="{02DF8533-CAF3-594A-8B10-BEA60C4ADD3C}" destId="{9181E156-3EC2-8E46-B392-3A683E2729D6}" srcOrd="5" destOrd="0" presId="urn:microsoft.com/office/officeart/2005/8/layout/hierarchy3"/>
    <dgm:cxn modelId="{BF6AC137-3AB5-0B46-9A8F-FC30C885031E}" type="presParOf" srcId="{C3FBA16E-107C-CC41-8456-76849870676D}" destId="{9F83864D-FB60-2E40-987F-E46E59784F93}" srcOrd="1" destOrd="0" presId="urn:microsoft.com/office/officeart/2005/8/layout/hierarchy3"/>
    <dgm:cxn modelId="{F2E1795B-BD36-F24B-AD6E-9A265545A585}" type="presParOf" srcId="{9F83864D-FB60-2E40-987F-E46E59784F93}" destId="{197B504F-2CCB-B340-8F32-DF5C7F418AB5}" srcOrd="0" destOrd="0" presId="urn:microsoft.com/office/officeart/2005/8/layout/hierarchy3"/>
    <dgm:cxn modelId="{7A275DE9-CCCF-204E-B592-F69353781E5D}" type="presParOf" srcId="{197B504F-2CCB-B340-8F32-DF5C7F418AB5}" destId="{ABD5F3A4-A0DA-EE40-9C59-EEB52B59B40F}" srcOrd="0" destOrd="0" presId="urn:microsoft.com/office/officeart/2005/8/layout/hierarchy3"/>
    <dgm:cxn modelId="{02F4C5A1-C122-A44C-B21D-22C83884A970}" type="presParOf" srcId="{197B504F-2CCB-B340-8F32-DF5C7F418AB5}" destId="{16979545-45E9-6D47-94AC-13DECDE2B41F}" srcOrd="1" destOrd="0" presId="urn:microsoft.com/office/officeart/2005/8/layout/hierarchy3"/>
    <dgm:cxn modelId="{DF7612EB-E069-7D4A-9FF3-D84FE27CCBCD}" type="presParOf" srcId="{9F83864D-FB60-2E40-987F-E46E59784F93}" destId="{F3AC40CD-EF6B-BF43-A901-1E75C4D96AD5}" srcOrd="1" destOrd="0" presId="urn:microsoft.com/office/officeart/2005/8/layout/hierarchy3"/>
    <dgm:cxn modelId="{A042BA8D-B9DE-044B-AAA6-7E9092F18532}" type="presParOf" srcId="{F3AC40CD-EF6B-BF43-A901-1E75C4D96AD5}" destId="{9A1626A3-B86A-3541-8361-1979FC0581F3}" srcOrd="0" destOrd="0" presId="urn:microsoft.com/office/officeart/2005/8/layout/hierarchy3"/>
    <dgm:cxn modelId="{D455502F-2FC5-BD4E-BBE6-23AE1A468371}" type="presParOf" srcId="{F3AC40CD-EF6B-BF43-A901-1E75C4D96AD5}" destId="{0BD5E7FA-A7D7-8D47-A909-B7E25707F492}" srcOrd="1" destOrd="0" presId="urn:microsoft.com/office/officeart/2005/8/layout/hierarchy3"/>
    <dgm:cxn modelId="{683AF298-8B6F-2040-B0DA-B2932F6F5658}" type="presParOf" srcId="{F3AC40CD-EF6B-BF43-A901-1E75C4D96AD5}" destId="{DA44FEDB-46F3-4145-B03C-257970FE3C03}" srcOrd="2" destOrd="0" presId="urn:microsoft.com/office/officeart/2005/8/layout/hierarchy3"/>
    <dgm:cxn modelId="{364A6F85-13DF-4340-8390-7600FFFCE584}" type="presParOf" srcId="{F3AC40CD-EF6B-BF43-A901-1E75C4D96AD5}" destId="{2291901A-4150-684E-AAEE-C904133973DF}" srcOrd="3" destOrd="0" presId="urn:microsoft.com/office/officeart/2005/8/layout/hierarchy3"/>
    <dgm:cxn modelId="{E937C564-A05D-A142-A4BA-035BFAADC0D8}" type="presParOf" srcId="{F3AC40CD-EF6B-BF43-A901-1E75C4D96AD5}" destId="{1B19012D-721E-554A-A57B-03F0FBC5A36E}" srcOrd="4" destOrd="0" presId="urn:microsoft.com/office/officeart/2005/8/layout/hierarchy3"/>
    <dgm:cxn modelId="{8224BA44-C0B5-D145-A794-148FE1AD9642}" type="presParOf" srcId="{F3AC40CD-EF6B-BF43-A901-1E75C4D96AD5}" destId="{EFA7D6AC-662C-0E40-A97B-93B4ACBB73CB}" srcOrd="5" destOrd="0" presId="urn:microsoft.com/office/officeart/2005/8/layout/hierarchy3"/>
    <dgm:cxn modelId="{579ACCE1-B023-4C4C-B1CF-856EF0756927}" type="presParOf" srcId="{F3AC40CD-EF6B-BF43-A901-1E75C4D96AD5}" destId="{B3D9AA2F-F400-214F-A9AC-1F7DDC422C5B}" srcOrd="6" destOrd="0" presId="urn:microsoft.com/office/officeart/2005/8/layout/hierarchy3"/>
    <dgm:cxn modelId="{040C90CB-8795-C14A-B859-7FE7FB8DFD04}" type="presParOf" srcId="{F3AC40CD-EF6B-BF43-A901-1E75C4D96AD5}" destId="{FBF2D628-9CA7-E942-920E-6720051ED609}" srcOrd="7" destOrd="0" presId="urn:microsoft.com/office/officeart/2005/8/layout/hierarchy3"/>
    <dgm:cxn modelId="{38C46B24-2C3E-EC46-96E3-BD49FA57BE5B}" type="presParOf" srcId="{C3FBA16E-107C-CC41-8456-76849870676D}" destId="{817FED39-C9AC-9149-B54B-CB44A23BEA00}" srcOrd="2" destOrd="0" presId="urn:microsoft.com/office/officeart/2005/8/layout/hierarchy3"/>
    <dgm:cxn modelId="{E6B1A73A-91A8-8B4A-AA54-9EF73999C078}" type="presParOf" srcId="{817FED39-C9AC-9149-B54B-CB44A23BEA00}" destId="{0D9EEC9A-9029-AC4B-A0EC-490865CF1E0A}" srcOrd="0" destOrd="0" presId="urn:microsoft.com/office/officeart/2005/8/layout/hierarchy3"/>
    <dgm:cxn modelId="{2D8DE796-5D57-924B-A650-1C488E22CD8F}" type="presParOf" srcId="{0D9EEC9A-9029-AC4B-A0EC-490865CF1E0A}" destId="{70F971EA-8A8E-3C40-8ED1-ED83FF77E902}" srcOrd="0" destOrd="0" presId="urn:microsoft.com/office/officeart/2005/8/layout/hierarchy3"/>
    <dgm:cxn modelId="{603B41EF-C6A1-1843-A6A1-109D215A6728}" type="presParOf" srcId="{0D9EEC9A-9029-AC4B-A0EC-490865CF1E0A}" destId="{025EE767-1E04-F849-B8DF-441C11BFA17F}" srcOrd="1" destOrd="0" presId="urn:microsoft.com/office/officeart/2005/8/layout/hierarchy3"/>
    <dgm:cxn modelId="{719385FE-0461-6A4E-B7A0-C1B543A72E24}" type="presParOf" srcId="{817FED39-C9AC-9149-B54B-CB44A23BEA00}" destId="{E516C030-F570-F945-9600-807D873CAE0D}" srcOrd="1" destOrd="0" presId="urn:microsoft.com/office/officeart/2005/8/layout/hierarchy3"/>
    <dgm:cxn modelId="{B0FBA55B-6D21-8943-948B-41AFA2643B8B}" type="presParOf" srcId="{E516C030-F570-F945-9600-807D873CAE0D}" destId="{8723BBA8-7465-B444-928F-74D86DE466F7}" srcOrd="0" destOrd="0" presId="urn:microsoft.com/office/officeart/2005/8/layout/hierarchy3"/>
    <dgm:cxn modelId="{7181057B-3296-024D-B077-65D5C1CE37CA}" type="presParOf" srcId="{E516C030-F570-F945-9600-807D873CAE0D}" destId="{A97F3223-CD9B-3D40-A355-44541BD441B1}" srcOrd="1" destOrd="0" presId="urn:microsoft.com/office/officeart/2005/8/layout/hierarchy3"/>
    <dgm:cxn modelId="{AC4622D3-C6E4-C345-917B-40FBE1477D83}" type="presParOf" srcId="{E516C030-F570-F945-9600-807D873CAE0D}" destId="{5A9C3ED6-B62B-0144-9A18-D588291A28CC}" srcOrd="2" destOrd="0" presId="urn:microsoft.com/office/officeart/2005/8/layout/hierarchy3"/>
    <dgm:cxn modelId="{0AECCC78-9C29-704C-9333-C3A84A9298C4}" type="presParOf" srcId="{E516C030-F570-F945-9600-807D873CAE0D}" destId="{3DF889CC-0584-4C4B-A7DE-A33EC7BD1F5E}" srcOrd="3" destOrd="0" presId="urn:microsoft.com/office/officeart/2005/8/layout/hierarchy3"/>
    <dgm:cxn modelId="{8645FF44-F03B-2149-A8BC-12AB3B34D4FC}" type="presParOf" srcId="{E516C030-F570-F945-9600-807D873CAE0D}" destId="{C649019D-88DC-6747-AFEF-5B814AB3AE16}" srcOrd="4" destOrd="0" presId="urn:microsoft.com/office/officeart/2005/8/layout/hierarchy3"/>
    <dgm:cxn modelId="{1BF0DAA1-A871-3848-9454-6E4770D606B4}" type="presParOf" srcId="{E516C030-F570-F945-9600-807D873CAE0D}" destId="{42BAF60A-BAFD-644C-86F6-E2C5A50D7C09}" srcOrd="5" destOrd="0" presId="urn:microsoft.com/office/officeart/2005/8/layout/hierarchy3"/>
    <dgm:cxn modelId="{1A112008-E6CC-6244-BBFA-04123FBFFB67}" type="presParOf" srcId="{C3FBA16E-107C-CC41-8456-76849870676D}" destId="{97A26703-FB35-F146-BCAE-0E08C9C39747}" srcOrd="3" destOrd="0" presId="urn:microsoft.com/office/officeart/2005/8/layout/hierarchy3"/>
    <dgm:cxn modelId="{DBFA1812-F95C-864C-B1E2-8556D26DADAC}" type="presParOf" srcId="{97A26703-FB35-F146-BCAE-0E08C9C39747}" destId="{013DAEF9-3D37-5A48-9BAE-F343DC505C0F}" srcOrd="0" destOrd="0" presId="urn:microsoft.com/office/officeart/2005/8/layout/hierarchy3"/>
    <dgm:cxn modelId="{512A7F90-383C-D34E-B8D7-5D00C4715E25}" type="presParOf" srcId="{013DAEF9-3D37-5A48-9BAE-F343DC505C0F}" destId="{01D0E96F-21CA-1140-BE31-F0BACF787F39}" srcOrd="0" destOrd="0" presId="urn:microsoft.com/office/officeart/2005/8/layout/hierarchy3"/>
    <dgm:cxn modelId="{A0B7E530-E26A-1F4F-9614-303EBD6A7596}" type="presParOf" srcId="{013DAEF9-3D37-5A48-9BAE-F343DC505C0F}" destId="{24F7F25D-A68D-0442-82D0-0F18465892AF}" srcOrd="1" destOrd="0" presId="urn:microsoft.com/office/officeart/2005/8/layout/hierarchy3"/>
    <dgm:cxn modelId="{619C283C-0E80-0545-8EB6-17CDA9CB2E25}" type="presParOf" srcId="{97A26703-FB35-F146-BCAE-0E08C9C39747}" destId="{844DC66D-A8D3-C34F-B9D8-43A74A20B9EC}" srcOrd="1" destOrd="0" presId="urn:microsoft.com/office/officeart/2005/8/layout/hierarchy3"/>
    <dgm:cxn modelId="{3B3E655B-6126-8B4D-BDDC-52FB2CE709CB}" type="presParOf" srcId="{844DC66D-A8D3-C34F-B9D8-43A74A20B9EC}" destId="{99DB7734-BFD7-164F-B2FC-D983EAA98C63}" srcOrd="0" destOrd="0" presId="urn:microsoft.com/office/officeart/2005/8/layout/hierarchy3"/>
    <dgm:cxn modelId="{9B3E97E6-13D2-964E-89DC-CFEE95AB74C0}" type="presParOf" srcId="{844DC66D-A8D3-C34F-B9D8-43A74A20B9EC}" destId="{790094B5-4C91-2043-9EA0-A70DB5F304BD}" srcOrd="1" destOrd="0" presId="urn:microsoft.com/office/officeart/2005/8/layout/hierarchy3"/>
    <dgm:cxn modelId="{07EF6535-864A-E740-95AC-AE03F5EE0BC8}" type="presParOf" srcId="{844DC66D-A8D3-C34F-B9D8-43A74A20B9EC}" destId="{F6A51B4C-AD73-424D-8352-AA7E59FDA70B}" srcOrd="2" destOrd="0" presId="urn:microsoft.com/office/officeart/2005/8/layout/hierarchy3"/>
    <dgm:cxn modelId="{9965D972-2648-104A-8E6A-D58640BD9ABE}" type="presParOf" srcId="{844DC66D-A8D3-C34F-B9D8-43A74A20B9EC}" destId="{8C85747C-09C5-9D4B-93EA-9D0F60B7F642}" srcOrd="3" destOrd="0" presId="urn:microsoft.com/office/officeart/2005/8/layout/hierarchy3"/>
    <dgm:cxn modelId="{6BAEC20F-BC33-CC4D-A97E-AC7C5F46FA2C}" type="presParOf" srcId="{844DC66D-A8D3-C34F-B9D8-43A74A20B9EC}" destId="{09784FB3-06DB-E040-A462-E6D1EFC9DB0F}" srcOrd="4" destOrd="0" presId="urn:microsoft.com/office/officeart/2005/8/layout/hierarchy3"/>
    <dgm:cxn modelId="{FBE5A99A-A65B-604D-A186-333084BE4D5C}" type="presParOf" srcId="{844DC66D-A8D3-C34F-B9D8-43A74A20B9EC}" destId="{BC2002BA-143B-9E4E-AF5C-A3AD07052C6D}" srcOrd="5" destOrd="0" presId="urn:microsoft.com/office/officeart/2005/8/layout/hierarchy3"/>
    <dgm:cxn modelId="{3D880261-252A-A149-AC0F-63EAA81C5C13}" type="presParOf" srcId="{844DC66D-A8D3-C34F-B9D8-43A74A20B9EC}" destId="{E25C8DCE-A8B6-DC4F-9618-6739B33C2B7F}" srcOrd="6" destOrd="0" presId="urn:microsoft.com/office/officeart/2005/8/layout/hierarchy3"/>
    <dgm:cxn modelId="{6123313B-E53F-944D-9424-56128CE90ED2}" type="presParOf" srcId="{844DC66D-A8D3-C34F-B9D8-43A74A20B9EC}" destId="{F9371C9C-2B71-FE48-9646-6A8FB504D2A1}" srcOrd="7" destOrd="0" presId="urn:microsoft.com/office/officeart/2005/8/layout/hierarchy3"/>
    <dgm:cxn modelId="{52B3DD41-6446-EF4A-9233-D99EE84FE487}" type="presParOf" srcId="{C3FBA16E-107C-CC41-8456-76849870676D}" destId="{44AC172A-BA29-524F-A314-B8EF81B54B27}" srcOrd="4" destOrd="0" presId="urn:microsoft.com/office/officeart/2005/8/layout/hierarchy3"/>
    <dgm:cxn modelId="{220E32E8-267D-B447-85D1-6FD37A0A5DCD}" type="presParOf" srcId="{44AC172A-BA29-524F-A314-B8EF81B54B27}" destId="{8DE0CC8E-ED6D-6E49-AA05-0A42690CF18F}" srcOrd="0" destOrd="0" presId="urn:microsoft.com/office/officeart/2005/8/layout/hierarchy3"/>
    <dgm:cxn modelId="{22D476CE-698D-5C49-8063-EE7F32A807D9}" type="presParOf" srcId="{8DE0CC8E-ED6D-6E49-AA05-0A42690CF18F}" destId="{26D085C6-3F83-EA4E-89E2-6D7C974ED2FB}" srcOrd="0" destOrd="0" presId="urn:microsoft.com/office/officeart/2005/8/layout/hierarchy3"/>
    <dgm:cxn modelId="{C08138FD-B0E9-854F-BA0D-981CE15B4D39}" type="presParOf" srcId="{8DE0CC8E-ED6D-6E49-AA05-0A42690CF18F}" destId="{3526D4F4-BCCC-7E43-A6F6-F3E2F43CC831}" srcOrd="1" destOrd="0" presId="urn:microsoft.com/office/officeart/2005/8/layout/hierarchy3"/>
    <dgm:cxn modelId="{D84768E1-30B9-2D4F-9242-A8E6D43BD3CE}" type="presParOf" srcId="{44AC172A-BA29-524F-A314-B8EF81B54B27}" destId="{C4E5B233-CC17-8842-A229-B0DDA14096A5}" srcOrd="1" destOrd="0" presId="urn:microsoft.com/office/officeart/2005/8/layout/hierarchy3"/>
    <dgm:cxn modelId="{C8AD4CE2-86BF-C64D-BDC3-36F10C89D1A5}" type="presParOf" srcId="{C4E5B233-CC17-8842-A229-B0DDA14096A5}" destId="{5DF18CE2-83BE-A743-8D18-EDD12C9F0223}" srcOrd="0" destOrd="0" presId="urn:microsoft.com/office/officeart/2005/8/layout/hierarchy3"/>
    <dgm:cxn modelId="{0FD8BBC6-280D-3341-BEA8-F7F25725A800}" type="presParOf" srcId="{C4E5B233-CC17-8842-A229-B0DDA14096A5}" destId="{2821D366-F56D-0849-AEAD-F3A51DF37FED}" srcOrd="1" destOrd="0" presId="urn:microsoft.com/office/officeart/2005/8/layout/hierarchy3"/>
    <dgm:cxn modelId="{159C700C-52CC-F44B-BD49-5CFBEB9A8F2C}" type="presParOf" srcId="{C4E5B233-CC17-8842-A229-B0DDA14096A5}" destId="{E1F3DC55-4FB2-5C4A-8056-157078EDCE6D}" srcOrd="2" destOrd="0" presId="urn:microsoft.com/office/officeart/2005/8/layout/hierarchy3"/>
    <dgm:cxn modelId="{4F615794-F61C-794A-8F82-FDFBB6940016}" type="presParOf" srcId="{C4E5B233-CC17-8842-A229-B0DDA14096A5}" destId="{CD704A15-FC32-9E4B-AC9D-EB8837FE3B91}" srcOrd="3" destOrd="0" presId="urn:microsoft.com/office/officeart/2005/8/layout/hierarchy3"/>
    <dgm:cxn modelId="{D5B50E16-06D4-6C41-B4A3-0F584698EB14}" type="presParOf" srcId="{C4E5B233-CC17-8842-A229-B0DDA14096A5}" destId="{8696DFBE-E365-6544-BB4A-ECC9896CC83D}" srcOrd="4" destOrd="0" presId="urn:microsoft.com/office/officeart/2005/8/layout/hierarchy3"/>
    <dgm:cxn modelId="{EEA9180F-6A76-384F-B75A-EED230FC2A3D}" type="presParOf" srcId="{C4E5B233-CC17-8842-A229-B0DDA14096A5}" destId="{043CAE35-828B-164E-AD0E-95C4EFE0E8C7}" srcOrd="5" destOrd="0" presId="urn:microsoft.com/office/officeart/2005/8/layout/hierarchy3"/>
    <dgm:cxn modelId="{C731EFEC-F7CC-EA4B-A231-28630FD759E4}" type="presParOf" srcId="{C4E5B233-CC17-8842-A229-B0DDA14096A5}" destId="{FC641620-C56B-0C43-878C-E3FEBE6CE1BE}" srcOrd="6" destOrd="0" presId="urn:microsoft.com/office/officeart/2005/8/layout/hierarchy3"/>
    <dgm:cxn modelId="{3D05557E-F9F0-6C47-930B-6FB042D89EAD}" type="presParOf" srcId="{C4E5B233-CC17-8842-A229-B0DDA14096A5}" destId="{0C64593D-7E89-FB4C-9098-CBBD7CEF9FCB}" srcOrd="7" destOrd="0" presId="urn:microsoft.com/office/officeart/2005/8/layout/hierarchy3"/>
  </dgm:cxnLst>
  <dgm:bg/>
  <dgm:whole/>
  <dgm:extLst>
    <a:ext uri="http://schemas.microsoft.com/office/drawing/2008/diagram">
      <dsp:dataModelExt xmlns:dsp="http://schemas.microsoft.com/office/drawing/2008/diagram" relId="rId7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1515690-2731-F542-B6BF-2CB8F44831EE}">
      <dsp:nvSpPr>
        <dsp:cNvPr id="0" name=""/>
        <dsp:cNvSpPr/>
      </dsp:nvSpPr>
      <dsp:spPr>
        <a:xfrm rot="5400000">
          <a:off x="-158416" y="162154"/>
          <a:ext cx="1056107" cy="739275"/>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t>Incompetent</a:t>
          </a:r>
        </a:p>
      </dsp:txBody>
      <dsp:txXfrm rot="-5400000">
        <a:off x="1" y="373376"/>
        <a:ext cx="739275" cy="316832"/>
      </dsp:txXfrm>
    </dsp:sp>
    <dsp:sp modelId="{41A1D2C7-B757-174D-9B2D-539CE9258215}">
      <dsp:nvSpPr>
        <dsp:cNvPr id="0" name=""/>
        <dsp:cNvSpPr/>
      </dsp:nvSpPr>
      <dsp:spPr>
        <a:xfrm rot="5400000">
          <a:off x="2769602" y="-2026588"/>
          <a:ext cx="686469" cy="4747124"/>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92456" tIns="8255" rIns="8255" bIns="8255" numCol="1" spcCol="1270" anchor="ctr" anchorCtr="0">
          <a:noAutofit/>
        </a:bodyPr>
        <a:lstStyle/>
        <a:p>
          <a:pPr marL="114300" lvl="1" indent="-114300" algn="l" defTabSz="577850">
            <a:lnSpc>
              <a:spcPct val="90000"/>
            </a:lnSpc>
            <a:spcBef>
              <a:spcPct val="0"/>
            </a:spcBef>
            <a:spcAft>
              <a:spcPct val="15000"/>
            </a:spcAft>
            <a:buChar char="•"/>
          </a:pPr>
          <a:r>
            <a:rPr lang="en-US" sz="1300" kern="1200"/>
            <a:t>SCORE = 0</a:t>
          </a:r>
        </a:p>
        <a:p>
          <a:pPr marL="114300" lvl="1" indent="-114300" algn="l" defTabSz="577850">
            <a:lnSpc>
              <a:spcPct val="90000"/>
            </a:lnSpc>
            <a:spcBef>
              <a:spcPct val="0"/>
            </a:spcBef>
            <a:spcAft>
              <a:spcPct val="15000"/>
            </a:spcAft>
            <a:buChar char="•"/>
          </a:pPr>
          <a:r>
            <a:rPr lang="en-US" sz="1300" kern="1200"/>
            <a:t>Absence of feature/s being assessed</a:t>
          </a:r>
        </a:p>
        <a:p>
          <a:pPr marL="114300" lvl="1" indent="-114300" algn="l" defTabSz="577850">
            <a:lnSpc>
              <a:spcPct val="90000"/>
            </a:lnSpc>
            <a:spcBef>
              <a:spcPct val="0"/>
            </a:spcBef>
            <a:spcAft>
              <a:spcPct val="15000"/>
            </a:spcAft>
            <a:buChar char="•"/>
          </a:pPr>
          <a:endParaRPr lang="en-US" sz="1300" kern="1200"/>
        </a:p>
      </dsp:txBody>
      <dsp:txXfrm rot="-5400000">
        <a:off x="739275" y="37250"/>
        <a:ext cx="4713613" cy="619447"/>
      </dsp:txXfrm>
    </dsp:sp>
    <dsp:sp modelId="{798A9169-D9FB-E44A-96D3-669DBD602241}">
      <dsp:nvSpPr>
        <dsp:cNvPr id="0" name=""/>
        <dsp:cNvSpPr/>
      </dsp:nvSpPr>
      <dsp:spPr>
        <a:xfrm rot="5400000">
          <a:off x="-158416" y="1121745"/>
          <a:ext cx="1056107" cy="739275"/>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t>Novice</a:t>
          </a:r>
        </a:p>
      </dsp:txBody>
      <dsp:txXfrm rot="-5400000">
        <a:off x="1" y="1332967"/>
        <a:ext cx="739275" cy="316832"/>
      </dsp:txXfrm>
    </dsp:sp>
    <dsp:sp modelId="{D92C6DDE-42E1-8047-869F-C1E19CD1D851}">
      <dsp:nvSpPr>
        <dsp:cNvPr id="0" name=""/>
        <dsp:cNvSpPr/>
      </dsp:nvSpPr>
      <dsp:spPr>
        <a:xfrm rot="5400000">
          <a:off x="2769602" y="-1066997"/>
          <a:ext cx="686469" cy="4747124"/>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92456" tIns="8255" rIns="8255" bIns="8255" numCol="1" spcCol="1270" anchor="ctr" anchorCtr="0">
          <a:noAutofit/>
        </a:bodyPr>
        <a:lstStyle/>
        <a:p>
          <a:pPr marL="114300" lvl="1" indent="-114300" algn="l" defTabSz="577850">
            <a:lnSpc>
              <a:spcPct val="90000"/>
            </a:lnSpc>
            <a:spcBef>
              <a:spcPct val="0"/>
            </a:spcBef>
            <a:spcAft>
              <a:spcPct val="15000"/>
            </a:spcAft>
            <a:buChar char="•"/>
          </a:pPr>
          <a:r>
            <a:rPr lang="en-US" sz="1300" kern="1200"/>
            <a:t>SCORE = 1/2</a:t>
          </a:r>
        </a:p>
        <a:p>
          <a:pPr marL="114300" lvl="1" indent="-114300" algn="l" defTabSz="577850">
            <a:lnSpc>
              <a:spcPct val="90000"/>
            </a:lnSpc>
            <a:spcBef>
              <a:spcPct val="0"/>
            </a:spcBef>
            <a:spcAft>
              <a:spcPct val="15000"/>
            </a:spcAft>
            <a:buChar char="•"/>
          </a:pPr>
          <a:r>
            <a:rPr lang="en-US" sz="1300" kern="1200"/>
            <a:t>Inappropriate use of feature/s being assessed/major problems</a:t>
          </a:r>
        </a:p>
        <a:p>
          <a:pPr marL="114300" lvl="1" indent="-114300" algn="l" defTabSz="577850">
            <a:lnSpc>
              <a:spcPct val="90000"/>
            </a:lnSpc>
            <a:spcBef>
              <a:spcPct val="0"/>
            </a:spcBef>
            <a:spcAft>
              <a:spcPct val="15000"/>
            </a:spcAft>
            <a:buChar char="•"/>
          </a:pPr>
          <a:r>
            <a:rPr lang="en-US" sz="1300" kern="1200" dirty="0"/>
            <a:t>Evidence of feature/s but problematic/lack of consistency</a:t>
          </a:r>
          <a:endParaRPr lang="en-US" sz="1300" kern="1200"/>
        </a:p>
      </dsp:txBody>
      <dsp:txXfrm rot="-5400000">
        <a:off x="739275" y="996841"/>
        <a:ext cx="4713613" cy="619447"/>
      </dsp:txXfrm>
    </dsp:sp>
    <dsp:sp modelId="{0405FE90-6702-364B-9E4D-95CC1A64373D}">
      <dsp:nvSpPr>
        <dsp:cNvPr id="0" name=""/>
        <dsp:cNvSpPr/>
      </dsp:nvSpPr>
      <dsp:spPr>
        <a:xfrm rot="5400000">
          <a:off x="-158416" y="2081336"/>
          <a:ext cx="1056107" cy="739275"/>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t>Advanced beginner</a:t>
          </a:r>
        </a:p>
      </dsp:txBody>
      <dsp:txXfrm rot="-5400000">
        <a:off x="1" y="2292558"/>
        <a:ext cx="739275" cy="316832"/>
      </dsp:txXfrm>
    </dsp:sp>
    <dsp:sp modelId="{D4718596-35B7-0748-A848-356F3183B794}">
      <dsp:nvSpPr>
        <dsp:cNvPr id="0" name=""/>
        <dsp:cNvSpPr/>
      </dsp:nvSpPr>
      <dsp:spPr>
        <a:xfrm rot="5400000">
          <a:off x="2769602" y="-107407"/>
          <a:ext cx="686469" cy="4747124"/>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92456" tIns="8255" rIns="8255" bIns="8255" numCol="1" spcCol="1270" anchor="ctr" anchorCtr="0">
          <a:noAutofit/>
        </a:bodyPr>
        <a:lstStyle/>
        <a:p>
          <a:pPr marL="114300" lvl="1" indent="-114300" algn="l" defTabSz="577850">
            <a:lnSpc>
              <a:spcPct val="90000"/>
            </a:lnSpc>
            <a:spcBef>
              <a:spcPct val="0"/>
            </a:spcBef>
            <a:spcAft>
              <a:spcPct val="15000"/>
            </a:spcAft>
            <a:buChar char="•"/>
          </a:pPr>
          <a:r>
            <a:rPr lang="en-US" sz="1300" kern="1200" dirty="0"/>
            <a:t>SCORE = 2/3</a:t>
          </a:r>
          <a:endParaRPr lang="en-US" sz="1300" kern="1200"/>
        </a:p>
        <a:p>
          <a:pPr marL="114300" lvl="1" indent="-114300" algn="l" defTabSz="577850">
            <a:lnSpc>
              <a:spcPct val="90000"/>
            </a:lnSpc>
            <a:spcBef>
              <a:spcPct val="0"/>
            </a:spcBef>
            <a:spcAft>
              <a:spcPct val="15000"/>
            </a:spcAft>
            <a:buChar char="•"/>
          </a:pPr>
          <a:r>
            <a:rPr lang="en-US" sz="1300" kern="1200" dirty="0"/>
            <a:t>Evidence of feature/s but problematic/lack of consistency</a:t>
          </a:r>
          <a:endParaRPr lang="en-US" sz="1300" kern="1200"/>
        </a:p>
        <a:p>
          <a:pPr marL="114300" lvl="1" indent="-114300" algn="l" defTabSz="577850">
            <a:lnSpc>
              <a:spcPct val="90000"/>
            </a:lnSpc>
            <a:spcBef>
              <a:spcPct val="0"/>
            </a:spcBef>
            <a:spcAft>
              <a:spcPct val="15000"/>
            </a:spcAft>
            <a:buChar char="•"/>
          </a:pPr>
          <a:r>
            <a:rPr lang="en-US" sz="1300" kern="1200" dirty="0"/>
            <a:t>Competent but some problems/inconsistencies</a:t>
          </a:r>
          <a:endParaRPr lang="en-US" sz="1300" kern="1200"/>
        </a:p>
      </dsp:txBody>
      <dsp:txXfrm rot="-5400000">
        <a:off x="739275" y="1956431"/>
        <a:ext cx="4713613" cy="619447"/>
      </dsp:txXfrm>
    </dsp:sp>
    <dsp:sp modelId="{257F9943-1DAB-224C-BFC9-F35F23103A0A}">
      <dsp:nvSpPr>
        <dsp:cNvPr id="0" name=""/>
        <dsp:cNvSpPr/>
      </dsp:nvSpPr>
      <dsp:spPr>
        <a:xfrm rot="5400000">
          <a:off x="-158416" y="3040927"/>
          <a:ext cx="1056107" cy="739275"/>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t>Competent</a:t>
          </a:r>
        </a:p>
        <a:p>
          <a:pPr marL="0" lvl="0" indent="0" algn="ctr" defTabSz="400050">
            <a:lnSpc>
              <a:spcPct val="90000"/>
            </a:lnSpc>
            <a:spcBef>
              <a:spcPct val="0"/>
            </a:spcBef>
            <a:spcAft>
              <a:spcPct val="35000"/>
            </a:spcAft>
            <a:buNone/>
          </a:pPr>
          <a:endParaRPr lang="en-US" sz="900" kern="1200"/>
        </a:p>
      </dsp:txBody>
      <dsp:txXfrm rot="-5400000">
        <a:off x="1" y="3252149"/>
        <a:ext cx="739275" cy="316832"/>
      </dsp:txXfrm>
    </dsp:sp>
    <dsp:sp modelId="{F9F86B3C-459F-A945-9AF8-250A5BBDDF19}">
      <dsp:nvSpPr>
        <dsp:cNvPr id="0" name=""/>
        <dsp:cNvSpPr/>
      </dsp:nvSpPr>
      <dsp:spPr>
        <a:xfrm rot="5400000">
          <a:off x="2769602" y="852183"/>
          <a:ext cx="686469" cy="4747124"/>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92456" tIns="8255" rIns="8255" bIns="8255" numCol="1" spcCol="1270" anchor="ctr" anchorCtr="0">
          <a:noAutofit/>
        </a:bodyPr>
        <a:lstStyle/>
        <a:p>
          <a:pPr marL="114300" lvl="1" indent="-114300" algn="l" defTabSz="577850">
            <a:lnSpc>
              <a:spcPct val="90000"/>
            </a:lnSpc>
            <a:spcBef>
              <a:spcPct val="0"/>
            </a:spcBef>
            <a:spcAft>
              <a:spcPct val="15000"/>
            </a:spcAft>
            <a:buChar char="•"/>
          </a:pPr>
          <a:r>
            <a:rPr lang="en-US" sz="1300" kern="1200" dirty="0"/>
            <a:t>SCORE = 3/4</a:t>
          </a:r>
          <a:endParaRPr lang="en-US" sz="1300" kern="1200"/>
        </a:p>
        <a:p>
          <a:pPr marL="114300" lvl="1" indent="-114300" algn="l" defTabSz="577850">
            <a:lnSpc>
              <a:spcPct val="90000"/>
            </a:lnSpc>
            <a:spcBef>
              <a:spcPct val="0"/>
            </a:spcBef>
            <a:spcAft>
              <a:spcPct val="15000"/>
            </a:spcAft>
            <a:buChar char="•"/>
          </a:pPr>
          <a:r>
            <a:rPr lang="en-US" sz="1300" kern="1200" dirty="0"/>
            <a:t>Competent but some problems/inconsistencies</a:t>
          </a:r>
          <a:endParaRPr lang="en-US" sz="1300" kern="1200"/>
        </a:p>
        <a:p>
          <a:pPr marL="114300" lvl="1" indent="-114300" algn="l" defTabSz="577850">
            <a:lnSpc>
              <a:spcPct val="90000"/>
            </a:lnSpc>
            <a:spcBef>
              <a:spcPct val="0"/>
            </a:spcBef>
            <a:spcAft>
              <a:spcPct val="15000"/>
            </a:spcAft>
            <a:buChar char="•"/>
          </a:pPr>
          <a:r>
            <a:rPr lang="en-US" sz="1300" kern="1200" dirty="0"/>
            <a:t>Good features but minor problems</a:t>
          </a:r>
          <a:endParaRPr lang="en-US" sz="1300" kern="1200"/>
        </a:p>
      </dsp:txBody>
      <dsp:txXfrm rot="-5400000">
        <a:off x="739275" y="2916022"/>
        <a:ext cx="4713613" cy="619447"/>
      </dsp:txXfrm>
    </dsp:sp>
    <dsp:sp modelId="{F286DC80-FF48-F640-A86F-460680A23097}">
      <dsp:nvSpPr>
        <dsp:cNvPr id="0" name=""/>
        <dsp:cNvSpPr/>
      </dsp:nvSpPr>
      <dsp:spPr>
        <a:xfrm rot="5400000">
          <a:off x="-158416" y="4000518"/>
          <a:ext cx="1056107" cy="739275"/>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t>Proficient</a:t>
          </a:r>
        </a:p>
      </dsp:txBody>
      <dsp:txXfrm rot="-5400000">
        <a:off x="1" y="4211740"/>
        <a:ext cx="739275" cy="316832"/>
      </dsp:txXfrm>
    </dsp:sp>
    <dsp:sp modelId="{2F8B40DC-0929-FC44-A29F-7B705CF65337}">
      <dsp:nvSpPr>
        <dsp:cNvPr id="0" name=""/>
        <dsp:cNvSpPr/>
      </dsp:nvSpPr>
      <dsp:spPr>
        <a:xfrm rot="5400000">
          <a:off x="2769602" y="1811774"/>
          <a:ext cx="686469" cy="4747124"/>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92456" tIns="8255" rIns="8255" bIns="8255" numCol="1" spcCol="1270" anchor="ctr" anchorCtr="0">
          <a:noAutofit/>
        </a:bodyPr>
        <a:lstStyle/>
        <a:p>
          <a:pPr marL="114300" lvl="1" indent="-114300" algn="l" defTabSz="577850">
            <a:lnSpc>
              <a:spcPct val="90000"/>
            </a:lnSpc>
            <a:spcBef>
              <a:spcPct val="0"/>
            </a:spcBef>
            <a:spcAft>
              <a:spcPct val="15000"/>
            </a:spcAft>
            <a:buChar char="•"/>
          </a:pPr>
          <a:r>
            <a:rPr lang="en-US" sz="1300" kern="1200" dirty="0"/>
            <a:t>SCORE = 4/5</a:t>
          </a:r>
          <a:endParaRPr lang="en-US" sz="1300" kern="1200"/>
        </a:p>
        <a:p>
          <a:pPr marL="114300" lvl="1" indent="-114300" algn="l" defTabSz="577850">
            <a:lnSpc>
              <a:spcPct val="90000"/>
            </a:lnSpc>
            <a:spcBef>
              <a:spcPct val="0"/>
            </a:spcBef>
            <a:spcAft>
              <a:spcPct val="15000"/>
            </a:spcAft>
            <a:buChar char="•"/>
          </a:pPr>
          <a:r>
            <a:rPr lang="en-US" sz="1300" kern="1200" dirty="0"/>
            <a:t>Good features but minor problems</a:t>
          </a:r>
          <a:endParaRPr lang="en-US" sz="1300" kern="1200"/>
        </a:p>
        <a:p>
          <a:pPr marL="114300" lvl="1" indent="-114300" algn="l" defTabSz="577850">
            <a:lnSpc>
              <a:spcPct val="90000"/>
            </a:lnSpc>
            <a:spcBef>
              <a:spcPct val="0"/>
            </a:spcBef>
            <a:spcAft>
              <a:spcPct val="15000"/>
            </a:spcAft>
            <a:buChar char="•"/>
          </a:pPr>
          <a:r>
            <a:rPr lang="en-US" sz="1300" kern="1200" dirty="0"/>
            <a:t>Very good features minimal problems</a:t>
          </a:r>
          <a:endParaRPr lang="en-US" sz="1300" kern="1200"/>
        </a:p>
      </dsp:txBody>
      <dsp:txXfrm rot="-5400000">
        <a:off x="739275" y="3875613"/>
        <a:ext cx="4713613" cy="619447"/>
      </dsp:txXfrm>
    </dsp:sp>
    <dsp:sp modelId="{76C2564D-4EAB-A945-BA58-6075F7806715}">
      <dsp:nvSpPr>
        <dsp:cNvPr id="0" name=""/>
        <dsp:cNvSpPr/>
      </dsp:nvSpPr>
      <dsp:spPr>
        <a:xfrm rot="5400000">
          <a:off x="-158416" y="4960108"/>
          <a:ext cx="1056107" cy="739275"/>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t>Expert</a:t>
          </a:r>
        </a:p>
      </dsp:txBody>
      <dsp:txXfrm rot="-5400000">
        <a:off x="1" y="5171330"/>
        <a:ext cx="739275" cy="316832"/>
      </dsp:txXfrm>
    </dsp:sp>
    <dsp:sp modelId="{BF046ADF-D39E-FA43-A225-9B9E5C798389}">
      <dsp:nvSpPr>
        <dsp:cNvPr id="0" name=""/>
        <dsp:cNvSpPr/>
      </dsp:nvSpPr>
      <dsp:spPr>
        <a:xfrm rot="5400000">
          <a:off x="2769602" y="2771365"/>
          <a:ext cx="686469" cy="4747124"/>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92456" tIns="8255" rIns="8255" bIns="8255" numCol="1" spcCol="1270" anchor="ctr" anchorCtr="0">
          <a:noAutofit/>
        </a:bodyPr>
        <a:lstStyle/>
        <a:p>
          <a:pPr marL="114300" lvl="1" indent="-114300" algn="l" defTabSz="577850">
            <a:lnSpc>
              <a:spcPct val="90000"/>
            </a:lnSpc>
            <a:spcBef>
              <a:spcPct val="0"/>
            </a:spcBef>
            <a:spcAft>
              <a:spcPct val="15000"/>
            </a:spcAft>
            <a:buChar char="•"/>
          </a:pPr>
          <a:r>
            <a:rPr lang="en-US" sz="1300" kern="1200" dirty="0"/>
            <a:t>SCORE = 6</a:t>
          </a:r>
          <a:endParaRPr lang="en-US" sz="1300" kern="1200"/>
        </a:p>
        <a:p>
          <a:pPr marL="114300" lvl="1" indent="-114300" algn="l" defTabSz="577850">
            <a:lnSpc>
              <a:spcPct val="90000"/>
            </a:lnSpc>
            <a:spcBef>
              <a:spcPct val="0"/>
            </a:spcBef>
            <a:spcAft>
              <a:spcPct val="15000"/>
            </a:spcAft>
            <a:buChar char="•"/>
          </a:pPr>
          <a:r>
            <a:rPr lang="en-US" sz="1300" kern="1200" dirty="0"/>
            <a:t>Excellent performance in the face of adversity</a:t>
          </a:r>
          <a:endParaRPr lang="en-US" sz="1300" kern="1200"/>
        </a:p>
      </dsp:txBody>
      <dsp:txXfrm rot="-5400000">
        <a:off x="739275" y="4835204"/>
        <a:ext cx="4713613" cy="61944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42B45C-441D-9040-ACAF-8206CEFE55EA}">
      <dsp:nvSpPr>
        <dsp:cNvPr id="0" name=""/>
        <dsp:cNvSpPr/>
      </dsp:nvSpPr>
      <dsp:spPr>
        <a:xfrm>
          <a:off x="2002536" y="1718268"/>
          <a:ext cx="1481328" cy="1481328"/>
        </a:xfrm>
        <a:prstGeom prst="ellipse">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065" tIns="12065" rIns="12065" bIns="12065" numCol="1" spcCol="1270" anchor="ctr" anchorCtr="0">
          <a:noAutofit/>
        </a:bodyPr>
        <a:lstStyle/>
        <a:p>
          <a:pPr marL="0" lvl="0" indent="0" algn="ctr" defTabSz="844550">
            <a:lnSpc>
              <a:spcPct val="90000"/>
            </a:lnSpc>
            <a:spcBef>
              <a:spcPct val="0"/>
            </a:spcBef>
            <a:spcAft>
              <a:spcPct val="35000"/>
            </a:spcAft>
            <a:buNone/>
          </a:pPr>
          <a:r>
            <a:rPr lang="en-US" sz="1900" kern="1200"/>
            <a:t>Clinical outcomes</a:t>
          </a:r>
        </a:p>
      </dsp:txBody>
      <dsp:txXfrm>
        <a:off x="2219471" y="1935203"/>
        <a:ext cx="1047458" cy="1047458"/>
      </dsp:txXfrm>
    </dsp:sp>
    <dsp:sp modelId="{584DAA5F-877E-694B-808E-26D9B3AAE05E}">
      <dsp:nvSpPr>
        <dsp:cNvPr id="0" name=""/>
        <dsp:cNvSpPr/>
      </dsp:nvSpPr>
      <dsp:spPr>
        <a:xfrm rot="11700000">
          <a:off x="701561" y="1871767"/>
          <a:ext cx="1276208" cy="422178"/>
        </a:xfrm>
        <a:prstGeom prst="leftArrow">
          <a:avLst>
            <a:gd name="adj1" fmla="val 60000"/>
            <a:gd name="adj2" fmla="val 50000"/>
          </a:avLst>
        </a:prstGeom>
        <a:solidFill>
          <a:schemeClr val="accent3">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151EE31-C628-4544-8E69-6C5D3480A777}">
      <dsp:nvSpPr>
        <dsp:cNvPr id="0" name=""/>
        <dsp:cNvSpPr/>
      </dsp:nvSpPr>
      <dsp:spPr>
        <a:xfrm>
          <a:off x="19673" y="1354798"/>
          <a:ext cx="1407261" cy="1125809"/>
        </a:xfrm>
        <a:prstGeom prst="roundRect">
          <a:avLst>
            <a:gd name="adj" fmla="val 10000"/>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marL="0" lvl="0" indent="0" algn="ctr" defTabSz="444500">
            <a:lnSpc>
              <a:spcPct val="90000"/>
            </a:lnSpc>
            <a:spcBef>
              <a:spcPct val="0"/>
            </a:spcBef>
            <a:spcAft>
              <a:spcPct val="35000"/>
            </a:spcAft>
            <a:buNone/>
          </a:pPr>
          <a:r>
            <a:rPr lang="en-US" sz="1000" kern="1200"/>
            <a:t>SERVICE VARIABLES</a:t>
          </a:r>
        </a:p>
        <a:p>
          <a:pPr marL="0" lvl="0" indent="0" algn="ctr" defTabSz="444500">
            <a:lnSpc>
              <a:spcPct val="90000"/>
            </a:lnSpc>
            <a:spcBef>
              <a:spcPct val="0"/>
            </a:spcBef>
            <a:spcAft>
              <a:spcPct val="35000"/>
            </a:spcAft>
            <a:buNone/>
          </a:pPr>
          <a:r>
            <a:rPr lang="en-US" sz="1000" kern="1200"/>
            <a:t>leadership style, organisational culture, policies and procedures</a:t>
          </a:r>
        </a:p>
      </dsp:txBody>
      <dsp:txXfrm>
        <a:off x="52647" y="1387772"/>
        <a:ext cx="1341313" cy="1059861"/>
      </dsp:txXfrm>
    </dsp:sp>
    <dsp:sp modelId="{BCB79D9B-9136-9441-AEEE-5A9845F543ED}">
      <dsp:nvSpPr>
        <dsp:cNvPr id="0" name=""/>
        <dsp:cNvSpPr/>
      </dsp:nvSpPr>
      <dsp:spPr>
        <a:xfrm rot="14700000">
          <a:off x="1491012" y="930937"/>
          <a:ext cx="1276208" cy="422178"/>
        </a:xfrm>
        <a:prstGeom prst="leftArrow">
          <a:avLst>
            <a:gd name="adj1" fmla="val 60000"/>
            <a:gd name="adj2" fmla="val 50000"/>
          </a:avLst>
        </a:prstGeom>
        <a:solidFill>
          <a:schemeClr val="accent3">
            <a:hueOff val="3750088"/>
            <a:satOff val="-5627"/>
            <a:lumOff val="-915"/>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96989937-1E16-E344-9120-A34ED6DE7E48}">
      <dsp:nvSpPr>
        <dsp:cNvPr id="0" name=""/>
        <dsp:cNvSpPr/>
      </dsp:nvSpPr>
      <dsp:spPr>
        <a:xfrm>
          <a:off x="1155811" y="803"/>
          <a:ext cx="1407261" cy="1125809"/>
        </a:xfrm>
        <a:prstGeom prst="roundRect">
          <a:avLst>
            <a:gd name="adj" fmla="val 10000"/>
          </a:avLst>
        </a:prstGeom>
        <a:solidFill>
          <a:schemeClr val="accent3">
            <a:hueOff val="3750088"/>
            <a:satOff val="-5627"/>
            <a:lumOff val="-91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marL="0" lvl="0" indent="0" algn="ctr" defTabSz="444500">
            <a:lnSpc>
              <a:spcPct val="90000"/>
            </a:lnSpc>
            <a:spcBef>
              <a:spcPct val="0"/>
            </a:spcBef>
            <a:spcAft>
              <a:spcPct val="35000"/>
            </a:spcAft>
            <a:buNone/>
          </a:pPr>
          <a:r>
            <a:rPr lang="en-US" sz="1000" kern="1200"/>
            <a:t>PATIENT VARIABLES </a:t>
          </a:r>
        </a:p>
        <a:p>
          <a:pPr marL="0" lvl="0" indent="0" algn="ctr" defTabSz="444500">
            <a:lnSpc>
              <a:spcPct val="90000"/>
            </a:lnSpc>
            <a:spcBef>
              <a:spcPct val="0"/>
            </a:spcBef>
            <a:spcAft>
              <a:spcPct val="35000"/>
            </a:spcAft>
            <a:buNone/>
          </a:pPr>
          <a:r>
            <a:rPr lang="en-US" sz="1000" kern="1200"/>
            <a:t>severity, gender, age, complexity, disability, personality traits</a:t>
          </a:r>
        </a:p>
      </dsp:txBody>
      <dsp:txXfrm>
        <a:off x="1188785" y="33777"/>
        <a:ext cx="1341313" cy="1059861"/>
      </dsp:txXfrm>
    </dsp:sp>
    <dsp:sp modelId="{E8B179D5-CCE2-704A-A8ED-1FA3B743DBD0}">
      <dsp:nvSpPr>
        <dsp:cNvPr id="0" name=""/>
        <dsp:cNvSpPr/>
      </dsp:nvSpPr>
      <dsp:spPr>
        <a:xfrm rot="17700000">
          <a:off x="2719178" y="930937"/>
          <a:ext cx="1276208" cy="422178"/>
        </a:xfrm>
        <a:prstGeom prst="leftArrow">
          <a:avLst>
            <a:gd name="adj1" fmla="val 60000"/>
            <a:gd name="adj2" fmla="val 50000"/>
          </a:avLst>
        </a:prstGeom>
        <a:solidFill>
          <a:schemeClr val="accent3">
            <a:hueOff val="7500176"/>
            <a:satOff val="-11253"/>
            <a:lumOff val="-183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74E46E04-A09B-2743-A247-1FEAB0952F06}">
      <dsp:nvSpPr>
        <dsp:cNvPr id="0" name=""/>
        <dsp:cNvSpPr/>
      </dsp:nvSpPr>
      <dsp:spPr>
        <a:xfrm>
          <a:off x="2923327" y="803"/>
          <a:ext cx="1407261" cy="1125809"/>
        </a:xfrm>
        <a:prstGeom prst="roundRect">
          <a:avLst>
            <a:gd name="adj" fmla="val 10000"/>
          </a:avLst>
        </a:prstGeom>
        <a:solidFill>
          <a:schemeClr val="accent3">
            <a:hueOff val="7500176"/>
            <a:satOff val="-11253"/>
            <a:lumOff val="-183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marL="0" lvl="0" indent="0" algn="ctr" defTabSz="444500">
            <a:lnSpc>
              <a:spcPct val="90000"/>
            </a:lnSpc>
            <a:spcBef>
              <a:spcPct val="0"/>
            </a:spcBef>
            <a:spcAft>
              <a:spcPct val="35000"/>
            </a:spcAft>
            <a:buNone/>
          </a:pPr>
          <a:r>
            <a:rPr lang="en-US" sz="1000" kern="1200"/>
            <a:t>SOCIODEMOGRAPHIC VARIABLES </a:t>
          </a:r>
        </a:p>
        <a:p>
          <a:pPr marL="0" lvl="0" indent="0" algn="ctr" defTabSz="444500">
            <a:lnSpc>
              <a:spcPct val="90000"/>
            </a:lnSpc>
            <a:spcBef>
              <a:spcPct val="0"/>
            </a:spcBef>
            <a:spcAft>
              <a:spcPct val="35000"/>
            </a:spcAft>
            <a:buNone/>
          </a:pPr>
          <a:r>
            <a:rPr lang="en-US" sz="1000" kern="1200"/>
            <a:t>access to services, access to transport, social deprivation</a:t>
          </a:r>
        </a:p>
      </dsp:txBody>
      <dsp:txXfrm>
        <a:off x="2956301" y="33777"/>
        <a:ext cx="1341313" cy="1059861"/>
      </dsp:txXfrm>
    </dsp:sp>
    <dsp:sp modelId="{CAF26C9B-B4E6-B745-85D0-7891DFB29042}">
      <dsp:nvSpPr>
        <dsp:cNvPr id="0" name=""/>
        <dsp:cNvSpPr/>
      </dsp:nvSpPr>
      <dsp:spPr>
        <a:xfrm rot="20700000">
          <a:off x="3508629" y="1871767"/>
          <a:ext cx="1276208" cy="422178"/>
        </a:xfrm>
        <a:prstGeom prst="leftArrow">
          <a:avLst>
            <a:gd name="adj1" fmla="val 60000"/>
            <a:gd name="adj2" fmla="val 50000"/>
          </a:avLst>
        </a:prstGeom>
        <a:solidFill>
          <a:schemeClr val="accent3">
            <a:hueOff val="11250264"/>
            <a:satOff val="-16880"/>
            <a:lumOff val="-2745"/>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B4236189-1F51-F94F-B0F2-348FF3FBF4BA}">
      <dsp:nvSpPr>
        <dsp:cNvPr id="0" name=""/>
        <dsp:cNvSpPr/>
      </dsp:nvSpPr>
      <dsp:spPr>
        <a:xfrm>
          <a:off x="4059464" y="1354798"/>
          <a:ext cx="1407261" cy="1125809"/>
        </a:xfrm>
        <a:prstGeom prst="roundRect">
          <a:avLst>
            <a:gd name="adj" fmla="val 10000"/>
          </a:avLst>
        </a:prstGeom>
        <a:solidFill>
          <a:schemeClr val="accent3">
            <a:hueOff val="11250264"/>
            <a:satOff val="-16880"/>
            <a:lumOff val="-274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marL="0" lvl="0" indent="0" algn="ctr" defTabSz="444500">
            <a:lnSpc>
              <a:spcPct val="90000"/>
            </a:lnSpc>
            <a:spcBef>
              <a:spcPct val="0"/>
            </a:spcBef>
            <a:spcAft>
              <a:spcPct val="35000"/>
            </a:spcAft>
            <a:buNone/>
          </a:pPr>
          <a:br>
            <a:rPr lang="en-US" sz="1000" kern="1200"/>
          </a:br>
          <a:r>
            <a:rPr lang="en-US" sz="1000" kern="1200"/>
            <a:t>THERAPIST VARIABLES </a:t>
          </a:r>
        </a:p>
        <a:p>
          <a:pPr marL="0" lvl="0" indent="0" algn="ctr" defTabSz="444500">
            <a:lnSpc>
              <a:spcPct val="90000"/>
            </a:lnSpc>
            <a:spcBef>
              <a:spcPct val="0"/>
            </a:spcBef>
            <a:spcAft>
              <a:spcPct val="35000"/>
            </a:spcAft>
            <a:buNone/>
          </a:pPr>
          <a:r>
            <a:rPr lang="en-US" sz="1000" kern="1200"/>
            <a:t>age gender, experience, training competence adherence, personality traits</a:t>
          </a:r>
        </a:p>
      </dsp:txBody>
      <dsp:txXfrm>
        <a:off x="4092438" y="1387772"/>
        <a:ext cx="1341313" cy="1059861"/>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545E3D2-7A4A-E84A-9F7A-514435772E67}">
      <dsp:nvSpPr>
        <dsp:cNvPr id="0" name=""/>
        <dsp:cNvSpPr/>
      </dsp:nvSpPr>
      <dsp:spPr>
        <a:xfrm>
          <a:off x="808037" y="0"/>
          <a:ext cx="2528570" cy="252857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2672" tIns="42672" rIns="42672" bIns="42672" numCol="1" spcCol="1270" anchor="ctr" anchorCtr="0">
          <a:noAutofit/>
        </a:bodyPr>
        <a:lstStyle/>
        <a:p>
          <a:pPr marL="0" lvl="0" indent="0" algn="ctr" defTabSz="266700">
            <a:lnSpc>
              <a:spcPct val="90000"/>
            </a:lnSpc>
            <a:spcBef>
              <a:spcPct val="0"/>
            </a:spcBef>
            <a:spcAft>
              <a:spcPct val="35000"/>
            </a:spcAft>
            <a:buNone/>
          </a:pPr>
          <a:r>
            <a:rPr lang="en-US" sz="600" kern="1200"/>
            <a:t>Total number of BABCP accredited therapists n=6,556</a:t>
          </a:r>
        </a:p>
      </dsp:txBody>
      <dsp:txXfrm>
        <a:off x="1630454" y="126428"/>
        <a:ext cx="883735" cy="379285"/>
      </dsp:txXfrm>
    </dsp:sp>
    <dsp:sp modelId="{744BDD58-915D-8F4A-95FC-F49641AE88DF}">
      <dsp:nvSpPr>
        <dsp:cNvPr id="0" name=""/>
        <dsp:cNvSpPr/>
      </dsp:nvSpPr>
      <dsp:spPr>
        <a:xfrm>
          <a:off x="1124108" y="632142"/>
          <a:ext cx="1896427" cy="189642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2672" tIns="42672" rIns="42672" bIns="42672" numCol="1" spcCol="1270" anchor="ctr" anchorCtr="0">
          <a:noAutofit/>
        </a:bodyPr>
        <a:lstStyle/>
        <a:p>
          <a:pPr marL="0" lvl="0" indent="0" algn="ctr" defTabSz="266700">
            <a:lnSpc>
              <a:spcPct val="90000"/>
            </a:lnSpc>
            <a:spcBef>
              <a:spcPct val="0"/>
            </a:spcBef>
            <a:spcAft>
              <a:spcPct val="35000"/>
            </a:spcAft>
            <a:buNone/>
          </a:pPr>
          <a:r>
            <a:rPr lang="en-US" sz="600" kern="1200"/>
            <a:t>BABCP accredited CBT therapists working in IAPT n=3789</a:t>
          </a:r>
        </a:p>
      </dsp:txBody>
      <dsp:txXfrm>
        <a:off x="1630454" y="750669"/>
        <a:ext cx="883735" cy="355580"/>
      </dsp:txXfrm>
    </dsp:sp>
    <dsp:sp modelId="{1F70F6EB-FCB7-E34C-9DCA-2292000E0B8F}">
      <dsp:nvSpPr>
        <dsp:cNvPr id="0" name=""/>
        <dsp:cNvSpPr/>
      </dsp:nvSpPr>
      <dsp:spPr>
        <a:xfrm>
          <a:off x="1440179" y="1264285"/>
          <a:ext cx="1264285" cy="126428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2672" tIns="42672" rIns="42672" bIns="42672" numCol="1" spcCol="1270" anchor="ctr" anchorCtr="0">
          <a:noAutofit/>
        </a:bodyPr>
        <a:lstStyle/>
        <a:p>
          <a:pPr marL="0" lvl="0" indent="0" algn="ctr" defTabSz="266700">
            <a:lnSpc>
              <a:spcPct val="90000"/>
            </a:lnSpc>
            <a:spcBef>
              <a:spcPct val="0"/>
            </a:spcBef>
            <a:spcAft>
              <a:spcPct val="35000"/>
            </a:spcAft>
            <a:buNone/>
          </a:pPr>
          <a:r>
            <a:rPr lang="en-US" sz="600" kern="1200"/>
            <a:t>Study Sample n=200</a:t>
          </a:r>
        </a:p>
      </dsp:txBody>
      <dsp:txXfrm>
        <a:off x="1625330" y="1580356"/>
        <a:ext cx="893984" cy="632142"/>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9C5622F-F917-4F42-A174-54254D6004E2}">
      <dsp:nvSpPr>
        <dsp:cNvPr id="0" name=""/>
        <dsp:cNvSpPr/>
      </dsp:nvSpPr>
      <dsp:spPr>
        <a:xfrm>
          <a:off x="2678" y="488824"/>
          <a:ext cx="913507" cy="456753"/>
        </a:xfrm>
        <a:prstGeom prst="roundRect">
          <a:avLst>
            <a:gd name="adj" fmla="val 10000"/>
          </a:avLst>
        </a:prstGeom>
        <a:solidFill>
          <a:schemeClr val="accent1">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Therapist 1</a:t>
          </a:r>
        </a:p>
      </dsp:txBody>
      <dsp:txXfrm>
        <a:off x="16056" y="502202"/>
        <a:ext cx="886751" cy="429997"/>
      </dsp:txXfrm>
    </dsp:sp>
    <dsp:sp modelId="{A8B6C984-AB70-0641-BB38-8AF79F99B197}">
      <dsp:nvSpPr>
        <dsp:cNvPr id="0" name=""/>
        <dsp:cNvSpPr/>
      </dsp:nvSpPr>
      <dsp:spPr>
        <a:xfrm>
          <a:off x="48309" y="945577"/>
          <a:ext cx="91440" cy="342565"/>
        </a:xfrm>
        <a:custGeom>
          <a:avLst/>
          <a:gdLst/>
          <a:ahLst/>
          <a:cxnLst/>
          <a:rect l="0" t="0" r="0" b="0"/>
          <a:pathLst>
            <a:path>
              <a:moveTo>
                <a:pt x="45720" y="0"/>
              </a:moveTo>
              <a:lnTo>
                <a:pt x="45720" y="342565"/>
              </a:lnTo>
              <a:lnTo>
                <a:pt x="137070" y="342565"/>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0FACBFE4-B88C-D242-94E4-DBFD01B49DF6}">
      <dsp:nvSpPr>
        <dsp:cNvPr id="0" name=""/>
        <dsp:cNvSpPr/>
      </dsp:nvSpPr>
      <dsp:spPr>
        <a:xfrm>
          <a:off x="185380" y="1059766"/>
          <a:ext cx="730805" cy="456753"/>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400500" extrusionH="63500" prstMaterial="matte"/>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Patient 1</a:t>
          </a:r>
        </a:p>
      </dsp:txBody>
      <dsp:txXfrm>
        <a:off x="198758" y="1073144"/>
        <a:ext cx="704049" cy="429997"/>
      </dsp:txXfrm>
    </dsp:sp>
    <dsp:sp modelId="{FEBF5CEF-06E3-4A47-AF22-84DBA5423D15}">
      <dsp:nvSpPr>
        <dsp:cNvPr id="0" name=""/>
        <dsp:cNvSpPr/>
      </dsp:nvSpPr>
      <dsp:spPr>
        <a:xfrm>
          <a:off x="48309" y="945577"/>
          <a:ext cx="91440" cy="913507"/>
        </a:xfrm>
        <a:custGeom>
          <a:avLst/>
          <a:gdLst/>
          <a:ahLst/>
          <a:cxnLst/>
          <a:rect l="0" t="0" r="0" b="0"/>
          <a:pathLst>
            <a:path>
              <a:moveTo>
                <a:pt x="45720" y="0"/>
              </a:moveTo>
              <a:lnTo>
                <a:pt x="45720" y="913507"/>
              </a:lnTo>
              <a:lnTo>
                <a:pt x="137070" y="913507"/>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BA4A8323-E687-E94E-8898-235E9912FADA}">
      <dsp:nvSpPr>
        <dsp:cNvPr id="0" name=""/>
        <dsp:cNvSpPr/>
      </dsp:nvSpPr>
      <dsp:spPr>
        <a:xfrm>
          <a:off x="185380" y="1630708"/>
          <a:ext cx="730805" cy="456753"/>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400500" extrusionH="63500" prstMaterial="matte"/>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Patient 2</a:t>
          </a:r>
        </a:p>
      </dsp:txBody>
      <dsp:txXfrm>
        <a:off x="198758" y="1644086"/>
        <a:ext cx="704049" cy="429997"/>
      </dsp:txXfrm>
    </dsp:sp>
    <dsp:sp modelId="{BD8DC038-8FA6-4945-AB84-640B4760F1EF}">
      <dsp:nvSpPr>
        <dsp:cNvPr id="0" name=""/>
        <dsp:cNvSpPr/>
      </dsp:nvSpPr>
      <dsp:spPr>
        <a:xfrm>
          <a:off x="48309" y="945577"/>
          <a:ext cx="91440" cy="1484448"/>
        </a:xfrm>
        <a:custGeom>
          <a:avLst/>
          <a:gdLst/>
          <a:ahLst/>
          <a:cxnLst/>
          <a:rect l="0" t="0" r="0" b="0"/>
          <a:pathLst>
            <a:path>
              <a:moveTo>
                <a:pt x="45720" y="0"/>
              </a:moveTo>
              <a:lnTo>
                <a:pt x="45720" y="1484448"/>
              </a:lnTo>
              <a:lnTo>
                <a:pt x="137070" y="1484448"/>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9181E156-3EC2-8E46-B392-3A683E2729D6}">
      <dsp:nvSpPr>
        <dsp:cNvPr id="0" name=""/>
        <dsp:cNvSpPr/>
      </dsp:nvSpPr>
      <dsp:spPr>
        <a:xfrm>
          <a:off x="185380" y="2201650"/>
          <a:ext cx="730805" cy="456753"/>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400500" extrusionH="63500" prstMaterial="matte"/>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Patient 3</a:t>
          </a:r>
        </a:p>
      </dsp:txBody>
      <dsp:txXfrm>
        <a:off x="198758" y="2215028"/>
        <a:ext cx="704049" cy="429997"/>
      </dsp:txXfrm>
    </dsp:sp>
    <dsp:sp modelId="{ABD5F3A4-A0DA-EE40-9C59-EEB52B59B40F}">
      <dsp:nvSpPr>
        <dsp:cNvPr id="0" name=""/>
        <dsp:cNvSpPr/>
      </dsp:nvSpPr>
      <dsp:spPr>
        <a:xfrm>
          <a:off x="1144562" y="488824"/>
          <a:ext cx="913507" cy="456753"/>
        </a:xfrm>
        <a:prstGeom prst="roundRect">
          <a:avLst>
            <a:gd name="adj" fmla="val 10000"/>
          </a:avLst>
        </a:prstGeom>
        <a:solidFill>
          <a:schemeClr val="accent1">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Therapist 2</a:t>
          </a:r>
        </a:p>
      </dsp:txBody>
      <dsp:txXfrm>
        <a:off x="1157940" y="502202"/>
        <a:ext cx="886751" cy="429997"/>
      </dsp:txXfrm>
    </dsp:sp>
    <dsp:sp modelId="{9A1626A3-B86A-3541-8361-1979FC0581F3}">
      <dsp:nvSpPr>
        <dsp:cNvPr id="0" name=""/>
        <dsp:cNvSpPr/>
      </dsp:nvSpPr>
      <dsp:spPr>
        <a:xfrm>
          <a:off x="1190193" y="945577"/>
          <a:ext cx="91440" cy="342565"/>
        </a:xfrm>
        <a:custGeom>
          <a:avLst/>
          <a:gdLst/>
          <a:ahLst/>
          <a:cxnLst/>
          <a:rect l="0" t="0" r="0" b="0"/>
          <a:pathLst>
            <a:path>
              <a:moveTo>
                <a:pt x="45720" y="0"/>
              </a:moveTo>
              <a:lnTo>
                <a:pt x="45720" y="342565"/>
              </a:lnTo>
              <a:lnTo>
                <a:pt x="137070" y="342565"/>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0BD5E7FA-A7D7-8D47-A909-B7E25707F492}">
      <dsp:nvSpPr>
        <dsp:cNvPr id="0" name=""/>
        <dsp:cNvSpPr/>
      </dsp:nvSpPr>
      <dsp:spPr>
        <a:xfrm>
          <a:off x="1327264" y="1059766"/>
          <a:ext cx="730805" cy="456753"/>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400500" extrusionH="63500" prstMaterial="matte"/>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Patient 4</a:t>
          </a:r>
        </a:p>
      </dsp:txBody>
      <dsp:txXfrm>
        <a:off x="1340642" y="1073144"/>
        <a:ext cx="704049" cy="429997"/>
      </dsp:txXfrm>
    </dsp:sp>
    <dsp:sp modelId="{DA44FEDB-46F3-4145-B03C-257970FE3C03}">
      <dsp:nvSpPr>
        <dsp:cNvPr id="0" name=""/>
        <dsp:cNvSpPr/>
      </dsp:nvSpPr>
      <dsp:spPr>
        <a:xfrm>
          <a:off x="1190193" y="945577"/>
          <a:ext cx="91440" cy="913507"/>
        </a:xfrm>
        <a:custGeom>
          <a:avLst/>
          <a:gdLst/>
          <a:ahLst/>
          <a:cxnLst/>
          <a:rect l="0" t="0" r="0" b="0"/>
          <a:pathLst>
            <a:path>
              <a:moveTo>
                <a:pt x="45720" y="0"/>
              </a:moveTo>
              <a:lnTo>
                <a:pt x="45720" y="913507"/>
              </a:lnTo>
              <a:lnTo>
                <a:pt x="137070" y="913507"/>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2291901A-4150-684E-AAEE-C904133973DF}">
      <dsp:nvSpPr>
        <dsp:cNvPr id="0" name=""/>
        <dsp:cNvSpPr/>
      </dsp:nvSpPr>
      <dsp:spPr>
        <a:xfrm>
          <a:off x="1327264" y="1630708"/>
          <a:ext cx="730805" cy="456753"/>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400500" extrusionH="63500" prstMaterial="matte"/>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Patient 5</a:t>
          </a:r>
        </a:p>
      </dsp:txBody>
      <dsp:txXfrm>
        <a:off x="1340642" y="1644086"/>
        <a:ext cx="704049" cy="429997"/>
      </dsp:txXfrm>
    </dsp:sp>
    <dsp:sp modelId="{1B19012D-721E-554A-A57B-03F0FBC5A36E}">
      <dsp:nvSpPr>
        <dsp:cNvPr id="0" name=""/>
        <dsp:cNvSpPr/>
      </dsp:nvSpPr>
      <dsp:spPr>
        <a:xfrm>
          <a:off x="1190193" y="945577"/>
          <a:ext cx="91440" cy="1484448"/>
        </a:xfrm>
        <a:custGeom>
          <a:avLst/>
          <a:gdLst/>
          <a:ahLst/>
          <a:cxnLst/>
          <a:rect l="0" t="0" r="0" b="0"/>
          <a:pathLst>
            <a:path>
              <a:moveTo>
                <a:pt x="45720" y="0"/>
              </a:moveTo>
              <a:lnTo>
                <a:pt x="45720" y="1484448"/>
              </a:lnTo>
              <a:lnTo>
                <a:pt x="137070" y="1484448"/>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EFA7D6AC-662C-0E40-A97B-93B4ACBB73CB}">
      <dsp:nvSpPr>
        <dsp:cNvPr id="0" name=""/>
        <dsp:cNvSpPr/>
      </dsp:nvSpPr>
      <dsp:spPr>
        <a:xfrm>
          <a:off x="1327264" y="2201650"/>
          <a:ext cx="730805" cy="456753"/>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400500" extrusionH="63500" prstMaterial="matte"/>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Patient 6</a:t>
          </a:r>
        </a:p>
      </dsp:txBody>
      <dsp:txXfrm>
        <a:off x="1340642" y="2215028"/>
        <a:ext cx="704049" cy="429997"/>
      </dsp:txXfrm>
    </dsp:sp>
    <dsp:sp modelId="{B3D9AA2F-F400-214F-A9AC-1F7DDC422C5B}">
      <dsp:nvSpPr>
        <dsp:cNvPr id="0" name=""/>
        <dsp:cNvSpPr/>
      </dsp:nvSpPr>
      <dsp:spPr>
        <a:xfrm>
          <a:off x="1190193" y="945577"/>
          <a:ext cx="91440" cy="2055390"/>
        </a:xfrm>
        <a:custGeom>
          <a:avLst/>
          <a:gdLst/>
          <a:ahLst/>
          <a:cxnLst/>
          <a:rect l="0" t="0" r="0" b="0"/>
          <a:pathLst>
            <a:path>
              <a:moveTo>
                <a:pt x="45720" y="0"/>
              </a:moveTo>
              <a:lnTo>
                <a:pt x="45720" y="2055390"/>
              </a:lnTo>
              <a:lnTo>
                <a:pt x="137070" y="2055390"/>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FBF2D628-9CA7-E942-920E-6720051ED609}">
      <dsp:nvSpPr>
        <dsp:cNvPr id="0" name=""/>
        <dsp:cNvSpPr/>
      </dsp:nvSpPr>
      <dsp:spPr>
        <a:xfrm>
          <a:off x="1327264" y="2772592"/>
          <a:ext cx="730805" cy="456753"/>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400500" extrusionH="63500" prstMaterial="matte"/>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Patient 7</a:t>
          </a:r>
        </a:p>
      </dsp:txBody>
      <dsp:txXfrm>
        <a:off x="1340642" y="2785970"/>
        <a:ext cx="704049" cy="429997"/>
      </dsp:txXfrm>
    </dsp:sp>
    <dsp:sp modelId="{70F971EA-8A8E-3C40-8ED1-ED83FF77E902}">
      <dsp:nvSpPr>
        <dsp:cNvPr id="0" name=""/>
        <dsp:cNvSpPr/>
      </dsp:nvSpPr>
      <dsp:spPr>
        <a:xfrm>
          <a:off x="2286446" y="488824"/>
          <a:ext cx="913507" cy="456753"/>
        </a:xfrm>
        <a:prstGeom prst="roundRect">
          <a:avLst>
            <a:gd name="adj" fmla="val 10000"/>
          </a:avLst>
        </a:prstGeom>
        <a:solidFill>
          <a:schemeClr val="accent1">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Therapist 3</a:t>
          </a:r>
        </a:p>
      </dsp:txBody>
      <dsp:txXfrm>
        <a:off x="2299824" y="502202"/>
        <a:ext cx="886751" cy="429997"/>
      </dsp:txXfrm>
    </dsp:sp>
    <dsp:sp modelId="{8723BBA8-7465-B444-928F-74D86DE466F7}">
      <dsp:nvSpPr>
        <dsp:cNvPr id="0" name=""/>
        <dsp:cNvSpPr/>
      </dsp:nvSpPr>
      <dsp:spPr>
        <a:xfrm>
          <a:off x="2332077" y="945577"/>
          <a:ext cx="91440" cy="342565"/>
        </a:xfrm>
        <a:custGeom>
          <a:avLst/>
          <a:gdLst/>
          <a:ahLst/>
          <a:cxnLst/>
          <a:rect l="0" t="0" r="0" b="0"/>
          <a:pathLst>
            <a:path>
              <a:moveTo>
                <a:pt x="45720" y="0"/>
              </a:moveTo>
              <a:lnTo>
                <a:pt x="45720" y="342565"/>
              </a:lnTo>
              <a:lnTo>
                <a:pt x="137070" y="342565"/>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A97F3223-CD9B-3D40-A355-44541BD441B1}">
      <dsp:nvSpPr>
        <dsp:cNvPr id="0" name=""/>
        <dsp:cNvSpPr/>
      </dsp:nvSpPr>
      <dsp:spPr>
        <a:xfrm>
          <a:off x="2469147" y="1059766"/>
          <a:ext cx="730805" cy="456753"/>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400500" extrusionH="63500" prstMaterial="matte"/>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Patient 8</a:t>
          </a:r>
        </a:p>
      </dsp:txBody>
      <dsp:txXfrm>
        <a:off x="2482525" y="1073144"/>
        <a:ext cx="704049" cy="429997"/>
      </dsp:txXfrm>
    </dsp:sp>
    <dsp:sp modelId="{5A9C3ED6-B62B-0144-9A18-D588291A28CC}">
      <dsp:nvSpPr>
        <dsp:cNvPr id="0" name=""/>
        <dsp:cNvSpPr/>
      </dsp:nvSpPr>
      <dsp:spPr>
        <a:xfrm>
          <a:off x="2332077" y="945577"/>
          <a:ext cx="91440" cy="913507"/>
        </a:xfrm>
        <a:custGeom>
          <a:avLst/>
          <a:gdLst/>
          <a:ahLst/>
          <a:cxnLst/>
          <a:rect l="0" t="0" r="0" b="0"/>
          <a:pathLst>
            <a:path>
              <a:moveTo>
                <a:pt x="45720" y="0"/>
              </a:moveTo>
              <a:lnTo>
                <a:pt x="45720" y="913507"/>
              </a:lnTo>
              <a:lnTo>
                <a:pt x="137070" y="913507"/>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3DF889CC-0584-4C4B-A7DE-A33EC7BD1F5E}">
      <dsp:nvSpPr>
        <dsp:cNvPr id="0" name=""/>
        <dsp:cNvSpPr/>
      </dsp:nvSpPr>
      <dsp:spPr>
        <a:xfrm>
          <a:off x="2469147" y="1630708"/>
          <a:ext cx="730805" cy="456753"/>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400500" extrusionH="63500" prstMaterial="matte"/>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Patient 9</a:t>
          </a:r>
        </a:p>
      </dsp:txBody>
      <dsp:txXfrm>
        <a:off x="2482525" y="1644086"/>
        <a:ext cx="704049" cy="429997"/>
      </dsp:txXfrm>
    </dsp:sp>
    <dsp:sp modelId="{C649019D-88DC-6747-AFEF-5B814AB3AE16}">
      <dsp:nvSpPr>
        <dsp:cNvPr id="0" name=""/>
        <dsp:cNvSpPr/>
      </dsp:nvSpPr>
      <dsp:spPr>
        <a:xfrm>
          <a:off x="2332077" y="945577"/>
          <a:ext cx="91440" cy="1484448"/>
        </a:xfrm>
        <a:custGeom>
          <a:avLst/>
          <a:gdLst/>
          <a:ahLst/>
          <a:cxnLst/>
          <a:rect l="0" t="0" r="0" b="0"/>
          <a:pathLst>
            <a:path>
              <a:moveTo>
                <a:pt x="45720" y="0"/>
              </a:moveTo>
              <a:lnTo>
                <a:pt x="45720" y="1484448"/>
              </a:lnTo>
              <a:lnTo>
                <a:pt x="137070" y="1484448"/>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42BAF60A-BAFD-644C-86F6-E2C5A50D7C09}">
      <dsp:nvSpPr>
        <dsp:cNvPr id="0" name=""/>
        <dsp:cNvSpPr/>
      </dsp:nvSpPr>
      <dsp:spPr>
        <a:xfrm>
          <a:off x="2469147" y="2201650"/>
          <a:ext cx="730805" cy="456753"/>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400500" extrusionH="63500" prstMaterial="matte"/>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Patient 10</a:t>
          </a:r>
        </a:p>
      </dsp:txBody>
      <dsp:txXfrm>
        <a:off x="2482525" y="2215028"/>
        <a:ext cx="704049" cy="429997"/>
      </dsp:txXfrm>
    </dsp:sp>
    <dsp:sp modelId="{01D0E96F-21CA-1140-BE31-F0BACF787F39}">
      <dsp:nvSpPr>
        <dsp:cNvPr id="0" name=""/>
        <dsp:cNvSpPr/>
      </dsp:nvSpPr>
      <dsp:spPr>
        <a:xfrm>
          <a:off x="3428330" y="488824"/>
          <a:ext cx="913507" cy="456753"/>
        </a:xfrm>
        <a:prstGeom prst="roundRect">
          <a:avLst>
            <a:gd name="adj" fmla="val 10000"/>
          </a:avLst>
        </a:prstGeom>
        <a:solidFill>
          <a:schemeClr val="accent1">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Therapist 4</a:t>
          </a:r>
        </a:p>
      </dsp:txBody>
      <dsp:txXfrm>
        <a:off x="3441708" y="502202"/>
        <a:ext cx="886751" cy="429997"/>
      </dsp:txXfrm>
    </dsp:sp>
    <dsp:sp modelId="{99DB7734-BFD7-164F-B2FC-D983EAA98C63}">
      <dsp:nvSpPr>
        <dsp:cNvPr id="0" name=""/>
        <dsp:cNvSpPr/>
      </dsp:nvSpPr>
      <dsp:spPr>
        <a:xfrm>
          <a:off x="3473960" y="945577"/>
          <a:ext cx="91440" cy="342565"/>
        </a:xfrm>
        <a:custGeom>
          <a:avLst/>
          <a:gdLst/>
          <a:ahLst/>
          <a:cxnLst/>
          <a:rect l="0" t="0" r="0" b="0"/>
          <a:pathLst>
            <a:path>
              <a:moveTo>
                <a:pt x="45720" y="0"/>
              </a:moveTo>
              <a:lnTo>
                <a:pt x="45720" y="342565"/>
              </a:lnTo>
              <a:lnTo>
                <a:pt x="137070" y="342565"/>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790094B5-4C91-2043-9EA0-A70DB5F304BD}">
      <dsp:nvSpPr>
        <dsp:cNvPr id="0" name=""/>
        <dsp:cNvSpPr/>
      </dsp:nvSpPr>
      <dsp:spPr>
        <a:xfrm>
          <a:off x="3611031" y="1059766"/>
          <a:ext cx="730805" cy="456753"/>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400500" extrusionH="63500" prstMaterial="matte"/>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Patient 11</a:t>
          </a:r>
        </a:p>
      </dsp:txBody>
      <dsp:txXfrm>
        <a:off x="3624409" y="1073144"/>
        <a:ext cx="704049" cy="429997"/>
      </dsp:txXfrm>
    </dsp:sp>
    <dsp:sp modelId="{F6A51B4C-AD73-424D-8352-AA7E59FDA70B}">
      <dsp:nvSpPr>
        <dsp:cNvPr id="0" name=""/>
        <dsp:cNvSpPr/>
      </dsp:nvSpPr>
      <dsp:spPr>
        <a:xfrm>
          <a:off x="3473960" y="945577"/>
          <a:ext cx="91440" cy="913507"/>
        </a:xfrm>
        <a:custGeom>
          <a:avLst/>
          <a:gdLst/>
          <a:ahLst/>
          <a:cxnLst/>
          <a:rect l="0" t="0" r="0" b="0"/>
          <a:pathLst>
            <a:path>
              <a:moveTo>
                <a:pt x="45720" y="0"/>
              </a:moveTo>
              <a:lnTo>
                <a:pt x="45720" y="913507"/>
              </a:lnTo>
              <a:lnTo>
                <a:pt x="137070" y="913507"/>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8C85747C-09C5-9D4B-93EA-9D0F60B7F642}">
      <dsp:nvSpPr>
        <dsp:cNvPr id="0" name=""/>
        <dsp:cNvSpPr/>
      </dsp:nvSpPr>
      <dsp:spPr>
        <a:xfrm>
          <a:off x="3611031" y="1630708"/>
          <a:ext cx="730805" cy="456753"/>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400500" extrusionH="63500" prstMaterial="matte"/>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Patient 12</a:t>
          </a:r>
        </a:p>
      </dsp:txBody>
      <dsp:txXfrm>
        <a:off x="3624409" y="1644086"/>
        <a:ext cx="704049" cy="429997"/>
      </dsp:txXfrm>
    </dsp:sp>
    <dsp:sp modelId="{09784FB3-06DB-E040-A462-E6D1EFC9DB0F}">
      <dsp:nvSpPr>
        <dsp:cNvPr id="0" name=""/>
        <dsp:cNvSpPr/>
      </dsp:nvSpPr>
      <dsp:spPr>
        <a:xfrm>
          <a:off x="3473960" y="945577"/>
          <a:ext cx="91440" cy="1484448"/>
        </a:xfrm>
        <a:custGeom>
          <a:avLst/>
          <a:gdLst/>
          <a:ahLst/>
          <a:cxnLst/>
          <a:rect l="0" t="0" r="0" b="0"/>
          <a:pathLst>
            <a:path>
              <a:moveTo>
                <a:pt x="45720" y="0"/>
              </a:moveTo>
              <a:lnTo>
                <a:pt x="45720" y="1484448"/>
              </a:lnTo>
              <a:lnTo>
                <a:pt x="137070" y="1484448"/>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BC2002BA-143B-9E4E-AF5C-A3AD07052C6D}">
      <dsp:nvSpPr>
        <dsp:cNvPr id="0" name=""/>
        <dsp:cNvSpPr/>
      </dsp:nvSpPr>
      <dsp:spPr>
        <a:xfrm>
          <a:off x="3611031" y="2201650"/>
          <a:ext cx="730805" cy="456753"/>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400500" extrusionH="63500" prstMaterial="matte"/>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Patient 13</a:t>
          </a:r>
        </a:p>
      </dsp:txBody>
      <dsp:txXfrm>
        <a:off x="3624409" y="2215028"/>
        <a:ext cx="704049" cy="429997"/>
      </dsp:txXfrm>
    </dsp:sp>
    <dsp:sp modelId="{E25C8DCE-A8B6-DC4F-9618-6739B33C2B7F}">
      <dsp:nvSpPr>
        <dsp:cNvPr id="0" name=""/>
        <dsp:cNvSpPr/>
      </dsp:nvSpPr>
      <dsp:spPr>
        <a:xfrm>
          <a:off x="3473960" y="945577"/>
          <a:ext cx="91440" cy="2055390"/>
        </a:xfrm>
        <a:custGeom>
          <a:avLst/>
          <a:gdLst/>
          <a:ahLst/>
          <a:cxnLst/>
          <a:rect l="0" t="0" r="0" b="0"/>
          <a:pathLst>
            <a:path>
              <a:moveTo>
                <a:pt x="45720" y="0"/>
              </a:moveTo>
              <a:lnTo>
                <a:pt x="45720" y="2055390"/>
              </a:lnTo>
              <a:lnTo>
                <a:pt x="137070" y="2055390"/>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F9371C9C-2B71-FE48-9646-6A8FB504D2A1}">
      <dsp:nvSpPr>
        <dsp:cNvPr id="0" name=""/>
        <dsp:cNvSpPr/>
      </dsp:nvSpPr>
      <dsp:spPr>
        <a:xfrm>
          <a:off x="3611031" y="2772592"/>
          <a:ext cx="730805" cy="456753"/>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400500" extrusionH="63500" prstMaterial="matte"/>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Patient 14</a:t>
          </a:r>
        </a:p>
      </dsp:txBody>
      <dsp:txXfrm>
        <a:off x="3624409" y="2785970"/>
        <a:ext cx="704049" cy="429997"/>
      </dsp:txXfrm>
    </dsp:sp>
    <dsp:sp modelId="{26D085C6-3F83-EA4E-89E2-6D7C974ED2FB}">
      <dsp:nvSpPr>
        <dsp:cNvPr id="0" name=""/>
        <dsp:cNvSpPr/>
      </dsp:nvSpPr>
      <dsp:spPr>
        <a:xfrm>
          <a:off x="4570214" y="488824"/>
          <a:ext cx="913507" cy="456753"/>
        </a:xfrm>
        <a:prstGeom prst="roundRect">
          <a:avLst>
            <a:gd name="adj" fmla="val 10000"/>
          </a:avLst>
        </a:prstGeom>
        <a:solidFill>
          <a:schemeClr val="accent1">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Therapist 5</a:t>
          </a:r>
        </a:p>
      </dsp:txBody>
      <dsp:txXfrm>
        <a:off x="4583592" y="502202"/>
        <a:ext cx="886751" cy="429997"/>
      </dsp:txXfrm>
    </dsp:sp>
    <dsp:sp modelId="{5DF18CE2-83BE-A743-8D18-EDD12C9F0223}">
      <dsp:nvSpPr>
        <dsp:cNvPr id="0" name=""/>
        <dsp:cNvSpPr/>
      </dsp:nvSpPr>
      <dsp:spPr>
        <a:xfrm>
          <a:off x="4615844" y="945577"/>
          <a:ext cx="91440" cy="342565"/>
        </a:xfrm>
        <a:custGeom>
          <a:avLst/>
          <a:gdLst/>
          <a:ahLst/>
          <a:cxnLst/>
          <a:rect l="0" t="0" r="0" b="0"/>
          <a:pathLst>
            <a:path>
              <a:moveTo>
                <a:pt x="45720" y="0"/>
              </a:moveTo>
              <a:lnTo>
                <a:pt x="45720" y="342565"/>
              </a:lnTo>
              <a:lnTo>
                <a:pt x="137070" y="342565"/>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2821D366-F56D-0849-AEAD-F3A51DF37FED}">
      <dsp:nvSpPr>
        <dsp:cNvPr id="0" name=""/>
        <dsp:cNvSpPr/>
      </dsp:nvSpPr>
      <dsp:spPr>
        <a:xfrm>
          <a:off x="4752915" y="1059766"/>
          <a:ext cx="730805" cy="456753"/>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400500" extrusionH="63500" prstMaterial="matte"/>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Patient 15</a:t>
          </a:r>
        </a:p>
      </dsp:txBody>
      <dsp:txXfrm>
        <a:off x="4766293" y="1073144"/>
        <a:ext cx="704049" cy="429997"/>
      </dsp:txXfrm>
    </dsp:sp>
    <dsp:sp modelId="{E1F3DC55-4FB2-5C4A-8056-157078EDCE6D}">
      <dsp:nvSpPr>
        <dsp:cNvPr id="0" name=""/>
        <dsp:cNvSpPr/>
      </dsp:nvSpPr>
      <dsp:spPr>
        <a:xfrm>
          <a:off x="4615844" y="945577"/>
          <a:ext cx="91440" cy="913507"/>
        </a:xfrm>
        <a:custGeom>
          <a:avLst/>
          <a:gdLst/>
          <a:ahLst/>
          <a:cxnLst/>
          <a:rect l="0" t="0" r="0" b="0"/>
          <a:pathLst>
            <a:path>
              <a:moveTo>
                <a:pt x="45720" y="0"/>
              </a:moveTo>
              <a:lnTo>
                <a:pt x="45720" y="913507"/>
              </a:lnTo>
              <a:lnTo>
                <a:pt x="137070" y="913507"/>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CD704A15-FC32-9E4B-AC9D-EB8837FE3B91}">
      <dsp:nvSpPr>
        <dsp:cNvPr id="0" name=""/>
        <dsp:cNvSpPr/>
      </dsp:nvSpPr>
      <dsp:spPr>
        <a:xfrm>
          <a:off x="4752915" y="1630708"/>
          <a:ext cx="730805" cy="456753"/>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400500" extrusionH="63500" prstMaterial="matte"/>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Patient 16</a:t>
          </a:r>
        </a:p>
      </dsp:txBody>
      <dsp:txXfrm>
        <a:off x="4766293" y="1644086"/>
        <a:ext cx="704049" cy="429997"/>
      </dsp:txXfrm>
    </dsp:sp>
    <dsp:sp modelId="{8696DFBE-E365-6544-BB4A-ECC9896CC83D}">
      <dsp:nvSpPr>
        <dsp:cNvPr id="0" name=""/>
        <dsp:cNvSpPr/>
      </dsp:nvSpPr>
      <dsp:spPr>
        <a:xfrm>
          <a:off x="4615844" y="945577"/>
          <a:ext cx="91440" cy="1484448"/>
        </a:xfrm>
        <a:custGeom>
          <a:avLst/>
          <a:gdLst/>
          <a:ahLst/>
          <a:cxnLst/>
          <a:rect l="0" t="0" r="0" b="0"/>
          <a:pathLst>
            <a:path>
              <a:moveTo>
                <a:pt x="45720" y="0"/>
              </a:moveTo>
              <a:lnTo>
                <a:pt x="45720" y="1484448"/>
              </a:lnTo>
              <a:lnTo>
                <a:pt x="137070" y="1484448"/>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043CAE35-828B-164E-AD0E-95C4EFE0E8C7}">
      <dsp:nvSpPr>
        <dsp:cNvPr id="0" name=""/>
        <dsp:cNvSpPr/>
      </dsp:nvSpPr>
      <dsp:spPr>
        <a:xfrm>
          <a:off x="4752915" y="2201650"/>
          <a:ext cx="730805" cy="456753"/>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400500" extrusionH="63500" prstMaterial="matte"/>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Patient 17</a:t>
          </a:r>
        </a:p>
      </dsp:txBody>
      <dsp:txXfrm>
        <a:off x="4766293" y="2215028"/>
        <a:ext cx="704049" cy="429997"/>
      </dsp:txXfrm>
    </dsp:sp>
    <dsp:sp modelId="{FC641620-C56B-0C43-878C-E3FEBE6CE1BE}">
      <dsp:nvSpPr>
        <dsp:cNvPr id="0" name=""/>
        <dsp:cNvSpPr/>
      </dsp:nvSpPr>
      <dsp:spPr>
        <a:xfrm>
          <a:off x="4615844" y="945577"/>
          <a:ext cx="91440" cy="2055390"/>
        </a:xfrm>
        <a:custGeom>
          <a:avLst/>
          <a:gdLst/>
          <a:ahLst/>
          <a:cxnLst/>
          <a:rect l="0" t="0" r="0" b="0"/>
          <a:pathLst>
            <a:path>
              <a:moveTo>
                <a:pt x="45720" y="0"/>
              </a:moveTo>
              <a:lnTo>
                <a:pt x="45720" y="2055390"/>
              </a:lnTo>
              <a:lnTo>
                <a:pt x="137070" y="2055390"/>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0C64593D-7E89-FB4C-9098-CBBD7CEF9FCB}">
      <dsp:nvSpPr>
        <dsp:cNvPr id="0" name=""/>
        <dsp:cNvSpPr/>
      </dsp:nvSpPr>
      <dsp:spPr>
        <a:xfrm>
          <a:off x="4752915" y="2772592"/>
          <a:ext cx="730805" cy="456753"/>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400500" extrusionH="63500" prstMaterial="matte"/>
      </dsp:spPr>
      <dsp:style>
        <a:lnRef idx="1">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US" sz="1400" kern="1200"/>
            <a:t>Patient 18</a:t>
          </a:r>
        </a:p>
      </dsp:txBody>
      <dsp:txXfrm>
        <a:off x="4766293" y="2785970"/>
        <a:ext cx="704049" cy="429997"/>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layout4.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3d5">
  <dgm:title val=""/>
  <dgm:desc val=""/>
  <dgm:catLst>
    <dgm:cat type="3D" pri="11500"/>
  </dgm:catLst>
  <dgm:scene3d>
    <a:camera prst="isometricOffAxis2Left" zoom="95000"/>
    <a:lightRig rig="flat" dir="t"/>
  </dgm:scene3d>
  <dgm:styleLbl name="node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extrusionH="381000" contourW="38100" prstMaterial="matte">
      <a:contourClr>
        <a:schemeClr val="lt1"/>
      </a:contourClr>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z="5715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dgm:scene3d>
    <dgm:sp3d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dgm:scene3d>
    <dgm:sp3d z="-381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dgm:scene3d>
    <dgm:sp3d z="-52400" extrusionH="1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z="-38100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extrusionH="381000" prstMaterial="matte"/>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z="-400500" extrusionH="63500" prstMaterial="matte"/>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z="57150" extrusionH="12700" prstMaterial="flat">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extrusionH="12700" prstMaterial="flat">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dgm:scene3d>
    <dgm:sp3d z="-63500" extrusionH="63500" prstMaterial="matte"/>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dgm:style>
  </dgm:styleLbl>
  <dgm:styleLbl name="bgAccFollowNode1">
    <dgm:scene3d>
      <a:camera prst="orthographicFront"/>
      <a:lightRig rig="threePt" dir="t"/>
    </dgm:scene3d>
    <dgm:sp3d z="-400500" extrusionH="63500" contourW="12700" prstMaterial="matte">
      <a:contourClr>
        <a:schemeClr val="lt1"/>
      </a:contourClr>
    </dgm:sp3d>
    <dgm:txPr/>
    <dgm:style>
      <a:lnRef idx="0">
        <a:scrgbClr r="0" g="0" b="0"/>
      </a:lnRef>
      <a:fillRef idx="1">
        <a:scrgbClr r="0" g="0" b="0"/>
      </a:fillRef>
      <a:effectRef idx="2">
        <a:scrgbClr r="0" g="0" b="0"/>
      </a:effectRef>
      <a:fontRef idx="minor"/>
    </dgm:style>
  </dgm:styleLbl>
  <dgm:styleLbl name="fgAcc0">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40050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trBgShp">
    <dgm:scene3d>
      <a:camera prst="orthographicFront"/>
      <a:lightRig rig="threePt" dir="t"/>
    </dgm:scene3d>
    <dgm:sp3d z="-4005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715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EE8DE4-E1EB-4998-AB92-B9DF167FEA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415</Pages>
  <Words>92819</Words>
  <Characters>515953</Characters>
  <Application>Microsoft Office Word</Application>
  <DocSecurity>0</DocSecurity>
  <Lines>12115</Lines>
  <Paragraphs>4195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611234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 Bateup</dc:creator>
  <cp:keywords/>
  <dc:description/>
  <cp:lastModifiedBy>Blanshard, Lisa</cp:lastModifiedBy>
  <cp:revision>36</cp:revision>
  <cp:lastPrinted>2021-08-09T14:26:00Z</cp:lastPrinted>
  <dcterms:created xsi:type="dcterms:W3CDTF">2020-10-08T16:33:00Z</dcterms:created>
  <dcterms:modified xsi:type="dcterms:W3CDTF">2021-08-09T14:28:00Z</dcterms:modified>
</cp:coreProperties>
</file>